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37F83">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p>
    <w:p w14:paraId="5DA3C882">
      <w:pPr>
        <w:jc w:val="center"/>
        <w:rPr>
          <w:rFonts w:hint="eastAsia" w:cs="Times New Roman" w:asciiTheme="minorEastAsia" w:hAnsiTheme="minorEastAsia"/>
          <w:bCs/>
          <w:color w:val="000000" w:themeColor="text1"/>
          <w:sz w:val="48"/>
          <w:szCs w:val="48"/>
          <w:lang w:val="en-US" w:eastAsia="zh-CN"/>
          <w14:textFill>
            <w14:solidFill>
              <w14:schemeClr w14:val="tx1"/>
            </w14:solidFill>
          </w14:textFill>
        </w:rPr>
      </w:pPr>
    </w:p>
    <w:p w14:paraId="164DEBE8">
      <w:pPr>
        <w:ind w:firstLine="960" w:firstLineChars="200"/>
        <w:jc w:val="center"/>
        <w:rPr>
          <w:rFonts w:hint="eastAsia" w:cs="Times New Roman" w:asciiTheme="minorEastAsia" w:hAnsiTheme="minorEastAsia"/>
          <w:b/>
          <w:bCs/>
          <w:color w:val="000000" w:themeColor="text1"/>
          <w:sz w:val="72"/>
          <w:szCs w:val="72"/>
          <w14:textFill>
            <w14:solidFill>
              <w14:schemeClr w14:val="tx1"/>
            </w14:solidFill>
          </w14:textFill>
        </w:rPr>
      </w:pPr>
      <w:r>
        <w:rPr>
          <w:rFonts w:hint="eastAsia" w:cs="Times New Roman" w:asciiTheme="minorEastAsia" w:hAnsiTheme="minorEastAsia"/>
          <w:bCs/>
          <w:color w:val="000000" w:themeColor="text1"/>
          <w:sz w:val="48"/>
          <w:szCs w:val="48"/>
          <w:lang w:val="en-US" w:eastAsia="zh-CN"/>
          <w14:textFill>
            <w14:solidFill>
              <w14:schemeClr w14:val="tx1"/>
            </w14:solidFill>
          </w14:textFill>
        </w:rPr>
        <w:t>湖滨区委党校老校区餐厅及配套瓦房拆建项目</w:t>
      </w:r>
    </w:p>
    <w:p w14:paraId="0C18958D">
      <w:pPr>
        <w:jc w:val="center"/>
        <w:rPr>
          <w:rFonts w:hint="eastAsia" w:cs="Times New Roman" w:asciiTheme="minorEastAsia" w:hAnsiTheme="minorEastAsia"/>
          <w:b/>
          <w:bCs/>
          <w:color w:val="000000" w:themeColor="text1"/>
          <w:sz w:val="72"/>
          <w:szCs w:val="72"/>
          <w14:textFill>
            <w14:solidFill>
              <w14:schemeClr w14:val="tx1"/>
            </w14:solidFill>
          </w14:textFill>
        </w:rPr>
      </w:pPr>
    </w:p>
    <w:p w14:paraId="2E0E2992">
      <w:pPr>
        <w:jc w:val="center"/>
        <w:outlineLvl w:val="0"/>
        <w:rPr>
          <w:rFonts w:cs="Times New Roman" w:asciiTheme="minorEastAsia" w:hAnsiTheme="minorEastAsia"/>
          <w:b/>
          <w:bCs/>
          <w:color w:val="000000" w:themeColor="text1"/>
          <w:sz w:val="72"/>
          <w:szCs w:val="72"/>
          <w14:textFill>
            <w14:solidFill>
              <w14:schemeClr w14:val="tx1"/>
            </w14:solidFill>
          </w14:textFill>
        </w:rPr>
      </w:pPr>
      <w:bookmarkStart w:id="0" w:name="_Toc27226"/>
      <w:r>
        <w:rPr>
          <w:rFonts w:hint="eastAsia" w:cs="Times New Roman" w:asciiTheme="minorEastAsia" w:hAnsiTheme="minorEastAsia"/>
          <w:b/>
          <w:bCs/>
          <w:color w:val="000000" w:themeColor="text1"/>
          <w:sz w:val="72"/>
          <w:szCs w:val="72"/>
          <w14:textFill>
            <w14:solidFill>
              <w14:schemeClr w14:val="tx1"/>
            </w14:solidFill>
          </w14:textFill>
        </w:rPr>
        <w:t>竞争性磋商文件</w:t>
      </w:r>
      <w:bookmarkEnd w:id="0"/>
    </w:p>
    <w:p w14:paraId="0C3A6ADC">
      <w:pPr>
        <w:jc w:val="center"/>
        <w:rPr>
          <w:rFonts w:hint="eastAsia" w:cs="Times New Roman" w:asciiTheme="minorEastAsia" w:hAnsiTheme="minorEastAsia"/>
          <w:color w:val="000000" w:themeColor="text1"/>
          <w:sz w:val="28"/>
          <w:szCs w:val="28"/>
          <w14:textFill>
            <w14:solidFill>
              <w14:schemeClr w14:val="tx1"/>
            </w14:solidFill>
          </w14:textFill>
        </w:rPr>
      </w:pPr>
    </w:p>
    <w:p w14:paraId="22534ABC">
      <w:pPr>
        <w:ind w:leftChars="700"/>
        <w:jc w:val="both"/>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pPr>
      <w:r>
        <w:rPr>
          <w:rFonts w:hint="eastAsia" w:cs="Times New Roman" w:asciiTheme="minorEastAsia" w:hAnsiTheme="minorEastAsia"/>
          <w:color w:val="000000" w:themeColor="text1"/>
          <w:sz w:val="28"/>
          <w:szCs w:val="28"/>
          <w:highlight w:val="none"/>
          <w14:textFill>
            <w14:solidFill>
              <w14:schemeClr w14:val="tx1"/>
            </w14:solidFill>
          </w14:textFill>
        </w:rPr>
        <w:t>项目编号：</w:t>
      </w:r>
      <w:r>
        <w:rPr>
          <w:rFonts w:hint="eastAsia" w:cs="Times New Roman" w:asciiTheme="minorEastAsia" w:hAnsiTheme="minorEastAsia"/>
          <w:color w:val="000000" w:themeColor="text1"/>
          <w:sz w:val="28"/>
          <w:szCs w:val="28"/>
          <w:highlight w:val="none"/>
          <w:lang w:val="en-US" w:eastAsia="zh-CN"/>
          <w14:textFill>
            <w14:solidFill>
              <w14:schemeClr w14:val="tx1"/>
            </w14:solidFill>
          </w14:textFill>
        </w:rPr>
        <w:t xml:space="preserve"> 湖滨竞磋-2026-7、SGZ[2026]072-ZC043</w:t>
      </w:r>
    </w:p>
    <w:p w14:paraId="00C28C49">
      <w:pPr>
        <w:ind w:leftChars="700"/>
        <w:jc w:val="both"/>
        <w:rPr>
          <w:rFonts w:hint="default" w:cs="Times New Roman" w:asciiTheme="minorEastAsia" w:hAnsiTheme="minorEastAsia"/>
          <w:color w:val="000000" w:themeColor="text1"/>
          <w:sz w:val="28"/>
          <w:szCs w:val="28"/>
          <w:highlight w:val="yellow"/>
          <w:lang w:val="en-US"/>
          <w14:textFill>
            <w14:solidFill>
              <w14:schemeClr w14:val="tx1"/>
            </w14:solidFill>
          </w14:textFill>
        </w:rPr>
      </w:pPr>
    </w:p>
    <w:p w14:paraId="68150B21">
      <w:pPr>
        <w:jc w:val="both"/>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ascii="宋体" w:hAnsi="宋体" w:cs="宋体"/>
          <w:b/>
          <w:sz w:val="32"/>
          <w:highlight w:val="none"/>
          <w:lang w:val="en-US" w:eastAsia="zh-CN"/>
        </w:rPr>
        <w:t xml:space="preserve">              </w:t>
      </w:r>
      <w:r>
        <w:rPr>
          <w:rFonts w:hint="eastAsia" w:ascii="宋体" w:hAnsi="宋体" w:cs="宋体"/>
          <w:b/>
          <w:sz w:val="32"/>
          <w:highlight w:val="none"/>
        </w:rPr>
        <w:drawing>
          <wp:inline distT="0" distB="0" distL="114300" distR="114300">
            <wp:extent cx="2700020" cy="2757170"/>
            <wp:effectExtent l="0" t="0" r="5080" b="11430"/>
            <wp:docPr id="2" name="图片 1" descr="99ce649ca9b93ea037e1de6b00c7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99ce649ca9b93ea037e1de6b00c7210"/>
                    <pic:cNvPicPr>
                      <a:picLocks noChangeAspect="1"/>
                    </pic:cNvPicPr>
                  </pic:nvPicPr>
                  <pic:blipFill>
                    <a:blip r:embed="rId9"/>
                    <a:stretch>
                      <a:fillRect/>
                    </a:stretch>
                  </pic:blipFill>
                  <pic:spPr>
                    <a:xfrm>
                      <a:off x="0" y="0"/>
                      <a:ext cx="2700020" cy="2757170"/>
                    </a:xfrm>
                    <a:prstGeom prst="rect">
                      <a:avLst/>
                    </a:prstGeom>
                    <a:noFill/>
                    <a:ln>
                      <a:noFill/>
                    </a:ln>
                  </pic:spPr>
                </pic:pic>
              </a:graphicData>
            </a:graphic>
          </wp:inline>
        </w:drawing>
      </w:r>
    </w:p>
    <w:p w14:paraId="41757589">
      <w:pPr>
        <w:ind w:leftChars="800"/>
        <w:jc w:val="both"/>
        <w:rPr>
          <w:rFonts w:hint="eastAsia" w:cs="Times New Roman" w:asciiTheme="minorEastAsia" w:hAnsiTheme="minorEastAsia"/>
          <w:color w:val="000000" w:themeColor="text1"/>
          <w:sz w:val="28"/>
          <w:szCs w:val="28"/>
          <w14:textFill>
            <w14:solidFill>
              <w14:schemeClr w14:val="tx1"/>
            </w14:solidFill>
          </w14:textFill>
        </w:rPr>
      </w:pPr>
    </w:p>
    <w:p w14:paraId="48B36688">
      <w:pPr>
        <w:ind w:leftChars="800"/>
        <w:jc w:val="both"/>
        <w:rPr>
          <w:rFonts w:hint="eastAsia" w:cs="Times New Roman" w:asciiTheme="minorEastAsia" w:hAnsiTheme="minorEastAsia" w:eastAsia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采购人：</w:t>
      </w:r>
      <w:r>
        <w:rPr>
          <w:rFonts w:hint="eastAsia" w:cs="Times New Roman" w:asciiTheme="minorEastAsia" w:hAnsiTheme="minorEastAsia"/>
          <w:bCs/>
          <w:color w:val="000000" w:themeColor="text1"/>
          <w:sz w:val="28"/>
          <w:szCs w:val="28"/>
          <w:lang w:eastAsia="zh-CN"/>
          <w14:textFill>
            <w14:solidFill>
              <w14:schemeClr w14:val="tx1"/>
            </w14:solidFill>
          </w14:textFill>
        </w:rPr>
        <w:t xml:space="preserve"> 三门峡市湖滨区机关事务中心</w:t>
      </w:r>
    </w:p>
    <w:p w14:paraId="13EB9D84">
      <w:pPr>
        <w:ind w:leftChars="800"/>
        <w:jc w:val="both"/>
        <w:rPr>
          <w:rFonts w:hint="eastAsia" w:cs="Times New Roman" w:asciiTheme="minorEastAsia" w:hAnsiTheme="minorEastAsia"/>
          <w:color w:val="000000" w:themeColor="text1"/>
          <w:sz w:val="28"/>
          <w:szCs w:val="28"/>
          <w:lang w:eastAsia="zh-CN"/>
          <w14:textFill>
            <w14:solidFill>
              <w14:schemeClr w14:val="tx1"/>
            </w14:solidFill>
          </w14:textFill>
        </w:rPr>
      </w:pPr>
      <w:r>
        <w:rPr>
          <w:rFonts w:hint="eastAsia" w:cs="Times New Roman" w:asciiTheme="minorEastAsia" w:hAnsiTheme="minorEastAsia"/>
          <w:color w:val="000000" w:themeColor="text1"/>
          <w:sz w:val="28"/>
          <w:szCs w:val="28"/>
          <w14:textFill>
            <w14:solidFill>
              <w14:schemeClr w14:val="tx1"/>
            </w14:solidFill>
          </w14:textFill>
        </w:rPr>
        <w:t>代理机构：</w:t>
      </w:r>
      <w:r>
        <w:rPr>
          <w:rFonts w:hint="eastAsia" w:cs="Times New Roman" w:asciiTheme="minorEastAsia" w:hAnsiTheme="minorEastAsia"/>
          <w:color w:val="000000" w:themeColor="text1"/>
          <w:sz w:val="28"/>
          <w:szCs w:val="28"/>
          <w:lang w:eastAsia="zh-CN"/>
          <w14:textFill>
            <w14:solidFill>
              <w14:schemeClr w14:val="tx1"/>
            </w14:solidFill>
          </w14:textFill>
        </w:rPr>
        <w:t>河南知信合工程咨询有限公司</w:t>
      </w:r>
    </w:p>
    <w:p w14:paraId="6B01533C">
      <w:pPr>
        <w:ind w:leftChars="800"/>
        <w:jc w:val="both"/>
        <w:rPr>
          <w:rFonts w:hint="eastAsia" w:cs="Times New Roman" w:asciiTheme="minorEastAsia" w:hAnsiTheme="minorEastAsia" w:eastAsiaTheme="minorEastAsia"/>
          <w:b/>
          <w:color w:val="000000" w:themeColor="text1"/>
          <w:sz w:val="28"/>
          <w:szCs w:val="28"/>
          <w:lang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NumType w:fmt="decimal" w:start="1" w:chapStyle="1"/>
          <w:cols w:space="425" w:num="1"/>
          <w:docGrid w:type="lines" w:linePitch="312" w:charSpace="0"/>
        </w:sectPr>
      </w:pPr>
      <w:r>
        <w:rPr>
          <w:rFonts w:hint="eastAsia" w:cs="Times New Roman" w:asciiTheme="minorEastAsia" w:hAnsiTheme="minorEastAsia"/>
          <w:color w:val="000000" w:themeColor="text1"/>
          <w:sz w:val="28"/>
          <w:szCs w:val="28"/>
          <w14:textFill>
            <w14:solidFill>
              <w14:schemeClr w14:val="tx1"/>
            </w14:solidFill>
          </w14:textFill>
        </w:rPr>
        <w:t>日期：</w:t>
      </w:r>
      <w:r>
        <w:rPr>
          <w:rFonts w:hint="eastAsia" w:cs="Times New Roman" w:asciiTheme="minorEastAsia" w:hAnsiTheme="minorEastAsia"/>
          <w:color w:val="000000" w:themeColor="text1"/>
          <w:sz w:val="28"/>
          <w:szCs w:val="28"/>
          <w:lang w:eastAsia="zh-CN"/>
          <w14:textFill>
            <w14:solidFill>
              <w14:schemeClr w14:val="tx1"/>
            </w14:solidFill>
          </w14:textFill>
        </w:rPr>
        <w:t>二〇二</w:t>
      </w:r>
      <w:r>
        <w:rPr>
          <w:rFonts w:hint="eastAsia" w:cs="Times New Roman" w:asciiTheme="minorEastAsia" w:hAnsiTheme="minorEastAsia"/>
          <w:color w:val="000000" w:themeColor="text1"/>
          <w:sz w:val="28"/>
          <w:szCs w:val="28"/>
          <w:lang w:val="en-US" w:eastAsia="zh-CN"/>
          <w14:textFill>
            <w14:solidFill>
              <w14:schemeClr w14:val="tx1"/>
            </w14:solidFill>
          </w14:textFill>
        </w:rPr>
        <w:t>六</w:t>
      </w:r>
      <w:r>
        <w:rPr>
          <w:rFonts w:hint="eastAsia" w:cs="Times New Roman" w:asciiTheme="minorEastAsia" w:hAnsiTheme="minorEastAsia"/>
          <w:color w:val="000000" w:themeColor="text1"/>
          <w:sz w:val="28"/>
          <w:szCs w:val="28"/>
          <w:lang w:eastAsia="zh-CN"/>
          <w14:textFill>
            <w14:solidFill>
              <w14:schemeClr w14:val="tx1"/>
            </w14:solidFill>
          </w14:textFill>
        </w:rPr>
        <w:t>年</w:t>
      </w:r>
      <w:r>
        <w:rPr>
          <w:rFonts w:hint="eastAsia" w:cs="Times New Roman" w:asciiTheme="minorEastAsia" w:hAnsiTheme="minorEastAsia"/>
          <w:color w:val="000000" w:themeColor="text1"/>
          <w:sz w:val="28"/>
          <w:szCs w:val="28"/>
          <w:lang w:val="en-US" w:eastAsia="zh-CN"/>
          <w14:textFill>
            <w14:solidFill>
              <w14:schemeClr w14:val="tx1"/>
            </w14:solidFill>
          </w14:textFill>
        </w:rPr>
        <w:t>三</w:t>
      </w:r>
      <w:r>
        <w:rPr>
          <w:rFonts w:hint="eastAsia" w:cs="Times New Roman" w:asciiTheme="minorEastAsia" w:hAnsiTheme="minorEastAsia"/>
          <w:color w:val="000000" w:themeColor="text1"/>
          <w:sz w:val="28"/>
          <w:szCs w:val="28"/>
          <w:lang w:eastAsia="zh-CN"/>
          <w14:textFill>
            <w14:solidFill>
              <w14:schemeClr w14:val="tx1"/>
            </w14:solidFill>
          </w14:textFill>
        </w:rPr>
        <w:t>月</w:t>
      </w:r>
    </w:p>
    <w:sdt>
      <w:sdtPr>
        <w:rPr>
          <w:rFonts w:ascii="宋体" w:hAnsi="宋体" w:eastAsia="宋体" w:cstheme="minorBidi"/>
          <w:kern w:val="2"/>
          <w:sz w:val="21"/>
          <w:szCs w:val="22"/>
          <w:lang w:val="en-US" w:eastAsia="zh-CN" w:bidi="ar-SA"/>
        </w:rPr>
        <w:id w:val="147460874"/>
        <w15:color w:val="DBDBDB"/>
        <w:docPartObj>
          <w:docPartGallery w:val="Table of Contents"/>
          <w:docPartUnique/>
        </w:docPartObj>
      </w:sdtPr>
      <w:sdtEndPr>
        <w:rPr>
          <w:rFonts w:ascii="宋体" w:hAnsi="宋体" w:eastAsia="宋体" w:cstheme="minorBidi"/>
          <w:kern w:val="2"/>
          <w:sz w:val="21"/>
          <w:szCs w:val="22"/>
          <w:lang w:val="en-US" w:eastAsia="zh-CN" w:bidi="ar-SA"/>
        </w:rPr>
      </w:sdtEndPr>
      <w:sdtContent>
        <w:p w14:paraId="0AA9A78D">
          <w:pPr>
            <w:spacing w:before="0" w:beforeLines="0" w:after="0" w:afterLines="0" w:line="480" w:lineRule="auto"/>
            <w:ind w:left="0" w:leftChars="0" w:right="0" w:rightChars="0" w:firstLine="0" w:firstLineChars="0"/>
            <w:jc w:val="center"/>
            <w:rPr>
              <w:sz w:val="36"/>
              <w:szCs w:val="40"/>
            </w:rPr>
          </w:pPr>
          <w:bookmarkStart w:id="1" w:name="_Toc109675032"/>
          <w:bookmarkStart w:id="2" w:name="_Toc145065050"/>
          <w:r>
            <w:rPr>
              <w:rFonts w:ascii="宋体" w:hAnsi="宋体" w:eastAsia="宋体"/>
              <w:sz w:val="36"/>
              <w:szCs w:val="40"/>
            </w:rPr>
            <w:t>目录</w:t>
          </w:r>
        </w:p>
        <w:p w14:paraId="7B05A1BA">
          <w:pPr>
            <w:pStyle w:val="76"/>
            <w:tabs>
              <w:tab w:val="right" w:leader="dot" w:pos="8307"/>
            </w:tabs>
            <w:spacing w:line="48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p>
        <w:p w14:paraId="0945736C">
          <w:pPr>
            <w:pStyle w:val="76"/>
            <w:tabs>
              <w:tab w:val="right" w:leader="dot" w:pos="8307"/>
            </w:tabs>
            <w:spacing w:line="480" w:lineRule="auto"/>
            <w:rPr>
              <w:sz w:val="28"/>
              <w:szCs w:val="28"/>
            </w:rPr>
          </w:pPr>
          <w:r>
            <w:rPr>
              <w:sz w:val="28"/>
              <w:szCs w:val="28"/>
            </w:rPr>
            <w:fldChar w:fldCharType="begin"/>
          </w:r>
          <w:r>
            <w:rPr>
              <w:sz w:val="28"/>
              <w:szCs w:val="28"/>
            </w:rPr>
            <w:instrText xml:space="preserve"> HYPERLINK \l _Toc12157 </w:instrText>
          </w:r>
          <w:r>
            <w:rPr>
              <w:sz w:val="28"/>
              <w:szCs w:val="28"/>
            </w:rPr>
            <w:fldChar w:fldCharType="separate"/>
          </w:r>
          <w:r>
            <w:rPr>
              <w:rFonts w:hint="eastAsia"/>
              <w:sz w:val="28"/>
              <w:szCs w:val="28"/>
            </w:rPr>
            <w:t>第一章</w:t>
          </w:r>
          <w:r>
            <w:rPr>
              <w:rFonts w:hint="eastAsia"/>
              <w:sz w:val="28"/>
              <w:szCs w:val="28"/>
              <w:lang w:val="en-US" w:eastAsia="zh-CN"/>
            </w:rPr>
            <w:t xml:space="preserve"> </w:t>
          </w:r>
          <w:r>
            <w:rPr>
              <w:rFonts w:hint="eastAsia"/>
              <w:sz w:val="28"/>
              <w:szCs w:val="28"/>
            </w:rPr>
            <w:t>竞争性磋商公告</w:t>
          </w:r>
          <w:r>
            <w:rPr>
              <w:sz w:val="28"/>
              <w:szCs w:val="28"/>
            </w:rPr>
            <w:tab/>
          </w:r>
          <w:r>
            <w:rPr>
              <w:sz w:val="28"/>
              <w:szCs w:val="28"/>
            </w:rPr>
            <w:fldChar w:fldCharType="begin"/>
          </w:r>
          <w:r>
            <w:rPr>
              <w:sz w:val="28"/>
              <w:szCs w:val="28"/>
            </w:rPr>
            <w:instrText xml:space="preserve"> PAGEREF _Toc12157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71CF090">
          <w:pPr>
            <w:pStyle w:val="76"/>
            <w:tabs>
              <w:tab w:val="right" w:leader="dot" w:pos="8307"/>
            </w:tabs>
            <w:spacing w:line="480" w:lineRule="auto"/>
            <w:rPr>
              <w:sz w:val="28"/>
              <w:szCs w:val="28"/>
            </w:rPr>
          </w:pPr>
          <w:r>
            <w:rPr>
              <w:sz w:val="28"/>
              <w:szCs w:val="28"/>
            </w:rPr>
            <w:fldChar w:fldCharType="begin"/>
          </w:r>
          <w:r>
            <w:rPr>
              <w:sz w:val="28"/>
              <w:szCs w:val="28"/>
            </w:rPr>
            <w:instrText xml:space="preserve"> HYPERLINK \l _Toc3728 </w:instrText>
          </w:r>
          <w:r>
            <w:rPr>
              <w:sz w:val="28"/>
              <w:szCs w:val="28"/>
            </w:rPr>
            <w:fldChar w:fldCharType="separate"/>
          </w:r>
          <w:r>
            <w:rPr>
              <w:rFonts w:hint="eastAsia"/>
              <w:sz w:val="28"/>
              <w:szCs w:val="28"/>
            </w:rPr>
            <w:t>第二章 供应商须知</w:t>
          </w:r>
          <w:r>
            <w:rPr>
              <w:sz w:val="28"/>
              <w:szCs w:val="28"/>
            </w:rPr>
            <w:tab/>
          </w:r>
          <w:r>
            <w:rPr>
              <w:sz w:val="28"/>
              <w:szCs w:val="28"/>
            </w:rPr>
            <w:fldChar w:fldCharType="begin"/>
          </w:r>
          <w:r>
            <w:rPr>
              <w:sz w:val="28"/>
              <w:szCs w:val="28"/>
            </w:rPr>
            <w:instrText xml:space="preserve"> PAGEREF _Toc3728 \h </w:instrText>
          </w:r>
          <w:r>
            <w:rPr>
              <w:sz w:val="28"/>
              <w:szCs w:val="28"/>
            </w:rPr>
            <w:fldChar w:fldCharType="separate"/>
          </w:r>
          <w:r>
            <w:rPr>
              <w:sz w:val="28"/>
              <w:szCs w:val="28"/>
            </w:rPr>
            <w:t>6</w:t>
          </w:r>
          <w:r>
            <w:rPr>
              <w:sz w:val="28"/>
              <w:szCs w:val="28"/>
            </w:rPr>
            <w:fldChar w:fldCharType="end"/>
          </w:r>
          <w:r>
            <w:rPr>
              <w:sz w:val="28"/>
              <w:szCs w:val="28"/>
            </w:rPr>
            <w:fldChar w:fldCharType="end"/>
          </w:r>
        </w:p>
        <w:p w14:paraId="46A08610">
          <w:pPr>
            <w:pStyle w:val="76"/>
            <w:tabs>
              <w:tab w:val="right" w:leader="dot" w:pos="8307"/>
            </w:tabs>
            <w:spacing w:line="480" w:lineRule="auto"/>
            <w:rPr>
              <w:rFonts w:hint="eastAsia" w:eastAsia="宋体"/>
              <w:sz w:val="28"/>
              <w:szCs w:val="28"/>
              <w:lang w:val="en-US" w:eastAsia="zh-CN"/>
            </w:rPr>
          </w:pPr>
          <w:r>
            <w:rPr>
              <w:sz w:val="28"/>
              <w:szCs w:val="28"/>
            </w:rPr>
            <w:fldChar w:fldCharType="begin"/>
          </w:r>
          <w:r>
            <w:rPr>
              <w:sz w:val="28"/>
              <w:szCs w:val="28"/>
            </w:rPr>
            <w:instrText xml:space="preserve"> HYPERLINK \l _Toc14144 </w:instrText>
          </w:r>
          <w:r>
            <w:rPr>
              <w:sz w:val="28"/>
              <w:szCs w:val="28"/>
            </w:rPr>
            <w:fldChar w:fldCharType="separate"/>
          </w:r>
          <w:r>
            <w:rPr>
              <w:sz w:val="28"/>
              <w:szCs w:val="28"/>
            </w:rPr>
            <w:t>第三章</w:t>
          </w:r>
          <w:r>
            <w:rPr>
              <w:rFonts w:hint="eastAsia"/>
              <w:sz w:val="28"/>
              <w:szCs w:val="28"/>
              <w:lang w:val="en-US" w:eastAsia="zh-CN"/>
            </w:rPr>
            <w:t xml:space="preserve"> </w:t>
          </w:r>
          <w:r>
            <w:rPr>
              <w:sz w:val="28"/>
              <w:szCs w:val="28"/>
            </w:rPr>
            <w:t>评审标准</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4</w:t>
          </w:r>
        </w:p>
        <w:p w14:paraId="1CB6345E">
          <w:pPr>
            <w:pStyle w:val="76"/>
            <w:tabs>
              <w:tab w:val="right" w:leader="dot" w:pos="8307"/>
            </w:tabs>
            <w:spacing w:line="480" w:lineRule="auto"/>
            <w:rPr>
              <w:rFonts w:hint="eastAsia" w:eastAsia="宋体"/>
              <w:sz w:val="28"/>
              <w:szCs w:val="28"/>
              <w:lang w:val="en-US" w:eastAsia="zh-CN"/>
            </w:rPr>
          </w:pPr>
          <w:r>
            <w:rPr>
              <w:sz w:val="28"/>
              <w:szCs w:val="28"/>
            </w:rPr>
            <w:fldChar w:fldCharType="begin"/>
          </w:r>
          <w:r>
            <w:rPr>
              <w:sz w:val="28"/>
              <w:szCs w:val="28"/>
            </w:rPr>
            <w:instrText xml:space="preserve"> HYPERLINK \l _Toc5148 </w:instrText>
          </w:r>
          <w:r>
            <w:rPr>
              <w:sz w:val="28"/>
              <w:szCs w:val="28"/>
            </w:rPr>
            <w:fldChar w:fldCharType="separate"/>
          </w:r>
          <w:r>
            <w:rPr>
              <w:rFonts w:hint="eastAsia"/>
              <w:sz w:val="28"/>
              <w:szCs w:val="28"/>
            </w:rPr>
            <w:t>第四章</w:t>
          </w:r>
          <w:r>
            <w:rPr>
              <w:rFonts w:hint="eastAsia"/>
              <w:sz w:val="28"/>
              <w:szCs w:val="28"/>
              <w:lang w:val="en-US" w:eastAsia="zh-CN"/>
            </w:rPr>
            <w:t xml:space="preserve"> </w:t>
          </w:r>
          <w:r>
            <w:rPr>
              <w:rFonts w:hint="eastAsia"/>
              <w:sz w:val="28"/>
              <w:szCs w:val="28"/>
            </w:rPr>
            <w:t>合同条款及合同文件格式</w:t>
          </w:r>
          <w:r>
            <w:rPr>
              <w:sz w:val="28"/>
              <w:szCs w:val="28"/>
            </w:rPr>
            <w:tab/>
          </w:r>
          <w:r>
            <w:rPr>
              <w:rFonts w:hint="eastAsia"/>
              <w:sz w:val="28"/>
              <w:szCs w:val="28"/>
              <w:lang w:val="en-US" w:eastAsia="zh-CN"/>
            </w:rPr>
            <w:t>3</w:t>
          </w:r>
          <w:r>
            <w:rPr>
              <w:sz w:val="28"/>
              <w:szCs w:val="28"/>
            </w:rPr>
            <w:fldChar w:fldCharType="end"/>
          </w:r>
          <w:r>
            <w:rPr>
              <w:rFonts w:hint="eastAsia"/>
              <w:sz w:val="28"/>
              <w:szCs w:val="28"/>
              <w:lang w:val="en-US" w:eastAsia="zh-CN"/>
            </w:rPr>
            <w:t>4</w:t>
          </w:r>
        </w:p>
        <w:p w14:paraId="45E2A4FC">
          <w:pPr>
            <w:pStyle w:val="76"/>
            <w:tabs>
              <w:tab w:val="right" w:leader="dot" w:pos="8307"/>
            </w:tabs>
            <w:spacing w:line="480" w:lineRule="auto"/>
            <w:rPr>
              <w:rFonts w:hint="eastAsia"/>
              <w:sz w:val="28"/>
              <w:szCs w:val="28"/>
              <w:lang w:val="en-US" w:eastAsia="zh-CN"/>
            </w:rPr>
          </w:pPr>
          <w:r>
            <w:rPr>
              <w:rFonts w:hint="eastAsia"/>
              <w:sz w:val="28"/>
              <w:szCs w:val="28"/>
              <w:lang w:val="en-US" w:eastAsia="zh-CN"/>
            </w:rPr>
            <w:t>第</w:t>
          </w:r>
          <w:r>
            <w:rPr>
              <w:sz w:val="28"/>
              <w:szCs w:val="28"/>
            </w:rPr>
            <w:fldChar w:fldCharType="begin"/>
          </w:r>
          <w:r>
            <w:rPr>
              <w:sz w:val="28"/>
              <w:szCs w:val="28"/>
            </w:rPr>
            <w:instrText xml:space="preserve"> HYPERLINK \l _Toc8091 </w:instrText>
          </w:r>
          <w:r>
            <w:rPr>
              <w:sz w:val="28"/>
              <w:szCs w:val="28"/>
            </w:rPr>
            <w:fldChar w:fldCharType="separate"/>
          </w:r>
          <w:r>
            <w:rPr>
              <w:sz w:val="28"/>
              <w:szCs w:val="28"/>
            </w:rPr>
            <w:t>五章</w:t>
          </w:r>
          <w:r>
            <w:rPr>
              <w:rFonts w:hint="eastAsia"/>
              <w:sz w:val="28"/>
              <w:szCs w:val="28"/>
              <w:lang w:val="en-US" w:eastAsia="zh-CN"/>
            </w:rPr>
            <w:t xml:space="preserve"> </w:t>
          </w:r>
          <w:r>
            <w:rPr>
              <w:sz w:val="28"/>
              <w:szCs w:val="28"/>
            </w:rPr>
            <w:t>工程量清单</w:t>
          </w:r>
          <w:r>
            <w:rPr>
              <w:sz w:val="28"/>
              <w:szCs w:val="28"/>
            </w:rPr>
            <w:tab/>
          </w:r>
          <w:r>
            <w:rPr>
              <w:rFonts w:hint="eastAsia"/>
              <w:sz w:val="28"/>
              <w:szCs w:val="28"/>
              <w:lang w:val="en-US" w:eastAsia="zh-CN"/>
            </w:rPr>
            <w:t>5</w:t>
          </w:r>
          <w:r>
            <w:rPr>
              <w:sz w:val="28"/>
              <w:szCs w:val="28"/>
            </w:rPr>
            <w:fldChar w:fldCharType="end"/>
          </w:r>
          <w:r>
            <w:rPr>
              <w:rFonts w:hint="eastAsia"/>
              <w:sz w:val="28"/>
              <w:szCs w:val="28"/>
              <w:lang w:val="en-US" w:eastAsia="zh-CN"/>
            </w:rPr>
            <w:t>2</w:t>
          </w:r>
        </w:p>
        <w:p w14:paraId="3EF1AF70">
          <w:pPr>
            <w:pStyle w:val="76"/>
            <w:tabs>
              <w:tab w:val="right" w:leader="dot" w:pos="8307"/>
            </w:tabs>
            <w:spacing w:line="480" w:lineRule="auto"/>
            <w:rPr>
              <w:rFonts w:hint="default"/>
              <w:sz w:val="28"/>
              <w:szCs w:val="28"/>
              <w:lang w:val="en-US" w:eastAsia="zh-CN"/>
            </w:rPr>
          </w:pPr>
          <w:r>
            <w:rPr>
              <w:rFonts w:hint="eastAsia"/>
              <w:sz w:val="28"/>
              <w:szCs w:val="28"/>
              <w:lang w:val="en-US" w:eastAsia="zh-CN"/>
            </w:rPr>
            <w:t>第六章  技术标准和要求......................................................................53</w:t>
          </w:r>
        </w:p>
        <w:p w14:paraId="38753E5B">
          <w:pPr>
            <w:pStyle w:val="76"/>
            <w:tabs>
              <w:tab w:val="right" w:leader="dot" w:pos="8307"/>
            </w:tabs>
            <w:spacing w:line="480" w:lineRule="auto"/>
            <w:rPr>
              <w:rFonts w:hint="eastAsia" w:eastAsia="宋体"/>
              <w:sz w:val="32"/>
              <w:szCs w:val="32"/>
              <w:lang w:val="en-US" w:eastAsia="zh-CN"/>
            </w:rPr>
          </w:pPr>
          <w:r>
            <w:rPr>
              <w:sz w:val="28"/>
              <w:szCs w:val="28"/>
            </w:rPr>
            <w:fldChar w:fldCharType="begin"/>
          </w:r>
          <w:r>
            <w:rPr>
              <w:sz w:val="28"/>
              <w:szCs w:val="28"/>
            </w:rPr>
            <w:instrText xml:space="preserve"> HYPERLINK \l _Toc22296 </w:instrText>
          </w:r>
          <w:r>
            <w:rPr>
              <w:sz w:val="28"/>
              <w:szCs w:val="28"/>
            </w:rPr>
            <w:fldChar w:fldCharType="separate"/>
          </w:r>
          <w:r>
            <w:rPr>
              <w:rFonts w:hint="eastAsia"/>
              <w:sz w:val="28"/>
              <w:szCs w:val="28"/>
              <w:lang w:val="en-US" w:eastAsia="zh-CN"/>
            </w:rPr>
            <w:t xml:space="preserve">第七章 </w:t>
          </w:r>
          <w:r>
            <w:rPr>
              <w:sz w:val="28"/>
              <w:szCs w:val="28"/>
            </w:rPr>
            <w:fldChar w:fldCharType="end"/>
          </w:r>
          <w:r>
            <w:rPr>
              <w:sz w:val="28"/>
              <w:szCs w:val="28"/>
            </w:rPr>
            <w:fldChar w:fldCharType="begin"/>
          </w:r>
          <w:r>
            <w:rPr>
              <w:sz w:val="28"/>
              <w:szCs w:val="28"/>
            </w:rPr>
            <w:instrText xml:space="preserve"> HYPERLINK \l _Toc11809 </w:instrText>
          </w:r>
          <w:r>
            <w:rPr>
              <w:sz w:val="28"/>
              <w:szCs w:val="28"/>
            </w:rPr>
            <w:fldChar w:fldCharType="separate"/>
          </w:r>
          <w:r>
            <w:rPr>
              <w:rFonts w:hint="eastAsia"/>
              <w:sz w:val="28"/>
              <w:szCs w:val="28"/>
              <w:lang w:val="en-US" w:eastAsia="zh-CN"/>
            </w:rPr>
            <w:t xml:space="preserve"> </w:t>
          </w:r>
          <w:r>
            <w:rPr>
              <w:sz w:val="28"/>
              <w:szCs w:val="28"/>
            </w:rPr>
            <w:t>响应文件格式</w:t>
          </w:r>
          <w:r>
            <w:rPr>
              <w:sz w:val="28"/>
              <w:szCs w:val="28"/>
            </w:rPr>
            <w:tab/>
          </w:r>
          <w:r>
            <w:rPr>
              <w:rFonts w:hint="eastAsia"/>
              <w:sz w:val="28"/>
              <w:szCs w:val="28"/>
              <w:lang w:val="en-US" w:eastAsia="zh-CN"/>
            </w:rPr>
            <w:t>5</w:t>
          </w:r>
          <w:r>
            <w:rPr>
              <w:sz w:val="28"/>
              <w:szCs w:val="28"/>
            </w:rPr>
            <w:fldChar w:fldCharType="end"/>
          </w:r>
          <w:r>
            <w:rPr>
              <w:rFonts w:hint="eastAsia"/>
              <w:sz w:val="28"/>
              <w:szCs w:val="28"/>
              <w:lang w:val="en-US" w:eastAsia="zh-CN"/>
            </w:rPr>
            <w:t>4</w:t>
          </w:r>
        </w:p>
        <w:p w14:paraId="075BFEAF">
          <w:pPr>
            <w:pStyle w:val="76"/>
            <w:tabs>
              <w:tab w:val="right" w:leader="dot" w:pos="8307"/>
            </w:tabs>
            <w:spacing w:line="480" w:lineRule="auto"/>
            <w:rPr>
              <w:sz w:val="32"/>
              <w:szCs w:val="32"/>
            </w:rPr>
          </w:pPr>
        </w:p>
        <w:p w14:paraId="6146BA49">
          <w:pPr>
            <w:spacing w:line="480" w:lineRule="auto"/>
          </w:pPr>
          <w:r>
            <w:rPr>
              <w:sz w:val="32"/>
              <w:szCs w:val="32"/>
            </w:rPr>
            <w:fldChar w:fldCharType="end"/>
          </w:r>
        </w:p>
      </w:sdtContent>
    </w:sdt>
    <w:p w14:paraId="67FC3747"/>
    <w:p w14:paraId="2A51688F">
      <w:pPr>
        <w:pStyle w:val="4"/>
        <w:bidi w:val="0"/>
        <w:rPr>
          <w:rFonts w:hint="eastAsia"/>
        </w:rPr>
        <w:sectPr>
          <w:footerReference r:id="rId5" w:type="default"/>
          <w:pgSz w:w="11907" w:h="16839"/>
          <w:pgMar w:top="1440" w:right="1800" w:bottom="1440" w:left="1800" w:header="0" w:footer="991" w:gutter="0"/>
          <w:pgNumType w:fmt="decimal" w:start="1"/>
          <w:cols w:space="720" w:num="1"/>
        </w:sectPr>
      </w:pPr>
      <w:bookmarkStart w:id="3" w:name="_Toc12157"/>
    </w:p>
    <w:p w14:paraId="1C1C8D86">
      <w:pPr>
        <w:pStyle w:val="4"/>
        <w:bidi w:val="0"/>
      </w:pPr>
      <w:r>
        <w:rPr>
          <w:rFonts w:hint="eastAsia"/>
        </w:rPr>
        <w:t>第一章</w:t>
      </w:r>
      <w:r>
        <w:rPr>
          <w:rFonts w:hint="eastAsia"/>
          <w:lang w:val="en-US" w:eastAsia="zh-CN"/>
        </w:rPr>
        <w:t xml:space="preserve"> </w:t>
      </w:r>
      <w:r>
        <w:rPr>
          <w:rFonts w:hint="eastAsia"/>
        </w:rPr>
        <w:t>竞争性磋商公告</w:t>
      </w:r>
      <w:bookmarkEnd w:id="1"/>
      <w:bookmarkEnd w:id="2"/>
      <w:bookmarkEnd w:id="3"/>
    </w:p>
    <w:p w14:paraId="3889078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项目概况</w:t>
      </w:r>
    </w:p>
    <w:p w14:paraId="6A8FDF4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湖滨区委党校老校区餐厅及配套瓦房拆建项目</w:t>
      </w:r>
      <w:r>
        <w:rPr>
          <w:rFonts w:hint="eastAsia" w:ascii="宋体" w:hAnsi="宋体" w:eastAsia="宋体" w:cs="宋体"/>
          <w:color w:val="000000" w:themeColor="text1"/>
          <w:sz w:val="24"/>
          <w:szCs w:val="24"/>
          <w14:textFill>
            <w14:solidFill>
              <w14:schemeClr w14:val="tx1"/>
            </w14:solidFill>
          </w14:textFill>
        </w:rPr>
        <w:t>的潜在投标人应在三门峡市公共</w:t>
      </w:r>
      <w:r>
        <w:rPr>
          <w:rFonts w:hint="eastAsia" w:ascii="宋体" w:hAnsi="宋体" w:eastAsia="宋体" w:cs="宋体"/>
          <w:color w:val="000000" w:themeColor="text1"/>
          <w:sz w:val="24"/>
          <w:szCs w:val="24"/>
          <w:highlight w:val="none"/>
          <w14:textFill>
            <w14:solidFill>
              <w14:schemeClr w14:val="tx1"/>
            </w14:solidFill>
          </w14:textFill>
        </w:rPr>
        <w:t>资源交易中心网获取磋商文件，并于</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24</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分（北京时间）</w:t>
      </w:r>
      <w:r>
        <w:rPr>
          <w:rFonts w:hint="eastAsia" w:ascii="宋体" w:hAnsi="宋体" w:eastAsia="宋体" w:cs="宋体"/>
          <w:color w:val="000000" w:themeColor="text1"/>
          <w:sz w:val="24"/>
          <w:szCs w:val="24"/>
          <w:highlight w:val="none"/>
          <w14:textFill>
            <w14:solidFill>
              <w14:schemeClr w14:val="tx1"/>
            </w14:solidFill>
          </w14:textFill>
        </w:rPr>
        <w:t>前递交响应文件。</w:t>
      </w:r>
    </w:p>
    <w:p w14:paraId="7402B66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一、项目基本情况</w:t>
      </w:r>
    </w:p>
    <w:p w14:paraId="1FDB8210">
      <w:pPr>
        <w:pStyle w:val="25"/>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1.项目编号:湖滨竞磋-2026-7、SGZ[2026]072-ZC043</w:t>
      </w:r>
    </w:p>
    <w:p w14:paraId="0A5DF4F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湖滨区委党校老校区餐厅及配套瓦房拆建项目</w:t>
      </w:r>
    </w:p>
    <w:p w14:paraId="13A19E4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3.采购方式：竞争性磋商</w:t>
      </w:r>
    </w:p>
    <w:p w14:paraId="555EB68B">
      <w:pPr>
        <w:keepNext w:val="0"/>
        <w:keepLines w:val="0"/>
        <w:pageBreakBefore w:val="0"/>
        <w:kinsoku/>
        <w:wordWrap/>
        <w:overflowPunct/>
        <w:topLinePunct w:val="0"/>
        <w:autoSpaceDN/>
        <w:bidi w:val="0"/>
        <w:adjustRightInd/>
        <w:snapToGrid/>
        <w:spacing w:before="0" w:beforeLines="50" w:after="0" w:afterLines="50" w:line="360" w:lineRule="auto"/>
        <w:ind w:firstLine="720" w:firstLineChars="3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4.预算金额：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1530272.28元</w:t>
      </w:r>
    </w:p>
    <w:p w14:paraId="5F6C2317">
      <w:pPr>
        <w:keepNext w:val="0"/>
        <w:keepLines w:val="0"/>
        <w:pageBreakBefore w:val="0"/>
        <w:kinsoku/>
        <w:wordWrap/>
        <w:overflowPunct/>
        <w:topLinePunct w:val="0"/>
        <w:autoSpaceDN/>
        <w:bidi w:val="0"/>
        <w:adjustRightInd/>
        <w:snapToGrid/>
        <w:spacing w:before="0" w:beforeLines="50" w:after="0" w:afterLines="50" w:line="360" w:lineRule="auto"/>
        <w:ind w:firstLine="720" w:firstLineChars="3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最高限价：</w:t>
      </w:r>
      <w:r>
        <w:rPr>
          <w:rFonts w:hint="eastAsia" w:ascii="宋体" w:hAnsi="宋体" w:eastAsia="宋体" w:cs="宋体"/>
          <w:color w:val="000000" w:themeColor="text1"/>
          <w:sz w:val="24"/>
          <w:szCs w:val="24"/>
          <w:highlight w:val="none"/>
          <w:lang w:val="en-US" w:eastAsia="zh-CN"/>
          <w14:textFill>
            <w14:solidFill>
              <w14:schemeClr w14:val="tx1"/>
            </w14:solidFill>
          </w14:textFill>
        </w:rPr>
        <w:t>1530272.28元</w:t>
      </w:r>
    </w:p>
    <w:tbl>
      <w:tblPr>
        <w:tblStyle w:val="27"/>
        <w:tblW w:w="9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068"/>
        <w:gridCol w:w="2511"/>
        <w:gridCol w:w="1578"/>
        <w:gridCol w:w="1689"/>
        <w:gridCol w:w="1454"/>
      </w:tblGrid>
      <w:tr w14:paraId="5CF6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644" w:type="dxa"/>
            <w:vAlign w:val="center"/>
          </w:tcPr>
          <w:p w14:paraId="5339BE71">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2068" w:type="dxa"/>
            <w:vAlign w:val="center"/>
          </w:tcPr>
          <w:p w14:paraId="5674D533">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511" w:type="dxa"/>
            <w:vAlign w:val="center"/>
          </w:tcPr>
          <w:p w14:paraId="5B224B5B">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578" w:type="dxa"/>
            <w:vAlign w:val="center"/>
          </w:tcPr>
          <w:p w14:paraId="0AC12240">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689" w:type="dxa"/>
            <w:vAlign w:val="center"/>
          </w:tcPr>
          <w:p w14:paraId="15042C88">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54" w:type="dxa"/>
            <w:vAlign w:val="top"/>
          </w:tcPr>
          <w:p w14:paraId="5122055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D8E34A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r>
      <w:tr w14:paraId="574A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644" w:type="dxa"/>
            <w:vAlign w:val="center"/>
          </w:tcPr>
          <w:p w14:paraId="1848248A">
            <w:pPr>
              <w:keepNext w:val="0"/>
              <w:keepLines w:val="0"/>
              <w:pageBreakBefore w:val="0"/>
              <w:widowControl/>
              <w:kinsoku/>
              <w:wordWrap/>
              <w:overflowPunct/>
              <w:topLinePunct w:val="0"/>
              <w:autoSpaceDN/>
              <w:bidi w:val="0"/>
              <w:adjustRightInd/>
              <w:snapToGrid/>
              <w:spacing w:before="0" w:beforeLines="50" w:after="0" w:afterLines="50" w:line="360" w:lineRule="auto"/>
              <w:ind w:firstLine="120" w:firstLineChars="5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2068" w:type="dxa"/>
            <w:vAlign w:val="center"/>
          </w:tcPr>
          <w:p w14:paraId="34026B3C">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湖滨竞磋-2026-7</w:t>
            </w:r>
          </w:p>
        </w:tc>
        <w:tc>
          <w:tcPr>
            <w:tcW w:w="2511" w:type="dxa"/>
            <w:vAlign w:val="center"/>
          </w:tcPr>
          <w:p w14:paraId="7B597A71">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湖滨区委党校老校区餐厅及配套瓦房拆建项目</w:t>
            </w:r>
          </w:p>
        </w:tc>
        <w:tc>
          <w:tcPr>
            <w:tcW w:w="1578" w:type="dxa"/>
            <w:vAlign w:val="center"/>
          </w:tcPr>
          <w:p w14:paraId="4C0DF011">
            <w:pPr>
              <w:keepNext w:val="0"/>
              <w:keepLines w:val="0"/>
              <w:pageBreakBefore w:val="0"/>
              <w:widowControl/>
              <w:kinsoku/>
              <w:wordWrap/>
              <w:overflowPunct/>
              <w:topLinePunct w:val="0"/>
              <w:autoSpaceDN/>
              <w:bidi w:val="0"/>
              <w:adjustRightInd/>
              <w:snapToGrid/>
              <w:spacing w:before="0" w:beforeLines="50" w:after="0" w:afterLines="50" w:line="360" w:lineRule="auto"/>
              <w:jc w:val="both"/>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1530272.28</w:t>
            </w:r>
          </w:p>
        </w:tc>
        <w:tc>
          <w:tcPr>
            <w:tcW w:w="1689" w:type="dxa"/>
            <w:vAlign w:val="center"/>
          </w:tcPr>
          <w:p w14:paraId="5E63637B">
            <w:pPr>
              <w:keepNext w:val="0"/>
              <w:keepLines w:val="0"/>
              <w:pageBreakBefore w:val="0"/>
              <w:widowControl/>
              <w:kinsoku/>
              <w:wordWrap/>
              <w:overflowPunct/>
              <w:topLinePunct w:val="0"/>
              <w:autoSpaceDN/>
              <w:bidi w:val="0"/>
              <w:adjustRightInd/>
              <w:snapToGrid/>
              <w:spacing w:before="0" w:beforeLines="50" w:after="0" w:afterLines="50" w:line="360" w:lineRule="auto"/>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1530272.28</w:t>
            </w:r>
          </w:p>
        </w:tc>
        <w:tc>
          <w:tcPr>
            <w:tcW w:w="1454" w:type="dxa"/>
            <w:vAlign w:val="center"/>
          </w:tcPr>
          <w:p w14:paraId="3F6EE957">
            <w:pPr>
              <w:widowControl/>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否</w:t>
            </w:r>
          </w:p>
        </w:tc>
      </w:tr>
    </w:tbl>
    <w:p w14:paraId="2C0B72E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5、采购需求（包括但不限于标的的名称、数量、简要技术需求或服务要求等）</w:t>
      </w:r>
    </w:p>
    <w:p w14:paraId="1CF980D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5.1</w:t>
      </w:r>
      <w:r>
        <w:rPr>
          <w:rFonts w:hint="eastAsia" w:ascii="宋体" w:hAnsi="宋体" w:eastAsia="宋体" w:cs="宋体"/>
          <w:color w:val="000000" w:themeColor="text1"/>
          <w:sz w:val="24"/>
          <w:szCs w:val="24"/>
          <w:lang w:val="en-US" w:eastAsia="zh-CN"/>
          <w14:textFill>
            <w14:solidFill>
              <w14:schemeClr w14:val="tx1"/>
            </w14:solidFill>
          </w14:textFill>
        </w:rPr>
        <w:t>工程概况</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本工程为</w:t>
      </w:r>
      <w:r>
        <w:rPr>
          <w:rFonts w:hint="eastAsia" w:ascii="宋体" w:hAnsi="宋体" w:eastAsia="宋体" w:cs="宋体"/>
          <w:color w:val="000000" w:themeColor="text1"/>
          <w:sz w:val="24"/>
          <w:szCs w:val="24"/>
          <w:lang w:eastAsia="zh-CN"/>
          <w14:textFill>
            <w14:solidFill>
              <w14:schemeClr w14:val="tx1"/>
            </w14:solidFill>
          </w14:textFill>
        </w:rPr>
        <w:t>湖滨区委党校老校区餐厅及配套瓦房拆建项目，</w:t>
      </w:r>
      <w:r>
        <w:rPr>
          <w:rFonts w:hint="eastAsia" w:ascii="宋体" w:hAnsi="宋体" w:eastAsia="宋体" w:cs="宋体"/>
          <w:color w:val="000000" w:themeColor="text1"/>
          <w:sz w:val="24"/>
          <w:szCs w:val="24"/>
          <w:lang w:val="en-US" w:eastAsia="zh-CN"/>
          <w14:textFill>
            <w14:solidFill>
              <w14:schemeClr w14:val="tx1"/>
            </w14:solidFill>
          </w14:textFill>
        </w:rPr>
        <w:t>工作内容包括：湖滨区委党校老校区原有餐厅及瓦房危房拆除重建，其中新建一层钢结构餐厅，建筑面积约485㎡，新建一层钢结构配套房，建筑面积约211㎡，</w:t>
      </w: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r>
        <w:rPr>
          <w:rFonts w:hint="eastAsia" w:ascii="宋体" w:hAnsi="宋体" w:eastAsia="宋体" w:cs="宋体"/>
          <w:color w:val="000000" w:themeColor="text1"/>
          <w:sz w:val="24"/>
          <w:szCs w:val="24"/>
          <w14:textFill>
            <w14:solidFill>
              <w14:schemeClr w14:val="tx1"/>
            </w14:solidFill>
          </w14:textFill>
        </w:rPr>
        <w:t>。</w:t>
      </w:r>
    </w:p>
    <w:p w14:paraId="531392A8">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w:t>
      </w:r>
      <w:r>
        <w:rPr>
          <w:rFonts w:hint="eastAsia" w:ascii="宋体" w:hAnsi="宋体" w:eastAsia="宋体" w:cs="宋体"/>
          <w:color w:val="000000" w:themeColor="text1"/>
          <w:sz w:val="24"/>
          <w:szCs w:val="24"/>
          <w:lang w:val="en-US" w:eastAsia="zh-CN"/>
          <w14:textFill>
            <w14:solidFill>
              <w14:schemeClr w14:val="tx1"/>
            </w14:solidFill>
          </w14:textFill>
        </w:rPr>
        <w:t>磋商范围：竞争性磋商文件、工程量清单及图纸所包含的全部内容。</w:t>
      </w:r>
    </w:p>
    <w:p w14:paraId="6EE29A5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5.3</w:t>
      </w:r>
      <w:r>
        <w:rPr>
          <w:rFonts w:hint="eastAsia" w:ascii="宋体" w:hAnsi="宋体" w:eastAsia="宋体" w:cs="宋体"/>
          <w:color w:val="000000" w:themeColor="text1"/>
          <w:sz w:val="24"/>
          <w:szCs w:val="24"/>
          <w:highlight w:val="none"/>
          <w:lang w:val="en-US" w:eastAsia="zh-CN"/>
          <w14:textFill>
            <w14:solidFill>
              <w14:schemeClr w14:val="tx1"/>
            </w14:solidFill>
          </w14:textFill>
        </w:rPr>
        <w:t>计划工期</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120日历天</w:t>
      </w:r>
      <w:r>
        <w:rPr>
          <w:rFonts w:hint="eastAsia" w:ascii="宋体" w:hAnsi="宋体" w:eastAsia="宋体" w:cs="宋体"/>
          <w:sz w:val="24"/>
          <w:szCs w:val="24"/>
          <w:highlight w:val="none"/>
          <w:lang w:eastAsia="zh-CN"/>
        </w:rPr>
        <w:t>。</w:t>
      </w:r>
    </w:p>
    <w:p w14:paraId="632FB37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5.4</w:t>
      </w:r>
      <w:r>
        <w:rPr>
          <w:rFonts w:hint="eastAsia" w:ascii="宋体" w:hAnsi="宋体" w:eastAsia="宋体" w:cs="宋体"/>
          <w:color w:val="000000" w:themeColor="text1"/>
          <w:sz w:val="24"/>
          <w:szCs w:val="24"/>
          <w:highlight w:val="none"/>
          <w:lang w:eastAsia="zh-CN"/>
          <w14:textFill>
            <w14:solidFill>
              <w14:schemeClr w14:val="tx1"/>
            </w14:solidFill>
          </w14:textFill>
        </w:rPr>
        <w:t>质量</w:t>
      </w:r>
      <w:r>
        <w:rPr>
          <w:rFonts w:hint="eastAsia" w:ascii="宋体" w:hAnsi="宋体" w:eastAsia="宋体" w:cs="宋体"/>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34B3035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5.5建设地点：</w:t>
      </w:r>
      <w:r>
        <w:rPr>
          <w:rFonts w:hint="eastAsia" w:ascii="宋体" w:hAnsi="宋体" w:eastAsia="宋体" w:cs="宋体"/>
          <w:color w:val="000000" w:themeColor="text1"/>
          <w:sz w:val="24"/>
          <w:szCs w:val="24"/>
          <w:lang w:val="en-US" w:eastAsia="zh-CN"/>
          <w14:textFill>
            <w14:solidFill>
              <w14:schemeClr w14:val="tx1"/>
            </w14:solidFill>
          </w14:textFill>
        </w:rPr>
        <w:t>湖滨区委党校老校区</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77F803B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5.6资金来源：财政资金，已落实。</w:t>
      </w:r>
    </w:p>
    <w:p w14:paraId="6D00595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5.7标段划分：本项目不划分标段。</w:t>
      </w:r>
    </w:p>
    <w:p w14:paraId="441BBD0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6、合同履行期限：按合同约定执行。</w:t>
      </w:r>
    </w:p>
    <w:p w14:paraId="4D6B996F">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7、本项目是否接受联合体投标：否</w:t>
      </w:r>
      <w:r>
        <w:rPr>
          <w:rFonts w:hint="eastAsia" w:ascii="宋体" w:hAnsi="宋体" w:eastAsia="宋体" w:cs="宋体"/>
          <w:color w:val="000000" w:themeColor="text1"/>
          <w:sz w:val="24"/>
          <w:szCs w:val="24"/>
          <w:lang w:eastAsia="zh-CN"/>
          <w14:textFill>
            <w14:solidFill>
              <w14:schemeClr w14:val="tx1"/>
            </w14:solidFill>
          </w14:textFill>
        </w:rPr>
        <w:t>。</w:t>
      </w:r>
    </w:p>
    <w:p w14:paraId="6F16CD5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8、是否接受进口产品：否</w:t>
      </w:r>
      <w:r>
        <w:rPr>
          <w:rFonts w:hint="eastAsia" w:ascii="宋体" w:hAnsi="宋体" w:eastAsia="宋体" w:cs="宋体"/>
          <w:color w:val="000000" w:themeColor="text1"/>
          <w:sz w:val="24"/>
          <w:szCs w:val="24"/>
          <w:lang w:eastAsia="zh-CN"/>
          <w14:textFill>
            <w14:solidFill>
              <w14:schemeClr w14:val="tx1"/>
            </w14:solidFill>
          </w14:textFill>
        </w:rPr>
        <w:t>。</w:t>
      </w:r>
    </w:p>
    <w:p w14:paraId="6914C29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9、是否为只面向中小企业采购：</w:t>
      </w:r>
      <w:r>
        <w:rPr>
          <w:rFonts w:hint="eastAsia" w:ascii="宋体" w:hAnsi="宋体" w:eastAsia="宋体" w:cs="宋体"/>
          <w:color w:val="000000" w:themeColor="text1"/>
          <w:sz w:val="24"/>
          <w:szCs w:val="24"/>
          <w:lang w:val="en-US" w:eastAsia="zh-CN"/>
          <w14:textFill>
            <w14:solidFill>
              <w14:schemeClr w14:val="tx1"/>
            </w14:solidFill>
          </w14:textFill>
        </w:rPr>
        <w:t>否。</w:t>
      </w:r>
    </w:p>
    <w:p w14:paraId="3A764A5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资格要求</w:t>
      </w:r>
    </w:p>
    <w:p w14:paraId="0F1E3B7D">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22E9FDB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w:t>
      </w:r>
      <w:r>
        <w:rPr>
          <w:rFonts w:hint="eastAsia" w:ascii="宋体" w:hAnsi="宋体" w:eastAsia="宋体" w:cs="宋体"/>
          <w:color w:val="000000" w:themeColor="text1"/>
          <w:sz w:val="24"/>
          <w:szCs w:val="24"/>
          <w:lang w:eastAsia="zh-CN"/>
          <w14:textFill>
            <w14:solidFill>
              <w14:schemeClr w14:val="tx1"/>
            </w14:solidFill>
          </w14:textFill>
        </w:rPr>
        <w:t>本项目执行促进中小型企业发展政策（监狱企业、残疾人福利性企业视同小微企业）</w:t>
      </w:r>
      <w:r>
        <w:rPr>
          <w:rFonts w:hint="eastAsia" w:ascii="宋体" w:hAnsi="宋体" w:eastAsia="宋体" w:cs="宋体"/>
          <w:color w:val="000000" w:themeColor="text1"/>
          <w:sz w:val="24"/>
          <w:szCs w:val="24"/>
          <w14:textFill>
            <w14:solidFill>
              <w14:schemeClr w14:val="tx1"/>
            </w14:solidFill>
          </w14:textFill>
        </w:rPr>
        <w:t>；</w:t>
      </w:r>
    </w:p>
    <w:p w14:paraId="40A1165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2105483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3.1.供应商须具备独立法人资格，具有有效的营业执照；</w:t>
      </w:r>
    </w:p>
    <w:p w14:paraId="592B3AC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3.2.供应商须具有</w:t>
      </w:r>
      <w:r>
        <w:rPr>
          <w:rFonts w:hint="eastAsia" w:ascii="宋体" w:hAnsi="宋体" w:eastAsia="宋体" w:cs="宋体"/>
          <w:color w:val="000000" w:themeColor="text1"/>
          <w:sz w:val="24"/>
          <w:szCs w:val="24"/>
          <w:lang w:eastAsia="zh-CN"/>
          <w14:textFill>
            <w14:solidFill>
              <w14:schemeClr w14:val="tx1"/>
            </w14:solidFill>
          </w14:textFill>
        </w:rPr>
        <w:t>建筑工程施工总承包叁级（含叁级）及以上资质</w:t>
      </w:r>
      <w:r>
        <w:rPr>
          <w:rFonts w:hint="eastAsia" w:ascii="宋体" w:hAnsi="宋体" w:eastAsia="宋体" w:cs="宋体"/>
          <w:color w:val="000000" w:themeColor="text1"/>
          <w:sz w:val="24"/>
          <w:szCs w:val="24"/>
          <w14:textFill>
            <w14:solidFill>
              <w14:schemeClr w14:val="tx1"/>
            </w14:solidFill>
          </w14:textFill>
        </w:rPr>
        <w:t>，具有有效的安全生产许可证，并在人员、设备、资金等方面具有相应的施工能力；</w:t>
      </w:r>
    </w:p>
    <w:p w14:paraId="7849B73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拟派项目经理应具备</w:t>
      </w:r>
      <w:r>
        <w:rPr>
          <w:rFonts w:hint="eastAsia" w:ascii="宋体" w:hAnsi="宋体" w:eastAsia="宋体" w:cs="宋体"/>
          <w:color w:val="000000" w:themeColor="text1"/>
          <w:sz w:val="24"/>
          <w:szCs w:val="24"/>
          <w:lang w:eastAsia="zh-CN"/>
          <w14:textFill>
            <w14:solidFill>
              <w14:schemeClr w14:val="tx1"/>
            </w14:solidFill>
          </w14:textFill>
        </w:rPr>
        <w:t>建筑工程</w:t>
      </w:r>
      <w:r>
        <w:rPr>
          <w:rFonts w:hint="eastAsia" w:ascii="宋体" w:hAnsi="宋体" w:eastAsia="宋体" w:cs="宋体"/>
          <w:color w:val="000000" w:themeColor="text1"/>
          <w:sz w:val="24"/>
          <w:szCs w:val="24"/>
          <w14:textFill>
            <w14:solidFill>
              <w14:schemeClr w14:val="tx1"/>
            </w14:solidFill>
          </w14:textFill>
        </w:rPr>
        <w:t>专业贰级（含贰级）及以上注册建造师资格、具备有效的安全生产考核合格证书，未在其它在建工程项目中担任项目经理；</w:t>
      </w:r>
      <w:r>
        <w:rPr>
          <w:rFonts w:hint="eastAsia" w:ascii="宋体" w:hAnsi="宋体" w:eastAsia="宋体" w:cs="宋体"/>
          <w:color w:val="000000" w:themeColor="text1"/>
          <w:sz w:val="24"/>
          <w:szCs w:val="24"/>
          <w:lang w:eastAsia="zh-CN"/>
          <w14:textFill>
            <w14:solidFill>
              <w14:schemeClr w14:val="tx1"/>
            </w14:solidFill>
          </w14:textFill>
        </w:rPr>
        <w:t>且须提供近期单位社保证明</w:t>
      </w:r>
      <w:r>
        <w:rPr>
          <w:rFonts w:hint="eastAsia" w:ascii="宋体" w:hAnsi="宋体" w:eastAsia="宋体" w:cs="宋体"/>
          <w:color w:val="000000" w:themeColor="text1"/>
          <w:sz w:val="24"/>
          <w:szCs w:val="24"/>
          <w14:textFill>
            <w14:solidFill>
              <w14:schemeClr w14:val="tx1"/>
            </w14:solidFill>
          </w14:textFill>
        </w:rPr>
        <w:t>（以社保网络查询或社保中心出具的证明为准，新成立企业从成立之日起计算）；</w:t>
      </w:r>
    </w:p>
    <w:p w14:paraId="24E75B31">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7F7C275D">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提供供应商企业、法定代表人无行贿犯罪记录，在中国裁判文书网查询（提供网页查询截图）或供应商自行承诺，（查询日期必须在公告发布之日之后）；</w:t>
      </w:r>
    </w:p>
    <w:p w14:paraId="3073C518">
      <w:pPr>
        <w:wordWrap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14:paraId="4C927240">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5CD0309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w:t>
      </w:r>
      <w:r>
        <w:rPr>
          <w:rFonts w:ascii="宋体" w:hAnsi="宋体" w:eastAsia="宋体" w:cs="仿宋_GB2312"/>
          <w:kern w:val="0"/>
          <w:sz w:val="24"/>
          <w:szCs w:val="24"/>
        </w:rPr>
        <w:t>本项目实行资格后审</w:t>
      </w:r>
      <w:r>
        <w:rPr>
          <w:rFonts w:hint="eastAsia" w:ascii="宋体" w:hAnsi="宋体" w:eastAsia="宋体" w:cs="仿宋_GB2312"/>
          <w:kern w:val="0"/>
          <w:sz w:val="24"/>
          <w:szCs w:val="24"/>
          <w:lang w:eastAsia="zh-CN"/>
        </w:rPr>
        <w:t>。</w:t>
      </w:r>
    </w:p>
    <w:p w14:paraId="44C7DF7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三、获取采购文件</w:t>
      </w:r>
    </w:p>
    <w:p w14:paraId="0CCA763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eastAsia="宋体" w:cs="宋体"/>
          <w:color w:val="000000" w:themeColor="text1"/>
          <w:sz w:val="24"/>
          <w:szCs w:val="24"/>
          <w:highlight w:val="none"/>
          <w14:textFill>
            <w14:solidFill>
              <w14:schemeClr w14:val="tx1"/>
            </w14:solidFill>
          </w14:textFill>
        </w:rPr>
        <w:t>日至202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23</w:t>
      </w:r>
      <w:r>
        <w:rPr>
          <w:rFonts w:hint="eastAsia" w:ascii="宋体" w:hAnsi="宋体" w:eastAsia="宋体" w:cs="宋体"/>
          <w:color w:val="000000" w:themeColor="text1"/>
          <w:sz w:val="24"/>
          <w:szCs w:val="24"/>
          <w:highlight w:val="none"/>
          <w14:textFill>
            <w14:solidFill>
              <w14:schemeClr w14:val="tx1"/>
            </w14:solidFill>
          </w14:textFill>
        </w:rPr>
        <w:t>日，每天上午00:00至12:00，下午12:00至23:59（北京时间）</w:t>
      </w:r>
    </w:p>
    <w:p w14:paraId="7E34012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2.地点：三门峡市公共资源交易中心网</w:t>
      </w:r>
    </w:p>
    <w:p w14:paraId="37A5D4C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式：本项目没有报名环节，投标人凭CA数字证书通过（网址：http://gzjy.smx.gov.cn/），点击交易平台选择“市场主体登录”，登陆系统后，点击采购业务-业务管理-竞争性磋商文件领取菜单-点击领取按钮-领取.smxzf格式的电子竞争性磋商文件。</w:t>
      </w:r>
    </w:p>
    <w:p w14:paraId="0F5F0A9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三门峡市公共资源交易平台操作手册：</w:t>
      </w:r>
    </w:p>
    <w:p w14:paraId="1B952B3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http://gzjy.smx.gov.cn/fwzn/004003/20200325/2b5a3a5a-f987-405c-993f-88f43e1d1ac3.html</w:t>
      </w:r>
    </w:p>
    <w:p w14:paraId="5B9E8A9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Hans"/>
          <w14:textFill>
            <w14:solidFill>
              <w14:schemeClr w14:val="tx1"/>
            </w14:solidFill>
          </w14:textFill>
        </w:rPr>
        <w:t>办理CA证书</w:t>
      </w:r>
      <w:r>
        <w:rPr>
          <w:rFonts w:hint="eastAsia" w:ascii="宋体" w:hAnsi="宋体" w:eastAsia="宋体" w:cs="宋体"/>
          <w:color w:val="000000" w:themeColor="text1"/>
          <w:sz w:val="24"/>
          <w:szCs w:val="24"/>
          <w14:textFill>
            <w14:solidFill>
              <w14:schemeClr w14:val="tx1"/>
            </w14:solidFill>
          </w14:textFill>
        </w:rPr>
        <w:t>：</w:t>
      </w:r>
    </w:p>
    <w:p w14:paraId="0B8412F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none"/>
          <w14:textFill>
            <w14:solidFill>
              <w14:schemeClr w14:val="tx1"/>
            </w14:solidFill>
          </w14:textFill>
        </w:rPr>
        <w:t>http://gzjy.smx.gov.cn/bzzx/008001/20231102/4defc9b5-408e-47f2-9e9f-1f376a06ee1f.html</w:t>
      </w:r>
    </w:p>
    <w:p w14:paraId="711B1AA2">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售价：根据《关于进一步加强公共资源交易管理持续优化营商环境的通知》（三公管办〔2020〕2号）文件的要求，文件费用不再收取。</w:t>
      </w:r>
    </w:p>
    <w:p w14:paraId="0F11F655">
      <w:pPr>
        <w:keepNext w:val="0"/>
        <w:keepLines w:val="0"/>
        <w:pageBreakBefore w:val="0"/>
        <w:numPr>
          <w:ilvl w:val="0"/>
          <w:numId w:val="0"/>
        </w:numPr>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四、响应文件提交</w:t>
      </w:r>
    </w:p>
    <w:p w14:paraId="1E9D6A4B">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4CE2FDEA">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2.地点：加密电子竞争性磋商响应文件须在磋商截止时间前通过三门峡市公共资源交易中心电子交易平台加密上传。</w:t>
      </w:r>
    </w:p>
    <w:p w14:paraId="0B60AD1E">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五、响应文件开启</w:t>
      </w:r>
    </w:p>
    <w:p w14:paraId="38A687B4">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1.时间：202</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时</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分（北京时间）</w:t>
      </w:r>
    </w:p>
    <w:p w14:paraId="71CA635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2.地点：</w:t>
      </w:r>
      <w:r>
        <w:rPr>
          <w:rFonts w:hint="eastAsia" w:ascii="宋体" w:hAnsi="宋体" w:eastAsia="宋体" w:cs="宋体"/>
          <w:color w:val="000000" w:themeColor="text1"/>
          <w:sz w:val="24"/>
          <w:szCs w:val="24"/>
          <w:lang w:eastAsia="zh-CN"/>
          <w14:textFill>
            <w14:solidFill>
              <w14:schemeClr w14:val="tx1"/>
            </w14:solidFill>
          </w14:textFill>
        </w:rPr>
        <w:t>三门峡市公共资源交易中心五楼</w:t>
      </w:r>
      <w:r>
        <w:rPr>
          <w:rFonts w:hint="eastAsia" w:ascii="宋体" w:hAnsi="宋体" w:eastAsia="宋体" w:cs="宋体"/>
          <w:color w:val="000000" w:themeColor="text1"/>
          <w:sz w:val="24"/>
          <w:szCs w:val="24"/>
          <w14:textFill>
            <w14:solidFill>
              <w14:schemeClr w14:val="tx1"/>
            </w14:solidFill>
          </w14:textFill>
        </w:rPr>
        <w:t>开标</w:t>
      </w:r>
      <w:r>
        <w:rPr>
          <w:rFonts w:hint="eastAsia" w:ascii="宋体" w:hAnsi="宋体" w:eastAsia="宋体" w:cs="宋体"/>
          <w:color w:val="000000" w:themeColor="text1"/>
          <w:sz w:val="24"/>
          <w:szCs w:val="24"/>
          <w:lang w:val="en-US" w:eastAsia="zh-CN"/>
          <w14:textFill>
            <w14:solidFill>
              <w14:schemeClr w14:val="tx1"/>
            </w14:solidFill>
          </w14:textFill>
        </w:rPr>
        <w:t>区。</w:t>
      </w:r>
    </w:p>
    <w:p w14:paraId="7FE05B8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六、发布公告的媒介及公告期限</w:t>
      </w:r>
    </w:p>
    <w:p w14:paraId="3A266FA6">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本次公告在《河南省政府采购网》、</w:t>
      </w:r>
      <w:r>
        <w:rPr>
          <w:rFonts w:hint="eastAsia" w:ascii="宋体" w:hAnsi="宋体" w:eastAsia="宋体" w:cs="宋体"/>
          <w:color w:val="000000" w:themeColor="text1"/>
          <w:sz w:val="24"/>
          <w:szCs w:val="24"/>
          <w:lang w:eastAsia="zh-CN"/>
          <w14:textFill>
            <w14:solidFill>
              <w14:schemeClr w14:val="tx1"/>
            </w14:solidFill>
          </w14:textFill>
        </w:rPr>
        <w:t>《中国采购与招标网》</w:t>
      </w:r>
      <w:r>
        <w:rPr>
          <w:rFonts w:hint="eastAsia" w:ascii="宋体" w:hAnsi="宋体" w:eastAsia="宋体" w:cs="宋体"/>
          <w:color w:val="000000" w:themeColor="text1"/>
          <w:sz w:val="24"/>
          <w:szCs w:val="24"/>
          <w14:textFill>
            <w14:solidFill>
              <w14:schemeClr w14:val="tx1"/>
            </w14:solidFill>
          </w14:textFill>
        </w:rPr>
        <w:t>、《三门峡市公共资源交易中心网》上发布。</w:t>
      </w:r>
    </w:p>
    <w:p w14:paraId="5518F0A2">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七、其他补充事宜</w:t>
      </w:r>
    </w:p>
    <w:p w14:paraId="35075E73">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在线准时参加开标活动并进行磋商响应文件解密等。每位投标人的解密时间为开标时间起30分钟内完成。因投标人原因未能解密、解密失败或解密超时的将被拒绝。</w:t>
      </w:r>
    </w:p>
    <w:p w14:paraId="44BCB46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2.本项目为电子化、无纸化交易项目，开标时不再接受任何纸质资料，为保证您能投标成功，请需仔细阅读竞争性磋商文件和三门峡市公共资源交易中心官网业务办理指南。</w:t>
      </w:r>
    </w:p>
    <w:p w14:paraId="10114D2C">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3.根据《河南省财政厅关于优化政府采购营商环境有关问题的通知》（豫财购【2019】4号）第6条的规定，磋商保证金不再收取。</w:t>
      </w:r>
    </w:p>
    <w:p w14:paraId="1EF5C4C8">
      <w:pPr>
        <w:keepNext w:val="0"/>
        <w:keepLines w:val="0"/>
        <w:pageBreakBefore w:val="0"/>
        <w:widowControl/>
        <w:kinsoku/>
        <w:wordWrap/>
        <w:overflowPunct/>
        <w:topLinePunct w:val="0"/>
        <w:autoSpaceDE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r>
        <w:rPr>
          <w:rFonts w:ascii="宋体" w:hAnsi="宋体" w:eastAsia="宋体" w:cs="仿宋_GB2312"/>
          <w:kern w:val="0"/>
          <w:sz w:val="24"/>
          <w:szCs w:val="24"/>
        </w:rPr>
        <w:t>本项目实行资格后审，审查内容以</w:t>
      </w:r>
      <w:r>
        <w:rPr>
          <w:rFonts w:hint="eastAsia" w:ascii="宋体" w:hAnsi="宋体" w:eastAsia="宋体" w:cs="仿宋_GB2312"/>
          <w:kern w:val="0"/>
          <w:sz w:val="24"/>
          <w:szCs w:val="24"/>
          <w:lang w:val="en-US" w:eastAsia="zh-CN"/>
        </w:rPr>
        <w:t>磋商</w:t>
      </w:r>
      <w:r>
        <w:rPr>
          <w:rFonts w:ascii="宋体" w:hAnsi="宋体" w:eastAsia="宋体" w:cs="仿宋_GB2312"/>
          <w:kern w:val="0"/>
          <w:sz w:val="24"/>
          <w:szCs w:val="24"/>
        </w:rPr>
        <w:t>截止时间前在三门峡市公共资源交易平台“</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文件”上传的信息为准。规定时间外上传或更改的信息不作为评标依据。</w:t>
      </w:r>
      <w:r>
        <w:rPr>
          <w:rFonts w:hint="eastAsia" w:ascii="宋体" w:hAnsi="宋体" w:eastAsia="宋体" w:cs="仿宋_GB2312"/>
          <w:kern w:val="0"/>
          <w:sz w:val="24"/>
          <w:szCs w:val="24"/>
          <w:lang w:val="en-US" w:eastAsia="zh-CN"/>
        </w:rPr>
        <w:t>响应</w:t>
      </w:r>
      <w:r>
        <w:rPr>
          <w:rFonts w:ascii="宋体" w:hAnsi="宋体" w:eastAsia="宋体" w:cs="仿宋_GB2312"/>
          <w:kern w:val="0"/>
          <w:sz w:val="24"/>
          <w:szCs w:val="24"/>
        </w:rPr>
        <w:t>文件中上传的信息真实有效，扫描件清晰可辨。否则，由此造成应得分而未得分或资格审查不合格等情况的，由</w:t>
      </w:r>
      <w:r>
        <w:rPr>
          <w:rFonts w:hint="eastAsia" w:ascii="宋体" w:hAnsi="宋体" w:eastAsia="宋体" w:cs="仿宋_GB2312"/>
          <w:kern w:val="0"/>
          <w:sz w:val="24"/>
          <w:szCs w:val="24"/>
          <w:lang w:val="en-US" w:eastAsia="zh-CN"/>
        </w:rPr>
        <w:t>供应商</w:t>
      </w:r>
      <w:r>
        <w:rPr>
          <w:rFonts w:ascii="宋体" w:hAnsi="宋体" w:eastAsia="宋体" w:cs="仿宋_GB2312"/>
          <w:kern w:val="0"/>
          <w:sz w:val="24"/>
          <w:szCs w:val="24"/>
        </w:rPr>
        <w:t>承担责任</w:t>
      </w:r>
      <w:r>
        <w:rPr>
          <w:rFonts w:hint="eastAsia" w:ascii="宋体" w:hAnsi="宋体" w:eastAsia="宋体" w:cs="仿宋_GB2312"/>
          <w:kern w:val="0"/>
          <w:sz w:val="24"/>
          <w:szCs w:val="24"/>
          <w:lang w:eastAsia="zh-CN"/>
        </w:rPr>
        <w:t>。</w:t>
      </w:r>
      <w:r>
        <w:rPr>
          <w:rFonts w:hint="eastAsia" w:ascii="宋体" w:hAnsi="宋体" w:eastAsia="宋体" w:cs="仿宋_GB2312"/>
          <w:b w:val="0"/>
          <w:bCs w:val="0"/>
          <w:kern w:val="0"/>
          <w:sz w:val="24"/>
          <w:szCs w:val="24"/>
          <w:lang w:val="en-US" w:eastAsia="zh-CN"/>
        </w:rPr>
        <w:t>注：供应商应在开标前自行善主体库信息</w:t>
      </w:r>
    </w:p>
    <w:p w14:paraId="48876F45">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6CC0657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5F2F15C7">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八、凡对本次招标提出询问，请按照以下方式联系</w:t>
      </w:r>
    </w:p>
    <w:p w14:paraId="6A4FC33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highlight w:val="none"/>
          <w:lang w:val="en-US" w:eastAsia="zh-CN" w:bidi="ar-SA"/>
        </w:rPr>
      </w:pPr>
      <w:bookmarkStart w:id="4" w:name="_Toc26450"/>
      <w:r>
        <w:rPr>
          <w:rFonts w:hint="eastAsia" w:ascii="宋体" w:hAnsi="宋体" w:eastAsia="宋体" w:cs="宋体"/>
          <w:color w:val="000000"/>
          <w:kern w:val="0"/>
          <w:sz w:val="24"/>
          <w:szCs w:val="24"/>
          <w:highlight w:val="none"/>
          <w:lang w:val="en-US" w:eastAsia="zh-CN" w:bidi="ar-SA"/>
        </w:rPr>
        <w:t>1.</w:t>
      </w:r>
      <w:bookmarkStart w:id="5" w:name="_Toc9531"/>
      <w:r>
        <w:rPr>
          <w:rFonts w:hint="eastAsia" w:ascii="宋体" w:hAnsi="宋体" w:eastAsia="宋体" w:cs="宋体"/>
          <w:color w:val="000000"/>
          <w:kern w:val="0"/>
          <w:sz w:val="24"/>
          <w:szCs w:val="24"/>
          <w:highlight w:val="none"/>
          <w:lang w:val="en-US" w:eastAsia="zh-CN" w:bidi="ar-SA"/>
        </w:rPr>
        <w:t>监督单位：三门峡市湖滨区政府采购管理办公室</w:t>
      </w:r>
      <w:bookmarkEnd w:id="5"/>
    </w:p>
    <w:p w14:paraId="6CE6DE1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outlineLvl w:val="2"/>
        <w:rPr>
          <w:rFonts w:hint="eastAsia" w:ascii="宋体" w:hAnsi="宋体" w:eastAsia="宋体" w:cs="宋体"/>
          <w:color w:val="000000"/>
          <w:kern w:val="0"/>
          <w:sz w:val="24"/>
          <w:szCs w:val="24"/>
          <w:highlight w:val="none"/>
          <w:lang w:val="en-US" w:eastAsia="zh-CN" w:bidi="ar-SA"/>
        </w:rPr>
      </w:pPr>
      <w:bookmarkStart w:id="6" w:name="_Toc23972"/>
      <w:r>
        <w:rPr>
          <w:rFonts w:hint="eastAsia" w:ascii="宋体" w:hAnsi="宋体" w:eastAsia="宋体" w:cs="宋体"/>
          <w:color w:val="000000"/>
          <w:kern w:val="0"/>
          <w:sz w:val="24"/>
          <w:szCs w:val="24"/>
          <w:highlight w:val="none"/>
          <w:lang w:val="en-US" w:eastAsia="zh-CN" w:bidi="ar-SA"/>
        </w:rPr>
        <w:t>联系方式：0398-2957328</w:t>
      </w:r>
      <w:bookmarkEnd w:id="6"/>
    </w:p>
    <w:p w14:paraId="64E04202">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2.采购人：</w:t>
      </w:r>
      <w:bookmarkEnd w:id="4"/>
      <w:r>
        <w:rPr>
          <w:rFonts w:hint="eastAsia" w:ascii="宋体" w:hAnsi="宋体" w:eastAsia="宋体" w:cs="宋体"/>
          <w:color w:val="000000"/>
          <w:kern w:val="0"/>
          <w:sz w:val="24"/>
          <w:szCs w:val="24"/>
          <w:lang w:val="en-US" w:eastAsia="zh-CN" w:bidi="ar-SA"/>
        </w:rPr>
        <w:t xml:space="preserve"> 三门峡市湖滨区机关事务中心 </w:t>
      </w:r>
    </w:p>
    <w:p w14:paraId="5F6F3700">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址：三门峡市六峰路与河堤北路交叉口湖滨区人民政府113室</w:t>
      </w:r>
    </w:p>
    <w:p w14:paraId="5C8BD43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联系人：李先生 </w:t>
      </w:r>
    </w:p>
    <w:p w14:paraId="05BBD7CE">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联系方式：18639805561</w:t>
      </w:r>
    </w:p>
    <w:p w14:paraId="76E64DEC">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color w:val="auto"/>
          <w:sz w:val="24"/>
          <w:szCs w:val="24"/>
          <w:lang w:eastAsia="zh-CN"/>
        </w:rPr>
      </w:pPr>
      <w:bookmarkStart w:id="7" w:name="_Toc28591"/>
      <w:r>
        <w:rPr>
          <w:rFonts w:hint="eastAsia" w:ascii="宋体" w:hAnsi="宋体" w:eastAsia="宋体" w:cs="宋体"/>
          <w:color w:val="000000"/>
          <w:kern w:val="0"/>
          <w:sz w:val="24"/>
          <w:szCs w:val="24"/>
          <w:lang w:val="en-US" w:eastAsia="zh-CN" w:bidi="ar-SA"/>
        </w:rPr>
        <w:t>3.</w:t>
      </w:r>
      <w:bookmarkEnd w:id="7"/>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河南知信合工程咨询有限公司</w:t>
      </w:r>
    </w:p>
    <w:p w14:paraId="738F05DD">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地址：河南省三门峡市湖滨区涧河街道河堤北路昌宏伟业大厦407室</w:t>
      </w:r>
    </w:p>
    <w:p w14:paraId="4C27E019">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刘女士</w:t>
      </w:r>
    </w:p>
    <w:p w14:paraId="52EDF459">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SA"/>
        </w:rPr>
        <w:t>联系方式：</w:t>
      </w:r>
      <w:r>
        <w:rPr>
          <w:rFonts w:hint="eastAsia" w:ascii="宋体" w:hAnsi="宋体" w:eastAsia="宋体" w:cs="宋体"/>
          <w:color w:val="auto"/>
          <w:sz w:val="24"/>
          <w:szCs w:val="24"/>
          <w:lang w:val="en-US" w:eastAsia="zh-CN"/>
        </w:rPr>
        <w:t>18939088206</w:t>
      </w:r>
    </w:p>
    <w:p w14:paraId="3D56EA81">
      <w:pPr>
        <w:keepNext w:val="0"/>
        <w:keepLines w:val="0"/>
        <w:pageBreakBefore w:val="0"/>
        <w:kinsoku/>
        <w:wordWrap/>
        <w:overflowPunct/>
        <w:topLinePunct w:val="0"/>
        <w:autoSpaceDE/>
        <w:autoSpaceDN/>
        <w:bidi w:val="0"/>
        <w:adjustRightInd/>
        <w:snapToGrid/>
        <w:spacing w:line="360" w:lineRule="auto"/>
        <w:ind w:firstLine="424" w:firstLineChars="177"/>
        <w:textAlignment w:val="auto"/>
        <w:rPr>
          <w:rFonts w:hint="eastAsia" w:ascii="宋体" w:hAnsi="宋体" w:eastAsia="宋体" w:cs="宋体"/>
          <w:color w:val="auto"/>
          <w:sz w:val="24"/>
          <w:szCs w:val="24"/>
          <w:lang w:val="en-US" w:eastAsia="zh-CN"/>
        </w:rPr>
      </w:pPr>
    </w:p>
    <w:p w14:paraId="3D07F685">
      <w:pPr>
        <w:keepNext w:val="0"/>
        <w:keepLines w:val="0"/>
        <w:pageBreakBefore w:val="0"/>
        <w:kinsoku/>
        <w:wordWrap/>
        <w:overflowPunct/>
        <w:topLinePunct w:val="0"/>
        <w:autoSpaceDN/>
        <w:bidi w:val="0"/>
        <w:adjustRightInd/>
        <w:snapToGrid/>
        <w:spacing w:before="0" w:beforeLines="50" w:after="0" w:afterLines="50"/>
        <w:ind w:firstLine="480" w:firstLineChars="200"/>
        <w:textAlignment w:val="auto"/>
        <w:rPr>
          <w:rFonts w:hint="eastAsia" w:ascii="宋体" w:hAnsi="宋体" w:eastAsia="宋体" w:cs="宋体"/>
          <w:color w:val="000000"/>
          <w:kern w:val="0"/>
          <w:sz w:val="24"/>
          <w:szCs w:val="24"/>
          <w:lang w:val="en-US" w:eastAsia="zh-CN" w:bidi="ar-SA"/>
        </w:rPr>
        <w:sectPr>
          <w:footerReference r:id="rId6" w:type="default"/>
          <w:pgSz w:w="11907" w:h="16839"/>
          <w:pgMar w:top="1440" w:right="1800" w:bottom="1440" w:left="1800" w:header="0" w:footer="991" w:gutter="0"/>
          <w:pgNumType w:fmt="decimal" w:start="1"/>
          <w:cols w:space="720" w:num="1"/>
        </w:sectPr>
      </w:pPr>
    </w:p>
    <w:p w14:paraId="7CB5FE54">
      <w:pPr>
        <w:pStyle w:val="4"/>
        <w:numPr>
          <w:ilvl w:val="0"/>
          <w:numId w:val="1"/>
        </w:numPr>
        <w:bidi w:val="0"/>
        <w:ind w:firstLine="643" w:firstLineChars="200"/>
      </w:pPr>
      <w:bookmarkStart w:id="8" w:name="_Toc3728"/>
      <w:r>
        <w:rPr>
          <w:rFonts w:hint="eastAsia"/>
        </w:rPr>
        <w:t>供应商须知</w:t>
      </w:r>
      <w:bookmarkEnd w:id="8"/>
    </w:p>
    <w:p w14:paraId="7FE79869">
      <w:pPr>
        <w:ind w:firstLine="562" w:firstLineChars="200"/>
        <w:jc w:val="center"/>
        <w:rPr>
          <w:rFonts w:hint="default" w:eastAsiaTheme="minorEastAsia"/>
          <w:b/>
          <w:bCs/>
          <w:sz w:val="28"/>
          <w:szCs w:val="32"/>
          <w:lang w:val="en-US" w:eastAsia="zh-CN"/>
        </w:rPr>
      </w:pPr>
      <w:r>
        <w:rPr>
          <w:rFonts w:hint="eastAsia"/>
          <w:b/>
          <w:bCs/>
          <w:sz w:val="28"/>
          <w:szCs w:val="32"/>
          <w:lang w:val="en-US" w:eastAsia="zh-CN"/>
        </w:rPr>
        <w:t>供应商须知前附表</w:t>
      </w:r>
    </w:p>
    <w:tbl>
      <w:tblPr>
        <w:tblStyle w:val="28"/>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870"/>
        <w:gridCol w:w="6075"/>
      </w:tblGrid>
      <w:tr w14:paraId="4DED3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07609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序号</w:t>
            </w:r>
          </w:p>
        </w:tc>
        <w:tc>
          <w:tcPr>
            <w:tcW w:w="1870" w:type="dxa"/>
            <w:vAlign w:val="center"/>
          </w:tcPr>
          <w:p w14:paraId="02FFAF9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条款名称</w:t>
            </w:r>
          </w:p>
        </w:tc>
        <w:tc>
          <w:tcPr>
            <w:tcW w:w="6075" w:type="dxa"/>
            <w:vAlign w:val="center"/>
          </w:tcPr>
          <w:p w14:paraId="3857FA32">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编列内容</w:t>
            </w:r>
          </w:p>
        </w:tc>
      </w:tr>
      <w:tr w14:paraId="236D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BFD9B1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w:t>
            </w:r>
          </w:p>
        </w:tc>
        <w:tc>
          <w:tcPr>
            <w:tcW w:w="1870" w:type="dxa"/>
            <w:vAlign w:val="center"/>
          </w:tcPr>
          <w:p w14:paraId="37F5AC31">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采购人</w:t>
            </w:r>
          </w:p>
        </w:tc>
        <w:tc>
          <w:tcPr>
            <w:tcW w:w="6075" w:type="dxa"/>
            <w:vAlign w:val="center"/>
          </w:tcPr>
          <w:p w14:paraId="6372FF95">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采购人： 三门峡市湖滨区机关事务中心 </w:t>
            </w:r>
          </w:p>
          <w:p w14:paraId="089DCD73">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地 址：三门峡市六峰路与河堤北路交叉口湖滨区人民政府113室</w:t>
            </w:r>
          </w:p>
          <w:p w14:paraId="5CFD1A94">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 xml:space="preserve">联系人：李先生 </w:t>
            </w:r>
          </w:p>
          <w:p w14:paraId="21D6C46C">
            <w:pPr>
              <w:keepNext w:val="0"/>
              <w:keepLines w:val="0"/>
              <w:pageBreakBefore w:val="0"/>
              <w:kinsoku/>
              <w:wordWrap/>
              <w:overflowPunct/>
              <w:topLinePunct w:val="0"/>
              <w:autoSpaceDN/>
              <w:bidi w:val="0"/>
              <w:adjustRightInd/>
              <w:snapToGrid/>
              <w:spacing w:before="0" w:beforeLines="50" w:after="0" w:afterLines="50"/>
              <w:textAlignment w:val="auto"/>
              <w:rPr>
                <w:rFonts w:hint="eastAsia" w:asciiTheme="minorEastAsia" w:hAnsiTheme="minorEastAsia" w:eastAsiaTheme="minorEastAsia" w:cstheme="minorEastAsia"/>
                <w:b/>
                <w:bCs/>
                <w:sz w:val="24"/>
                <w:szCs w:val="24"/>
                <w:vertAlign w:val="baseline"/>
              </w:rPr>
            </w:pPr>
            <w:r>
              <w:rPr>
                <w:rFonts w:hint="eastAsia" w:ascii="宋体" w:hAnsi="宋体" w:eastAsia="宋体" w:cs="宋体"/>
                <w:color w:val="000000"/>
                <w:kern w:val="0"/>
                <w:sz w:val="24"/>
                <w:szCs w:val="24"/>
                <w:lang w:val="en-US" w:eastAsia="zh-CN" w:bidi="ar-SA"/>
              </w:rPr>
              <w:t>联系方式：18639805561</w:t>
            </w:r>
          </w:p>
        </w:tc>
      </w:tr>
      <w:tr w14:paraId="4D90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43A7A87">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w:t>
            </w:r>
          </w:p>
        </w:tc>
        <w:tc>
          <w:tcPr>
            <w:tcW w:w="1870" w:type="dxa"/>
            <w:vAlign w:val="center"/>
          </w:tcPr>
          <w:p w14:paraId="21B4F2B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2"/>
                <w:sz w:val="24"/>
                <w:szCs w:val="24"/>
              </w:rPr>
              <w:t>采购代理机构</w:t>
            </w:r>
          </w:p>
        </w:tc>
        <w:tc>
          <w:tcPr>
            <w:tcW w:w="6075" w:type="dxa"/>
            <w:vAlign w:val="center"/>
          </w:tcPr>
          <w:p w14:paraId="7B86FCF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河南知信合工程咨询有限公司</w:t>
            </w:r>
          </w:p>
          <w:p w14:paraId="5BE2F4A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地址：河南省三门峡市湖滨区涧河街道河堤北路昌宏伟业大厦407室</w:t>
            </w:r>
          </w:p>
          <w:p w14:paraId="3A89275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刘女士</w:t>
            </w:r>
          </w:p>
          <w:p w14:paraId="5DB639A0">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宋体" w:hAnsi="宋体" w:eastAsia="宋体" w:cs="宋体"/>
                <w:color w:val="000000"/>
                <w:kern w:val="0"/>
                <w:sz w:val="24"/>
                <w:szCs w:val="24"/>
                <w:lang w:val="en-US" w:eastAsia="zh-CN" w:bidi="ar-SA"/>
              </w:rPr>
              <w:t>联系方式：</w:t>
            </w:r>
            <w:r>
              <w:rPr>
                <w:rFonts w:hint="eastAsia" w:ascii="宋体" w:hAnsi="宋体" w:eastAsia="宋体" w:cs="宋体"/>
                <w:color w:val="auto"/>
                <w:sz w:val="24"/>
                <w:szCs w:val="24"/>
                <w:lang w:val="en-US" w:eastAsia="zh-CN"/>
              </w:rPr>
              <w:t>18939088206</w:t>
            </w:r>
          </w:p>
        </w:tc>
      </w:tr>
      <w:tr w14:paraId="75EF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86022C3">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w:t>
            </w:r>
          </w:p>
        </w:tc>
        <w:tc>
          <w:tcPr>
            <w:tcW w:w="1870" w:type="dxa"/>
            <w:vAlign w:val="center"/>
          </w:tcPr>
          <w:p w14:paraId="6EBCC87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pacing w:val="-3"/>
                <w:sz w:val="24"/>
                <w:szCs w:val="24"/>
              </w:rPr>
              <w:t>项目名称</w:t>
            </w:r>
          </w:p>
        </w:tc>
        <w:tc>
          <w:tcPr>
            <w:tcW w:w="6075" w:type="dxa"/>
            <w:vAlign w:val="center"/>
          </w:tcPr>
          <w:p w14:paraId="46E45F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cstheme="minorEastAsia"/>
                <w:b w:val="0"/>
                <w:bCs w:val="0"/>
                <w:sz w:val="24"/>
                <w:szCs w:val="24"/>
                <w:vertAlign w:val="baseline"/>
                <w:lang w:eastAsia="zh-CN"/>
              </w:rPr>
              <w:t>湖滨区委党校老校区餐厅及配套瓦房拆建项目</w:t>
            </w:r>
          </w:p>
        </w:tc>
      </w:tr>
      <w:tr w14:paraId="0F64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3633B33">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highlight w:val="none"/>
                <w:vertAlign w:val="baseline"/>
                <w:lang w:val="en-US" w:eastAsia="zh-CN"/>
              </w:rPr>
            </w:pPr>
            <w:r>
              <w:rPr>
                <w:rFonts w:hint="eastAsia" w:asciiTheme="minorEastAsia" w:hAnsiTheme="minorEastAsia" w:cstheme="minorEastAsia"/>
                <w:b/>
                <w:bCs/>
                <w:sz w:val="24"/>
                <w:szCs w:val="24"/>
                <w:highlight w:val="none"/>
                <w:vertAlign w:val="baseline"/>
                <w:lang w:val="en-US" w:eastAsia="zh-CN"/>
              </w:rPr>
              <w:t>4</w:t>
            </w:r>
          </w:p>
        </w:tc>
        <w:tc>
          <w:tcPr>
            <w:tcW w:w="1870" w:type="dxa"/>
            <w:vAlign w:val="center"/>
          </w:tcPr>
          <w:p w14:paraId="25D3486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spacing w:val="-3"/>
                <w:sz w:val="24"/>
                <w:szCs w:val="24"/>
                <w:highlight w:val="none"/>
              </w:rPr>
              <w:t>项目编号</w:t>
            </w:r>
          </w:p>
        </w:tc>
        <w:tc>
          <w:tcPr>
            <w:tcW w:w="6075" w:type="dxa"/>
            <w:vAlign w:val="center"/>
          </w:tcPr>
          <w:p w14:paraId="489711C2">
            <w:pPr>
              <w:keepNext w:val="0"/>
              <w:pageBreakBefore w:val="0"/>
              <w:kinsoku/>
              <w:overflowPunct/>
              <w:bidi w:val="0"/>
              <w:spacing w:before="40" w:after="40" w:line="360" w:lineRule="auto"/>
              <w:jc w:val="left"/>
              <w:textAlignment w:val="auto"/>
              <w:rPr>
                <w:rFonts w:hint="eastAsia" w:asciiTheme="minorEastAsia" w:hAnsiTheme="minorEastAsia" w:eastAsiaTheme="minorEastAsia" w:cstheme="minorEastAsia"/>
                <w:b w:val="0"/>
                <w:bCs w:val="0"/>
                <w:sz w:val="24"/>
                <w:szCs w:val="24"/>
                <w:highlight w:val="none"/>
                <w:vertAlign w:val="baseline"/>
                <w:lang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湖滨竞磋-2026-7、SGZ[2026]072-ZC043</w:t>
            </w:r>
          </w:p>
        </w:tc>
      </w:tr>
      <w:tr w14:paraId="506D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25F8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highlight w:val="none"/>
                <w:vertAlign w:val="baseline"/>
                <w:lang w:val="en-US" w:eastAsia="zh-CN"/>
              </w:rPr>
            </w:pPr>
            <w:r>
              <w:rPr>
                <w:rFonts w:hint="eastAsia" w:asciiTheme="minorEastAsia" w:hAnsiTheme="minorEastAsia" w:cstheme="minorEastAsia"/>
                <w:b/>
                <w:bCs/>
                <w:sz w:val="24"/>
                <w:szCs w:val="24"/>
                <w:highlight w:val="none"/>
                <w:vertAlign w:val="baseline"/>
                <w:lang w:val="en-US" w:eastAsia="zh-CN"/>
              </w:rPr>
              <w:t>5</w:t>
            </w:r>
          </w:p>
        </w:tc>
        <w:tc>
          <w:tcPr>
            <w:tcW w:w="1870" w:type="dxa"/>
            <w:vAlign w:val="center"/>
          </w:tcPr>
          <w:p w14:paraId="22DF1F3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highlight w:val="none"/>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工程概况</w:t>
            </w:r>
          </w:p>
        </w:tc>
        <w:tc>
          <w:tcPr>
            <w:tcW w:w="6075" w:type="dxa"/>
            <w:vAlign w:val="center"/>
          </w:tcPr>
          <w:p w14:paraId="224AC4C7">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Theme="minorEastAsia" w:hAnsiTheme="minorEastAsia" w:eastAsiaTheme="minorEastAsia" w:cstheme="minorEastAsia"/>
                <w:b/>
                <w:bCs/>
                <w:sz w:val="24"/>
                <w:szCs w:val="24"/>
                <w:highlight w:val="none"/>
                <w:vertAlign w:val="baseline"/>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本工程为</w:t>
            </w:r>
            <w:r>
              <w:rPr>
                <w:rFonts w:hint="eastAsia" w:ascii="宋体" w:hAnsi="宋体" w:eastAsia="宋体" w:cs="宋体"/>
                <w:color w:val="000000" w:themeColor="text1"/>
                <w:sz w:val="24"/>
                <w:szCs w:val="24"/>
                <w:lang w:eastAsia="zh-CN"/>
                <w14:textFill>
                  <w14:solidFill>
                    <w14:schemeClr w14:val="tx1"/>
                  </w14:solidFill>
                </w14:textFill>
              </w:rPr>
              <w:t>湖滨区委党校老校区餐厅及配套瓦房拆建项目，</w:t>
            </w:r>
            <w:r>
              <w:rPr>
                <w:rFonts w:hint="eastAsia" w:ascii="宋体" w:hAnsi="宋体" w:eastAsia="宋体" w:cs="宋体"/>
                <w:color w:val="000000" w:themeColor="text1"/>
                <w:sz w:val="24"/>
                <w:szCs w:val="24"/>
                <w:lang w:val="en-US" w:eastAsia="zh-CN"/>
                <w14:textFill>
                  <w14:solidFill>
                    <w14:schemeClr w14:val="tx1"/>
                  </w14:solidFill>
                </w14:textFill>
              </w:rPr>
              <w:t>工作内容包括：湖滨区委党校老校区原有餐厅及瓦房危房拆除重建，其中新建一层钢结构餐厅，建筑面积约485㎡，新建一层钢结构配套房，建筑面积约211㎡，</w:t>
            </w:r>
            <w:r>
              <w:rPr>
                <w:rFonts w:hint="eastAsia" w:ascii="宋体" w:hAnsi="宋体" w:eastAsia="宋体" w:cs="宋体"/>
                <w:color w:val="000000" w:themeColor="text1"/>
                <w:sz w:val="24"/>
                <w:szCs w:val="24"/>
                <w14:textFill>
                  <w14:solidFill>
                    <w14:schemeClr w14:val="tx1"/>
                  </w14:solidFill>
                </w14:textFill>
              </w:rPr>
              <w:t>详见</w:t>
            </w:r>
            <w:r>
              <w:rPr>
                <w:rFonts w:hint="eastAsia" w:ascii="宋体" w:hAnsi="宋体" w:eastAsia="宋体" w:cs="宋体"/>
                <w:color w:val="000000" w:themeColor="text1"/>
                <w:sz w:val="24"/>
                <w:szCs w:val="24"/>
                <w:lang w:val="en-US" w:eastAsia="zh-CN"/>
                <w14:textFill>
                  <w14:solidFill>
                    <w14:schemeClr w14:val="tx1"/>
                  </w14:solidFill>
                </w14:textFill>
              </w:rPr>
              <w:t>工程量清单</w:t>
            </w:r>
          </w:p>
        </w:tc>
      </w:tr>
      <w:tr w14:paraId="4AF7A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DDD498A">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p>
        </w:tc>
        <w:tc>
          <w:tcPr>
            <w:tcW w:w="1870" w:type="dxa"/>
            <w:vAlign w:val="center"/>
          </w:tcPr>
          <w:p w14:paraId="28B13EB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磋商范围</w:t>
            </w:r>
          </w:p>
        </w:tc>
        <w:tc>
          <w:tcPr>
            <w:tcW w:w="6075" w:type="dxa"/>
            <w:vAlign w:val="center"/>
          </w:tcPr>
          <w:p w14:paraId="17031E87">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竞争性磋商文件、工程量清单</w:t>
            </w:r>
            <w:r>
              <w:rPr>
                <w:rFonts w:hint="eastAsia" w:asciiTheme="minorEastAsia" w:hAnsiTheme="minorEastAsia" w:cstheme="minorEastAsia"/>
                <w:color w:val="000000" w:themeColor="text1"/>
                <w:sz w:val="24"/>
                <w:szCs w:val="24"/>
                <w:lang w:val="en-US" w:eastAsia="zh-CN"/>
                <w14:textFill>
                  <w14:solidFill>
                    <w14:schemeClr w14:val="tx1"/>
                  </w14:solidFill>
                </w14:textFill>
              </w:rPr>
              <w:t>及图纸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所包含的全部内容。</w:t>
            </w:r>
          </w:p>
        </w:tc>
      </w:tr>
      <w:tr w14:paraId="2B48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0616BF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highlight w:val="none"/>
                <w:vertAlign w:val="baseline"/>
                <w:lang w:val="en-US" w:eastAsia="zh-CN"/>
              </w:rPr>
            </w:pPr>
            <w:r>
              <w:rPr>
                <w:rFonts w:hint="eastAsia" w:asciiTheme="minorEastAsia" w:hAnsiTheme="minorEastAsia" w:cstheme="minorEastAsia"/>
                <w:b/>
                <w:bCs/>
                <w:sz w:val="24"/>
                <w:szCs w:val="24"/>
                <w:highlight w:val="none"/>
                <w:vertAlign w:val="baseline"/>
                <w:lang w:val="en-US" w:eastAsia="zh-CN"/>
              </w:rPr>
              <w:t>6</w:t>
            </w:r>
          </w:p>
        </w:tc>
        <w:tc>
          <w:tcPr>
            <w:tcW w:w="1870" w:type="dxa"/>
            <w:vAlign w:val="center"/>
          </w:tcPr>
          <w:p w14:paraId="44D8AD6B">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spacing w:val="-3"/>
                <w:sz w:val="24"/>
                <w:szCs w:val="24"/>
                <w:highlight w:val="none"/>
              </w:rPr>
              <w:t>预算金额</w:t>
            </w:r>
          </w:p>
        </w:tc>
        <w:tc>
          <w:tcPr>
            <w:tcW w:w="6075" w:type="dxa"/>
            <w:vAlign w:val="center"/>
          </w:tcPr>
          <w:p w14:paraId="24DBAA9B">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预算金额：</w:t>
            </w:r>
            <w:r>
              <w:rPr>
                <w:rFonts w:hint="eastAsia" w:ascii="宋体" w:hAnsi="宋体" w:eastAsia="宋体" w:cs="宋体"/>
                <w:color w:val="000000" w:themeColor="text1"/>
                <w:kern w:val="0"/>
                <w:sz w:val="24"/>
                <w:szCs w:val="24"/>
                <w:lang w:val="en-US" w:eastAsia="zh-CN"/>
                <w14:textFill>
                  <w14:solidFill>
                    <w14:schemeClr w14:val="tx1"/>
                  </w14:solidFill>
                </w14:textFill>
              </w:rPr>
              <w:t>1530272.28</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元</w:t>
            </w:r>
          </w:p>
          <w:p w14:paraId="0DADF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供应商磋商报价超出“预算</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”的，该磋商供应商</w:t>
            </w:r>
            <w:r>
              <w:rPr>
                <w:rFonts w:hint="eastAsia" w:asciiTheme="minorEastAsia" w:hAnsiTheme="minorEastAsia" w:eastAsiaTheme="minorEastAsia" w:cstheme="minorEastAsia"/>
                <w:color w:val="000000" w:themeColor="text1"/>
                <w:spacing w:val="6"/>
                <w:sz w:val="24"/>
                <w:szCs w:val="24"/>
                <w:highlight w:val="none"/>
                <w:lang w:val="en-US" w:eastAsia="zh-CN"/>
                <w14:textFill>
                  <w14:solidFill>
                    <w14:schemeClr w14:val="tx1"/>
                  </w14:solidFill>
                </w14:textFill>
              </w:rPr>
              <w:t>报价</w:t>
            </w:r>
            <w:r>
              <w:rPr>
                <w:rFonts w:hint="eastAsia" w:asciiTheme="minorEastAsia" w:hAnsiTheme="minorEastAsia" w:eastAsiaTheme="minorEastAsia" w:cstheme="minorEastAsia"/>
                <w:color w:val="000000" w:themeColor="text1"/>
                <w:spacing w:val="6"/>
                <w:sz w:val="24"/>
                <w:szCs w:val="24"/>
                <w:highlight w:val="none"/>
                <w14:textFill>
                  <w14:solidFill>
                    <w14:schemeClr w14:val="tx1"/>
                  </w14:solidFill>
                </w14:textFill>
              </w:rPr>
              <w:t>按无效处理。</w:t>
            </w:r>
          </w:p>
        </w:tc>
      </w:tr>
      <w:tr w14:paraId="2DC4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9A0E9F9">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highlight w:val="none"/>
                <w:vertAlign w:val="baseline"/>
                <w:lang w:val="en-US" w:eastAsia="zh-CN"/>
              </w:rPr>
            </w:pPr>
            <w:r>
              <w:rPr>
                <w:rFonts w:hint="eastAsia" w:asciiTheme="minorEastAsia" w:hAnsiTheme="minorEastAsia" w:cstheme="minorEastAsia"/>
                <w:b/>
                <w:bCs/>
                <w:sz w:val="24"/>
                <w:szCs w:val="24"/>
                <w:highlight w:val="none"/>
                <w:vertAlign w:val="baseline"/>
                <w:lang w:val="en-US" w:eastAsia="zh-CN"/>
              </w:rPr>
              <w:t>7</w:t>
            </w:r>
          </w:p>
        </w:tc>
        <w:tc>
          <w:tcPr>
            <w:tcW w:w="1870" w:type="dxa"/>
            <w:vAlign w:val="center"/>
          </w:tcPr>
          <w:p w14:paraId="6E47EE2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计划工期</w:t>
            </w:r>
          </w:p>
        </w:tc>
        <w:tc>
          <w:tcPr>
            <w:tcW w:w="6075" w:type="dxa"/>
            <w:vAlign w:val="center"/>
          </w:tcPr>
          <w:p w14:paraId="7B504E60">
            <w:pPr>
              <w:keepNext w:val="0"/>
              <w:pageBreakBefore w:val="0"/>
              <w:kinsoku/>
              <w:overflowPunct/>
              <w:bidi w:val="0"/>
              <w:spacing w:before="40" w:after="40" w:line="360" w:lineRule="auto"/>
              <w:jc w:val="left"/>
              <w:textAlignment w:val="auto"/>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cstheme="minorEastAsia"/>
                <w:b w:val="0"/>
                <w:bCs w:val="0"/>
                <w:sz w:val="24"/>
                <w:szCs w:val="24"/>
                <w:highlight w:val="none"/>
                <w:vertAlign w:val="baseline"/>
                <w:lang w:val="en-US" w:eastAsia="zh-CN"/>
              </w:rPr>
              <w:t>120</w:t>
            </w:r>
            <w:r>
              <w:rPr>
                <w:rFonts w:hint="eastAsia" w:asciiTheme="minorEastAsia" w:hAnsiTheme="minorEastAsia" w:eastAsiaTheme="minorEastAsia" w:cstheme="minorEastAsia"/>
                <w:b w:val="0"/>
                <w:bCs w:val="0"/>
                <w:sz w:val="24"/>
                <w:szCs w:val="24"/>
                <w:highlight w:val="none"/>
                <w:vertAlign w:val="baseline"/>
                <w:lang w:val="en-US" w:eastAsia="zh-CN"/>
              </w:rPr>
              <w:t>日历天</w:t>
            </w:r>
          </w:p>
        </w:tc>
      </w:tr>
      <w:tr w14:paraId="21E0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03EDEFD">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highlight w:val="none"/>
                <w:vertAlign w:val="baseline"/>
                <w:lang w:val="en-US" w:eastAsia="zh-CN"/>
              </w:rPr>
            </w:pPr>
            <w:r>
              <w:rPr>
                <w:rFonts w:hint="eastAsia" w:asciiTheme="minorEastAsia" w:hAnsiTheme="minorEastAsia" w:cstheme="minorEastAsia"/>
                <w:b/>
                <w:bCs/>
                <w:sz w:val="24"/>
                <w:szCs w:val="24"/>
                <w:highlight w:val="none"/>
                <w:vertAlign w:val="baseline"/>
                <w:lang w:val="en-US" w:eastAsia="zh-CN"/>
              </w:rPr>
              <w:t>8</w:t>
            </w:r>
          </w:p>
        </w:tc>
        <w:tc>
          <w:tcPr>
            <w:tcW w:w="1870" w:type="dxa"/>
            <w:vAlign w:val="center"/>
          </w:tcPr>
          <w:p w14:paraId="2A3CCB8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质量</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要求</w:t>
            </w:r>
          </w:p>
        </w:tc>
        <w:tc>
          <w:tcPr>
            <w:tcW w:w="6075" w:type="dxa"/>
            <w:vAlign w:val="center"/>
          </w:tcPr>
          <w:p w14:paraId="29898D4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b/>
                <w:bCs/>
                <w:sz w:val="24"/>
                <w:szCs w:val="24"/>
                <w:highlight w:val="none"/>
                <w:vertAlign w:val="baseline"/>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达到国家质量验收规范合格标准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r>
      <w:tr w14:paraId="1AFA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8EE4A">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highlight w:val="none"/>
                <w:vertAlign w:val="baseline"/>
                <w:lang w:val="en-US" w:eastAsia="zh-CN"/>
              </w:rPr>
            </w:pPr>
            <w:r>
              <w:rPr>
                <w:rFonts w:hint="eastAsia" w:asciiTheme="minorEastAsia" w:hAnsiTheme="minorEastAsia" w:cstheme="minorEastAsia"/>
                <w:b/>
                <w:bCs/>
                <w:sz w:val="24"/>
                <w:szCs w:val="24"/>
                <w:highlight w:val="none"/>
                <w:vertAlign w:val="baseline"/>
                <w:lang w:val="en-US" w:eastAsia="zh-CN"/>
              </w:rPr>
              <w:t>9</w:t>
            </w:r>
          </w:p>
        </w:tc>
        <w:tc>
          <w:tcPr>
            <w:tcW w:w="1870" w:type="dxa"/>
            <w:vAlign w:val="center"/>
          </w:tcPr>
          <w:p w14:paraId="7C3565B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建设地点</w:t>
            </w:r>
          </w:p>
        </w:tc>
        <w:tc>
          <w:tcPr>
            <w:tcW w:w="6075" w:type="dxa"/>
            <w:vAlign w:val="center"/>
          </w:tcPr>
          <w:p w14:paraId="6CB918B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湖滨区委党校老校区</w:t>
            </w:r>
          </w:p>
        </w:tc>
      </w:tr>
      <w:tr w14:paraId="3405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F08BA10">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10</w:t>
            </w:r>
          </w:p>
        </w:tc>
        <w:tc>
          <w:tcPr>
            <w:tcW w:w="1870" w:type="dxa"/>
            <w:vAlign w:val="center"/>
          </w:tcPr>
          <w:p w14:paraId="378382E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资金来源</w:t>
            </w:r>
          </w:p>
        </w:tc>
        <w:tc>
          <w:tcPr>
            <w:tcW w:w="6075" w:type="dxa"/>
            <w:vAlign w:val="center"/>
          </w:tcPr>
          <w:p w14:paraId="3D43D3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财政资金，已落实。</w:t>
            </w:r>
          </w:p>
        </w:tc>
      </w:tr>
      <w:tr w14:paraId="31E6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7E91701">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11</w:t>
            </w:r>
          </w:p>
        </w:tc>
        <w:tc>
          <w:tcPr>
            <w:tcW w:w="1870" w:type="dxa"/>
            <w:vAlign w:val="center"/>
          </w:tcPr>
          <w:p w14:paraId="4C3632C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标段划分</w:t>
            </w:r>
          </w:p>
        </w:tc>
        <w:tc>
          <w:tcPr>
            <w:tcW w:w="6075" w:type="dxa"/>
            <w:vAlign w:val="center"/>
          </w:tcPr>
          <w:p w14:paraId="25CFA6F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本项目不划分标段。</w:t>
            </w:r>
          </w:p>
        </w:tc>
      </w:tr>
      <w:tr w14:paraId="18A3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470E327">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12</w:t>
            </w:r>
          </w:p>
        </w:tc>
        <w:tc>
          <w:tcPr>
            <w:tcW w:w="1870" w:type="dxa"/>
            <w:vAlign w:val="center"/>
          </w:tcPr>
          <w:p w14:paraId="474BCFF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合同履行期限</w:t>
            </w:r>
          </w:p>
        </w:tc>
        <w:tc>
          <w:tcPr>
            <w:tcW w:w="6075" w:type="dxa"/>
            <w:vAlign w:val="center"/>
          </w:tcPr>
          <w:p w14:paraId="1E8EDC2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spacing w:val="-1"/>
                <w:sz w:val="24"/>
                <w:szCs w:val="24"/>
                <w:highlight w:val="none"/>
                <w:lang w:eastAsia="zh-CN"/>
              </w:rPr>
              <w:t>按合同约定执行。</w:t>
            </w:r>
          </w:p>
        </w:tc>
      </w:tr>
      <w:tr w14:paraId="58CA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4018E7F">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13</w:t>
            </w:r>
          </w:p>
        </w:tc>
        <w:tc>
          <w:tcPr>
            <w:tcW w:w="1870" w:type="dxa"/>
            <w:vAlign w:val="center"/>
          </w:tcPr>
          <w:p w14:paraId="1B135A0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付款办法</w:t>
            </w:r>
          </w:p>
        </w:tc>
        <w:tc>
          <w:tcPr>
            <w:tcW w:w="6075" w:type="dxa"/>
            <w:vAlign w:val="center"/>
          </w:tcPr>
          <w:p w14:paraId="1EA8C7D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签订合同时双方协商</w:t>
            </w:r>
          </w:p>
        </w:tc>
      </w:tr>
      <w:tr w14:paraId="63D3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0ACDBD2">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14</w:t>
            </w:r>
          </w:p>
        </w:tc>
        <w:tc>
          <w:tcPr>
            <w:tcW w:w="1870" w:type="dxa"/>
            <w:vAlign w:val="center"/>
          </w:tcPr>
          <w:p w14:paraId="3ED9093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本项目是否接受联合体投标</w:t>
            </w:r>
          </w:p>
        </w:tc>
        <w:tc>
          <w:tcPr>
            <w:tcW w:w="6075" w:type="dxa"/>
            <w:vAlign w:val="center"/>
          </w:tcPr>
          <w:p w14:paraId="3A7FE8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否</w:t>
            </w:r>
          </w:p>
        </w:tc>
      </w:tr>
      <w:tr w14:paraId="3E0A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854CD22">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15</w:t>
            </w:r>
          </w:p>
        </w:tc>
        <w:tc>
          <w:tcPr>
            <w:tcW w:w="1870" w:type="dxa"/>
            <w:vAlign w:val="center"/>
          </w:tcPr>
          <w:p w14:paraId="27B8665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供应商资格要求</w:t>
            </w:r>
          </w:p>
        </w:tc>
        <w:tc>
          <w:tcPr>
            <w:tcW w:w="6075" w:type="dxa"/>
            <w:vAlign w:val="center"/>
          </w:tcPr>
          <w:p w14:paraId="456B5A92">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1.满足《中华人民共和国政府采购法》第二十二条规定；</w:t>
            </w:r>
          </w:p>
          <w:p w14:paraId="5FA254DB">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2.落实政府采购政策满足的资格要求：</w:t>
            </w:r>
            <w:r>
              <w:rPr>
                <w:rFonts w:hint="eastAsia" w:ascii="宋体" w:hAnsi="宋体" w:eastAsia="宋体" w:cs="宋体"/>
                <w:color w:val="000000" w:themeColor="text1"/>
                <w:sz w:val="24"/>
                <w:szCs w:val="24"/>
                <w:lang w:eastAsia="zh-CN"/>
                <w14:textFill>
                  <w14:solidFill>
                    <w14:schemeClr w14:val="tx1"/>
                  </w14:solidFill>
                </w14:textFill>
              </w:rPr>
              <w:t>本项目执行促进中小型企业发展政策（监狱企业、残疾人福利性企业视同小微企业）</w:t>
            </w:r>
            <w:r>
              <w:rPr>
                <w:rFonts w:hint="eastAsia" w:ascii="宋体" w:hAnsi="宋体" w:eastAsia="宋体" w:cs="宋体"/>
                <w:color w:val="000000" w:themeColor="text1"/>
                <w:sz w:val="24"/>
                <w:szCs w:val="24"/>
                <w14:textFill>
                  <w14:solidFill>
                    <w14:schemeClr w14:val="tx1"/>
                  </w14:solidFill>
                </w14:textFill>
              </w:rPr>
              <w:t>；</w:t>
            </w:r>
          </w:p>
          <w:p w14:paraId="05F8FC7A">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3.本项目的特定资格要求</w:t>
            </w:r>
          </w:p>
          <w:p w14:paraId="1B09247B">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3.1.供应商须具备独立法人资格，具有有效的营业执照；</w:t>
            </w:r>
          </w:p>
          <w:p w14:paraId="0C66FBA9">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3.2.供应商须具有</w:t>
            </w:r>
            <w:r>
              <w:rPr>
                <w:rFonts w:hint="eastAsia" w:ascii="宋体" w:hAnsi="宋体" w:eastAsia="宋体" w:cs="宋体"/>
                <w:color w:val="000000" w:themeColor="text1"/>
                <w:sz w:val="24"/>
                <w:szCs w:val="24"/>
                <w:lang w:eastAsia="zh-CN"/>
                <w14:textFill>
                  <w14:solidFill>
                    <w14:schemeClr w14:val="tx1"/>
                  </w14:solidFill>
                </w14:textFill>
              </w:rPr>
              <w:t>建筑工程施工总承包叁级（含叁级）及以上资质</w:t>
            </w:r>
            <w:r>
              <w:rPr>
                <w:rFonts w:hint="eastAsia" w:ascii="宋体" w:hAnsi="宋体" w:eastAsia="宋体" w:cs="宋体"/>
                <w:color w:val="000000" w:themeColor="text1"/>
                <w:sz w:val="24"/>
                <w:szCs w:val="24"/>
                <w14:textFill>
                  <w14:solidFill>
                    <w14:schemeClr w14:val="tx1"/>
                  </w14:solidFill>
                </w14:textFill>
              </w:rPr>
              <w:t>，具有有效的安全生产许可证，并在人员、设备、资金等方面具有相应的施工能力；</w:t>
            </w:r>
          </w:p>
          <w:p w14:paraId="78ADEBC7">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拟派项目经理应具备</w:t>
            </w:r>
            <w:r>
              <w:rPr>
                <w:rFonts w:hint="eastAsia" w:ascii="宋体" w:hAnsi="宋体" w:eastAsia="宋体" w:cs="宋体"/>
                <w:color w:val="000000" w:themeColor="text1"/>
                <w:sz w:val="24"/>
                <w:szCs w:val="24"/>
                <w:lang w:eastAsia="zh-CN"/>
                <w14:textFill>
                  <w14:solidFill>
                    <w14:schemeClr w14:val="tx1"/>
                  </w14:solidFill>
                </w14:textFill>
              </w:rPr>
              <w:t>建筑工程</w:t>
            </w:r>
            <w:r>
              <w:rPr>
                <w:rFonts w:hint="eastAsia" w:ascii="宋体" w:hAnsi="宋体" w:eastAsia="宋体" w:cs="宋体"/>
                <w:color w:val="000000" w:themeColor="text1"/>
                <w:sz w:val="24"/>
                <w:szCs w:val="24"/>
                <w14:textFill>
                  <w14:solidFill>
                    <w14:schemeClr w14:val="tx1"/>
                  </w14:solidFill>
                </w14:textFill>
              </w:rPr>
              <w:t>专业贰级（含贰级）及以上注册建造师资格、具备有效的安全生产考核合格证书，未在其它在建工程项目中担任项目经理；</w:t>
            </w:r>
            <w:r>
              <w:rPr>
                <w:rFonts w:hint="eastAsia" w:ascii="宋体" w:hAnsi="宋体" w:eastAsia="宋体" w:cs="宋体"/>
                <w:color w:val="000000" w:themeColor="text1"/>
                <w:sz w:val="24"/>
                <w:szCs w:val="24"/>
                <w:lang w:eastAsia="zh-CN"/>
                <w14:textFill>
                  <w14:solidFill>
                    <w14:schemeClr w14:val="tx1"/>
                  </w14:solidFill>
                </w14:textFill>
              </w:rPr>
              <w:t>且须提供近期单位社保证明</w:t>
            </w:r>
            <w:r>
              <w:rPr>
                <w:rFonts w:hint="eastAsia" w:ascii="宋体" w:hAnsi="宋体" w:eastAsia="宋体" w:cs="宋体"/>
                <w:color w:val="000000" w:themeColor="text1"/>
                <w:sz w:val="24"/>
                <w:szCs w:val="24"/>
                <w14:textFill>
                  <w14:solidFill>
                    <w14:schemeClr w14:val="tx1"/>
                  </w14:solidFill>
                </w14:textFill>
              </w:rPr>
              <w:t>（以社保网络查询或社保中心出具的证明为准，新成立企业从成立之日起计算）；</w:t>
            </w:r>
          </w:p>
          <w:p w14:paraId="6C679A2D">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33CB4189">
            <w:pPr>
              <w:wordWrap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提供供应商企业、法定代表人无行贿犯罪记录，在中国裁判文书网查询（提供网页查询截图）或供应商自行承诺，（查询日期必须在公告发布之日之后）；</w:t>
            </w:r>
          </w:p>
          <w:p w14:paraId="19E8BE48">
            <w:pPr>
              <w:wordWrap w:val="0"/>
              <w:spacing w:line="360" w:lineRule="auto"/>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14:paraId="1B705231">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p w14:paraId="3ED5DDAE">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3.8、</w:t>
            </w:r>
            <w:r>
              <w:rPr>
                <w:rFonts w:ascii="宋体" w:hAnsi="宋体" w:eastAsia="宋体" w:cs="仿宋_GB2312"/>
                <w:kern w:val="0"/>
                <w:sz w:val="24"/>
                <w:szCs w:val="24"/>
              </w:rPr>
              <w:t>本项目实行资格后审</w:t>
            </w:r>
            <w:r>
              <w:rPr>
                <w:rFonts w:hint="eastAsia" w:ascii="宋体" w:hAnsi="宋体" w:eastAsia="宋体" w:cs="仿宋_GB2312"/>
                <w:kern w:val="0"/>
                <w:sz w:val="24"/>
                <w:szCs w:val="24"/>
                <w:lang w:eastAsia="zh-CN"/>
              </w:rPr>
              <w:t>。</w:t>
            </w:r>
          </w:p>
        </w:tc>
      </w:tr>
      <w:tr w14:paraId="55340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A96933">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16</w:t>
            </w:r>
          </w:p>
        </w:tc>
        <w:tc>
          <w:tcPr>
            <w:tcW w:w="1870" w:type="dxa"/>
            <w:vAlign w:val="center"/>
          </w:tcPr>
          <w:p w14:paraId="78CC59E0">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报价</w:t>
            </w:r>
          </w:p>
        </w:tc>
        <w:tc>
          <w:tcPr>
            <w:tcW w:w="6075" w:type="dxa"/>
            <w:vAlign w:val="center"/>
          </w:tcPr>
          <w:p w14:paraId="15F51DC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本次磋商应以人民币报价，分两次进行报价。</w:t>
            </w:r>
          </w:p>
        </w:tc>
      </w:tr>
      <w:tr w14:paraId="1148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3A84BF7">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17</w:t>
            </w:r>
          </w:p>
        </w:tc>
        <w:tc>
          <w:tcPr>
            <w:tcW w:w="1870" w:type="dxa"/>
            <w:shd w:val="clear" w:color="auto" w:fill="auto"/>
            <w:vAlign w:val="center"/>
          </w:tcPr>
          <w:p w14:paraId="363B6BE4">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答疑会</w:t>
            </w:r>
          </w:p>
        </w:tc>
        <w:tc>
          <w:tcPr>
            <w:tcW w:w="6075" w:type="dxa"/>
            <w:shd w:val="clear" w:color="auto" w:fill="auto"/>
            <w:vAlign w:val="center"/>
          </w:tcPr>
          <w:p w14:paraId="4C1609C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不召开</w:t>
            </w:r>
          </w:p>
        </w:tc>
      </w:tr>
      <w:tr w14:paraId="7DBF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607E7B9">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18</w:t>
            </w:r>
          </w:p>
        </w:tc>
        <w:tc>
          <w:tcPr>
            <w:tcW w:w="1870" w:type="dxa"/>
            <w:vAlign w:val="center"/>
          </w:tcPr>
          <w:p w14:paraId="4B709E5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踏勘现场</w:t>
            </w:r>
          </w:p>
        </w:tc>
        <w:tc>
          <w:tcPr>
            <w:tcW w:w="6075" w:type="dxa"/>
            <w:vAlign w:val="center"/>
          </w:tcPr>
          <w:p w14:paraId="389CBC6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不组织，供应商自行前往现场踏勘。</w:t>
            </w:r>
          </w:p>
        </w:tc>
      </w:tr>
      <w:tr w14:paraId="2BD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1E85E06">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19</w:t>
            </w:r>
          </w:p>
        </w:tc>
        <w:tc>
          <w:tcPr>
            <w:tcW w:w="1870" w:type="dxa"/>
            <w:vAlign w:val="center"/>
          </w:tcPr>
          <w:p w14:paraId="56E949A7">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磋商保证金</w:t>
            </w:r>
          </w:p>
        </w:tc>
        <w:tc>
          <w:tcPr>
            <w:tcW w:w="6075" w:type="dxa"/>
            <w:vAlign w:val="center"/>
          </w:tcPr>
          <w:p w14:paraId="5C158E9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根据《河南省财政厅关于优化政府采购营商环境有关问题的通知》（豫财购【2019】4号）第6条的规定，磋商保证金不再收取。</w:t>
            </w:r>
          </w:p>
        </w:tc>
      </w:tr>
      <w:tr w14:paraId="0488A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EF18DEC">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20</w:t>
            </w:r>
          </w:p>
        </w:tc>
        <w:tc>
          <w:tcPr>
            <w:tcW w:w="1870" w:type="dxa"/>
            <w:vAlign w:val="center"/>
          </w:tcPr>
          <w:p w14:paraId="71F4961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磋商响应文件递交截止时间</w:t>
            </w:r>
          </w:p>
        </w:tc>
        <w:tc>
          <w:tcPr>
            <w:tcW w:w="6075" w:type="dxa"/>
            <w:vAlign w:val="center"/>
          </w:tcPr>
          <w:p w14:paraId="52FB014E">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0053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274A2B8">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21</w:t>
            </w:r>
          </w:p>
        </w:tc>
        <w:tc>
          <w:tcPr>
            <w:tcW w:w="1870" w:type="dxa"/>
            <w:vAlign w:val="center"/>
          </w:tcPr>
          <w:p w14:paraId="41C2968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磋商时间及地点</w:t>
            </w:r>
          </w:p>
        </w:tc>
        <w:tc>
          <w:tcPr>
            <w:tcW w:w="6075" w:type="dxa"/>
            <w:vAlign w:val="center"/>
          </w:tcPr>
          <w:p w14:paraId="42D31C3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见竞争性磋商公告</w:t>
            </w:r>
          </w:p>
        </w:tc>
      </w:tr>
      <w:tr w14:paraId="761B8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22A3AF26">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22</w:t>
            </w:r>
          </w:p>
        </w:tc>
        <w:tc>
          <w:tcPr>
            <w:tcW w:w="1870" w:type="dxa"/>
            <w:vAlign w:val="center"/>
          </w:tcPr>
          <w:p w14:paraId="4EC6C1DC">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签字和（或</w:t>
            </w:r>
            <w:r>
              <w:rPr>
                <w:rFonts w:hint="eastAsia" w:asciiTheme="minorEastAsia" w:hAnsi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盖章要求</w:t>
            </w:r>
          </w:p>
        </w:tc>
        <w:tc>
          <w:tcPr>
            <w:tcW w:w="6075" w:type="dxa"/>
            <w:vAlign w:val="center"/>
          </w:tcPr>
          <w:p w14:paraId="52C01CB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为电子化、无纸化交易项目，响应文件是供应商通过中心投标文件制作系统制作，并经过电子签章和加密后生成的电子化投标文件，未对电子化文件进行签章的视为无效投标。供应商投标时，将不再接受任何纸质文件资料。</w:t>
            </w:r>
          </w:p>
          <w:p w14:paraId="2BDD28D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2、供应商在进行电子化响应文件签章时，以签盖法定代表人签章为准。</w:t>
            </w:r>
          </w:p>
        </w:tc>
      </w:tr>
      <w:tr w14:paraId="1C33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117F94">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23</w:t>
            </w:r>
          </w:p>
        </w:tc>
        <w:tc>
          <w:tcPr>
            <w:tcW w:w="1870" w:type="dxa"/>
            <w:vAlign w:val="center"/>
          </w:tcPr>
          <w:p w14:paraId="0EBD3F65">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是否允许递交备选响应方案</w:t>
            </w:r>
          </w:p>
        </w:tc>
        <w:tc>
          <w:tcPr>
            <w:tcW w:w="6075" w:type="dxa"/>
            <w:vAlign w:val="center"/>
          </w:tcPr>
          <w:p w14:paraId="0449E34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不允许</w:t>
            </w:r>
          </w:p>
        </w:tc>
      </w:tr>
      <w:tr w14:paraId="1E2A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6EED841">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24</w:t>
            </w:r>
          </w:p>
        </w:tc>
        <w:tc>
          <w:tcPr>
            <w:tcW w:w="1870" w:type="dxa"/>
            <w:vAlign w:val="center"/>
          </w:tcPr>
          <w:p w14:paraId="6986710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磋商小组的组建</w:t>
            </w:r>
          </w:p>
        </w:tc>
        <w:tc>
          <w:tcPr>
            <w:tcW w:w="6075" w:type="dxa"/>
            <w:vAlign w:val="center"/>
          </w:tcPr>
          <w:p w14:paraId="019BCDD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磋商小组构成：由采购人代表及有关经济、技术等方面的专家共3人组成，采购人代表1人，经济、技术等方面的专家2人。</w:t>
            </w:r>
          </w:p>
          <w:p w14:paraId="49957CE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专家确定方式：开标后从相关专家库中随机抽取。</w:t>
            </w:r>
          </w:p>
        </w:tc>
      </w:tr>
      <w:tr w14:paraId="3DCA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0FDA9E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25</w:t>
            </w:r>
          </w:p>
        </w:tc>
        <w:tc>
          <w:tcPr>
            <w:tcW w:w="1870" w:type="dxa"/>
            <w:vAlign w:val="center"/>
          </w:tcPr>
          <w:p w14:paraId="2D1AF35E">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磋商标准及方法</w:t>
            </w:r>
          </w:p>
        </w:tc>
        <w:tc>
          <w:tcPr>
            <w:tcW w:w="6075" w:type="dxa"/>
            <w:vAlign w:val="center"/>
          </w:tcPr>
          <w:p w14:paraId="3B81B95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70512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F3D6B8F">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26</w:t>
            </w:r>
          </w:p>
        </w:tc>
        <w:tc>
          <w:tcPr>
            <w:tcW w:w="1870" w:type="dxa"/>
            <w:vAlign w:val="center"/>
          </w:tcPr>
          <w:p w14:paraId="385FD61F">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授权评委小组推荐成交候选人</w:t>
            </w:r>
          </w:p>
        </w:tc>
        <w:tc>
          <w:tcPr>
            <w:tcW w:w="6075" w:type="dxa"/>
            <w:vAlign w:val="center"/>
          </w:tcPr>
          <w:p w14:paraId="5AE1BA1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是，推荐的成交候选人数：1-3个</w:t>
            </w:r>
          </w:p>
        </w:tc>
      </w:tr>
      <w:tr w14:paraId="5ED7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41A031F3">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27</w:t>
            </w:r>
          </w:p>
        </w:tc>
        <w:tc>
          <w:tcPr>
            <w:tcW w:w="1870" w:type="dxa"/>
            <w:vAlign w:val="center"/>
          </w:tcPr>
          <w:p w14:paraId="0203F629">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中标公示</w:t>
            </w:r>
          </w:p>
        </w:tc>
        <w:tc>
          <w:tcPr>
            <w:tcW w:w="6075" w:type="dxa"/>
            <w:vAlign w:val="center"/>
          </w:tcPr>
          <w:p w14:paraId="2632E3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本项目磋商结果公告在磋商公告发布的同一媒介予以公示，公示期为一个工作日。</w:t>
            </w:r>
          </w:p>
        </w:tc>
      </w:tr>
      <w:tr w14:paraId="0D9A8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7DD5D534">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28</w:t>
            </w:r>
          </w:p>
        </w:tc>
        <w:tc>
          <w:tcPr>
            <w:tcW w:w="1870" w:type="dxa"/>
            <w:vAlign w:val="center"/>
          </w:tcPr>
          <w:p w14:paraId="45DC684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签订合同时间</w:t>
            </w:r>
          </w:p>
        </w:tc>
        <w:tc>
          <w:tcPr>
            <w:tcW w:w="6075" w:type="dxa"/>
            <w:vAlign w:val="center"/>
          </w:tcPr>
          <w:p w14:paraId="1E3BEC2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成交通知书发出后30日内</w:t>
            </w:r>
          </w:p>
        </w:tc>
      </w:tr>
      <w:tr w14:paraId="28B9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C3D6FD7">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29</w:t>
            </w:r>
          </w:p>
        </w:tc>
        <w:tc>
          <w:tcPr>
            <w:tcW w:w="1870" w:type="dxa"/>
            <w:vAlign w:val="center"/>
          </w:tcPr>
          <w:p w14:paraId="4B00EC88">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响应文件有效期</w:t>
            </w:r>
          </w:p>
        </w:tc>
        <w:tc>
          <w:tcPr>
            <w:tcW w:w="6075" w:type="dxa"/>
            <w:vAlign w:val="center"/>
          </w:tcPr>
          <w:p w14:paraId="4F41361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60日历天</w:t>
            </w:r>
          </w:p>
        </w:tc>
      </w:tr>
      <w:tr w14:paraId="7DE8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BC5622A">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30</w:t>
            </w:r>
          </w:p>
        </w:tc>
        <w:tc>
          <w:tcPr>
            <w:tcW w:w="1870" w:type="dxa"/>
            <w:vAlign w:val="center"/>
          </w:tcPr>
          <w:p w14:paraId="20D8EFC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履约保证金</w:t>
            </w:r>
          </w:p>
        </w:tc>
        <w:tc>
          <w:tcPr>
            <w:tcW w:w="6075" w:type="dxa"/>
            <w:vAlign w:val="center"/>
          </w:tcPr>
          <w:p w14:paraId="6491B05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不收取履约保证金</w:t>
            </w:r>
          </w:p>
        </w:tc>
      </w:tr>
      <w:tr w14:paraId="66CD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3CE2317F">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31</w:t>
            </w:r>
          </w:p>
        </w:tc>
        <w:tc>
          <w:tcPr>
            <w:tcW w:w="1870" w:type="dxa"/>
            <w:vAlign w:val="center"/>
          </w:tcPr>
          <w:p w14:paraId="06FBB60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本项目中小企业所属行业</w:t>
            </w:r>
          </w:p>
        </w:tc>
        <w:tc>
          <w:tcPr>
            <w:tcW w:w="6075" w:type="dxa"/>
            <w:vAlign w:val="center"/>
          </w:tcPr>
          <w:p w14:paraId="77F87273">
            <w:pPr>
              <w:keepNext w:val="0"/>
              <w:pageBreakBefore w:val="0"/>
              <w:kinsoku/>
              <w:overflowPunct/>
              <w:bidi w:val="0"/>
              <w:spacing w:before="40" w:after="40" w:line="360" w:lineRule="auto"/>
              <w:jc w:val="both"/>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建筑业</w:t>
            </w:r>
          </w:p>
        </w:tc>
      </w:tr>
      <w:tr w14:paraId="07C3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31EBCE9">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32</w:t>
            </w:r>
          </w:p>
        </w:tc>
        <w:tc>
          <w:tcPr>
            <w:tcW w:w="1870" w:type="dxa"/>
            <w:vAlign w:val="center"/>
          </w:tcPr>
          <w:p w14:paraId="582058A6">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代理服务费</w:t>
            </w:r>
          </w:p>
        </w:tc>
        <w:tc>
          <w:tcPr>
            <w:tcW w:w="6075" w:type="dxa"/>
            <w:vAlign w:val="center"/>
          </w:tcPr>
          <w:p w14:paraId="70F77E09">
            <w:pPr>
              <w:keepNext w:val="0"/>
              <w:keepLines w:val="0"/>
              <w:suppressLineNumbers w:val="0"/>
              <w:spacing w:before="0" w:beforeAutospacing="0" w:after="0" w:afterAutospacing="0" w:line="600" w:lineRule="exact"/>
              <w:ind w:left="0" w:right="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代理费用收取方式：转账</w:t>
            </w:r>
          </w:p>
          <w:p w14:paraId="055C1DE5">
            <w:pPr>
              <w:keepNext w:val="0"/>
              <w:keepLines w:val="0"/>
              <w:suppressLineNumbers w:val="0"/>
              <w:spacing w:before="0" w:beforeAutospacing="0" w:after="0" w:afterAutospacing="0" w:line="600" w:lineRule="exact"/>
              <w:ind w:left="0" w:right="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代理费用收取标准：本项目招标代理费用参照河南省招标投标协会豫招办[2023]002号文《河南省招标投标协会关于印发《河南省招标代理服务收费指导意见》的通知》中关于招标代理服务费收费标准，招标代理服务费用由中标人按照以上标准支付。</w:t>
            </w:r>
          </w:p>
          <w:p w14:paraId="042888E5">
            <w:pPr>
              <w:keepNext w:val="0"/>
              <w:keepLines w:val="0"/>
              <w:suppressLineNumbers w:val="0"/>
              <w:spacing w:before="0" w:beforeAutospacing="0" w:after="0" w:afterAutospacing="0" w:line="600" w:lineRule="exact"/>
              <w:ind w:left="0" w:right="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收款单位：</w:t>
            </w:r>
            <w:r>
              <w:rPr>
                <w:rFonts w:hint="eastAsia" w:ascii="宋体" w:hAnsi="宋体" w:eastAsia="宋体" w:cs="宋体"/>
                <w:color w:val="000000"/>
                <w:spacing w:val="6"/>
                <w:sz w:val="24"/>
                <w:szCs w:val="24"/>
                <w:highlight w:val="none"/>
                <w:lang w:val="en-US" w:eastAsia="zh-CN"/>
              </w:rPr>
              <w:t>河南知信合工程咨询有限公司</w:t>
            </w:r>
          </w:p>
          <w:p w14:paraId="32C02ACB">
            <w:pPr>
              <w:keepNext w:val="0"/>
              <w:keepLines w:val="0"/>
              <w:suppressLineNumbers w:val="0"/>
              <w:spacing w:before="0" w:beforeAutospacing="0" w:after="0" w:afterAutospacing="0" w:line="600" w:lineRule="exact"/>
              <w:ind w:left="0" w:right="0"/>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开户行：</w:t>
            </w:r>
            <w:r>
              <w:rPr>
                <w:rFonts w:hint="eastAsia" w:ascii="宋体" w:hAnsi="宋体" w:eastAsia="宋体" w:cs="宋体"/>
                <w:color w:val="000000"/>
                <w:spacing w:val="6"/>
                <w:sz w:val="24"/>
                <w:szCs w:val="24"/>
                <w:highlight w:val="none"/>
                <w:lang w:val="en-US" w:eastAsia="zh-CN"/>
              </w:rPr>
              <w:t>中原银行股份有限公司三门峡永兴街支行</w:t>
            </w:r>
          </w:p>
          <w:p w14:paraId="4172AFA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color w:val="000000"/>
                <w:spacing w:val="6"/>
                <w:sz w:val="24"/>
                <w:szCs w:val="24"/>
                <w:highlight w:val="none"/>
              </w:rPr>
              <w:t>账号：</w:t>
            </w:r>
            <w:r>
              <w:rPr>
                <w:rFonts w:hint="eastAsia" w:ascii="宋体" w:hAnsi="宋体" w:eastAsia="宋体" w:cs="宋体"/>
                <w:color w:val="000000"/>
                <w:spacing w:val="6"/>
                <w:sz w:val="24"/>
                <w:szCs w:val="24"/>
                <w:highlight w:val="none"/>
                <w:lang w:val="en-US" w:eastAsia="zh-CN"/>
              </w:rPr>
              <w:t>411207010100018501</w:t>
            </w:r>
            <w:r>
              <w:rPr>
                <w:rFonts w:hint="eastAsia" w:ascii="宋体" w:hAnsi="宋体" w:eastAsia="宋体" w:cs="宋体"/>
                <w:color w:val="000000"/>
                <w:spacing w:val="6"/>
                <w:sz w:val="24"/>
                <w:szCs w:val="24"/>
                <w:highlight w:val="none"/>
              </w:rPr>
              <w:t xml:space="preserve"> </w:t>
            </w:r>
          </w:p>
        </w:tc>
      </w:tr>
      <w:tr w14:paraId="162B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1CBDA8F5">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33</w:t>
            </w:r>
          </w:p>
        </w:tc>
        <w:tc>
          <w:tcPr>
            <w:tcW w:w="1870" w:type="dxa"/>
            <w:vAlign w:val="center"/>
          </w:tcPr>
          <w:p w14:paraId="3179C2DA">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同义词语</w:t>
            </w:r>
          </w:p>
        </w:tc>
        <w:tc>
          <w:tcPr>
            <w:tcW w:w="6075" w:type="dxa"/>
            <w:vAlign w:val="center"/>
          </w:tcPr>
          <w:p w14:paraId="13648E88">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构成磋商文件组成部分的“通用合同条款”、“专用合同条款”、“技术标准和要求”等章节中出现的措辞“发包人”和“承包人”，在竞争性磋商投标阶段应当分别按“采购人”和“供应商”进行理解。</w:t>
            </w:r>
          </w:p>
        </w:tc>
      </w:tr>
      <w:tr w14:paraId="788D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08B2E42B">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34</w:t>
            </w:r>
          </w:p>
        </w:tc>
        <w:tc>
          <w:tcPr>
            <w:tcW w:w="1870" w:type="dxa"/>
            <w:vAlign w:val="center"/>
          </w:tcPr>
          <w:p w14:paraId="3EFDE17D">
            <w:pPr>
              <w:keepNext w:val="0"/>
              <w:pageBreakBefore w:val="0"/>
              <w:kinsoku/>
              <w:overflowPunct/>
              <w:bidi w:val="0"/>
              <w:spacing w:before="40" w:after="40" w:line="360" w:lineRule="auto"/>
              <w:jc w:val="center"/>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解释</w:t>
            </w:r>
          </w:p>
        </w:tc>
        <w:tc>
          <w:tcPr>
            <w:tcW w:w="6075" w:type="dxa"/>
            <w:vAlign w:val="center"/>
          </w:tcPr>
          <w:p w14:paraId="390B3A1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竞争性磋商投标阶段的规定，按磋商公告、供应商须知、评标办法、磋商响应文件格式的先后顺序解释；同一组成文件中就同一事项的规定或约定不一致的，以编排顺序在前者为准；同一组成文件不同版本之间有不一致的，以形成时间在前者为准。按本款前述规定仍不能形成结论的，由采购人负责解释。</w:t>
            </w:r>
          </w:p>
        </w:tc>
      </w:tr>
      <w:tr w14:paraId="08D4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67850DDE">
            <w:pPr>
              <w:keepNext w:val="0"/>
              <w:pageBreakBefore w:val="0"/>
              <w:kinsoku/>
              <w:overflowPunct/>
              <w:bidi w:val="0"/>
              <w:spacing w:before="40" w:after="40" w:line="360" w:lineRule="auto"/>
              <w:jc w:val="both"/>
              <w:textAlignment w:val="auto"/>
              <w:rPr>
                <w:rFonts w:hint="default" w:asciiTheme="minorEastAsia" w:hAnsiTheme="minorEastAsia" w:cstheme="minorEastAsia"/>
                <w:b/>
                <w:bCs/>
                <w:sz w:val="24"/>
                <w:szCs w:val="24"/>
                <w:vertAlign w:val="baseline"/>
                <w:lang w:val="en-US" w:eastAsia="zh-CN"/>
              </w:rPr>
            </w:pPr>
            <w:r>
              <w:rPr>
                <w:rFonts w:hint="eastAsia" w:asciiTheme="minorEastAsia" w:hAnsiTheme="minorEastAsia" w:cstheme="minorEastAsia"/>
                <w:b/>
                <w:bCs/>
                <w:sz w:val="24"/>
                <w:szCs w:val="24"/>
                <w:vertAlign w:val="baseline"/>
                <w:lang w:val="en-US" w:eastAsia="zh-CN"/>
              </w:rPr>
              <w:t>35</w:t>
            </w:r>
          </w:p>
        </w:tc>
        <w:tc>
          <w:tcPr>
            <w:tcW w:w="7945" w:type="dxa"/>
            <w:gridSpan w:val="2"/>
            <w:vAlign w:val="center"/>
          </w:tcPr>
          <w:p w14:paraId="6630134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电子化投标注意事项</w:t>
            </w:r>
          </w:p>
        </w:tc>
      </w:tr>
      <w:tr w14:paraId="605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8" w:type="dxa"/>
            <w:vAlign w:val="center"/>
          </w:tcPr>
          <w:p w14:paraId="57DD842A">
            <w:pPr>
              <w:keepNext w:val="0"/>
              <w:pageBreakBefore w:val="0"/>
              <w:kinsoku/>
              <w:overflowPunct/>
              <w:bidi w:val="0"/>
              <w:spacing w:before="40" w:after="40" w:line="360" w:lineRule="auto"/>
              <w:jc w:val="both"/>
              <w:textAlignment w:val="auto"/>
              <w:rPr>
                <w:rFonts w:hint="eastAsia" w:asciiTheme="minorEastAsia" w:hAnsiTheme="minorEastAsia" w:cstheme="minorEastAsia"/>
                <w:b/>
                <w:bCs/>
                <w:sz w:val="24"/>
                <w:szCs w:val="24"/>
                <w:vertAlign w:val="baseline"/>
                <w:lang w:val="en-US" w:eastAsia="zh-CN"/>
              </w:rPr>
            </w:pPr>
          </w:p>
        </w:tc>
        <w:tc>
          <w:tcPr>
            <w:tcW w:w="7945" w:type="dxa"/>
            <w:gridSpan w:val="2"/>
            <w:vAlign w:val="center"/>
          </w:tcPr>
          <w:p w14:paraId="31DF1A1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本项目为电子化、无纸化交易项目，响应文件是响应人、供应商（以下简称“响应人”）通过中心响应文件制作系统制作，并经过签章和加密后生成的电子版响应文件。</w:t>
            </w:r>
          </w:p>
          <w:p w14:paraId="3C33A66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电子化响应文件具体制作教材请投标人通过CA证书登录三门峡市公共资源电子化交易系统在“交易智库”中下载操作流程。</w:t>
            </w:r>
          </w:p>
          <w:p w14:paraId="0761284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温馨提示：本项目为电子化、无纸化交易项目，为保证您能投标成功，请需仔细阅读以下条款。</w:t>
            </w:r>
          </w:p>
          <w:p w14:paraId="6688B5CF">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一、电子化投标</w:t>
            </w:r>
          </w:p>
          <w:p w14:paraId="1932653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（一）电子化响应文件的签章</w:t>
            </w:r>
          </w:p>
          <w:p w14:paraId="0DC72E0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1、响应人在生成电子化响应文件后，应对电子化响应文件进行签章，未进行签章的视为无效投标。</w:t>
            </w:r>
          </w:p>
          <w:p w14:paraId="288C72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2、竞争性磋商文件中要求法定代表人或授权委托人签字或盖章的，响应人在进行电子化响应文件签章时，以签盖法定代表人签章为准。</w:t>
            </w:r>
          </w:p>
          <w:p w14:paraId="13FF3C5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（二）电子化响应文件的格式及上传投标</w:t>
            </w:r>
          </w:p>
          <w:p w14:paraId="10BA7FD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52585E1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注：响应人投报多个标段的，需要每个标段单独制作电子响应文件。</w:t>
            </w:r>
          </w:p>
          <w:p w14:paraId="5529989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3B728E3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3210CA76">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技术联系电话：400-998-0000</w:t>
            </w:r>
          </w:p>
          <w:p w14:paraId="3096E10B">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主体库咨询电话:0398-3117815</w:t>
            </w:r>
          </w:p>
          <w:p w14:paraId="64EB940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CA证书制发:0398-2181635</w:t>
            </w:r>
          </w:p>
          <w:p w14:paraId="3C9A398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科技信息科:0398-3117095</w:t>
            </w:r>
          </w:p>
          <w:p w14:paraId="6F0F460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（三）电子化项目开标、解密、评标</w:t>
            </w:r>
          </w:p>
          <w:p w14:paraId="7FD3E0A0">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0504A7E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化响应文件采用一次加密方式。开标时，由响应人使用CA证书，在规定时间内对其电子化响应文件进行解密。每位响应人的解密时间为开标时间起30分钟内，如在规定时间内未完成解密的，其响应文件不予开标。</w:t>
            </w:r>
          </w:p>
          <w:p w14:paraId="040A792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3、电子化响应文件解密异常的处理</w:t>
            </w:r>
          </w:p>
          <w:p w14:paraId="56F73D79">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如出现响应人的电子响应文件无法解密等异常情况，响应人应及时致电中介服务机构说明。响应文件异常，按以下步骤进行处理：</w:t>
            </w:r>
          </w:p>
          <w:p w14:paraId="1CB0DB5C">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（1）首先由技术人员进行问题排查。</w:t>
            </w:r>
          </w:p>
          <w:p w14:paraId="0034AC9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（2）经技术人员排查后，是响应人文件自身问题导致响应文件无法解密的，该响应文件将不予接收、解密。开标会议继续进行。</w:t>
            </w:r>
          </w:p>
          <w:p w14:paraId="12ACEB43">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29FF225">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4、待所有响应人响应文件解密完成后，由中介服务机构操作，对所有已解密响应文件进行解密。</w:t>
            </w:r>
          </w:p>
          <w:p w14:paraId="119BA17D">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480B530E">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00F339B4">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228AAD81">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7、如评标委员会对需要回复的响应人连续三次致电未接通的，视为响应人放弃回复，评标委员会将自行对需要回复的内容进行认定。</w:t>
            </w:r>
          </w:p>
          <w:p w14:paraId="3190A782">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二、资格审查资料</w:t>
            </w:r>
          </w:p>
          <w:p w14:paraId="5333823A">
            <w:pPr>
              <w:keepNext w:val="0"/>
              <w:pageBreakBefore w:val="0"/>
              <w:kinsoku/>
              <w:overflowPunct/>
              <w:bidi w:val="0"/>
              <w:spacing w:before="40" w:after="40" w:line="360" w:lineRule="auto"/>
              <w:jc w:val="both"/>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本项目实行资格后审，资格评审以响应文件为准，其上传资料真实性由投标人自行承担。提示：本项目为电子化、无纸化交易项目，为保证您能投标成功，请需仔细阅读以上条款。</w:t>
            </w:r>
          </w:p>
        </w:tc>
      </w:tr>
    </w:tbl>
    <w:p w14:paraId="5385C4A0">
      <w:pPr>
        <w:spacing w:line="400" w:lineRule="exact"/>
        <w:ind w:firstLine="480"/>
        <w:rPr>
          <w:rFonts w:hint="eastAsia" w:ascii="宋体" w:hAnsi="宋体" w:cs="宋体"/>
          <w:b/>
          <w:bCs/>
          <w:color w:val="auto"/>
          <w:kern w:val="28"/>
          <w:sz w:val="24"/>
          <w:szCs w:val="24"/>
          <w:highlight w:val="none"/>
        </w:rPr>
      </w:pPr>
      <w:bookmarkStart w:id="9" w:name="_Toc246996175"/>
      <w:bookmarkStart w:id="10" w:name="_Toc152045529"/>
      <w:bookmarkStart w:id="11" w:name="_Toc179632546"/>
      <w:bookmarkStart w:id="12" w:name="_Toc246996918"/>
      <w:bookmarkStart w:id="13" w:name="_Toc296602420"/>
      <w:bookmarkStart w:id="14" w:name="_Toc247085689"/>
      <w:bookmarkStart w:id="15" w:name="_Toc144974497"/>
      <w:bookmarkStart w:id="16" w:name="_Toc152042305"/>
      <w:r>
        <w:rPr>
          <w:rFonts w:hint="eastAsia" w:ascii="宋体" w:hAnsi="宋体" w:cs="宋体"/>
          <w:b/>
          <w:bCs/>
          <w:color w:val="auto"/>
          <w:kern w:val="28"/>
          <w:sz w:val="24"/>
          <w:szCs w:val="24"/>
          <w:highlight w:val="none"/>
        </w:rPr>
        <w:t>1. 总则</w:t>
      </w:r>
      <w:bookmarkEnd w:id="9"/>
      <w:bookmarkEnd w:id="10"/>
      <w:bookmarkEnd w:id="11"/>
      <w:bookmarkEnd w:id="12"/>
      <w:bookmarkEnd w:id="13"/>
      <w:bookmarkEnd w:id="14"/>
      <w:bookmarkEnd w:id="15"/>
      <w:bookmarkEnd w:id="16"/>
    </w:p>
    <w:p w14:paraId="543C82F3">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7" w:name="_Toc11983"/>
      <w:bookmarkStart w:id="18" w:name="_Toc144974498"/>
      <w:bookmarkStart w:id="19" w:name="_Toc77586913"/>
      <w:bookmarkStart w:id="20" w:name="_Toc152042306"/>
      <w:bookmarkStart w:id="21" w:name="_Toc247085690"/>
      <w:bookmarkStart w:id="22" w:name="_Toc152045530"/>
      <w:bookmarkStart w:id="23" w:name="_Toc296602421"/>
      <w:bookmarkStart w:id="24" w:name="_Toc246996176"/>
      <w:bookmarkStart w:id="25" w:name="_Toc246996919"/>
      <w:bookmarkStart w:id="26" w:name="_Toc179632547"/>
      <w:bookmarkStart w:id="27" w:name="_Toc77586820"/>
      <w:r>
        <w:rPr>
          <w:rFonts w:hint="eastAsia" w:ascii="宋体" w:hAnsi="宋体" w:cs="宋体"/>
          <w:b/>
          <w:bCs/>
          <w:color w:val="auto"/>
          <w:kern w:val="28"/>
          <w:sz w:val="24"/>
          <w:szCs w:val="24"/>
          <w:highlight w:val="none"/>
        </w:rPr>
        <w:t>1.1 项目概况</w:t>
      </w:r>
      <w:bookmarkEnd w:id="17"/>
      <w:bookmarkEnd w:id="18"/>
      <w:bookmarkEnd w:id="19"/>
      <w:bookmarkEnd w:id="20"/>
      <w:bookmarkEnd w:id="21"/>
      <w:bookmarkEnd w:id="22"/>
      <w:bookmarkEnd w:id="23"/>
      <w:bookmarkEnd w:id="24"/>
      <w:bookmarkEnd w:id="25"/>
      <w:bookmarkEnd w:id="26"/>
      <w:bookmarkEnd w:id="27"/>
    </w:p>
    <w:p w14:paraId="63C8303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1.1.1根据《政府采购竞争性磋商采购方式管理暂行办法》等有关法律、法规和规章的规定，本磋商项目已具备磋商条件，现对本项目施工进行竞争性磋商。</w:t>
      </w:r>
    </w:p>
    <w:p w14:paraId="5F27C39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本磋商项目招标人：见投标人须知前附表。</w:t>
      </w:r>
    </w:p>
    <w:p w14:paraId="3B5AC7F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本磋商项目招标代理机构：见投标人须知前附表。</w:t>
      </w:r>
    </w:p>
    <w:p w14:paraId="580CDDB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本磋商项目名称：见投标人须知前附表。</w:t>
      </w:r>
    </w:p>
    <w:p w14:paraId="1850B82B">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8" w:name="_Toc77586821"/>
      <w:bookmarkStart w:id="29" w:name="_Toc152042307"/>
      <w:bookmarkStart w:id="30" w:name="_Toc16641"/>
      <w:bookmarkStart w:id="31" w:name="_Toc179632548"/>
      <w:bookmarkStart w:id="32" w:name="_Toc77586914"/>
      <w:bookmarkStart w:id="33" w:name="_Toc247085691"/>
      <w:bookmarkStart w:id="34" w:name="_Toc152045531"/>
      <w:bookmarkStart w:id="35" w:name="_Toc296602422"/>
      <w:bookmarkStart w:id="36" w:name="_Toc246996177"/>
      <w:bookmarkStart w:id="37" w:name="_Toc144974499"/>
      <w:bookmarkStart w:id="38" w:name="_Toc246996920"/>
      <w:r>
        <w:rPr>
          <w:rFonts w:hint="eastAsia" w:ascii="宋体" w:hAnsi="宋体" w:cs="宋体"/>
          <w:b/>
          <w:bCs/>
          <w:color w:val="auto"/>
          <w:kern w:val="28"/>
          <w:sz w:val="24"/>
          <w:szCs w:val="24"/>
          <w:highlight w:val="none"/>
        </w:rPr>
        <w:t>1.2 资金来源和落实情况</w:t>
      </w:r>
      <w:bookmarkEnd w:id="28"/>
      <w:bookmarkEnd w:id="29"/>
      <w:bookmarkEnd w:id="30"/>
      <w:bookmarkEnd w:id="31"/>
      <w:bookmarkEnd w:id="32"/>
      <w:bookmarkEnd w:id="33"/>
      <w:bookmarkEnd w:id="34"/>
      <w:bookmarkEnd w:id="35"/>
      <w:bookmarkEnd w:id="36"/>
      <w:bookmarkEnd w:id="37"/>
      <w:bookmarkEnd w:id="38"/>
    </w:p>
    <w:p w14:paraId="662D181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本磋商项目的资金来源及出资比例：见投标人须知前附表。</w:t>
      </w:r>
    </w:p>
    <w:p w14:paraId="19E8463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本磋商项目的资金落实情况：见投标人须知前附表。</w:t>
      </w:r>
    </w:p>
    <w:p w14:paraId="4CD4DB7B">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9" w:name="_Toc77586822"/>
      <w:bookmarkStart w:id="40" w:name="_Toc152042308"/>
      <w:bookmarkStart w:id="41" w:name="_Toc296602423"/>
      <w:bookmarkStart w:id="42" w:name="_Toc77586915"/>
      <w:bookmarkStart w:id="43" w:name="_Toc247085692"/>
      <w:bookmarkStart w:id="44" w:name="_Toc2409"/>
      <w:bookmarkStart w:id="45" w:name="_Toc246996178"/>
      <w:bookmarkStart w:id="46" w:name="_Toc152045532"/>
      <w:bookmarkStart w:id="47" w:name="_Toc246996921"/>
      <w:bookmarkStart w:id="48" w:name="_Toc144974500"/>
      <w:bookmarkStart w:id="49" w:name="_Toc179632549"/>
      <w:r>
        <w:rPr>
          <w:rFonts w:hint="eastAsia" w:ascii="宋体" w:hAnsi="宋体" w:cs="宋体"/>
          <w:b/>
          <w:bCs/>
          <w:color w:val="auto"/>
          <w:kern w:val="28"/>
          <w:sz w:val="24"/>
          <w:szCs w:val="24"/>
          <w:highlight w:val="none"/>
        </w:rPr>
        <w:t>1.3 磋商范围、工期、质量要求</w:t>
      </w:r>
      <w:bookmarkEnd w:id="39"/>
      <w:bookmarkEnd w:id="40"/>
      <w:bookmarkEnd w:id="41"/>
      <w:bookmarkEnd w:id="42"/>
      <w:bookmarkEnd w:id="43"/>
      <w:bookmarkEnd w:id="44"/>
      <w:bookmarkEnd w:id="45"/>
      <w:bookmarkEnd w:id="46"/>
      <w:bookmarkEnd w:id="47"/>
      <w:bookmarkEnd w:id="48"/>
      <w:bookmarkEnd w:id="49"/>
    </w:p>
    <w:p w14:paraId="3B8559E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本次磋商范围：见投标人须知前附表。</w:t>
      </w:r>
    </w:p>
    <w:p w14:paraId="5DCE4DF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本磋商项目的工期：见投标人须知前附表。</w:t>
      </w:r>
    </w:p>
    <w:p w14:paraId="0B27A3D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本磋商项目的质量要求：见投标人须知前附表。</w:t>
      </w:r>
    </w:p>
    <w:p w14:paraId="56DD3215">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50" w:name="_Toc296602424"/>
      <w:bookmarkStart w:id="51" w:name="_Toc1703"/>
      <w:bookmarkStart w:id="52" w:name="_Toc152045534"/>
      <w:bookmarkStart w:id="53" w:name="_Toc77586916"/>
      <w:bookmarkStart w:id="54" w:name="_Toc247085693"/>
      <w:bookmarkStart w:id="55" w:name="_Toc152042310"/>
      <w:bookmarkStart w:id="56" w:name="_Toc179632551"/>
      <w:bookmarkStart w:id="57" w:name="_Toc77586823"/>
      <w:bookmarkStart w:id="58" w:name="_Toc144974502"/>
      <w:bookmarkStart w:id="59" w:name="_Toc246996922"/>
      <w:bookmarkStart w:id="60" w:name="_Toc246996179"/>
      <w:r>
        <w:rPr>
          <w:rFonts w:hint="eastAsia" w:ascii="宋体" w:hAnsi="宋体" w:cs="宋体"/>
          <w:b/>
          <w:bCs/>
          <w:color w:val="auto"/>
          <w:kern w:val="28"/>
          <w:sz w:val="24"/>
          <w:szCs w:val="24"/>
          <w:highlight w:val="none"/>
        </w:rPr>
        <w:t>1.4 投标人资格要求</w:t>
      </w:r>
      <w:bookmarkEnd w:id="50"/>
      <w:bookmarkEnd w:id="51"/>
      <w:bookmarkEnd w:id="52"/>
      <w:bookmarkEnd w:id="53"/>
      <w:bookmarkEnd w:id="54"/>
      <w:bookmarkEnd w:id="55"/>
      <w:bookmarkEnd w:id="56"/>
      <w:bookmarkEnd w:id="57"/>
      <w:bookmarkEnd w:id="58"/>
      <w:bookmarkEnd w:id="59"/>
      <w:bookmarkEnd w:id="60"/>
    </w:p>
    <w:p w14:paraId="1B9200BB">
      <w:pPr>
        <w:spacing w:line="400" w:lineRule="exact"/>
        <w:ind w:firstLine="283" w:firstLineChars="118"/>
        <w:rPr>
          <w:rFonts w:hint="eastAsia" w:ascii="宋体" w:hAnsi="宋体"/>
          <w:color w:val="auto"/>
          <w:sz w:val="24"/>
          <w:szCs w:val="28"/>
          <w:highlight w:val="none"/>
        </w:rPr>
      </w:pPr>
      <w:r>
        <w:rPr>
          <w:rFonts w:hint="eastAsia" w:ascii="宋体" w:hAnsi="宋体"/>
          <w:color w:val="auto"/>
          <w:sz w:val="24"/>
          <w:szCs w:val="28"/>
          <w:highlight w:val="none"/>
        </w:rPr>
        <w:t>1.4.1 本磋商项目的资格要求：</w:t>
      </w:r>
      <w:r>
        <w:rPr>
          <w:rFonts w:hint="eastAsia" w:ascii="宋体" w:hAnsi="宋体" w:cs="宋体"/>
          <w:color w:val="auto"/>
          <w:sz w:val="24"/>
          <w:szCs w:val="24"/>
          <w:highlight w:val="none"/>
        </w:rPr>
        <w:t>见投标人须知前附表。</w:t>
      </w:r>
    </w:p>
    <w:p w14:paraId="001EAD9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投标人不得存在下列情形之一：</w:t>
      </w:r>
    </w:p>
    <w:p w14:paraId="7AA4814C">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（1）为招标人不具有独立法人资格的附属机构（单位）；</w:t>
      </w:r>
    </w:p>
    <w:p w14:paraId="347517A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（2）为本磋商项目前期准备提供设计或咨询服务的； </w:t>
      </w:r>
    </w:p>
    <w:p w14:paraId="3A86FCB1">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（3）为本磋商项目的监理人；</w:t>
      </w:r>
    </w:p>
    <w:p w14:paraId="64FC017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（4）为本磋商项目的代建人； </w:t>
      </w:r>
    </w:p>
    <w:p w14:paraId="673CD47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（5）为本磋商项目提供招标代理服务的； </w:t>
      </w:r>
    </w:p>
    <w:p w14:paraId="57C97A8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（6）与本磋商项目的监理人或代建人或招标代理机构同为一个法定代表人的；</w:t>
      </w:r>
    </w:p>
    <w:p w14:paraId="1D5021C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（7）与本磋商项目的监理人或代建人或招标代理机构相互控股或参股的；</w:t>
      </w:r>
    </w:p>
    <w:p w14:paraId="0CD50DCA">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（8）与本磋商项目的监理人或代建人或招标代理机构相互任职或工作的；</w:t>
      </w:r>
    </w:p>
    <w:p w14:paraId="777D514D">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（9）被责令停业的； </w:t>
      </w:r>
    </w:p>
    <w:p w14:paraId="7D6A5952">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（10）被暂停或取消投标资格的； </w:t>
      </w:r>
    </w:p>
    <w:p w14:paraId="7645DA1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（11）财产被接管或冻结的；</w:t>
      </w:r>
    </w:p>
    <w:p w14:paraId="3887B6BA">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（12）在最近三年内有骗取成交或严重违约或重大工程质量问题的。</w:t>
      </w:r>
    </w:p>
    <w:p w14:paraId="3DFB367D">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61" w:name="_Toc77586917"/>
      <w:bookmarkStart w:id="62" w:name="_Toc77586824"/>
      <w:bookmarkStart w:id="63" w:name="_Toc144974503"/>
      <w:bookmarkStart w:id="64" w:name="_Toc179632552"/>
      <w:bookmarkStart w:id="65" w:name="_Toc152045535"/>
      <w:bookmarkStart w:id="66" w:name="_Toc152042311"/>
      <w:bookmarkStart w:id="67" w:name="_Toc20796"/>
      <w:r>
        <w:rPr>
          <w:rFonts w:hint="eastAsia" w:ascii="宋体" w:hAnsi="宋体" w:cs="宋体"/>
          <w:b/>
          <w:bCs/>
          <w:color w:val="auto"/>
          <w:kern w:val="28"/>
          <w:sz w:val="24"/>
          <w:szCs w:val="24"/>
          <w:highlight w:val="none"/>
        </w:rPr>
        <w:t>1.5 费用承担</w:t>
      </w:r>
      <w:bookmarkEnd w:id="61"/>
      <w:bookmarkEnd w:id="62"/>
      <w:bookmarkEnd w:id="63"/>
      <w:bookmarkEnd w:id="64"/>
      <w:bookmarkEnd w:id="65"/>
      <w:bookmarkEnd w:id="66"/>
      <w:bookmarkEnd w:id="67"/>
    </w:p>
    <w:p w14:paraId="3F17260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p w14:paraId="06D1D89E">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68" w:name="_Toc152045536"/>
      <w:bookmarkStart w:id="69" w:name="_Toc296602426"/>
      <w:bookmarkStart w:id="70" w:name="_Toc6528"/>
      <w:bookmarkStart w:id="71" w:name="_Toc247085695"/>
      <w:bookmarkStart w:id="72" w:name="_Toc77586918"/>
      <w:bookmarkStart w:id="73" w:name="_Toc246996181"/>
      <w:bookmarkStart w:id="74" w:name="_Toc152042312"/>
      <w:bookmarkStart w:id="75" w:name="_Toc77586825"/>
      <w:bookmarkStart w:id="76" w:name="_Toc246996924"/>
      <w:bookmarkStart w:id="77" w:name="_Toc144974504"/>
      <w:bookmarkStart w:id="78" w:name="_Toc179632553"/>
      <w:r>
        <w:rPr>
          <w:rFonts w:hint="eastAsia" w:ascii="宋体" w:hAnsi="宋体" w:cs="宋体"/>
          <w:b/>
          <w:bCs/>
          <w:color w:val="auto"/>
          <w:kern w:val="28"/>
          <w:sz w:val="24"/>
          <w:szCs w:val="24"/>
          <w:highlight w:val="none"/>
        </w:rPr>
        <w:t>1.6 保密</w:t>
      </w:r>
      <w:bookmarkEnd w:id="68"/>
      <w:bookmarkEnd w:id="69"/>
      <w:bookmarkEnd w:id="70"/>
      <w:bookmarkEnd w:id="71"/>
      <w:bookmarkEnd w:id="72"/>
      <w:bookmarkEnd w:id="73"/>
      <w:bookmarkEnd w:id="74"/>
      <w:bookmarkEnd w:id="75"/>
      <w:bookmarkEnd w:id="76"/>
      <w:bookmarkEnd w:id="77"/>
      <w:bookmarkEnd w:id="78"/>
    </w:p>
    <w:p w14:paraId="74662EB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参与招标投标活动的各方应对竞争性磋商文件和磋商响应文件中的商业和技术等秘密保密，违者应对由此造成的后果承担法律责任。 </w:t>
      </w:r>
    </w:p>
    <w:p w14:paraId="1E286682">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79" w:name="_Toc144974505"/>
      <w:bookmarkStart w:id="80" w:name="_Toc246996925"/>
      <w:bookmarkStart w:id="81" w:name="_Toc179632554"/>
      <w:bookmarkStart w:id="82" w:name="_Toc247085696"/>
      <w:bookmarkStart w:id="83" w:name="_Toc77586826"/>
      <w:bookmarkStart w:id="84" w:name="_Toc77586919"/>
      <w:bookmarkStart w:id="85" w:name="_Toc152045537"/>
      <w:bookmarkStart w:id="86" w:name="_Toc296602427"/>
      <w:bookmarkStart w:id="87" w:name="_Toc152042313"/>
      <w:bookmarkStart w:id="88" w:name="_Toc15324"/>
      <w:bookmarkStart w:id="89" w:name="_Toc246996182"/>
      <w:r>
        <w:rPr>
          <w:rFonts w:hint="eastAsia" w:ascii="宋体" w:hAnsi="宋体" w:cs="宋体"/>
          <w:b/>
          <w:bCs/>
          <w:color w:val="auto"/>
          <w:kern w:val="28"/>
          <w:sz w:val="24"/>
          <w:szCs w:val="24"/>
          <w:highlight w:val="none"/>
        </w:rPr>
        <w:t>1.7 语言</w:t>
      </w:r>
      <w:bookmarkEnd w:id="79"/>
      <w:r>
        <w:rPr>
          <w:rFonts w:hint="eastAsia" w:ascii="宋体" w:hAnsi="宋体" w:cs="宋体"/>
          <w:b/>
          <w:bCs/>
          <w:color w:val="auto"/>
          <w:kern w:val="28"/>
          <w:sz w:val="24"/>
          <w:szCs w:val="24"/>
          <w:highlight w:val="none"/>
        </w:rPr>
        <w:t>文字</w:t>
      </w:r>
      <w:bookmarkEnd w:id="80"/>
      <w:bookmarkEnd w:id="81"/>
      <w:bookmarkEnd w:id="82"/>
      <w:bookmarkEnd w:id="83"/>
      <w:bookmarkEnd w:id="84"/>
      <w:bookmarkEnd w:id="85"/>
      <w:bookmarkEnd w:id="86"/>
      <w:bookmarkEnd w:id="87"/>
      <w:bookmarkEnd w:id="88"/>
      <w:bookmarkEnd w:id="89"/>
    </w:p>
    <w:p w14:paraId="19965B95">
      <w:pPr>
        <w:spacing w:line="400" w:lineRule="exact"/>
        <w:ind w:firstLine="480" w:firstLineChars="200"/>
        <w:rPr>
          <w:rFonts w:hint="eastAsia" w:ascii="宋体" w:hAnsi="宋体" w:cs="宋体"/>
          <w:color w:val="auto"/>
          <w:sz w:val="24"/>
          <w:szCs w:val="24"/>
          <w:highlight w:val="none"/>
        </w:rPr>
      </w:pPr>
      <w:bookmarkStart w:id="90" w:name="_Toc247085697"/>
      <w:bookmarkStart w:id="91" w:name="_Toc179632555"/>
      <w:bookmarkStart w:id="92" w:name="_Toc246996183"/>
      <w:bookmarkStart w:id="93" w:name="_Toc152045538"/>
      <w:bookmarkStart w:id="94" w:name="_Toc152042314"/>
      <w:bookmarkStart w:id="95" w:name="_Toc246996926"/>
      <w:bookmarkStart w:id="96" w:name="_Toc144974506"/>
      <w:r>
        <w:rPr>
          <w:rFonts w:hint="eastAsia" w:ascii="宋体" w:hAnsi="宋体" w:cs="宋体"/>
          <w:color w:val="auto"/>
          <w:sz w:val="24"/>
          <w:szCs w:val="24"/>
          <w:highlight w:val="none"/>
        </w:rPr>
        <w:t>招标磋商响应文件使用的语言文字为中文。专用术语使用外文的，应附有中文注释。</w:t>
      </w:r>
    </w:p>
    <w:p w14:paraId="36959FB7">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97" w:name="_Toc77586827"/>
      <w:bookmarkStart w:id="98" w:name="_Toc77586920"/>
      <w:bookmarkStart w:id="99" w:name="_Toc296602428"/>
      <w:bookmarkStart w:id="100" w:name="_Toc18882"/>
      <w:r>
        <w:rPr>
          <w:rFonts w:hint="eastAsia" w:ascii="宋体" w:hAnsi="宋体" w:cs="宋体"/>
          <w:b/>
          <w:bCs/>
          <w:color w:val="auto"/>
          <w:kern w:val="28"/>
          <w:sz w:val="24"/>
          <w:szCs w:val="24"/>
          <w:highlight w:val="none"/>
        </w:rPr>
        <w:t>1.8 计量单位</w:t>
      </w:r>
      <w:bookmarkEnd w:id="90"/>
      <w:bookmarkEnd w:id="91"/>
      <w:bookmarkEnd w:id="92"/>
      <w:bookmarkEnd w:id="93"/>
      <w:bookmarkEnd w:id="94"/>
      <w:bookmarkEnd w:id="95"/>
      <w:bookmarkEnd w:id="96"/>
      <w:bookmarkEnd w:id="97"/>
      <w:bookmarkEnd w:id="98"/>
      <w:bookmarkEnd w:id="99"/>
      <w:bookmarkEnd w:id="100"/>
    </w:p>
    <w:p w14:paraId="550E7AF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099B3243">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01" w:name="_Toc77586828"/>
      <w:bookmarkStart w:id="102" w:name="_Toc152045539"/>
      <w:bookmarkStart w:id="103" w:name="_Toc247592876"/>
      <w:bookmarkStart w:id="104" w:name="_Toc152042315"/>
      <w:bookmarkStart w:id="105" w:name="_Toc247527563"/>
      <w:bookmarkStart w:id="106" w:name="_Toc247513962"/>
      <w:bookmarkStart w:id="107" w:name="_Toc144974507"/>
      <w:bookmarkStart w:id="108" w:name="_Toc77586921"/>
      <w:bookmarkStart w:id="109" w:name="_Toc296602429"/>
      <w:bookmarkStart w:id="110" w:name="_Toc19917"/>
      <w:r>
        <w:rPr>
          <w:rFonts w:hint="eastAsia" w:ascii="宋体" w:hAnsi="宋体" w:cs="宋体"/>
          <w:b/>
          <w:bCs/>
          <w:color w:val="auto"/>
          <w:kern w:val="28"/>
          <w:sz w:val="24"/>
          <w:szCs w:val="24"/>
          <w:highlight w:val="none"/>
        </w:rPr>
        <w:t>1.9 踏勘现场</w:t>
      </w:r>
      <w:bookmarkEnd w:id="101"/>
      <w:bookmarkEnd w:id="102"/>
      <w:bookmarkEnd w:id="103"/>
      <w:bookmarkEnd w:id="104"/>
      <w:bookmarkEnd w:id="105"/>
      <w:bookmarkEnd w:id="106"/>
      <w:bookmarkEnd w:id="107"/>
      <w:bookmarkEnd w:id="108"/>
      <w:bookmarkEnd w:id="109"/>
      <w:bookmarkEnd w:id="110"/>
    </w:p>
    <w:p w14:paraId="4B83DE2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1.9.1 招标人不组织现场踏勘，由投标人自行踏勘。 </w:t>
      </w:r>
    </w:p>
    <w:p w14:paraId="3675E3F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投标人踏勘现场发生的费用自理。</w:t>
      </w:r>
    </w:p>
    <w:p w14:paraId="74F3295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1.9.3 投标人自行负责在踏勘现场中所发生的人员伤亡和财产损失。</w:t>
      </w:r>
    </w:p>
    <w:p w14:paraId="02B7400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1.9.4 投标人在踏勘现场中看到的工程场地和相关的周边环境情况，供投标人在编制磋商响应文件时参考，招标人不对投标人据此作出的判断和决策负责。</w:t>
      </w:r>
    </w:p>
    <w:p w14:paraId="6E1FF214">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11" w:name="_Toc247527564"/>
      <w:bookmarkStart w:id="112" w:name="_Toc21093"/>
      <w:bookmarkStart w:id="113" w:name="_Toc247592877"/>
      <w:bookmarkStart w:id="114" w:name="_Toc77586829"/>
      <w:bookmarkStart w:id="115" w:name="_Toc296602430"/>
      <w:bookmarkStart w:id="116" w:name="_Toc152042316"/>
      <w:bookmarkStart w:id="117" w:name="_Toc144974508"/>
      <w:bookmarkStart w:id="118" w:name="_Toc152045540"/>
      <w:bookmarkStart w:id="119" w:name="_Toc247513963"/>
      <w:bookmarkStart w:id="120" w:name="_Toc77586922"/>
      <w:r>
        <w:rPr>
          <w:rFonts w:hint="eastAsia" w:ascii="宋体" w:hAnsi="宋体" w:cs="宋体"/>
          <w:b/>
          <w:bCs/>
          <w:color w:val="auto"/>
          <w:kern w:val="28"/>
          <w:sz w:val="24"/>
          <w:szCs w:val="24"/>
          <w:highlight w:val="none"/>
        </w:rPr>
        <w:t>1.10 投标预备会</w:t>
      </w:r>
      <w:bookmarkEnd w:id="111"/>
      <w:bookmarkEnd w:id="112"/>
      <w:bookmarkEnd w:id="113"/>
      <w:bookmarkEnd w:id="114"/>
      <w:bookmarkEnd w:id="115"/>
      <w:bookmarkEnd w:id="116"/>
      <w:bookmarkEnd w:id="117"/>
      <w:bookmarkEnd w:id="118"/>
      <w:bookmarkEnd w:id="119"/>
      <w:bookmarkEnd w:id="120"/>
      <w:bookmarkStart w:id="121" w:name="_Toc296602431"/>
    </w:p>
    <w:p w14:paraId="2ECFE6F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不召开</w:t>
      </w:r>
    </w:p>
    <w:p w14:paraId="2A56CE96">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22" w:name="_Toc77586830"/>
      <w:bookmarkStart w:id="123" w:name="_Toc77586923"/>
      <w:bookmarkStart w:id="124" w:name="_Toc1192"/>
      <w:r>
        <w:rPr>
          <w:rFonts w:hint="eastAsia" w:ascii="宋体" w:hAnsi="宋体" w:cs="宋体"/>
          <w:b/>
          <w:bCs/>
          <w:color w:val="auto"/>
          <w:kern w:val="28"/>
          <w:sz w:val="24"/>
          <w:szCs w:val="24"/>
          <w:highlight w:val="none"/>
        </w:rPr>
        <w:t xml:space="preserve">1.11 </w:t>
      </w:r>
      <w:bookmarkEnd w:id="121"/>
      <w:r>
        <w:rPr>
          <w:rFonts w:hint="eastAsia" w:ascii="宋体" w:hAnsi="宋体" w:cs="宋体"/>
          <w:b/>
          <w:bCs/>
          <w:color w:val="auto"/>
          <w:kern w:val="28"/>
          <w:sz w:val="24"/>
          <w:szCs w:val="24"/>
          <w:highlight w:val="none"/>
        </w:rPr>
        <w:t>分包</w:t>
      </w:r>
      <w:bookmarkEnd w:id="122"/>
      <w:bookmarkEnd w:id="123"/>
      <w:bookmarkEnd w:id="124"/>
    </w:p>
    <w:p w14:paraId="3EF8717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不允许</w:t>
      </w:r>
    </w:p>
    <w:p w14:paraId="6158FEEB">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25" w:name="_Toc77586831"/>
      <w:bookmarkStart w:id="126" w:name="_Toc179632560"/>
      <w:bookmarkStart w:id="127" w:name="_Toc5930"/>
      <w:bookmarkStart w:id="128" w:name="_Toc152045542"/>
      <w:bookmarkStart w:id="129" w:name="_Toc296602432"/>
      <w:bookmarkStart w:id="130" w:name="_Toc246996930"/>
      <w:bookmarkStart w:id="131" w:name="_Toc77586924"/>
      <w:bookmarkStart w:id="132" w:name="_Toc247085701"/>
      <w:bookmarkStart w:id="133" w:name="_Toc152042318"/>
      <w:bookmarkStart w:id="134" w:name="_Toc144974510"/>
      <w:bookmarkStart w:id="135" w:name="_Toc246996187"/>
      <w:r>
        <w:rPr>
          <w:rFonts w:hint="eastAsia" w:ascii="宋体" w:hAnsi="宋体" w:cs="宋体"/>
          <w:b/>
          <w:bCs/>
          <w:color w:val="auto"/>
          <w:kern w:val="28"/>
          <w:sz w:val="24"/>
          <w:szCs w:val="24"/>
          <w:highlight w:val="none"/>
        </w:rPr>
        <w:t>2. 竞争性磋商文件</w:t>
      </w:r>
      <w:bookmarkEnd w:id="125"/>
      <w:bookmarkEnd w:id="126"/>
      <w:bookmarkEnd w:id="127"/>
      <w:bookmarkEnd w:id="128"/>
      <w:bookmarkEnd w:id="129"/>
      <w:bookmarkEnd w:id="130"/>
      <w:bookmarkEnd w:id="131"/>
      <w:bookmarkEnd w:id="132"/>
      <w:bookmarkEnd w:id="133"/>
      <w:bookmarkEnd w:id="134"/>
      <w:bookmarkEnd w:id="135"/>
    </w:p>
    <w:p w14:paraId="6DF592C9">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36" w:name="_Toc152042319"/>
      <w:bookmarkStart w:id="137" w:name="_Toc246996931"/>
      <w:bookmarkStart w:id="138" w:name="_Toc296602433"/>
      <w:bookmarkStart w:id="139" w:name="_Toc77586832"/>
      <w:bookmarkStart w:id="140" w:name="_Toc246996188"/>
      <w:bookmarkStart w:id="141" w:name="_Toc152045543"/>
      <w:bookmarkStart w:id="142" w:name="_Toc77586925"/>
      <w:bookmarkStart w:id="143" w:name="_Toc26477"/>
      <w:bookmarkStart w:id="144" w:name="_Toc179632561"/>
      <w:bookmarkStart w:id="145" w:name="_Toc144974511"/>
      <w:bookmarkStart w:id="146" w:name="_Toc247085702"/>
      <w:r>
        <w:rPr>
          <w:rFonts w:hint="eastAsia" w:ascii="宋体" w:hAnsi="宋体" w:cs="宋体"/>
          <w:b/>
          <w:bCs/>
          <w:color w:val="auto"/>
          <w:kern w:val="28"/>
          <w:sz w:val="24"/>
          <w:szCs w:val="24"/>
          <w:highlight w:val="none"/>
        </w:rPr>
        <w:t>2.1 竞争性磋商文件的组成</w:t>
      </w:r>
      <w:bookmarkEnd w:id="136"/>
      <w:bookmarkEnd w:id="137"/>
      <w:bookmarkEnd w:id="138"/>
      <w:bookmarkEnd w:id="139"/>
      <w:bookmarkEnd w:id="140"/>
      <w:bookmarkEnd w:id="141"/>
      <w:bookmarkEnd w:id="142"/>
      <w:bookmarkEnd w:id="143"/>
      <w:bookmarkEnd w:id="144"/>
      <w:bookmarkEnd w:id="145"/>
      <w:bookmarkEnd w:id="146"/>
    </w:p>
    <w:p w14:paraId="3BC57C0F">
      <w:pPr>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2.1.1 本竞争性磋商文件包括：</w:t>
      </w:r>
    </w:p>
    <w:p w14:paraId="391D0BC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（1）竞争性磋商公告；</w:t>
      </w:r>
    </w:p>
    <w:p w14:paraId="0B335E62">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（2）投标人须知；</w:t>
      </w:r>
    </w:p>
    <w:p w14:paraId="0B2CB12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（3）评标办法；</w:t>
      </w:r>
    </w:p>
    <w:p w14:paraId="147E9AB1">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（4）合同条款及格式；</w:t>
      </w:r>
    </w:p>
    <w:p w14:paraId="6C7E8EC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（5）工程量清单（另附）； </w:t>
      </w:r>
    </w:p>
    <w:p w14:paraId="67713402">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（6）技术标准和要求； </w:t>
      </w:r>
    </w:p>
    <w:p w14:paraId="085B0671">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（7）磋商响应文件格式。</w:t>
      </w:r>
    </w:p>
    <w:p w14:paraId="0EF2119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2.1.2根据本章第2.2款和第2.3款对竞争性磋商文件所作的澄清、修改，构成竞争性磋商文件的组成部分。</w:t>
      </w:r>
    </w:p>
    <w:p w14:paraId="1A5D0EA6">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47" w:name="_Toc5180"/>
      <w:bookmarkStart w:id="148" w:name="_Toc296602434"/>
      <w:bookmarkStart w:id="149" w:name="_Toc77586926"/>
      <w:bookmarkStart w:id="150" w:name="_Toc152045544"/>
      <w:bookmarkStart w:id="151" w:name="_Toc179632562"/>
      <w:bookmarkStart w:id="152" w:name="_Toc246996932"/>
      <w:bookmarkStart w:id="153" w:name="_Toc246996189"/>
      <w:bookmarkStart w:id="154" w:name="_Toc247085703"/>
      <w:bookmarkStart w:id="155" w:name="_Toc152042320"/>
      <w:bookmarkStart w:id="156" w:name="_Toc144974512"/>
      <w:bookmarkStart w:id="157" w:name="_Toc77586833"/>
      <w:r>
        <w:rPr>
          <w:rFonts w:hint="eastAsia" w:ascii="宋体" w:hAnsi="宋体" w:cs="宋体"/>
          <w:b/>
          <w:bCs/>
          <w:color w:val="auto"/>
          <w:kern w:val="28"/>
          <w:sz w:val="24"/>
          <w:szCs w:val="24"/>
          <w:highlight w:val="none"/>
        </w:rPr>
        <w:t>2.2 竞争性磋商文件的澄清</w:t>
      </w:r>
      <w:bookmarkEnd w:id="147"/>
      <w:bookmarkEnd w:id="148"/>
      <w:bookmarkEnd w:id="149"/>
      <w:bookmarkEnd w:id="150"/>
      <w:bookmarkEnd w:id="151"/>
      <w:bookmarkEnd w:id="152"/>
      <w:bookmarkEnd w:id="153"/>
      <w:bookmarkEnd w:id="154"/>
      <w:bookmarkEnd w:id="155"/>
      <w:bookmarkEnd w:id="156"/>
      <w:bookmarkEnd w:id="157"/>
    </w:p>
    <w:p w14:paraId="0F32C89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投标人应仔细阅读和检查竞争性磋商文件的全部内容。如发现缺页或附件不全，应及时向招标人提出，以便补齐。如有疑问，应在投标人须知前附表规定的时间前以书面的形式，要求招标人对竞争性磋商文件予以澄清。</w:t>
      </w:r>
    </w:p>
    <w:p w14:paraId="4B55468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2.2.2竞争性磋商文件的澄清将以公告形式发布到网上，但不指明澄清问题的来源。如果澄清发出的时间距投标人须知前附表规定的投标截止时间不足5天，并且澄清内容影响磋商响应文件编制的，将相应延长磋商截止时间。 </w:t>
      </w:r>
    </w:p>
    <w:p w14:paraId="03493321">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58" w:name="_Toc296602435"/>
      <w:bookmarkStart w:id="159" w:name="_Toc247085704"/>
      <w:bookmarkStart w:id="160" w:name="_Toc22075"/>
      <w:bookmarkStart w:id="161" w:name="_Toc77586927"/>
      <w:bookmarkStart w:id="162" w:name="_Toc179632563"/>
      <w:bookmarkStart w:id="163" w:name="_Toc246996190"/>
      <w:bookmarkStart w:id="164" w:name="_Toc246996933"/>
      <w:bookmarkStart w:id="165" w:name="_Toc144974513"/>
      <w:bookmarkStart w:id="166" w:name="_Toc152042321"/>
      <w:bookmarkStart w:id="167" w:name="_Toc77586834"/>
      <w:bookmarkStart w:id="168" w:name="_Toc152045545"/>
      <w:r>
        <w:rPr>
          <w:rFonts w:hint="eastAsia" w:ascii="宋体" w:hAnsi="宋体" w:cs="宋体"/>
          <w:b/>
          <w:bCs/>
          <w:color w:val="auto"/>
          <w:kern w:val="28"/>
          <w:sz w:val="24"/>
          <w:szCs w:val="24"/>
          <w:highlight w:val="none"/>
        </w:rPr>
        <w:t>2.3 竞争性磋商文件的修改</w:t>
      </w:r>
      <w:bookmarkEnd w:id="158"/>
      <w:bookmarkEnd w:id="159"/>
      <w:bookmarkEnd w:id="160"/>
      <w:bookmarkEnd w:id="161"/>
      <w:bookmarkEnd w:id="162"/>
      <w:bookmarkEnd w:id="163"/>
      <w:bookmarkEnd w:id="164"/>
      <w:bookmarkEnd w:id="165"/>
      <w:bookmarkEnd w:id="166"/>
      <w:bookmarkEnd w:id="167"/>
      <w:bookmarkEnd w:id="168"/>
    </w:p>
    <w:p w14:paraId="5AA56C8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2.3.1招标人可以书面形式修改竞争性磋商文件，但如果修改竞争性磋商文件的时间距投标截止时间不足5天，并且修改内容影响磋商响应文件编制的，将相应延长磋商截止时间。</w:t>
      </w:r>
    </w:p>
    <w:p w14:paraId="45CF73EF">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69" w:name="_Toc246996191"/>
      <w:bookmarkStart w:id="170" w:name="_Toc77586928"/>
      <w:bookmarkStart w:id="171" w:name="_Toc296602436"/>
      <w:bookmarkStart w:id="172" w:name="_Toc247085705"/>
      <w:bookmarkStart w:id="173" w:name="_Toc144974514"/>
      <w:bookmarkStart w:id="174" w:name="_Toc4969"/>
      <w:bookmarkStart w:id="175" w:name="_Toc246996934"/>
      <w:bookmarkStart w:id="176" w:name="_Toc179632564"/>
      <w:bookmarkStart w:id="177" w:name="_Toc77586835"/>
      <w:bookmarkStart w:id="178" w:name="_Toc152045546"/>
      <w:bookmarkStart w:id="179" w:name="_Toc152042322"/>
      <w:r>
        <w:rPr>
          <w:rFonts w:hint="eastAsia" w:ascii="宋体" w:hAnsi="宋体" w:cs="宋体"/>
          <w:b/>
          <w:bCs/>
          <w:color w:val="auto"/>
          <w:kern w:val="28"/>
          <w:sz w:val="24"/>
          <w:szCs w:val="24"/>
          <w:highlight w:val="none"/>
        </w:rPr>
        <w:t>3. 竞争性磋商响应文件</w:t>
      </w:r>
      <w:bookmarkEnd w:id="169"/>
      <w:bookmarkEnd w:id="170"/>
      <w:bookmarkEnd w:id="171"/>
      <w:bookmarkEnd w:id="172"/>
      <w:bookmarkEnd w:id="173"/>
      <w:bookmarkEnd w:id="174"/>
      <w:bookmarkEnd w:id="175"/>
      <w:bookmarkEnd w:id="176"/>
      <w:bookmarkEnd w:id="177"/>
      <w:bookmarkEnd w:id="178"/>
      <w:bookmarkEnd w:id="179"/>
    </w:p>
    <w:p w14:paraId="0508475B">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80" w:name="_Toc296602437"/>
      <w:bookmarkStart w:id="181" w:name="_Toc152042323"/>
      <w:bookmarkStart w:id="182" w:name="_Toc247085706"/>
      <w:bookmarkStart w:id="183" w:name="_Toc246996192"/>
      <w:bookmarkStart w:id="184" w:name="_Toc32015"/>
      <w:bookmarkStart w:id="185" w:name="_Toc77586836"/>
      <w:bookmarkStart w:id="186" w:name="_Toc144974515"/>
      <w:bookmarkStart w:id="187" w:name="_Toc77586929"/>
      <w:bookmarkStart w:id="188" w:name="_Toc179632565"/>
      <w:bookmarkStart w:id="189" w:name="_Toc152045547"/>
      <w:bookmarkStart w:id="190" w:name="_Toc246996935"/>
      <w:r>
        <w:rPr>
          <w:rFonts w:hint="eastAsia" w:ascii="宋体" w:hAnsi="宋体" w:cs="宋体"/>
          <w:b/>
          <w:bCs/>
          <w:color w:val="auto"/>
          <w:kern w:val="28"/>
          <w:sz w:val="24"/>
          <w:szCs w:val="24"/>
          <w:highlight w:val="none"/>
        </w:rPr>
        <w:t>3.1 竞争性磋商响应文件的组成</w:t>
      </w:r>
      <w:bookmarkEnd w:id="180"/>
      <w:bookmarkEnd w:id="181"/>
      <w:bookmarkEnd w:id="182"/>
      <w:bookmarkEnd w:id="183"/>
      <w:bookmarkEnd w:id="184"/>
      <w:bookmarkEnd w:id="185"/>
      <w:bookmarkEnd w:id="186"/>
      <w:bookmarkEnd w:id="187"/>
      <w:bookmarkEnd w:id="188"/>
      <w:bookmarkEnd w:id="189"/>
      <w:bookmarkEnd w:id="190"/>
    </w:p>
    <w:p w14:paraId="7051662B">
      <w:pPr>
        <w:spacing w:line="400" w:lineRule="exact"/>
        <w:ind w:firstLine="410" w:firstLineChars="171"/>
        <w:rPr>
          <w:rFonts w:hint="eastAsia" w:ascii="宋体" w:hAnsi="宋体" w:cs="宋体"/>
          <w:color w:val="auto"/>
          <w:sz w:val="24"/>
          <w:szCs w:val="24"/>
          <w:highlight w:val="none"/>
        </w:rPr>
      </w:pPr>
      <w:bookmarkStart w:id="191" w:name="_Toc144974516"/>
      <w:bookmarkStart w:id="192" w:name="_Toc247085707"/>
      <w:bookmarkStart w:id="193" w:name="_Toc246996936"/>
      <w:bookmarkStart w:id="194" w:name="_Toc296602438"/>
      <w:bookmarkStart w:id="195" w:name="_Toc152045548"/>
      <w:bookmarkStart w:id="196" w:name="_Toc152042324"/>
      <w:bookmarkStart w:id="197" w:name="_Toc246996193"/>
      <w:bookmarkStart w:id="198" w:name="_Toc179632566"/>
      <w:r>
        <w:rPr>
          <w:rFonts w:hint="eastAsia" w:ascii="宋体" w:hAnsi="宋体" w:cs="宋体"/>
          <w:color w:val="auto"/>
          <w:sz w:val="24"/>
          <w:szCs w:val="24"/>
          <w:highlight w:val="none"/>
        </w:rPr>
        <w:t>一、磋商响应函</w:t>
      </w:r>
    </w:p>
    <w:p w14:paraId="3175CA6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二、首次报价一览表</w:t>
      </w:r>
    </w:p>
    <w:p w14:paraId="43861E7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三、法定代表人身份证明及授权委托书</w:t>
      </w:r>
    </w:p>
    <w:p w14:paraId="57D6730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四、投标承诺函</w:t>
      </w:r>
    </w:p>
    <w:p w14:paraId="3AB09F7F">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五、已标价工程量清单</w:t>
      </w:r>
    </w:p>
    <w:p w14:paraId="08D9703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六、施工组织设计</w:t>
      </w:r>
    </w:p>
    <w:p w14:paraId="1CB325AD">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七、项目管理机构</w:t>
      </w:r>
    </w:p>
    <w:p w14:paraId="43C8CD7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八、资格审查资料</w:t>
      </w:r>
    </w:p>
    <w:p w14:paraId="12ACCE3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九、供应商认为应附的其他资料。</w:t>
      </w:r>
    </w:p>
    <w:p w14:paraId="617A3014">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199" w:name="_Toc77586837"/>
      <w:bookmarkStart w:id="200" w:name="_Toc77586930"/>
      <w:bookmarkStart w:id="201" w:name="_Toc7295"/>
      <w:r>
        <w:rPr>
          <w:rFonts w:hint="eastAsia" w:ascii="宋体" w:hAnsi="宋体" w:cs="宋体"/>
          <w:b/>
          <w:bCs/>
          <w:color w:val="auto"/>
          <w:kern w:val="28"/>
          <w:sz w:val="24"/>
          <w:szCs w:val="24"/>
          <w:highlight w:val="none"/>
        </w:rPr>
        <w:t>3.2 磋商报价</w:t>
      </w:r>
      <w:bookmarkEnd w:id="191"/>
      <w:bookmarkEnd w:id="192"/>
      <w:bookmarkEnd w:id="193"/>
      <w:bookmarkEnd w:id="194"/>
      <w:bookmarkEnd w:id="195"/>
      <w:bookmarkEnd w:id="196"/>
      <w:bookmarkEnd w:id="197"/>
      <w:bookmarkEnd w:id="198"/>
      <w:bookmarkEnd w:id="199"/>
      <w:bookmarkEnd w:id="200"/>
      <w:bookmarkEnd w:id="201"/>
    </w:p>
    <w:p w14:paraId="35C2884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3.2.1 根据竞争性磋商文件规定的工程内容，投标人应对本次招标工程的全部工作内容进行报价。磋商报价应是竞争性磋商文件所确定的磋商范围内的全部工作内容的价格体现。 </w:t>
      </w:r>
    </w:p>
    <w:p w14:paraId="404C2D3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3.2.2磋商报价应包括竞争性磋商文件及技术规范等规定的，实施和完成招标工程直至竣工验收合格，及达到质量和工期目标、安全文明、环境保护等要求,正式交付招标人使用前所需的全部费用。</w:t>
      </w:r>
    </w:p>
    <w:p w14:paraId="0221AE0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3.2.3投标人的磋商报价根据竞争性磋商文件、工程量清单、答疑等，充分考虑市场价格、风险因素，在合理范围内自主报价，但不得低于企业实际成本。</w:t>
      </w:r>
    </w:p>
    <w:p w14:paraId="38847E6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3.2.4投标人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5E93C5F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3.2.5投标人在磋商报价前可踏勘施工现场，充分考虑工地现状条件可能影响到工程正常施工的所有风险因素。无论投标人是否进行了上述现场踏勘工作，其磋商报价中均将被认为已包含有工地现状在施工作业期间发生的全部不可预见的风险费用，投标人成交后则无权因此要求任何工期或费用上的索赔。</w:t>
      </w:r>
    </w:p>
    <w:p w14:paraId="479B3E1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3.3.6施工期间由于工程条件发生变化或投标人原因造成施工方案的更改，所增加的措施费用及工期一概不予调整，相应的费用投标人应在谈判报价中充分考虑，招标人不再另行支付。</w:t>
      </w:r>
    </w:p>
    <w:p w14:paraId="23DC2AD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3.2.7磋商报价要求</w:t>
      </w:r>
    </w:p>
    <w:p w14:paraId="52B5501C">
      <w:pPr>
        <w:numPr>
          <w:ilvl w:val="0"/>
          <w:numId w:val="2"/>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各投标人在投标时必须在磋商响应文件中提供一份完整的工程量清单；</w:t>
      </w:r>
    </w:p>
    <w:p w14:paraId="46CD123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（2）各投标人作为有经验的承包商，应充分考虑该工程实施时的各种风险，并将其考虑在本次投标报价各清单项目的综合单价中，结算时综合单价不做调整（合同另有约定的除外）；</w:t>
      </w:r>
    </w:p>
    <w:p w14:paraId="78B6FDA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（3）本次磋商的最终投标总报价不得高于磋商控制价，高于磋商控制价的报价将不再评审；</w:t>
      </w:r>
    </w:p>
    <w:p w14:paraId="226B65D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（4）磋商响应文件报价中的单价和总价全部采用人民币表示。 </w:t>
      </w:r>
    </w:p>
    <w:p w14:paraId="4EA59DA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（5）本项目为竞争性磋商方式，允许二次报价。</w:t>
      </w:r>
    </w:p>
    <w:p w14:paraId="40232DFC">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02" w:name="_Toc296602439"/>
      <w:bookmarkStart w:id="203" w:name="_Toc247085708"/>
      <w:bookmarkStart w:id="204" w:name="_Toc77586838"/>
      <w:bookmarkStart w:id="205" w:name="_Toc77586931"/>
      <w:bookmarkStart w:id="206" w:name="_Toc246996937"/>
      <w:bookmarkStart w:id="207" w:name="_Toc10553"/>
      <w:bookmarkStart w:id="208" w:name="_Toc152045549"/>
      <w:bookmarkStart w:id="209" w:name="_Toc246996194"/>
      <w:bookmarkStart w:id="210" w:name="_Toc152042325"/>
      <w:bookmarkStart w:id="211" w:name="_Toc179632567"/>
      <w:bookmarkStart w:id="212" w:name="_Toc144974517"/>
      <w:r>
        <w:rPr>
          <w:rFonts w:hint="eastAsia" w:ascii="宋体" w:hAnsi="宋体" w:cs="宋体"/>
          <w:b/>
          <w:bCs/>
          <w:color w:val="auto"/>
          <w:kern w:val="28"/>
          <w:sz w:val="24"/>
          <w:szCs w:val="24"/>
          <w:highlight w:val="none"/>
        </w:rPr>
        <w:t>3.3 磋商有效期</w:t>
      </w:r>
      <w:bookmarkEnd w:id="202"/>
      <w:bookmarkEnd w:id="203"/>
      <w:bookmarkEnd w:id="204"/>
      <w:bookmarkEnd w:id="205"/>
      <w:bookmarkEnd w:id="206"/>
      <w:bookmarkEnd w:id="207"/>
      <w:bookmarkEnd w:id="208"/>
      <w:bookmarkEnd w:id="209"/>
      <w:bookmarkEnd w:id="210"/>
      <w:bookmarkEnd w:id="211"/>
      <w:bookmarkEnd w:id="212"/>
    </w:p>
    <w:p w14:paraId="09A13D1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 磋商有效期为</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0日历天。</w:t>
      </w:r>
    </w:p>
    <w:p w14:paraId="321C380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3.3.2在磋商有效期内，投标人撤销或修改其磋商响应文件的，应承担磋商文件和法律规定的责任。</w:t>
      </w:r>
    </w:p>
    <w:p w14:paraId="6D16DA3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3.3.3出现特殊情况需要延长投标有效期的，招标人以书面形式通知所有投标人延长投标有效期。</w:t>
      </w:r>
    </w:p>
    <w:p w14:paraId="48EA3627">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13" w:name="_Toc247085709"/>
      <w:bookmarkStart w:id="214" w:name="_Toc296602440"/>
      <w:bookmarkStart w:id="215" w:name="_Toc152045550"/>
      <w:bookmarkStart w:id="216" w:name="_Toc246996938"/>
      <w:bookmarkStart w:id="217" w:name="_Toc179632568"/>
      <w:bookmarkStart w:id="218" w:name="_Toc144974518"/>
      <w:bookmarkStart w:id="219" w:name="_Toc246996195"/>
      <w:bookmarkStart w:id="220" w:name="_Toc152042326"/>
      <w:bookmarkStart w:id="221" w:name="_Toc351"/>
      <w:bookmarkStart w:id="222" w:name="_Toc77586839"/>
      <w:bookmarkStart w:id="223" w:name="_Toc77586932"/>
      <w:r>
        <w:rPr>
          <w:rFonts w:hint="eastAsia" w:ascii="宋体" w:hAnsi="宋体" w:cs="宋体"/>
          <w:b/>
          <w:bCs/>
          <w:color w:val="auto"/>
          <w:kern w:val="28"/>
          <w:sz w:val="24"/>
          <w:szCs w:val="24"/>
          <w:highlight w:val="none"/>
        </w:rPr>
        <w:t xml:space="preserve">3.4 </w:t>
      </w:r>
      <w:bookmarkEnd w:id="213"/>
      <w:bookmarkEnd w:id="214"/>
      <w:bookmarkEnd w:id="215"/>
      <w:bookmarkEnd w:id="216"/>
      <w:bookmarkEnd w:id="217"/>
      <w:bookmarkEnd w:id="218"/>
      <w:bookmarkEnd w:id="219"/>
      <w:bookmarkEnd w:id="220"/>
      <w:r>
        <w:rPr>
          <w:rFonts w:hint="eastAsia" w:ascii="宋体" w:hAnsi="宋体" w:cs="宋体"/>
          <w:b/>
          <w:bCs/>
          <w:color w:val="auto"/>
          <w:kern w:val="28"/>
          <w:sz w:val="24"/>
          <w:szCs w:val="24"/>
          <w:highlight w:val="none"/>
        </w:rPr>
        <w:t>磋商保证金</w:t>
      </w:r>
      <w:bookmarkEnd w:id="221"/>
      <w:bookmarkEnd w:id="222"/>
      <w:bookmarkEnd w:id="223"/>
    </w:p>
    <w:p w14:paraId="5582CA14">
      <w:pPr>
        <w:spacing w:line="40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本项目不收取磋商保证金。</w:t>
      </w:r>
    </w:p>
    <w:p w14:paraId="6A90555B">
      <w:pPr>
        <w:spacing w:line="400" w:lineRule="exact"/>
        <w:ind w:firstLine="241" w:firstLineChars="100"/>
        <w:rPr>
          <w:rFonts w:hint="eastAsia" w:ascii="宋体" w:hAnsi="宋体" w:cs="宋体"/>
          <w:color w:val="auto"/>
          <w:sz w:val="24"/>
          <w:szCs w:val="24"/>
          <w:highlight w:val="none"/>
        </w:rPr>
      </w:pPr>
      <w:r>
        <w:rPr>
          <w:rFonts w:hint="eastAsia" w:ascii="宋体" w:hAnsi="宋体" w:cs="宋体"/>
          <w:b/>
          <w:bCs/>
          <w:color w:val="auto"/>
          <w:sz w:val="24"/>
          <w:szCs w:val="24"/>
          <w:highlight w:val="none"/>
        </w:rPr>
        <w:t>3.5 投标人基本情况表</w:t>
      </w:r>
      <w:bookmarkStart w:id="224" w:name="_Toc296602442"/>
      <w:bookmarkStart w:id="225" w:name="_Toc179632571"/>
      <w:bookmarkStart w:id="226" w:name="_Toc144974521"/>
      <w:bookmarkStart w:id="227" w:name="_Toc152042329"/>
      <w:bookmarkStart w:id="228" w:name="_Toc246996940"/>
      <w:bookmarkStart w:id="229" w:name="_Toc246996197"/>
      <w:bookmarkStart w:id="230" w:name="_Toc247085711"/>
      <w:bookmarkStart w:id="231" w:name="_Toc152045553"/>
    </w:p>
    <w:p w14:paraId="5BE09566">
      <w:pPr>
        <w:spacing w:line="40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3.5.1 “近年财务状况表”可附财务会计报表，具体年份要求见投标人须知前附表。</w:t>
      </w:r>
    </w:p>
    <w:p w14:paraId="0CA24E76">
      <w:pPr>
        <w:spacing w:line="40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3.5.2 “近年完成的类似项目情况表” 须提供中标通知书和施工合同，时间以签订施工合同为准，否则不得分。每张表格只填写一个项目，并标明序号。</w:t>
      </w:r>
    </w:p>
    <w:p w14:paraId="6EEC1CD1">
      <w:pPr>
        <w:spacing w:line="40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3.5.4 “正在施工和新承接的项目情况表”具体要求见评分办法，可附证明材料扫描件。每张表格只填写一个项目，并标明序号。</w:t>
      </w:r>
    </w:p>
    <w:p w14:paraId="63EE3064">
      <w:pPr>
        <w:spacing w:line="40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3.5.5 “近年发生的诉讼及仲裁情况”应说明相关情况，可附法院或仲裁机构作出的判决、裁决等有关法律文书扫描件，具体年份要求见投标人须知前附表。</w:t>
      </w:r>
    </w:p>
    <w:p w14:paraId="76510DF1">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32" w:name="_Toc77586840"/>
      <w:bookmarkStart w:id="233" w:name="_Toc77586933"/>
      <w:bookmarkStart w:id="234" w:name="_Toc32672"/>
      <w:r>
        <w:rPr>
          <w:rFonts w:hint="eastAsia" w:ascii="宋体" w:hAnsi="宋体" w:cs="宋体"/>
          <w:b/>
          <w:bCs/>
          <w:color w:val="auto"/>
          <w:kern w:val="28"/>
          <w:sz w:val="24"/>
          <w:szCs w:val="24"/>
          <w:highlight w:val="none"/>
        </w:rPr>
        <w:t>3.6磋商响应文件的</w:t>
      </w:r>
      <w:bookmarkEnd w:id="224"/>
      <w:r>
        <w:rPr>
          <w:rFonts w:hint="eastAsia" w:ascii="宋体" w:hAnsi="宋体" w:cs="宋体"/>
          <w:b/>
          <w:bCs/>
          <w:color w:val="auto"/>
          <w:kern w:val="28"/>
          <w:sz w:val="24"/>
          <w:szCs w:val="24"/>
          <w:highlight w:val="none"/>
        </w:rPr>
        <w:t>编制</w:t>
      </w:r>
      <w:bookmarkEnd w:id="232"/>
      <w:bookmarkEnd w:id="233"/>
      <w:bookmarkEnd w:id="234"/>
    </w:p>
    <w:bookmarkEnd w:id="225"/>
    <w:bookmarkEnd w:id="226"/>
    <w:bookmarkEnd w:id="227"/>
    <w:bookmarkEnd w:id="228"/>
    <w:bookmarkEnd w:id="229"/>
    <w:bookmarkEnd w:id="230"/>
    <w:bookmarkEnd w:id="231"/>
    <w:p w14:paraId="1F094794">
      <w:pPr>
        <w:spacing w:line="400" w:lineRule="exact"/>
        <w:ind w:firstLine="480" w:firstLineChars="200"/>
        <w:rPr>
          <w:rFonts w:hint="eastAsia" w:ascii="宋体" w:hAnsi="宋体" w:cs="宋体"/>
          <w:color w:val="auto"/>
          <w:sz w:val="24"/>
          <w:szCs w:val="24"/>
          <w:highlight w:val="none"/>
        </w:rPr>
      </w:pPr>
      <w:bookmarkStart w:id="235" w:name="_Toc246996199"/>
      <w:bookmarkStart w:id="236" w:name="_Toc179632573"/>
      <w:bookmarkStart w:id="237" w:name="_Toc296602443"/>
      <w:bookmarkStart w:id="238" w:name="_Toc152045555"/>
      <w:bookmarkStart w:id="239" w:name="_Toc246996942"/>
      <w:bookmarkStart w:id="240" w:name="_Toc144974523"/>
      <w:bookmarkStart w:id="241" w:name="_Toc152042331"/>
      <w:bookmarkStart w:id="242" w:name="_Toc247085713"/>
      <w:r>
        <w:rPr>
          <w:rFonts w:hint="eastAsia" w:ascii="宋体" w:hAnsi="宋体" w:cs="宋体"/>
          <w:color w:val="auto"/>
          <w:sz w:val="24"/>
          <w:szCs w:val="24"/>
          <w:highlight w:val="none"/>
        </w:rPr>
        <w:t>3.6.1磋商响应文件可按第八章“磋商响应文件格式”进行编写，如有必要，可以增加附页作为磋商响应文件的组成部分。其中，投标函附录在满足竞争性磋商文件实质性要求的基础上，可以提出比竞争性磋商文件要求更有利于招标人的承诺。</w:t>
      </w:r>
    </w:p>
    <w:p w14:paraId="7C733E2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3.6.2 磋商响应文件应当对竞争性磋商文件有关项目实施周期、投标有效期、质量要求、招标范围等实质性内容作出响应。</w:t>
      </w:r>
    </w:p>
    <w:p w14:paraId="0436DE4D">
      <w:pPr>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sz w:val="24"/>
          <w:szCs w:val="24"/>
          <w:highlight w:val="none"/>
        </w:rPr>
        <w:t>3.6.3</w:t>
      </w:r>
      <w:r>
        <w:rPr>
          <w:rFonts w:hint="eastAsia" w:ascii="宋体" w:hAnsi="宋体"/>
          <w:color w:val="auto"/>
          <w:sz w:val="24"/>
          <w:szCs w:val="24"/>
          <w:highlight w:val="none"/>
        </w:rPr>
        <w:t>投标人所上传的电子化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应是通过中心投标文件制作系统制作的（投标文件制作工具下载地址：https://download.bqpoint.com/download/downloaddetail.html?SourceFrom=Ztb&amp;ZtbSoftXiaQuCode=1506&amp;ZtbSoftType=tballinclusive），经过签章和加密后生成的电子版磋商响应文件。其中包含用于</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文件上传的主文件（后缀为.smxtf）和用于应急补救的</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文件备份文件（后缀为.nsmxtf）。</w:t>
      </w:r>
    </w:p>
    <w:p w14:paraId="1062857E">
      <w:pPr>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电子化投标文件具体制作教材请投标人点击以下链接学习</w:t>
      </w:r>
      <w:r>
        <w:rPr>
          <w:rFonts w:hint="eastAsia" w:ascii="宋体" w:hAnsi="宋体"/>
          <w:color w:val="auto"/>
          <w:sz w:val="24"/>
          <w:szCs w:val="24"/>
          <w:highlight w:val="none"/>
        </w:rPr>
        <w:t>http://gzjy.smx.gov.cn/bzzx/008001/20200325</w:t>
      </w:r>
      <w:bookmarkStart w:id="1545" w:name="_GoBack"/>
      <w:bookmarkEnd w:id="1545"/>
      <w:r>
        <w:rPr>
          <w:rFonts w:hint="eastAsia" w:ascii="宋体" w:hAnsi="宋体"/>
          <w:color w:val="auto"/>
          <w:sz w:val="24"/>
          <w:szCs w:val="24"/>
          <w:highlight w:val="none"/>
        </w:rPr>
        <w:t>/4a2f9fa3-b923-4ddd-bd6f-138a0b63f7d1.html</w:t>
      </w:r>
    </w:p>
    <w:p w14:paraId="06B3EE7B">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43" w:name="_Toc77586841"/>
      <w:bookmarkStart w:id="244" w:name="_Toc11191"/>
      <w:bookmarkStart w:id="245" w:name="_Toc77586934"/>
      <w:r>
        <w:rPr>
          <w:rFonts w:hint="eastAsia" w:ascii="宋体" w:hAnsi="宋体" w:cs="宋体"/>
          <w:b/>
          <w:bCs/>
          <w:color w:val="auto"/>
          <w:kern w:val="28"/>
          <w:sz w:val="24"/>
          <w:szCs w:val="24"/>
          <w:highlight w:val="none"/>
        </w:rPr>
        <w:t>3.7备选投标方案</w:t>
      </w:r>
      <w:bookmarkEnd w:id="243"/>
      <w:bookmarkEnd w:id="244"/>
      <w:bookmarkEnd w:id="245"/>
    </w:p>
    <w:p w14:paraId="2D7BA38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不允许投标人递交备选投标方案。</w:t>
      </w:r>
    </w:p>
    <w:p w14:paraId="12D3D155">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46" w:name="_Toc77586842"/>
      <w:bookmarkStart w:id="247" w:name="_Toc16915"/>
      <w:bookmarkStart w:id="248" w:name="_Toc77586935"/>
      <w:r>
        <w:rPr>
          <w:rFonts w:hint="eastAsia" w:ascii="宋体" w:hAnsi="宋体" w:cs="宋体"/>
          <w:b/>
          <w:bCs/>
          <w:color w:val="auto"/>
          <w:kern w:val="28"/>
          <w:sz w:val="24"/>
          <w:szCs w:val="24"/>
          <w:highlight w:val="none"/>
        </w:rPr>
        <w:t>4. 投标</w:t>
      </w:r>
      <w:bookmarkEnd w:id="235"/>
      <w:bookmarkEnd w:id="236"/>
      <w:bookmarkEnd w:id="237"/>
      <w:bookmarkEnd w:id="238"/>
      <w:bookmarkEnd w:id="239"/>
      <w:bookmarkEnd w:id="240"/>
      <w:bookmarkEnd w:id="241"/>
      <w:bookmarkEnd w:id="242"/>
      <w:bookmarkEnd w:id="246"/>
      <w:bookmarkEnd w:id="247"/>
      <w:bookmarkEnd w:id="248"/>
    </w:p>
    <w:p w14:paraId="1674C7C0">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49" w:name="_Toc179632574"/>
      <w:bookmarkStart w:id="250" w:name="_Toc152042332"/>
      <w:bookmarkStart w:id="251" w:name="_Toc152045556"/>
      <w:bookmarkStart w:id="252" w:name="_Toc246996200"/>
      <w:bookmarkStart w:id="253" w:name="_Toc247085714"/>
      <w:bookmarkStart w:id="254" w:name="_Toc246996943"/>
      <w:bookmarkStart w:id="255" w:name="_Toc296602444"/>
      <w:bookmarkStart w:id="256" w:name="_Toc144974524"/>
      <w:bookmarkStart w:id="257" w:name="_Toc77586843"/>
      <w:bookmarkStart w:id="258" w:name="_Toc16776"/>
      <w:bookmarkStart w:id="259" w:name="_Toc77586936"/>
      <w:r>
        <w:rPr>
          <w:rFonts w:hint="eastAsia" w:ascii="宋体" w:hAnsi="宋体" w:cs="宋体"/>
          <w:b/>
          <w:bCs/>
          <w:color w:val="auto"/>
          <w:kern w:val="28"/>
          <w:sz w:val="24"/>
          <w:szCs w:val="24"/>
          <w:highlight w:val="none"/>
        </w:rPr>
        <w:t>4.1 磋商响应文件的</w:t>
      </w:r>
      <w:bookmarkEnd w:id="249"/>
      <w:bookmarkEnd w:id="250"/>
      <w:bookmarkEnd w:id="251"/>
      <w:bookmarkEnd w:id="252"/>
      <w:bookmarkEnd w:id="253"/>
      <w:bookmarkEnd w:id="254"/>
      <w:bookmarkEnd w:id="255"/>
      <w:bookmarkEnd w:id="256"/>
      <w:r>
        <w:rPr>
          <w:rFonts w:hint="eastAsia" w:ascii="宋体" w:hAnsi="宋体" w:cs="宋体"/>
          <w:b/>
          <w:bCs/>
          <w:color w:val="auto"/>
          <w:kern w:val="28"/>
          <w:sz w:val="24"/>
          <w:szCs w:val="24"/>
          <w:highlight w:val="none"/>
        </w:rPr>
        <w:t>签署</w:t>
      </w:r>
      <w:bookmarkEnd w:id="257"/>
      <w:bookmarkEnd w:id="258"/>
      <w:bookmarkEnd w:id="259"/>
    </w:p>
    <w:p w14:paraId="5ABAA246">
      <w:pPr>
        <w:spacing w:line="400" w:lineRule="exact"/>
        <w:ind w:firstLine="482"/>
        <w:rPr>
          <w:rFonts w:hint="eastAsia" w:ascii="宋体" w:hAnsi="宋体" w:cs="宋体"/>
          <w:color w:val="auto"/>
          <w:sz w:val="24"/>
          <w:szCs w:val="24"/>
          <w:highlight w:val="none"/>
        </w:rPr>
      </w:pPr>
      <w:bookmarkStart w:id="260" w:name="_Toc246996944"/>
      <w:bookmarkStart w:id="261" w:name="_Toc144974525"/>
      <w:bookmarkStart w:id="262" w:name="_Toc296602445"/>
      <w:bookmarkStart w:id="263" w:name="_Toc247085715"/>
      <w:bookmarkStart w:id="264" w:name="_Toc179632575"/>
      <w:bookmarkStart w:id="265" w:name="_Toc152045557"/>
      <w:bookmarkStart w:id="266" w:name="_Toc152042333"/>
      <w:bookmarkStart w:id="267" w:name="_Toc246996201"/>
      <w:r>
        <w:rPr>
          <w:rFonts w:hint="eastAsia" w:ascii="宋体" w:hAnsi="宋体" w:cs="宋体"/>
          <w:bCs/>
          <w:color w:val="auto"/>
          <w:sz w:val="24"/>
          <w:szCs w:val="24"/>
          <w:highlight w:val="none"/>
        </w:rPr>
        <w:t>4.1.1投标人在进行电子化磋商响应文件签章时，竞争性磋商文件中要求投标人盖章的，以签盖单位章为准；要求法定代表人签章的，以签盖法定代表人签章为准</w:t>
      </w:r>
      <w:r>
        <w:rPr>
          <w:rFonts w:hint="eastAsia" w:ascii="宋体" w:hAnsi="宋体" w:cs="宋体"/>
          <w:color w:val="auto"/>
          <w:sz w:val="24"/>
          <w:szCs w:val="24"/>
          <w:highlight w:val="none"/>
        </w:rPr>
        <w:t>。电子化磋商响应文件具体制作教材请投标人通过CA证书登录三门峡市公共资源电子化交易系统在右上角“组件下载”中查看。</w:t>
      </w:r>
    </w:p>
    <w:p w14:paraId="4F85AE8A">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68" w:name="_Toc77586844"/>
      <w:bookmarkStart w:id="269" w:name="_Toc77586937"/>
      <w:bookmarkStart w:id="270" w:name="_Toc1081"/>
      <w:r>
        <w:rPr>
          <w:rFonts w:hint="eastAsia" w:ascii="宋体" w:hAnsi="宋体" w:cs="宋体"/>
          <w:b/>
          <w:bCs/>
          <w:color w:val="auto"/>
          <w:kern w:val="28"/>
          <w:sz w:val="24"/>
          <w:szCs w:val="24"/>
          <w:highlight w:val="none"/>
        </w:rPr>
        <w:t>4.2 磋商响应文件的上传</w:t>
      </w:r>
      <w:bookmarkEnd w:id="268"/>
      <w:bookmarkEnd w:id="269"/>
      <w:bookmarkEnd w:id="270"/>
    </w:p>
    <w:p w14:paraId="5C6758FD">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电子化磋商响应文件应在投标截止时间前成功上传至三门峡市公共资源电子化交易系统。至投标截止时间止，仍未上传成功的电子化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文件将不予接收。</w:t>
      </w:r>
    </w:p>
    <w:p w14:paraId="37C63476">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注：如按照电子化投标操作教材制作完成的电子化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文件无法上传的，投标人应在</w:t>
      </w:r>
      <w:r>
        <w:rPr>
          <w:rFonts w:hint="eastAsia" w:ascii="宋体" w:hAnsi="宋体"/>
          <w:b/>
          <w:color w:val="auto"/>
          <w:sz w:val="24"/>
          <w:szCs w:val="24"/>
          <w:highlight w:val="none"/>
        </w:rPr>
        <w:t>投标截止时间前尽早的</w:t>
      </w:r>
      <w:r>
        <w:rPr>
          <w:rFonts w:hint="eastAsia" w:ascii="宋体" w:hAnsi="宋体"/>
          <w:color w:val="auto"/>
          <w:sz w:val="24"/>
          <w:szCs w:val="24"/>
          <w:highlight w:val="none"/>
        </w:rPr>
        <w:t>联系中心技术人员，以便有充分的时间进行处理。</w:t>
      </w:r>
      <w:r>
        <w:rPr>
          <w:rFonts w:hint="eastAsia" w:ascii="宋体" w:hAnsi="宋体"/>
          <w:b/>
          <w:color w:val="auto"/>
          <w:sz w:val="24"/>
          <w:szCs w:val="24"/>
          <w:highlight w:val="none"/>
        </w:rPr>
        <w:t>投标人应充分考虑到处理技术问题和上传数据等工作所需的时间问题，电子化磋商响应文件未在投标截止时间前成功上传的，其磋商响应文件不予接收。</w:t>
      </w:r>
    </w:p>
    <w:p w14:paraId="476DC514">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71" w:name="_Toc7908"/>
      <w:bookmarkStart w:id="272" w:name="_Toc77586845"/>
      <w:bookmarkStart w:id="273" w:name="_Toc77586938"/>
      <w:r>
        <w:rPr>
          <w:rFonts w:hint="eastAsia" w:ascii="宋体" w:hAnsi="宋体" w:cs="宋体"/>
          <w:b/>
          <w:bCs/>
          <w:color w:val="auto"/>
          <w:kern w:val="28"/>
          <w:sz w:val="24"/>
          <w:szCs w:val="24"/>
          <w:highlight w:val="none"/>
        </w:rPr>
        <w:t>4.3 磋商响应文件的修改与撤回</w:t>
      </w:r>
      <w:bookmarkEnd w:id="271"/>
      <w:bookmarkEnd w:id="272"/>
      <w:bookmarkEnd w:id="273"/>
    </w:p>
    <w:p w14:paraId="3C2B425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4.3.1在投标截止时间之后，投标人不得补充、修改电子化磋商响应文件。</w:t>
      </w:r>
    </w:p>
    <w:bookmarkEnd w:id="260"/>
    <w:bookmarkEnd w:id="261"/>
    <w:bookmarkEnd w:id="262"/>
    <w:bookmarkEnd w:id="263"/>
    <w:bookmarkEnd w:id="264"/>
    <w:bookmarkEnd w:id="265"/>
    <w:bookmarkEnd w:id="266"/>
    <w:bookmarkEnd w:id="267"/>
    <w:p w14:paraId="4E700589">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74" w:name="_Toc247085717"/>
      <w:bookmarkStart w:id="275" w:name="_Toc179632577"/>
      <w:bookmarkStart w:id="276" w:name="_Toc144974527"/>
      <w:bookmarkStart w:id="277" w:name="_Toc246996203"/>
      <w:bookmarkStart w:id="278" w:name="_Toc246996946"/>
      <w:bookmarkStart w:id="279" w:name="_Toc152042335"/>
      <w:bookmarkStart w:id="280" w:name="_Toc296602447"/>
      <w:bookmarkStart w:id="281" w:name="_Toc152045559"/>
      <w:bookmarkStart w:id="282" w:name="_Toc77586846"/>
      <w:bookmarkStart w:id="283" w:name="_Toc29915"/>
      <w:bookmarkStart w:id="284" w:name="_Toc77586939"/>
      <w:r>
        <w:rPr>
          <w:rFonts w:hint="eastAsia" w:ascii="宋体" w:hAnsi="宋体" w:cs="宋体"/>
          <w:b/>
          <w:bCs/>
          <w:color w:val="auto"/>
          <w:kern w:val="28"/>
          <w:sz w:val="24"/>
          <w:szCs w:val="24"/>
          <w:highlight w:val="none"/>
        </w:rPr>
        <w:t xml:space="preserve">5. </w:t>
      </w:r>
      <w:bookmarkEnd w:id="274"/>
      <w:bookmarkEnd w:id="275"/>
      <w:bookmarkEnd w:id="276"/>
      <w:bookmarkEnd w:id="277"/>
      <w:bookmarkEnd w:id="278"/>
      <w:bookmarkEnd w:id="279"/>
      <w:bookmarkEnd w:id="280"/>
      <w:bookmarkEnd w:id="281"/>
      <w:r>
        <w:rPr>
          <w:rFonts w:hint="eastAsia" w:ascii="宋体" w:hAnsi="宋体" w:cs="宋体"/>
          <w:b/>
          <w:bCs/>
          <w:color w:val="auto"/>
          <w:kern w:val="28"/>
          <w:sz w:val="24"/>
          <w:szCs w:val="24"/>
          <w:highlight w:val="none"/>
        </w:rPr>
        <w:t>磋商</w:t>
      </w:r>
      <w:bookmarkEnd w:id="282"/>
      <w:bookmarkEnd w:id="283"/>
      <w:bookmarkEnd w:id="284"/>
    </w:p>
    <w:p w14:paraId="26532B8D">
      <w:pPr>
        <w:spacing w:line="400" w:lineRule="exact"/>
        <w:ind w:firstLine="422" w:firstLineChars="176"/>
        <w:rPr>
          <w:rFonts w:hint="eastAsia" w:ascii="宋体" w:hAnsi="宋体"/>
          <w:color w:val="auto"/>
          <w:sz w:val="24"/>
          <w:szCs w:val="24"/>
          <w:highlight w:val="none"/>
        </w:rPr>
      </w:pPr>
      <w:bookmarkStart w:id="285" w:name="_Toc247085720"/>
      <w:bookmarkStart w:id="286" w:name="_Toc144974529"/>
      <w:bookmarkStart w:id="287" w:name="_Toc152045561"/>
      <w:bookmarkStart w:id="288" w:name="_Toc152042338"/>
      <w:bookmarkStart w:id="289" w:name="_Toc179632580"/>
      <w:bookmarkStart w:id="290" w:name="_Toc246996949"/>
      <w:bookmarkStart w:id="291" w:name="_Toc246996206"/>
      <w:bookmarkStart w:id="292" w:name="_Toc152045562"/>
      <w:bookmarkStart w:id="293" w:name="_Toc144974530"/>
      <w:bookmarkStart w:id="294" w:name="_Toc179632579"/>
      <w:bookmarkStart w:id="295" w:name="_Toc296602451"/>
      <w:bookmarkStart w:id="296" w:name="_Toc152042337"/>
      <w:r>
        <w:rPr>
          <w:rFonts w:hint="eastAsia" w:ascii="宋体" w:hAnsi="宋体"/>
          <w:color w:val="auto"/>
          <w:sz w:val="24"/>
          <w:szCs w:val="24"/>
          <w:highlight w:val="none"/>
        </w:rPr>
        <w:t>5.1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378B71A">
      <w:pPr>
        <w:spacing w:line="400" w:lineRule="exact"/>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5.2 电子化磋商响应文件采用一次加密方式。开标时，由投标人使用CA 证书，在规定时间内对其电子化</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文件进行解密。每位投标人的解密时间为开标时间起30 分钟内，如在规定时间内未完成解密的，其</w:t>
      </w:r>
      <w:r>
        <w:rPr>
          <w:rFonts w:hint="eastAsia" w:ascii="宋体" w:hAnsi="宋体" w:cs="宋体"/>
          <w:color w:val="auto"/>
          <w:sz w:val="24"/>
          <w:szCs w:val="24"/>
          <w:highlight w:val="none"/>
        </w:rPr>
        <w:t>磋商响应</w:t>
      </w:r>
      <w:r>
        <w:rPr>
          <w:rFonts w:hint="eastAsia" w:ascii="宋体" w:hAnsi="宋体"/>
          <w:color w:val="auto"/>
          <w:sz w:val="24"/>
          <w:szCs w:val="24"/>
          <w:highlight w:val="none"/>
        </w:rPr>
        <w:t>文件不予开标、唱标。每位投标人的解密时间为开标时间起30分钟内完成。</w:t>
      </w:r>
    </w:p>
    <w:p w14:paraId="1BA05D67">
      <w:pPr>
        <w:spacing w:line="400" w:lineRule="exact"/>
        <w:ind w:firstLine="241" w:firstLineChars="100"/>
        <w:rPr>
          <w:rFonts w:hint="eastAsia" w:ascii="宋体" w:hAnsi="宋体"/>
          <w:b/>
          <w:color w:val="auto"/>
          <w:sz w:val="24"/>
          <w:szCs w:val="24"/>
          <w:highlight w:val="none"/>
        </w:rPr>
      </w:pPr>
      <w:r>
        <w:rPr>
          <w:rFonts w:hint="eastAsia" w:ascii="宋体" w:hAnsi="宋体"/>
          <w:b/>
          <w:color w:val="auto"/>
          <w:sz w:val="24"/>
          <w:szCs w:val="24"/>
          <w:highlight w:val="none"/>
        </w:rPr>
        <w:t>5.3 电子化磋商响应文件解密异常的处理</w:t>
      </w:r>
    </w:p>
    <w:p w14:paraId="69DE3919">
      <w:pPr>
        <w:spacing w:line="400" w:lineRule="exact"/>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如出现投标人的电子磋商响应文件无法解密等异常情况，投标人应及时致电中介服务机构说明。磋商响应文件异常，按以下步骤进行处理：</w:t>
      </w:r>
    </w:p>
    <w:p w14:paraId="124B20C9">
      <w:pPr>
        <w:spacing w:line="400" w:lineRule="exact"/>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（1）首先由技术人员进行问题排查。</w:t>
      </w:r>
    </w:p>
    <w:p w14:paraId="472EAF6F">
      <w:pPr>
        <w:spacing w:line="400" w:lineRule="exact"/>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（2）经技术人员排查后，是投标人文件自身问题导致磋商响应文件无法解密的，该磋商响应文件将不予接收、解密和唱标。开标会议继续进行。</w:t>
      </w:r>
    </w:p>
    <w:p w14:paraId="3F650902">
      <w:pPr>
        <w:spacing w:line="400" w:lineRule="exact"/>
        <w:ind w:firstLine="422" w:firstLineChars="176"/>
        <w:rPr>
          <w:rFonts w:hint="eastAsia" w:ascii="宋体" w:hAnsi="宋体"/>
          <w:color w:val="auto"/>
          <w:sz w:val="24"/>
          <w:szCs w:val="24"/>
          <w:highlight w:val="none"/>
        </w:rPr>
      </w:pPr>
      <w:r>
        <w:rPr>
          <w:rFonts w:hint="eastAsia" w:ascii="宋体" w:hAnsi="宋体"/>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bookmarkEnd w:id="285"/>
    <w:bookmarkEnd w:id="286"/>
    <w:bookmarkEnd w:id="287"/>
    <w:bookmarkEnd w:id="288"/>
    <w:bookmarkEnd w:id="289"/>
    <w:bookmarkEnd w:id="290"/>
    <w:bookmarkEnd w:id="291"/>
    <w:bookmarkEnd w:id="292"/>
    <w:bookmarkEnd w:id="293"/>
    <w:bookmarkEnd w:id="294"/>
    <w:bookmarkEnd w:id="295"/>
    <w:bookmarkEnd w:id="296"/>
    <w:p w14:paraId="522F38A9">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297" w:name="_Toc152045563"/>
      <w:bookmarkStart w:id="298" w:name="_Toc152042339"/>
      <w:bookmarkStart w:id="299" w:name="_Toc296602452"/>
      <w:bookmarkStart w:id="300" w:name="_Toc246996207"/>
      <w:bookmarkStart w:id="301" w:name="_Toc179632581"/>
      <w:bookmarkStart w:id="302" w:name="_Toc77586940"/>
      <w:bookmarkStart w:id="303" w:name="_Toc246996950"/>
      <w:bookmarkStart w:id="304" w:name="_Toc22146"/>
      <w:bookmarkStart w:id="305" w:name="_Toc144974531"/>
      <w:bookmarkStart w:id="306" w:name="_Toc247085721"/>
      <w:bookmarkStart w:id="307" w:name="_Toc77586847"/>
      <w:r>
        <w:rPr>
          <w:rFonts w:hint="eastAsia" w:ascii="宋体" w:hAnsi="宋体" w:cs="宋体"/>
          <w:b/>
          <w:bCs/>
          <w:color w:val="auto"/>
          <w:kern w:val="28"/>
          <w:sz w:val="24"/>
          <w:szCs w:val="24"/>
          <w:highlight w:val="none"/>
        </w:rPr>
        <w:t>5.4 磋商小组</w:t>
      </w:r>
      <w:bookmarkEnd w:id="297"/>
      <w:bookmarkEnd w:id="298"/>
      <w:bookmarkEnd w:id="299"/>
      <w:bookmarkEnd w:id="300"/>
      <w:bookmarkEnd w:id="301"/>
      <w:bookmarkEnd w:id="302"/>
      <w:bookmarkEnd w:id="303"/>
      <w:bookmarkEnd w:id="304"/>
      <w:bookmarkEnd w:id="305"/>
      <w:bookmarkEnd w:id="306"/>
      <w:bookmarkEnd w:id="307"/>
    </w:p>
    <w:p w14:paraId="287E345C">
      <w:pPr>
        <w:widowControl/>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5.4.1 </w:t>
      </w:r>
      <w:r>
        <w:rPr>
          <w:rFonts w:hint="eastAsia" w:ascii="宋体" w:hAnsi="宋体" w:cs="宋体"/>
          <w:color w:val="auto"/>
          <w:kern w:val="44"/>
          <w:sz w:val="24"/>
          <w:szCs w:val="24"/>
          <w:highlight w:val="none"/>
        </w:rPr>
        <w:t>磋商小组由3人组成:磋商小组构成：由采购人代表和有关经济、技术等方面的专家共3人组成，其中采购人代表1人、技术有关方面的专家1人、经济有关方面的专家1人，共3人组成。评标专家确定方式：参加评标的专家在河南</w:t>
      </w:r>
      <w:r>
        <w:rPr>
          <w:rFonts w:hint="eastAsia" w:ascii="宋体" w:hAnsi="宋体" w:cs="宋体"/>
          <w:color w:val="auto"/>
          <w:kern w:val="44"/>
          <w:sz w:val="24"/>
          <w:szCs w:val="24"/>
          <w:highlight w:val="none"/>
          <w:lang w:val="en-US" w:eastAsia="zh-CN"/>
        </w:rPr>
        <w:t>省</w:t>
      </w:r>
      <w:r>
        <w:rPr>
          <w:rFonts w:hint="eastAsia" w:ascii="宋体" w:hAnsi="宋体" w:cs="宋体"/>
          <w:color w:val="auto"/>
          <w:kern w:val="44"/>
          <w:sz w:val="24"/>
          <w:szCs w:val="24"/>
          <w:highlight w:val="none"/>
        </w:rPr>
        <w:t>政府采购网抽取终端随机抽取确定</w:t>
      </w:r>
      <w:r>
        <w:rPr>
          <w:rFonts w:hint="eastAsia" w:ascii="宋体" w:hAnsi="宋体" w:cs="宋体"/>
          <w:color w:val="auto"/>
          <w:sz w:val="24"/>
          <w:szCs w:val="24"/>
          <w:highlight w:val="none"/>
        </w:rPr>
        <w:t>。</w:t>
      </w:r>
    </w:p>
    <w:p w14:paraId="11E298E3">
      <w:pPr>
        <w:widowControl/>
        <w:spacing w:line="40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5.4.2磋商小组对所有</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的磋商响应文件进行评审，按评审后得分由高到低顺序排列，递交给</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人。</w:t>
      </w:r>
    </w:p>
    <w:p w14:paraId="7EFB588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902502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75272B3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5.4.4磋商小组成员有下列情形之一的，应当回避：</w:t>
      </w:r>
    </w:p>
    <w:p w14:paraId="2451F73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14:paraId="59747B0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60D7A459">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（3）与投标人有经济利益关系；</w:t>
      </w:r>
    </w:p>
    <w:p w14:paraId="434C692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（4）曾因在招标、评标以及其他与招标投标有关活动中从事违法行为而受过行政处罚或刑事处罚的；</w:t>
      </w:r>
    </w:p>
    <w:p w14:paraId="5458B8CC">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14:paraId="056EEF54">
      <w:pPr>
        <w:spacing w:line="400" w:lineRule="exact"/>
        <w:ind w:firstLine="241" w:firstLineChars="100"/>
        <w:rPr>
          <w:rFonts w:hint="eastAsia" w:ascii="宋体" w:hAnsi="宋体" w:cs="宋体"/>
          <w:b/>
          <w:bCs/>
          <w:color w:val="auto"/>
          <w:sz w:val="24"/>
          <w:szCs w:val="24"/>
          <w:highlight w:val="none"/>
        </w:rPr>
      </w:pPr>
      <w:bookmarkStart w:id="308" w:name="_Toc152045564"/>
      <w:bookmarkStart w:id="309" w:name="_Toc246996951"/>
      <w:bookmarkStart w:id="310" w:name="_Toc144974532"/>
      <w:bookmarkStart w:id="311" w:name="_Toc246996208"/>
      <w:bookmarkStart w:id="312" w:name="_Toc179632582"/>
      <w:bookmarkStart w:id="313" w:name="_Toc152042340"/>
      <w:bookmarkStart w:id="314" w:name="_Toc296602453"/>
      <w:bookmarkStart w:id="315" w:name="_Toc247085722"/>
      <w:r>
        <w:rPr>
          <w:rFonts w:hint="eastAsia" w:ascii="宋体" w:hAnsi="宋体" w:cs="宋体"/>
          <w:b/>
          <w:bCs/>
          <w:color w:val="auto"/>
          <w:sz w:val="24"/>
          <w:szCs w:val="24"/>
          <w:highlight w:val="none"/>
        </w:rPr>
        <w:t>5.5磋商原则和方法</w:t>
      </w:r>
    </w:p>
    <w:p w14:paraId="183C9C5D">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5.5.1坚持公开、公平、公正的原则。</w:t>
      </w:r>
    </w:p>
    <w:p w14:paraId="324A1C70">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5.5.2磋商在磋商小组应当集中与单一投标人分别进行磋商，磋商小组将遵照磋商原则，公正、平等地对待所有投标人。</w:t>
      </w:r>
    </w:p>
    <w:p w14:paraId="1848DE3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5.5.3评审方法</w:t>
      </w:r>
    </w:p>
    <w:p w14:paraId="4F5A1F40">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（1）初步评审（是否响应竞争性磋商文件的要求），确定合格的投标人。</w:t>
      </w:r>
    </w:p>
    <w:p w14:paraId="0953A16D">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（2）各投标人依据各自情况进行最后报价。</w:t>
      </w:r>
    </w:p>
    <w:p w14:paraId="61207710">
      <w:pPr>
        <w:spacing w:line="400" w:lineRule="exact"/>
        <w:ind w:firstLine="410" w:firstLineChars="171"/>
        <w:rPr>
          <w:rFonts w:hint="eastAsia" w:ascii="宋体" w:hAnsi="宋体" w:cs="宋体"/>
          <w:b/>
          <w:bCs/>
          <w:color w:val="auto"/>
          <w:kern w:val="28"/>
          <w:sz w:val="24"/>
          <w:szCs w:val="24"/>
          <w:highlight w:val="none"/>
        </w:rPr>
      </w:pPr>
      <w:r>
        <w:rPr>
          <w:rFonts w:hint="eastAsia" w:ascii="宋体" w:hAnsi="宋体" w:cs="宋体"/>
          <w:color w:val="auto"/>
          <w:sz w:val="24"/>
          <w:szCs w:val="24"/>
          <w:highlight w:val="none"/>
        </w:rPr>
        <w:t xml:space="preserve">  （3）磋商小组采用综合评分法对提交最后报价的投标人的响应文件和最后报价进行综合评分。</w:t>
      </w:r>
    </w:p>
    <w:p w14:paraId="0CEBFF82">
      <w:pPr>
        <w:spacing w:line="400" w:lineRule="exact"/>
        <w:ind w:firstLine="241" w:firstLineChars="100"/>
        <w:rPr>
          <w:rFonts w:hint="eastAsia" w:ascii="宋体" w:hAnsi="宋体" w:cs="宋体"/>
          <w:b/>
          <w:bCs/>
          <w:color w:val="auto"/>
          <w:kern w:val="28"/>
          <w:sz w:val="24"/>
          <w:szCs w:val="24"/>
          <w:highlight w:val="none"/>
        </w:rPr>
      </w:pPr>
      <w:r>
        <w:rPr>
          <w:rFonts w:hint="eastAsia" w:ascii="宋体" w:hAnsi="宋体" w:cs="宋体"/>
          <w:b/>
          <w:bCs/>
          <w:color w:val="auto"/>
          <w:kern w:val="28"/>
          <w:sz w:val="24"/>
          <w:szCs w:val="24"/>
          <w:highlight w:val="none"/>
        </w:rPr>
        <w:t>5.6对投标人的评价</w:t>
      </w:r>
    </w:p>
    <w:p w14:paraId="495C38B1">
      <w:pPr>
        <w:tabs>
          <w:tab w:val="left" w:pos="0"/>
          <w:tab w:val="left" w:pos="851"/>
        </w:tabs>
        <w:autoSpaceDE w:val="0"/>
        <w:autoSpaceDN w:val="0"/>
        <w:adjustRightInd w:val="0"/>
        <w:spacing w:line="400" w:lineRule="exact"/>
        <w:ind w:firstLine="480" w:firstLineChars="200"/>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在初审阶段,响应文件出现以下情况之一者，属于重大偏差，为未能对磋商文件作出实质性响应，作无效标处理：</w:t>
      </w:r>
    </w:p>
    <w:p w14:paraId="3EFA8903">
      <w:pPr>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（1）响应文件未按规定的格式填写、内容不全的；</w:t>
      </w:r>
    </w:p>
    <w:p w14:paraId="3D7E692E">
      <w:pPr>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（2）响应文件中无报价、无工期、无质量等级或工期、质量达不到磋商文件要求的；</w:t>
      </w:r>
    </w:p>
    <w:p w14:paraId="7F21A992">
      <w:pPr>
        <w:spacing w:line="400" w:lineRule="exact"/>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（3）响应文件有保留或合同草案有招标人不可接受条件；</w:t>
      </w:r>
    </w:p>
    <w:p w14:paraId="1A5FF91E">
      <w:pPr>
        <w:spacing w:line="400" w:lineRule="exact"/>
        <w:ind w:firstLine="412" w:firstLineChars="171"/>
        <w:rPr>
          <w:rFonts w:hint="eastAsia" w:ascii="宋体" w:hAnsi="宋体" w:cs="宋体"/>
          <w:color w:val="auto"/>
          <w:sz w:val="24"/>
          <w:szCs w:val="24"/>
          <w:highlight w:val="none"/>
        </w:rPr>
      </w:pPr>
      <w:r>
        <w:rPr>
          <w:rFonts w:hint="eastAsia" w:ascii="宋体" w:hAnsi="宋体"/>
          <w:b/>
          <w:color w:val="auto"/>
          <w:sz w:val="24"/>
          <w:szCs w:val="24"/>
          <w:highlight w:val="none"/>
        </w:rPr>
        <w:t>（4）资格证明文件不全，或不满足磋商文件规定的供应商资质要求的；</w:t>
      </w:r>
    </w:p>
    <w:p w14:paraId="690C31A0">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5.6.1磋商小组只对已判定为实质性响应且通过初步审查的磋商响应文件进行详细评价和比较。</w:t>
      </w:r>
    </w:p>
    <w:p w14:paraId="29CD7821">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5.6.2磋商小组所有成员应当集中与单一投标人分别进行磋商，并给予所有参加磋商的投标人平等的磋商机会。磋商完成后，要求其在规定时间内提交最后报价，提交最后报价的投标人可以为两家。</w:t>
      </w:r>
    </w:p>
    <w:p w14:paraId="06114199">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5.6.3经磋商确定最终工程需求和提交最后报价的投标人后，磋商小组采用综合评分法对提交最后报价的投标人的磋商响应文件和最后报价进行综合评分。</w:t>
      </w:r>
    </w:p>
    <w:p w14:paraId="4665FBD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BEDBBA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5.6.5如果第一名投标人放弃成交资格或因不可抗力提出不能履行合同、竞争性磋商文件规定应当提交履约担保而在规定的期限内未能提交的，招标人可以按照评审报告推荐的成交候选人名单，确定下一成交候选人为成交人，也可以重新开展采购活动。</w:t>
      </w:r>
    </w:p>
    <w:bookmarkEnd w:id="308"/>
    <w:bookmarkEnd w:id="309"/>
    <w:bookmarkEnd w:id="310"/>
    <w:bookmarkEnd w:id="311"/>
    <w:bookmarkEnd w:id="312"/>
    <w:bookmarkEnd w:id="313"/>
    <w:bookmarkEnd w:id="314"/>
    <w:bookmarkEnd w:id="315"/>
    <w:p w14:paraId="33F58410">
      <w:pPr>
        <w:spacing w:line="400" w:lineRule="exact"/>
        <w:ind w:firstLine="241" w:firstLineChars="100"/>
        <w:rPr>
          <w:rFonts w:hint="eastAsia" w:ascii="宋体" w:hAnsi="宋体" w:cs="宋体"/>
          <w:b/>
          <w:bCs/>
          <w:color w:val="auto"/>
          <w:sz w:val="24"/>
          <w:szCs w:val="24"/>
          <w:highlight w:val="none"/>
        </w:rPr>
      </w:pPr>
      <w:bookmarkStart w:id="316" w:name="_Toc246996210"/>
      <w:bookmarkStart w:id="317" w:name="_Toc179632584"/>
      <w:bookmarkStart w:id="318" w:name="_Toc152042342"/>
      <w:bookmarkStart w:id="319" w:name="_Toc247085724"/>
      <w:bookmarkStart w:id="320" w:name="_Toc152045566"/>
      <w:bookmarkStart w:id="321" w:name="_Toc144974534"/>
      <w:bookmarkStart w:id="322" w:name="_Toc246996953"/>
      <w:bookmarkStart w:id="323" w:name="_Toc296602455"/>
      <w:r>
        <w:rPr>
          <w:rFonts w:hint="eastAsia" w:ascii="宋体" w:hAnsi="宋体" w:cs="宋体"/>
          <w:b/>
          <w:bCs/>
          <w:color w:val="auto"/>
          <w:sz w:val="24"/>
          <w:szCs w:val="24"/>
          <w:highlight w:val="none"/>
        </w:rPr>
        <w:t>5.7确定成交人</w:t>
      </w:r>
    </w:p>
    <w:p w14:paraId="224B5E3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磋商小组应当根据综合评分情况，按照评审有高到低的顺序推荐成交候选人，并编写评标报告。</w:t>
      </w:r>
    </w:p>
    <w:p w14:paraId="25B80AE8">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24" w:name="_Toc18074"/>
      <w:bookmarkStart w:id="325" w:name="_Toc77586941"/>
      <w:bookmarkStart w:id="326" w:name="_Toc77586848"/>
      <w:r>
        <w:rPr>
          <w:rFonts w:hint="eastAsia" w:ascii="宋体" w:hAnsi="宋体" w:cs="宋体"/>
          <w:b/>
          <w:bCs/>
          <w:color w:val="auto"/>
          <w:kern w:val="28"/>
          <w:sz w:val="24"/>
          <w:szCs w:val="24"/>
          <w:highlight w:val="none"/>
        </w:rPr>
        <w:t>6. 合同授予</w:t>
      </w:r>
      <w:bookmarkEnd w:id="316"/>
      <w:bookmarkEnd w:id="317"/>
      <w:bookmarkEnd w:id="318"/>
      <w:bookmarkEnd w:id="319"/>
      <w:bookmarkEnd w:id="320"/>
      <w:bookmarkEnd w:id="321"/>
      <w:bookmarkEnd w:id="322"/>
      <w:bookmarkEnd w:id="323"/>
      <w:bookmarkEnd w:id="324"/>
      <w:bookmarkEnd w:id="325"/>
      <w:bookmarkEnd w:id="326"/>
    </w:p>
    <w:p w14:paraId="2EF7AA91">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27" w:name="_Toc152045567"/>
      <w:bookmarkStart w:id="328" w:name="_Toc296602456"/>
      <w:bookmarkStart w:id="329" w:name="_Toc77586849"/>
      <w:bookmarkStart w:id="330" w:name="_Toc14367"/>
      <w:bookmarkStart w:id="331" w:name="_Toc247085725"/>
      <w:bookmarkStart w:id="332" w:name="_Toc179632585"/>
      <w:bookmarkStart w:id="333" w:name="_Toc77586942"/>
      <w:bookmarkStart w:id="334" w:name="_Toc246996211"/>
      <w:bookmarkStart w:id="335" w:name="_Toc246996954"/>
      <w:bookmarkStart w:id="336" w:name="_Toc144974535"/>
      <w:bookmarkStart w:id="337" w:name="_Toc152042343"/>
      <w:r>
        <w:rPr>
          <w:rFonts w:hint="eastAsia" w:ascii="宋体" w:hAnsi="宋体" w:cs="宋体"/>
          <w:b/>
          <w:bCs/>
          <w:color w:val="auto"/>
          <w:kern w:val="28"/>
          <w:sz w:val="24"/>
          <w:szCs w:val="24"/>
          <w:highlight w:val="none"/>
        </w:rPr>
        <w:t>6.1 定标方式</w:t>
      </w:r>
      <w:bookmarkEnd w:id="327"/>
      <w:bookmarkEnd w:id="328"/>
      <w:bookmarkEnd w:id="329"/>
      <w:bookmarkEnd w:id="330"/>
      <w:bookmarkEnd w:id="331"/>
      <w:bookmarkEnd w:id="332"/>
      <w:bookmarkEnd w:id="333"/>
      <w:bookmarkEnd w:id="334"/>
      <w:bookmarkEnd w:id="335"/>
      <w:bookmarkEnd w:id="336"/>
      <w:bookmarkEnd w:id="337"/>
    </w:p>
    <w:p w14:paraId="5298FC4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招标人依据磋商小组推荐的成交候选人确定成交人。</w:t>
      </w:r>
    </w:p>
    <w:p w14:paraId="6E4A68E5">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38" w:name="_Toc23383"/>
      <w:bookmarkStart w:id="339" w:name="_Toc77586943"/>
      <w:bookmarkStart w:id="340" w:name="_Toc296602457"/>
      <w:bookmarkStart w:id="341" w:name="_Toc77586850"/>
      <w:r>
        <w:rPr>
          <w:rFonts w:hint="eastAsia" w:ascii="宋体" w:hAnsi="宋体" w:cs="宋体"/>
          <w:b/>
          <w:bCs/>
          <w:color w:val="auto"/>
          <w:kern w:val="28"/>
          <w:sz w:val="24"/>
          <w:szCs w:val="24"/>
          <w:highlight w:val="none"/>
        </w:rPr>
        <w:t>6.2 成交候选人公示</w:t>
      </w:r>
      <w:bookmarkEnd w:id="338"/>
      <w:bookmarkEnd w:id="339"/>
      <w:bookmarkEnd w:id="340"/>
      <w:bookmarkEnd w:id="341"/>
    </w:p>
    <w:p w14:paraId="51FF84D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招标人在投标人须知前附表规定的媒介公示成交候选人。</w:t>
      </w:r>
    </w:p>
    <w:p w14:paraId="4A71B95F">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42" w:name="_Toc247085726"/>
      <w:bookmarkStart w:id="343" w:name="_Toc296602458"/>
      <w:bookmarkStart w:id="344" w:name="_Toc152045568"/>
      <w:bookmarkStart w:id="345" w:name="_Toc179632586"/>
      <w:bookmarkStart w:id="346" w:name="_Toc77586944"/>
      <w:bookmarkStart w:id="347" w:name="_Toc144974536"/>
      <w:bookmarkStart w:id="348" w:name="_Toc4809"/>
      <w:bookmarkStart w:id="349" w:name="_Toc152042344"/>
      <w:bookmarkStart w:id="350" w:name="_Toc246996212"/>
      <w:bookmarkStart w:id="351" w:name="_Toc77586851"/>
      <w:bookmarkStart w:id="352" w:name="_Toc246996955"/>
      <w:r>
        <w:rPr>
          <w:rFonts w:hint="eastAsia" w:ascii="宋体" w:hAnsi="宋体" w:cs="宋体"/>
          <w:b/>
          <w:bCs/>
          <w:color w:val="auto"/>
          <w:kern w:val="28"/>
          <w:sz w:val="24"/>
          <w:szCs w:val="24"/>
          <w:highlight w:val="none"/>
        </w:rPr>
        <w:t>6.3 成交通知</w:t>
      </w:r>
      <w:bookmarkEnd w:id="342"/>
      <w:bookmarkEnd w:id="343"/>
      <w:bookmarkEnd w:id="344"/>
      <w:bookmarkEnd w:id="345"/>
      <w:bookmarkEnd w:id="346"/>
      <w:bookmarkEnd w:id="347"/>
      <w:bookmarkEnd w:id="348"/>
      <w:bookmarkEnd w:id="349"/>
      <w:bookmarkEnd w:id="350"/>
      <w:bookmarkEnd w:id="351"/>
      <w:bookmarkEnd w:id="352"/>
    </w:p>
    <w:p w14:paraId="60F7BBD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在本章第3.3款规定的投标有效期内，招标人以书面形式向成交人发出成交通知书，同时将成交结果通知未成交的投标人。</w:t>
      </w:r>
    </w:p>
    <w:p w14:paraId="53F6EE16">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53" w:name="_Toc77586945"/>
      <w:bookmarkStart w:id="354" w:name="_Toc152045569"/>
      <w:bookmarkStart w:id="355" w:name="_Toc179632587"/>
      <w:bookmarkStart w:id="356" w:name="_Toc296602459"/>
      <w:bookmarkStart w:id="357" w:name="_Toc246996956"/>
      <w:bookmarkStart w:id="358" w:name="_Toc144974537"/>
      <w:bookmarkStart w:id="359" w:name="_Toc12244"/>
      <w:bookmarkStart w:id="360" w:name="_Toc152042345"/>
      <w:bookmarkStart w:id="361" w:name="_Toc246996213"/>
      <w:bookmarkStart w:id="362" w:name="_Toc247085727"/>
      <w:bookmarkStart w:id="363" w:name="_Toc77586852"/>
      <w:r>
        <w:rPr>
          <w:rFonts w:hint="eastAsia" w:ascii="宋体" w:hAnsi="宋体" w:cs="宋体"/>
          <w:b/>
          <w:bCs/>
          <w:color w:val="auto"/>
          <w:kern w:val="28"/>
          <w:sz w:val="24"/>
          <w:szCs w:val="24"/>
          <w:highlight w:val="none"/>
        </w:rPr>
        <w:t>6.4 履约、支付担保</w:t>
      </w:r>
      <w:bookmarkEnd w:id="353"/>
      <w:bookmarkEnd w:id="354"/>
      <w:bookmarkEnd w:id="355"/>
      <w:bookmarkEnd w:id="356"/>
      <w:bookmarkEnd w:id="357"/>
      <w:bookmarkEnd w:id="358"/>
      <w:bookmarkEnd w:id="359"/>
      <w:bookmarkEnd w:id="360"/>
      <w:bookmarkEnd w:id="361"/>
      <w:bookmarkEnd w:id="362"/>
      <w:bookmarkEnd w:id="363"/>
    </w:p>
    <w:p w14:paraId="211C9A1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6.4.1履约担保金额：见投标人须知前附表，与前附表一致。</w:t>
      </w:r>
    </w:p>
    <w:p w14:paraId="06EA2AA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6.4.2招标人支付担保的提交与释放程序：见投标人须知前附表，与前附表一致。</w:t>
      </w:r>
    </w:p>
    <w:p w14:paraId="0A7A4FB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6.4.3 成交人不能按投标人须知前附表第6.4.1项要求提交履约担保的，视为放弃成交，给招标人造成的损失应当予以赔偿。</w:t>
      </w:r>
    </w:p>
    <w:p w14:paraId="709DCB4C">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64" w:name="_Toc246996214"/>
      <w:bookmarkStart w:id="365" w:name="_Toc77586853"/>
      <w:bookmarkStart w:id="366" w:name="_Toc152042346"/>
      <w:bookmarkStart w:id="367" w:name="_Toc246996957"/>
      <w:bookmarkStart w:id="368" w:name="_Toc144974538"/>
      <w:bookmarkStart w:id="369" w:name="_Toc247085728"/>
      <w:bookmarkStart w:id="370" w:name="_Toc77586946"/>
      <w:bookmarkStart w:id="371" w:name="_Toc152045570"/>
      <w:bookmarkStart w:id="372" w:name="_Toc23166"/>
      <w:bookmarkStart w:id="373" w:name="_Toc179632588"/>
      <w:bookmarkStart w:id="374" w:name="_Toc296602460"/>
      <w:r>
        <w:rPr>
          <w:rFonts w:hint="eastAsia" w:ascii="宋体" w:hAnsi="宋体" w:cs="宋体"/>
          <w:b/>
          <w:bCs/>
          <w:color w:val="auto"/>
          <w:kern w:val="28"/>
          <w:sz w:val="24"/>
          <w:szCs w:val="24"/>
          <w:highlight w:val="none"/>
        </w:rPr>
        <w:t>6.5 签订合同</w:t>
      </w:r>
      <w:bookmarkEnd w:id="364"/>
      <w:bookmarkEnd w:id="365"/>
      <w:bookmarkEnd w:id="366"/>
      <w:bookmarkEnd w:id="367"/>
      <w:bookmarkEnd w:id="368"/>
      <w:bookmarkEnd w:id="369"/>
      <w:bookmarkEnd w:id="370"/>
      <w:bookmarkEnd w:id="371"/>
      <w:bookmarkEnd w:id="372"/>
      <w:bookmarkEnd w:id="373"/>
      <w:bookmarkEnd w:id="374"/>
    </w:p>
    <w:p w14:paraId="6F88FCC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6.5.1招标人和成交人应当自成交通知书发出之日起30天内，根据竞争性磋商文件和成交人的磋商响应文件订立书面合同。成交人无正当理由拒签合同的，招标人取消其成交资格，给招标人造成的损失应当予以赔偿。</w:t>
      </w:r>
    </w:p>
    <w:p w14:paraId="191B25A0">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75" w:name="_Toc12628"/>
      <w:bookmarkStart w:id="376" w:name="_Toc296602461"/>
      <w:bookmarkStart w:id="377" w:name="_Toc77586947"/>
      <w:bookmarkStart w:id="378" w:name="_Toc77586854"/>
      <w:r>
        <w:rPr>
          <w:rFonts w:hint="eastAsia" w:ascii="宋体" w:hAnsi="宋体" w:cs="宋体"/>
          <w:b/>
          <w:bCs/>
          <w:color w:val="auto"/>
          <w:kern w:val="28"/>
          <w:sz w:val="24"/>
          <w:szCs w:val="24"/>
          <w:highlight w:val="none"/>
        </w:rPr>
        <w:t>7. 纪律和监督</w:t>
      </w:r>
      <w:bookmarkEnd w:id="375"/>
      <w:bookmarkEnd w:id="376"/>
      <w:bookmarkEnd w:id="377"/>
      <w:bookmarkEnd w:id="378"/>
    </w:p>
    <w:p w14:paraId="59FCEFFB">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79" w:name="_Toc144974543"/>
      <w:bookmarkStart w:id="380" w:name="_Toc77586948"/>
      <w:bookmarkStart w:id="381" w:name="_Toc13637"/>
      <w:bookmarkStart w:id="382" w:name="_Toc246996962"/>
      <w:bookmarkStart w:id="383" w:name="_Toc152042351"/>
      <w:bookmarkStart w:id="384" w:name="_Toc152045575"/>
      <w:bookmarkStart w:id="385" w:name="_Toc296590983"/>
      <w:bookmarkStart w:id="386" w:name="_Toc179632593"/>
      <w:bookmarkStart w:id="387" w:name="_Toc77586855"/>
      <w:bookmarkStart w:id="388" w:name="_Toc246996219"/>
      <w:bookmarkStart w:id="389" w:name="_Toc296602462"/>
      <w:bookmarkStart w:id="390" w:name="_Toc247085733"/>
      <w:r>
        <w:rPr>
          <w:rFonts w:hint="eastAsia" w:ascii="宋体" w:hAnsi="宋体" w:cs="宋体"/>
          <w:b/>
          <w:bCs/>
          <w:color w:val="auto"/>
          <w:kern w:val="28"/>
          <w:sz w:val="24"/>
          <w:szCs w:val="24"/>
          <w:highlight w:val="none"/>
        </w:rPr>
        <w:t>7.1 对招标人的纪律要求</w:t>
      </w:r>
      <w:bookmarkEnd w:id="379"/>
      <w:bookmarkEnd w:id="380"/>
      <w:bookmarkEnd w:id="381"/>
      <w:bookmarkEnd w:id="382"/>
      <w:bookmarkEnd w:id="383"/>
      <w:bookmarkEnd w:id="384"/>
      <w:bookmarkEnd w:id="385"/>
      <w:bookmarkEnd w:id="386"/>
      <w:bookmarkEnd w:id="387"/>
      <w:bookmarkEnd w:id="388"/>
      <w:bookmarkEnd w:id="389"/>
      <w:bookmarkEnd w:id="390"/>
    </w:p>
    <w:p w14:paraId="686963C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招标人不得泄漏招标投标活动中应当保密的情况和资料，不得与投标人串通损害国家利益、社会公共利益或者他人合法权益。</w:t>
      </w:r>
    </w:p>
    <w:p w14:paraId="641651CD">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391" w:name="_Toc144974544"/>
      <w:bookmarkStart w:id="392" w:name="_Toc77586949"/>
      <w:bookmarkStart w:id="393" w:name="_Toc247085734"/>
      <w:bookmarkStart w:id="394" w:name="_Toc77586856"/>
      <w:bookmarkStart w:id="395" w:name="_Toc152045576"/>
      <w:bookmarkStart w:id="396" w:name="_Toc296602463"/>
      <w:bookmarkStart w:id="397" w:name="_Toc15672"/>
      <w:bookmarkStart w:id="398" w:name="_Toc246996963"/>
      <w:bookmarkStart w:id="399" w:name="_Toc152042352"/>
      <w:bookmarkStart w:id="400" w:name="_Toc179632594"/>
      <w:bookmarkStart w:id="401" w:name="_Toc246996220"/>
      <w:r>
        <w:rPr>
          <w:rFonts w:hint="eastAsia" w:ascii="宋体" w:hAnsi="宋体" w:cs="宋体"/>
          <w:b/>
          <w:bCs/>
          <w:color w:val="auto"/>
          <w:kern w:val="28"/>
          <w:sz w:val="24"/>
          <w:szCs w:val="24"/>
          <w:highlight w:val="none"/>
        </w:rPr>
        <w:t>7.2 对投标人的纪律要求</w:t>
      </w:r>
      <w:bookmarkEnd w:id="391"/>
      <w:bookmarkEnd w:id="392"/>
      <w:bookmarkEnd w:id="393"/>
      <w:bookmarkEnd w:id="394"/>
      <w:bookmarkEnd w:id="395"/>
      <w:bookmarkEnd w:id="396"/>
      <w:bookmarkEnd w:id="397"/>
      <w:bookmarkEnd w:id="398"/>
      <w:bookmarkEnd w:id="399"/>
      <w:bookmarkEnd w:id="400"/>
      <w:bookmarkEnd w:id="401"/>
    </w:p>
    <w:p w14:paraId="16E5FE0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投标人不得相互串通投标或者与招标人串通投标，不得向招标人或者磋商小组成员行贿谋取成交，不得以他人名义投标或者以其他方式弄虚作假骗取成交；投标人不得以任何方式干扰、影响评标工作。</w:t>
      </w:r>
    </w:p>
    <w:p w14:paraId="5FA4BD66">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402" w:name="_Toc19260"/>
      <w:bookmarkStart w:id="403" w:name="_Toc246996221"/>
      <w:bookmarkStart w:id="404" w:name="_Toc152042353"/>
      <w:bookmarkStart w:id="405" w:name="_Toc246996964"/>
      <w:bookmarkStart w:id="406" w:name="_Toc144974545"/>
      <w:bookmarkStart w:id="407" w:name="_Toc296602464"/>
      <w:bookmarkStart w:id="408" w:name="_Toc77586950"/>
      <w:bookmarkStart w:id="409" w:name="_Toc77586857"/>
      <w:bookmarkStart w:id="410" w:name="_Toc179632595"/>
      <w:bookmarkStart w:id="411" w:name="_Toc247085735"/>
      <w:bookmarkStart w:id="412" w:name="_Toc152045577"/>
      <w:r>
        <w:rPr>
          <w:rFonts w:hint="eastAsia" w:ascii="宋体" w:hAnsi="宋体" w:cs="宋体"/>
          <w:b/>
          <w:bCs/>
          <w:color w:val="auto"/>
          <w:kern w:val="28"/>
          <w:sz w:val="24"/>
          <w:szCs w:val="24"/>
          <w:highlight w:val="none"/>
        </w:rPr>
        <w:t>7.3 对磋商小组成员的纪律要求</w:t>
      </w:r>
      <w:bookmarkEnd w:id="402"/>
      <w:bookmarkEnd w:id="403"/>
      <w:bookmarkEnd w:id="404"/>
      <w:bookmarkEnd w:id="405"/>
      <w:bookmarkEnd w:id="406"/>
      <w:bookmarkEnd w:id="407"/>
      <w:bookmarkEnd w:id="408"/>
      <w:bookmarkEnd w:id="409"/>
      <w:bookmarkEnd w:id="410"/>
      <w:bookmarkEnd w:id="411"/>
      <w:bookmarkEnd w:id="412"/>
    </w:p>
    <w:p w14:paraId="639A6B9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1E4BF3EB">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413" w:name="_Toc152042354"/>
      <w:bookmarkStart w:id="414" w:name="_Toc28168"/>
      <w:bookmarkStart w:id="415" w:name="_Toc77586951"/>
      <w:bookmarkStart w:id="416" w:name="_Toc247085736"/>
      <w:bookmarkStart w:id="417" w:name="_Toc246996222"/>
      <w:bookmarkStart w:id="418" w:name="_Toc179632596"/>
      <w:bookmarkStart w:id="419" w:name="_Toc77586858"/>
      <w:bookmarkStart w:id="420" w:name="_Toc246996965"/>
      <w:bookmarkStart w:id="421" w:name="_Toc152045578"/>
      <w:bookmarkStart w:id="422" w:name="_Toc296602465"/>
      <w:bookmarkStart w:id="423" w:name="_Toc144974546"/>
      <w:r>
        <w:rPr>
          <w:rFonts w:hint="eastAsia" w:ascii="宋体" w:hAnsi="宋体" w:cs="宋体"/>
          <w:b/>
          <w:bCs/>
          <w:color w:val="auto"/>
          <w:kern w:val="28"/>
          <w:sz w:val="24"/>
          <w:szCs w:val="24"/>
          <w:highlight w:val="none"/>
        </w:rPr>
        <w:t>7.4 对与评标活动有关的工作人员的纪律要求</w:t>
      </w:r>
      <w:bookmarkEnd w:id="413"/>
      <w:bookmarkEnd w:id="414"/>
      <w:bookmarkEnd w:id="415"/>
      <w:bookmarkEnd w:id="416"/>
      <w:bookmarkEnd w:id="417"/>
      <w:bookmarkEnd w:id="418"/>
      <w:bookmarkEnd w:id="419"/>
      <w:bookmarkEnd w:id="420"/>
      <w:bookmarkEnd w:id="421"/>
      <w:bookmarkEnd w:id="422"/>
    </w:p>
    <w:p w14:paraId="11A6C043">
      <w:pPr>
        <w:spacing w:line="400" w:lineRule="exact"/>
        <w:ind w:firstLine="480" w:firstLineChars="200"/>
        <w:rPr>
          <w:rFonts w:hint="eastAsia" w:ascii="宋体" w:hAnsi="宋体" w:cs="宋体"/>
          <w:color w:val="auto"/>
          <w:sz w:val="24"/>
          <w:szCs w:val="24"/>
          <w:highlight w:val="none"/>
        </w:rPr>
      </w:pPr>
      <w:bookmarkStart w:id="424" w:name="_Toc152042355"/>
      <w:r>
        <w:rPr>
          <w:rFonts w:hint="eastAsia" w:ascii="宋体" w:hAnsi="宋体" w:cs="宋体"/>
          <w:color w:val="auto"/>
          <w:sz w:val="24"/>
          <w:szCs w:val="24"/>
          <w:highlight w:val="none"/>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424"/>
    </w:p>
    <w:p w14:paraId="53512780">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425" w:name="_Toc152045579"/>
      <w:bookmarkStart w:id="426" w:name="_Toc296602466"/>
      <w:bookmarkStart w:id="427" w:name="_Toc246996966"/>
      <w:bookmarkStart w:id="428" w:name="_Toc152042356"/>
      <w:bookmarkStart w:id="429" w:name="_Toc9161"/>
      <w:bookmarkStart w:id="430" w:name="_Toc247085737"/>
      <w:bookmarkStart w:id="431" w:name="_Toc77586859"/>
      <w:bookmarkStart w:id="432" w:name="_Toc179632597"/>
      <w:bookmarkStart w:id="433" w:name="_Toc77586952"/>
      <w:bookmarkStart w:id="434" w:name="_Toc246996223"/>
      <w:r>
        <w:rPr>
          <w:rFonts w:hint="eastAsia" w:ascii="宋体" w:hAnsi="宋体" w:cs="宋体"/>
          <w:b/>
          <w:bCs/>
          <w:color w:val="auto"/>
          <w:kern w:val="28"/>
          <w:sz w:val="24"/>
          <w:szCs w:val="24"/>
          <w:highlight w:val="none"/>
        </w:rPr>
        <w:t>7.5 投诉</w:t>
      </w:r>
      <w:bookmarkEnd w:id="423"/>
      <w:bookmarkEnd w:id="425"/>
      <w:bookmarkEnd w:id="426"/>
      <w:bookmarkEnd w:id="427"/>
      <w:bookmarkEnd w:id="428"/>
      <w:bookmarkEnd w:id="429"/>
      <w:bookmarkEnd w:id="430"/>
      <w:bookmarkEnd w:id="431"/>
      <w:bookmarkEnd w:id="432"/>
      <w:bookmarkEnd w:id="433"/>
      <w:bookmarkEnd w:id="434"/>
    </w:p>
    <w:p w14:paraId="75DCE03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投标人和其他利害关系人认为本次招标活动违反法律、法规和规章规定的，有权向有关行政监督部门投诉。</w:t>
      </w:r>
    </w:p>
    <w:p w14:paraId="733499B7">
      <w:pPr>
        <w:widowControl/>
        <w:suppressAutoHyphens/>
        <w:adjustRightInd w:val="0"/>
        <w:spacing w:line="400" w:lineRule="exact"/>
        <w:ind w:firstLine="241" w:firstLineChars="100"/>
        <w:jc w:val="left"/>
        <w:outlineLvl w:val="1"/>
        <w:rPr>
          <w:rFonts w:hint="eastAsia" w:ascii="宋体" w:hAnsi="宋体" w:cs="宋体"/>
          <w:b/>
          <w:bCs/>
          <w:color w:val="auto"/>
          <w:kern w:val="28"/>
          <w:sz w:val="24"/>
          <w:szCs w:val="24"/>
          <w:highlight w:val="none"/>
        </w:rPr>
      </w:pPr>
      <w:bookmarkStart w:id="435" w:name="_Toc77586953"/>
      <w:bookmarkStart w:id="436" w:name="_Toc152042357"/>
      <w:bookmarkStart w:id="437" w:name="_Toc296602467"/>
      <w:bookmarkStart w:id="438" w:name="_Toc144974547"/>
      <w:bookmarkStart w:id="439" w:name="_Toc246996224"/>
      <w:bookmarkStart w:id="440" w:name="_Toc23049"/>
      <w:bookmarkStart w:id="441" w:name="_Toc152045580"/>
      <w:bookmarkStart w:id="442" w:name="_Toc247085738"/>
      <w:bookmarkStart w:id="443" w:name="_Toc246996967"/>
      <w:bookmarkStart w:id="444" w:name="_Toc77586860"/>
      <w:bookmarkStart w:id="445" w:name="_Toc179632598"/>
      <w:r>
        <w:rPr>
          <w:rFonts w:hint="eastAsia" w:ascii="宋体" w:hAnsi="宋体" w:cs="宋体"/>
          <w:b/>
          <w:bCs/>
          <w:color w:val="auto"/>
          <w:kern w:val="28"/>
          <w:sz w:val="24"/>
          <w:szCs w:val="24"/>
          <w:highlight w:val="none"/>
        </w:rPr>
        <w:t>8.需要补充的其他内容</w:t>
      </w:r>
      <w:bookmarkEnd w:id="435"/>
      <w:bookmarkEnd w:id="436"/>
      <w:bookmarkEnd w:id="437"/>
      <w:bookmarkEnd w:id="438"/>
      <w:bookmarkEnd w:id="439"/>
      <w:bookmarkEnd w:id="440"/>
      <w:bookmarkEnd w:id="441"/>
      <w:bookmarkEnd w:id="442"/>
      <w:bookmarkEnd w:id="443"/>
      <w:bookmarkEnd w:id="444"/>
      <w:bookmarkEnd w:id="445"/>
    </w:p>
    <w:p w14:paraId="7C0D7B5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需要补充的其他内容：见投标人须知前附表。</w:t>
      </w:r>
    </w:p>
    <w:p w14:paraId="042D4739">
      <w:pPr>
        <w:tabs>
          <w:tab w:val="left" w:pos="1341"/>
        </w:tabs>
        <w:autoSpaceDE w:val="0"/>
        <w:autoSpaceDN w:val="0"/>
        <w:ind w:firstLine="717" w:firstLineChars="300"/>
        <w:rPr>
          <w:rFonts w:hint="eastAsia" w:ascii="宋体" w:hAnsi="宋体" w:cs="宋体"/>
          <w:b/>
          <w:bCs/>
          <w:color w:val="auto"/>
          <w:spacing w:val="-1"/>
          <w:kern w:val="0"/>
          <w:sz w:val="24"/>
          <w:szCs w:val="22"/>
          <w:highlight w:val="none"/>
          <w:lang w:bidi="zh-CN"/>
        </w:rPr>
      </w:pPr>
      <w:r>
        <w:rPr>
          <w:rFonts w:hint="eastAsia" w:ascii="宋体" w:hAnsi="宋体" w:cs="宋体"/>
          <w:b/>
          <w:bCs/>
          <w:color w:val="auto"/>
          <w:spacing w:val="-1"/>
          <w:kern w:val="0"/>
          <w:sz w:val="24"/>
          <w:szCs w:val="22"/>
          <w:highlight w:val="none"/>
          <w:lang w:bidi="zh-CN"/>
        </w:rPr>
        <w:t>招标代理服务收费参照豫招协[2023]002号河南省招标投标协会关于印发《河南省招标代理服务收费指导意见》规定的收费标准收取中标服务费。</w:t>
      </w:r>
    </w:p>
    <w:p w14:paraId="56D5C7BB">
      <w:pPr>
        <w:tabs>
          <w:tab w:val="left" w:pos="1341"/>
        </w:tabs>
        <w:autoSpaceDE w:val="0"/>
        <w:autoSpaceDN w:val="0"/>
        <w:rPr>
          <w:rFonts w:ascii="宋体" w:hAnsi="宋体" w:cs="宋体"/>
          <w:b/>
          <w:bCs/>
          <w:color w:val="auto"/>
          <w:spacing w:val="-1"/>
          <w:kern w:val="0"/>
          <w:sz w:val="24"/>
          <w:szCs w:val="22"/>
          <w:highlight w:val="none"/>
          <w:lang w:bidi="zh-CN"/>
        </w:rPr>
      </w:pPr>
    </w:p>
    <w:p w14:paraId="24727FA6">
      <w:pPr>
        <w:tabs>
          <w:tab w:val="left" w:pos="1341"/>
        </w:tabs>
        <w:autoSpaceDE w:val="0"/>
        <w:autoSpaceDN w:val="0"/>
        <w:ind w:firstLine="717" w:firstLineChars="300"/>
        <w:rPr>
          <w:rFonts w:ascii="宋体" w:hAnsi="宋体" w:cs="宋体"/>
          <w:b/>
          <w:bCs/>
          <w:color w:val="auto"/>
          <w:spacing w:val="-1"/>
          <w:kern w:val="0"/>
          <w:sz w:val="24"/>
          <w:szCs w:val="22"/>
          <w:highlight w:val="none"/>
          <w:lang w:bidi="zh-CN"/>
        </w:rPr>
      </w:pPr>
      <w:r>
        <w:rPr>
          <w:rFonts w:hint="eastAsia" w:ascii="宋体" w:hAnsi="宋体" w:cs="宋体"/>
          <w:b/>
          <w:bCs/>
          <w:color w:val="auto"/>
          <w:spacing w:val="-1"/>
          <w:kern w:val="0"/>
          <w:sz w:val="24"/>
          <w:szCs w:val="22"/>
          <w:highlight w:val="none"/>
          <w:lang w:bidi="zh-CN"/>
        </w:rPr>
        <w:t>河南省招标代理服务费计算标准</w:t>
      </w:r>
    </w:p>
    <w:tbl>
      <w:tblPr>
        <w:tblStyle w:val="27"/>
        <w:tblpPr w:leftFromText="180" w:rightFromText="180" w:vertAnchor="text" w:horzAnchor="page" w:tblpX="1421" w:tblpY="481"/>
        <w:tblOverlap w:val="never"/>
        <w:tblW w:w="0" w:type="auto"/>
        <w:tblInd w:w="0" w:type="dxa"/>
        <w:tblLayout w:type="fixed"/>
        <w:tblCellMar>
          <w:top w:w="0" w:type="dxa"/>
          <w:left w:w="15" w:type="dxa"/>
          <w:bottom w:w="0" w:type="dxa"/>
          <w:right w:w="15" w:type="dxa"/>
        </w:tblCellMar>
      </w:tblPr>
      <w:tblGrid>
        <w:gridCol w:w="3994"/>
        <w:gridCol w:w="1642"/>
        <w:gridCol w:w="1433"/>
        <w:gridCol w:w="1711"/>
      </w:tblGrid>
      <w:tr w14:paraId="443C7C5A">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C1EB720">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7104F77">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46D78A8">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171085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服务</w:t>
            </w:r>
          </w:p>
        </w:tc>
      </w:tr>
      <w:tr w14:paraId="3B003AA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BC89191">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7D01A84">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79A7A86">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51D2D9F">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1.70%</w:t>
            </w:r>
          </w:p>
        </w:tc>
      </w:tr>
      <w:tr w14:paraId="47903CC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B6122A2">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67A75B2">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9F3F5D">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880E2B">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1.20%</w:t>
            </w:r>
          </w:p>
        </w:tc>
      </w:tr>
      <w:tr w14:paraId="36E24059">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2424F6CC">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163B34E">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12EC50">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01D5AB8">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0.70%</w:t>
            </w:r>
          </w:p>
        </w:tc>
      </w:tr>
      <w:tr w14:paraId="42DF8A4D">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4509D607">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D6CCB5">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A7F11A">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1CE01F">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0.40%</w:t>
            </w:r>
          </w:p>
        </w:tc>
      </w:tr>
      <w:tr w14:paraId="1BE35D44">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FE8EF39">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BA78C9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00825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B12FB08">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0.25%</w:t>
            </w:r>
          </w:p>
        </w:tc>
      </w:tr>
      <w:tr w14:paraId="48C318C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666370B">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B2BF7BD">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BF67223">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2A109AB">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0.10%</w:t>
            </w:r>
          </w:p>
        </w:tc>
      </w:tr>
      <w:tr w14:paraId="467C6BC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17AA222B">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612270B7">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0.045%</w:t>
            </w:r>
          </w:p>
        </w:tc>
        <w:tc>
          <w:tcPr>
            <w:tcW w:w="1433" w:type="dxa"/>
            <w:tcBorders>
              <w:top w:val="single" w:color="000000" w:sz="4" w:space="0"/>
              <w:left w:val="single" w:color="000000" w:sz="4" w:space="0"/>
              <w:right w:val="single" w:color="000000" w:sz="4" w:space="0"/>
            </w:tcBorders>
            <w:noWrap w:val="0"/>
            <w:vAlign w:val="center"/>
          </w:tcPr>
          <w:p w14:paraId="6C77BC4A">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0.045%</w:t>
            </w:r>
          </w:p>
        </w:tc>
        <w:tc>
          <w:tcPr>
            <w:tcW w:w="1711" w:type="dxa"/>
            <w:tcBorders>
              <w:top w:val="single" w:color="000000" w:sz="4" w:space="0"/>
              <w:left w:val="single" w:color="000000" w:sz="4" w:space="0"/>
              <w:right w:val="single" w:color="000000" w:sz="4" w:space="0"/>
            </w:tcBorders>
            <w:noWrap w:val="0"/>
            <w:vAlign w:val="center"/>
          </w:tcPr>
          <w:p w14:paraId="48A21657">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0.045%</w:t>
            </w:r>
          </w:p>
        </w:tc>
      </w:tr>
      <w:tr w14:paraId="2B02100E">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4FD4F5F">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2C97FA">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163934">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D46A4BF">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0.010%</w:t>
            </w:r>
          </w:p>
        </w:tc>
      </w:tr>
      <w:tr w14:paraId="6B0A8962">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3257DD3">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50亿--100亿元（含</w:t>
            </w:r>
            <w:r>
              <w:rPr>
                <w:rFonts w:hint="eastAsia" w:ascii="宋体" w:hAnsi="宋体" w:cs="宋体"/>
                <w:color w:val="auto"/>
                <w:kern w:val="0"/>
                <w:sz w:val="24"/>
                <w:szCs w:val="18"/>
                <w:highlight w:val="none"/>
                <w:lang w:bidi="zh-CN"/>
              </w:rPr>
              <w:t>100</w:t>
            </w:r>
            <w:r>
              <w:rPr>
                <w:rFonts w:ascii="宋体" w:hAnsi="宋体" w:cs="宋体"/>
                <w:color w:val="auto"/>
                <w:kern w:val="0"/>
                <w:sz w:val="24"/>
                <w:szCs w:val="18"/>
                <w:highlight w:val="none"/>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9EA218">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5E5D27">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6A2780C">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0.008%</w:t>
            </w:r>
          </w:p>
        </w:tc>
      </w:tr>
      <w:tr w14:paraId="3B6E5D1B">
        <w:tblPrEx>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FFA395F">
            <w:pPr>
              <w:autoSpaceDN w:val="0"/>
              <w:jc w:val="left"/>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200D093">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002E63">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4E0C7E7">
            <w:pPr>
              <w:autoSpaceDN w:val="0"/>
              <w:jc w:val="center"/>
              <w:textAlignment w:val="center"/>
              <w:rPr>
                <w:rFonts w:ascii="宋体" w:hAnsi="宋体" w:cs="宋体"/>
                <w:color w:val="auto"/>
                <w:kern w:val="0"/>
                <w:sz w:val="24"/>
                <w:szCs w:val="18"/>
                <w:highlight w:val="none"/>
                <w:lang w:val="zh-CN" w:bidi="zh-CN"/>
              </w:rPr>
            </w:pPr>
            <w:r>
              <w:rPr>
                <w:rFonts w:ascii="宋体" w:hAnsi="宋体" w:cs="宋体"/>
                <w:color w:val="auto"/>
                <w:kern w:val="0"/>
                <w:sz w:val="24"/>
                <w:szCs w:val="18"/>
                <w:highlight w:val="none"/>
                <w:lang w:val="zh-CN" w:bidi="zh-CN"/>
              </w:rPr>
              <w:t>0.004%</w:t>
            </w:r>
          </w:p>
        </w:tc>
      </w:tr>
      <w:tr w14:paraId="4C8B9A52">
        <w:tblPrEx>
          <w:tblCellMar>
            <w:top w:w="0" w:type="dxa"/>
            <w:left w:w="15" w:type="dxa"/>
            <w:bottom w:w="0" w:type="dxa"/>
            <w:right w:w="15" w:type="dxa"/>
          </w:tblCellMar>
        </w:tblPrEx>
        <w:trPr>
          <w:trHeight w:val="621" w:hRule="atLeast"/>
        </w:trPr>
        <w:tc>
          <w:tcPr>
            <w:tcW w:w="8780" w:type="dxa"/>
            <w:gridSpan w:val="4"/>
            <w:noWrap w:val="0"/>
            <w:vAlign w:val="center"/>
          </w:tcPr>
          <w:p w14:paraId="51DA1B17">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注：1.按本表费率计算的收费金额为招标代理服务费的基准价格，不含工程量清单、最高投标限价（招标控制价）或标底的编制费用。</w:t>
            </w:r>
          </w:p>
          <w:p w14:paraId="0E01F224">
            <w:pPr>
              <w:autoSpaceDN w:val="0"/>
              <w:spacing w:line="500" w:lineRule="exact"/>
              <w:jc w:val="left"/>
              <w:textAlignment w:val="center"/>
              <w:rPr>
                <w:rFonts w:ascii="宋体" w:hAnsi="宋体" w:cs="宋体"/>
                <w:color w:val="auto"/>
                <w:kern w:val="0"/>
                <w:sz w:val="24"/>
                <w:szCs w:val="24"/>
                <w:highlight w:val="none"/>
                <w:lang w:bidi="zh-CN"/>
              </w:rPr>
            </w:pPr>
            <w:r>
              <w:rPr>
                <w:rFonts w:hint="eastAsia" w:ascii="宋体" w:hAnsi="宋体" w:cs="宋体"/>
                <w:color w:val="auto"/>
                <w:kern w:val="0"/>
                <w:sz w:val="24"/>
                <w:szCs w:val="24"/>
                <w:highlight w:val="none"/>
                <w:lang w:bidi="zh-CN"/>
              </w:rPr>
              <w:t>2.招标代理服务收费按差额定率累进法计算。</w:t>
            </w:r>
          </w:p>
          <w:p w14:paraId="19F2D5D8">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例如: 某工程招标代理业务，项目预算金额（招标控制价）为10000 万元，招标代理服务收费计算如下:</w:t>
            </w:r>
          </w:p>
          <w:p w14:paraId="333F287B">
            <w:pPr>
              <w:autoSpaceDN w:val="0"/>
              <w:spacing w:line="500" w:lineRule="exact"/>
              <w:jc w:val="left"/>
              <w:textAlignment w:val="center"/>
              <w:rPr>
                <w:rFonts w:ascii="宋体" w:hAnsi="宋体" w:cs="宋体"/>
                <w:color w:val="auto"/>
                <w:kern w:val="0"/>
                <w:sz w:val="24"/>
                <w:szCs w:val="24"/>
                <w:highlight w:val="none"/>
                <w:lang w:val="zh-CN" w:bidi="zh-CN"/>
              </w:rPr>
            </w:pPr>
            <w:r>
              <w:rPr>
                <w:rFonts w:hint="eastAsia" w:ascii="宋体" w:hAnsi="宋体" w:cs="宋体"/>
                <w:color w:val="auto"/>
                <w:kern w:val="0"/>
                <w:sz w:val="24"/>
                <w:szCs w:val="24"/>
                <w:highlight w:val="none"/>
                <w:lang w:bidi="zh-CN"/>
              </w:rPr>
              <w:t xml:space="preserve"> </w:t>
            </w:r>
            <w:r>
              <w:rPr>
                <w:rFonts w:ascii="宋体" w:hAnsi="宋体" w:cs="宋体"/>
                <w:color w:val="auto"/>
                <w:kern w:val="0"/>
                <w:sz w:val="24"/>
                <w:szCs w:val="24"/>
                <w:highlight w:val="none"/>
                <w:lang w:val="zh-CN" w:bidi="zh-CN"/>
              </w:rPr>
              <w:t>100万元×1.2%=1.2万元</w:t>
            </w:r>
          </w:p>
          <w:p w14:paraId="2E4C7F36">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（500-100）万元×1.0%=4万元</w:t>
            </w:r>
          </w:p>
          <w:p w14:paraId="56BDEE54">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（1000-500）×0.7%=3.5万元</w:t>
            </w:r>
          </w:p>
          <w:p w14:paraId="71ECB149">
            <w:pPr>
              <w:autoSpaceDN w:val="0"/>
              <w:spacing w:line="500" w:lineRule="exact"/>
              <w:jc w:val="left"/>
              <w:textAlignment w:val="center"/>
              <w:rPr>
                <w:rFonts w:ascii="宋体" w:hAnsi="宋体" w:cs="宋体"/>
                <w:color w:val="auto"/>
                <w:kern w:val="0"/>
                <w:sz w:val="24"/>
                <w:szCs w:val="24"/>
                <w:highlight w:val="none"/>
                <w:lang w:val="zh-CN" w:bidi="zh-CN"/>
              </w:rPr>
            </w:pPr>
            <w:r>
              <w:rPr>
                <w:rFonts w:ascii="宋体" w:hAnsi="宋体" w:cs="宋体"/>
                <w:color w:val="auto"/>
                <w:kern w:val="0"/>
                <w:sz w:val="24"/>
                <w:szCs w:val="24"/>
                <w:highlight w:val="none"/>
                <w:lang w:val="zh-CN" w:bidi="zh-CN"/>
              </w:rPr>
              <w:t>（5000-1000）×0.4%=16万元</w:t>
            </w:r>
          </w:p>
          <w:p w14:paraId="294BC9B1">
            <w:pPr>
              <w:autoSpaceDN w:val="0"/>
              <w:spacing w:line="500" w:lineRule="exact"/>
              <w:jc w:val="left"/>
              <w:textAlignment w:val="center"/>
              <w:rPr>
                <w:rFonts w:ascii="宋体" w:hAnsi="宋体" w:cs="宋体"/>
                <w:color w:val="auto"/>
                <w:kern w:val="0"/>
                <w:szCs w:val="18"/>
                <w:highlight w:val="none"/>
                <w:lang w:val="zh-CN" w:bidi="zh-CN"/>
              </w:rPr>
            </w:pPr>
            <w:r>
              <w:rPr>
                <w:rFonts w:ascii="宋体" w:hAnsi="宋体" w:cs="宋体"/>
                <w:color w:val="auto"/>
                <w:kern w:val="0"/>
                <w:sz w:val="24"/>
                <w:szCs w:val="24"/>
                <w:highlight w:val="none"/>
                <w:lang w:val="zh-CN" w:bidi="zh-CN"/>
              </w:rPr>
              <w:t>（10000-5000）×0.25%=12.5万元合计收费=1.2+4+3.5+16+12.5=37.2万元</w:t>
            </w:r>
          </w:p>
        </w:tc>
      </w:tr>
    </w:tbl>
    <w:p w14:paraId="0D65C531">
      <w:pPr>
        <w:spacing w:line="400" w:lineRule="exact"/>
        <w:ind w:firstLine="482" w:firstLineChars="200"/>
        <w:rPr>
          <w:rFonts w:hint="eastAsia" w:ascii="宋体" w:hAnsi="宋体" w:cs="宋体"/>
          <w:b/>
          <w:color w:val="auto"/>
          <w:sz w:val="24"/>
          <w:szCs w:val="24"/>
          <w:highlight w:val="none"/>
        </w:rPr>
      </w:pPr>
    </w:p>
    <w:p w14:paraId="615430FF">
      <w:pPr>
        <w:spacing w:before="100" w:beforeAutospacing="1" w:after="100" w:afterAutospacing="1" w:line="560" w:lineRule="exact"/>
        <w:ind w:left="8852" w:leftChars="60" w:hanging="8726" w:hangingChars="2424"/>
        <w:jc w:val="center"/>
        <w:outlineLvl w:val="0"/>
        <w:rPr>
          <w:rFonts w:hint="eastAsia" w:ascii="宋体" w:hAnsi="宋体" w:cs="宋体"/>
          <w:color w:val="auto"/>
          <w:kern w:val="0"/>
          <w:sz w:val="24"/>
          <w:highlight w:val="none"/>
        </w:rPr>
      </w:pPr>
      <w:r>
        <w:rPr>
          <w:rFonts w:hint="eastAsia" w:ascii="宋体" w:hAnsi="宋体" w:cs="宋体"/>
          <w:color w:val="auto"/>
          <w:sz w:val="36"/>
          <w:szCs w:val="36"/>
          <w:highlight w:val="none"/>
        </w:rPr>
        <w:br w:type="page"/>
      </w:r>
      <w:bookmarkStart w:id="446" w:name="_Toc23275"/>
      <w:r>
        <w:rPr>
          <w:rFonts w:hint="eastAsia" w:ascii="宋体" w:hAnsi="宋体" w:cs="宋体"/>
          <w:b/>
          <w:bCs/>
          <w:color w:val="auto"/>
          <w:kern w:val="0"/>
          <w:sz w:val="32"/>
          <w:szCs w:val="32"/>
          <w:highlight w:val="none"/>
        </w:rPr>
        <w:t>第三章  评标办法（综合评分法）</w:t>
      </w:r>
      <w:bookmarkEnd w:id="446"/>
    </w:p>
    <w:p w14:paraId="67BF3C5F">
      <w:pPr>
        <w:spacing w:after="156" w:afterLines="50"/>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评标办法前附表</w:t>
      </w:r>
    </w:p>
    <w:tbl>
      <w:tblPr>
        <w:tblStyle w:val="27"/>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1936"/>
        <w:gridCol w:w="5129"/>
      </w:tblGrid>
      <w:tr w14:paraId="1324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D55E14F">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条款号</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6AED620">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评审因素</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3210B8CB">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评审标准</w:t>
            </w:r>
          </w:p>
        </w:tc>
      </w:tr>
      <w:tr w14:paraId="2ED6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71E2DEB6">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形式评审</w:t>
            </w:r>
          </w:p>
          <w:p w14:paraId="7EBAA9B9">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标   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64B1F724">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7AD04A7">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与营业执照、资质证书、安全生产许可证一致</w:t>
            </w:r>
          </w:p>
        </w:tc>
      </w:tr>
      <w:tr w14:paraId="0DA2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5C4FD494">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C9B9B29">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投标函签字盖章</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302957D">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有法定代表人签章和加盖单位公章</w:t>
            </w:r>
          </w:p>
        </w:tc>
      </w:tr>
      <w:tr w14:paraId="484F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154E4DFA">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105EDD5">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72C9255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只能有一个有效报价</w:t>
            </w:r>
          </w:p>
        </w:tc>
      </w:tr>
      <w:tr w14:paraId="1FD2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right w:val="single" w:color="auto" w:sz="4" w:space="0"/>
            </w:tcBorders>
            <w:noWrap w:val="0"/>
            <w:vAlign w:val="center"/>
          </w:tcPr>
          <w:p w14:paraId="063177BC">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资格评审 </w:t>
            </w:r>
          </w:p>
          <w:p w14:paraId="1C659525">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标  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1FE2B345">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第二十二条规定</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595800D6">
            <w:pPr>
              <w:spacing w:line="360" w:lineRule="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highlight w:val="none"/>
              </w:rPr>
              <w:t>满足《中华人民共和国政府采购法》第二十二条规定</w:t>
            </w:r>
            <w:r>
              <w:rPr>
                <w:rFonts w:hint="eastAsia" w:ascii="宋体" w:hAnsi="宋体" w:cs="宋体"/>
                <w:color w:val="auto"/>
                <w:sz w:val="24"/>
                <w:szCs w:val="24"/>
                <w:highlight w:val="none"/>
                <w:lang w:eastAsia="zh-CN"/>
              </w:rPr>
              <w:t>（提供承诺书）</w:t>
            </w:r>
          </w:p>
        </w:tc>
      </w:tr>
      <w:tr w14:paraId="5D08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2755F423">
            <w:pPr>
              <w:spacing w:line="360" w:lineRule="auto"/>
              <w:ind w:firstLine="482"/>
              <w:jc w:val="center"/>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5AB22D74">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营业执照</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5E3358CA">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供应商须具备独立法人资格，具有有效的营业执照</w:t>
            </w:r>
          </w:p>
        </w:tc>
      </w:tr>
      <w:tr w14:paraId="45E6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65" w:type="dxa"/>
            <w:vMerge w:val="continue"/>
            <w:tcBorders>
              <w:left w:val="single" w:color="auto" w:sz="4" w:space="0"/>
              <w:right w:val="single" w:color="auto" w:sz="4" w:space="0"/>
            </w:tcBorders>
            <w:noWrap w:val="0"/>
            <w:vAlign w:val="center"/>
          </w:tcPr>
          <w:p w14:paraId="21263D0E">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16DA798">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资质等级</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21B5C3A">
            <w:pPr>
              <w:spacing w:line="360" w:lineRule="auto"/>
              <w:rPr>
                <w:rFonts w:ascii="宋体" w:hAnsi="宋体" w:cs="宋体"/>
                <w:color w:val="auto"/>
                <w:szCs w:val="24"/>
                <w:highlight w:val="none"/>
              </w:rPr>
            </w:pPr>
            <w:r>
              <w:rPr>
                <w:rFonts w:hint="eastAsia" w:ascii="宋体" w:hAnsi="宋体" w:cs="宋体"/>
                <w:color w:val="auto"/>
                <w:sz w:val="24"/>
                <w:szCs w:val="24"/>
                <w:highlight w:val="none"/>
              </w:rPr>
              <w:t>供应商须具有</w:t>
            </w:r>
            <w:r>
              <w:rPr>
                <w:rFonts w:hint="eastAsia" w:ascii="宋体" w:hAnsi="宋体" w:cs="宋体"/>
                <w:color w:val="auto"/>
                <w:sz w:val="24"/>
                <w:szCs w:val="24"/>
                <w:highlight w:val="none"/>
                <w:lang w:eastAsia="zh-CN"/>
              </w:rPr>
              <w:t>建筑工程施工总承包叁级（含叁级）及以上资质</w:t>
            </w:r>
            <w:r>
              <w:rPr>
                <w:rFonts w:hint="eastAsia" w:ascii="宋体" w:hAnsi="宋体" w:cs="宋体"/>
                <w:color w:val="auto"/>
                <w:sz w:val="24"/>
                <w:szCs w:val="24"/>
                <w:highlight w:val="none"/>
              </w:rPr>
              <w:t>，具有有效的安全生产许可证，并在人员、设备、资金等方面具有相应的施工能力</w:t>
            </w:r>
          </w:p>
        </w:tc>
      </w:tr>
      <w:tr w14:paraId="150B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0B9EC388">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49297568">
            <w:pPr>
              <w:spacing w:line="360" w:lineRule="auto"/>
              <w:ind w:firstLine="482"/>
              <w:jc w:val="left"/>
              <w:rPr>
                <w:rFonts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148D656">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ascii="宋体" w:hAnsi="宋体"/>
                <w:color w:val="auto"/>
                <w:szCs w:val="24"/>
                <w:highlight w:val="none"/>
              </w:rPr>
            </w:pPr>
            <w:r>
              <w:rPr>
                <w:rFonts w:hint="eastAsia" w:ascii="宋体" w:hAnsi="宋体" w:eastAsia="宋体" w:cs="宋体"/>
                <w:color w:val="000000" w:themeColor="text1"/>
                <w:sz w:val="24"/>
                <w:szCs w:val="24"/>
                <w:lang w:eastAsia="zh-CN"/>
                <w14:textFill>
                  <w14:solidFill>
                    <w14:schemeClr w14:val="tx1"/>
                  </w14:solidFill>
                </w14:textFill>
              </w:rPr>
              <w:t>拟派项目经理应具备建筑工程专业贰级（含贰级）及以上注册建造师资格、具备有效的安全生产考核合格证书，未在其它在建工程项目中担任项目经理；且须提供近期单位社保证明（以社保网络查询或社保中心出具的证明为准，新成立企业从成立之日起计算）</w:t>
            </w:r>
          </w:p>
        </w:tc>
      </w:tr>
      <w:tr w14:paraId="150A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21BE4514">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1E0A1D24">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其他要求</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14043159">
            <w:pPr>
              <w:keepNext w:val="0"/>
              <w:keepLines w:val="0"/>
              <w:pageBreakBefore w:val="0"/>
              <w:kinsoku/>
              <w:wordWrap/>
              <w:overflowPunct/>
              <w:topLinePunct w:val="0"/>
              <w:autoSpaceDN/>
              <w:bidi w:val="0"/>
              <w:adjustRightInd/>
              <w:snapToGrid/>
              <w:spacing w:before="0" w:beforeLines="50" w:after="0" w:afterLines="50"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、供应商自行出具本单位无商业贿赂及无不正当竞争行为的承诺书；</w:t>
            </w:r>
          </w:p>
          <w:p w14:paraId="0F872059">
            <w:pPr>
              <w:wordWrap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提供供应商企业、法定代表人无行贿犯罪记录，在中国裁判文书网查询（提供网页查询截图）或供应商自行承诺，（查询日期必须在公告发布之日之后）；</w:t>
            </w:r>
          </w:p>
          <w:p w14:paraId="28EC747A">
            <w:pPr>
              <w:wordWrap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根据《关于在政府采购活动中查询及使用信用记录有关问题的通知》(财库[2016]125号)的规定，企业没有被列入“中国执行信息公开网”网站的“失信被执行人”、“信用中国”网站的“重大税收违法失信主体”及“中国政府采购网”网站的“政府采购严重违法失信行为记录名单”。【查询渠道：“中国执行信息公开网”网站（http://zxgk.court.gov.cn/shixin）“信用中国”网站（www.creditchina.gov.cn）、中国政府采购网（www.ccgp.gov.cn），提供网站的查询信息截图，信用报告，查询时间自公告发布之日起）；</w:t>
            </w:r>
          </w:p>
          <w:p w14:paraId="4CA0C883">
            <w:pPr>
              <w:keepNext w:val="0"/>
              <w:keepLines w:val="0"/>
              <w:pageBreakBefore w:val="0"/>
              <w:kinsoku/>
              <w:wordWrap/>
              <w:overflowPunct/>
              <w:topLinePunct w:val="0"/>
              <w:autoSpaceDN/>
              <w:bidi w:val="0"/>
              <w:adjustRightInd/>
              <w:snapToGrid/>
              <w:spacing w:before="0" w:beforeLines="50" w:after="0" w:afterLines="50" w:line="360" w:lineRule="auto"/>
              <w:textAlignment w:val="auto"/>
              <w:rPr>
                <w:rFonts w:hint="default" w:eastAsia="宋体"/>
                <w:color w:val="auto"/>
                <w:sz w:val="24"/>
                <w:szCs w:val="24"/>
                <w:highlight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本项目不接受联合体投标。提供非联合体承诺，格式自拟。</w:t>
            </w:r>
          </w:p>
        </w:tc>
      </w:tr>
      <w:tr w14:paraId="7684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bottom w:val="single" w:color="auto" w:sz="4" w:space="0"/>
              <w:right w:val="single" w:color="auto" w:sz="4" w:space="0"/>
            </w:tcBorders>
            <w:noWrap w:val="0"/>
            <w:vAlign w:val="center"/>
          </w:tcPr>
          <w:p w14:paraId="2A7732ED">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响 应 性</w:t>
            </w:r>
          </w:p>
          <w:p w14:paraId="4DC266F4">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评审标准</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0D891D2F">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投标内容</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39B769F7">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符合第二章“投标人须知”规定</w:t>
            </w:r>
          </w:p>
        </w:tc>
      </w:tr>
      <w:tr w14:paraId="640B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4CFB3D58">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5712D48">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工期</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18454CE">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符合第二章“投标人须知”规定</w:t>
            </w:r>
          </w:p>
        </w:tc>
      </w:tr>
      <w:tr w14:paraId="7171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11235EDB">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1ED8B808">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质量要求</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9809DEE">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符合第二章“投标人须知”规定</w:t>
            </w:r>
          </w:p>
        </w:tc>
      </w:tr>
      <w:tr w14:paraId="15F0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59492330">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73829A1D">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44264049">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符合第二章“投标人须知”规定</w:t>
            </w:r>
          </w:p>
        </w:tc>
      </w:tr>
      <w:tr w14:paraId="6D25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0B87DA43">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399C88B4">
            <w:pPr>
              <w:spacing w:line="360" w:lineRule="auto"/>
              <w:ind w:firstLine="482"/>
              <w:jc w:val="center"/>
              <w:rPr>
                <w:rFonts w:ascii="宋体" w:hAnsi="宋体" w:cs="宋体"/>
                <w:color w:val="auto"/>
                <w:kern w:val="0"/>
                <w:sz w:val="24"/>
                <w:szCs w:val="24"/>
                <w:highlight w:val="none"/>
              </w:rPr>
            </w:pPr>
            <w:r>
              <w:rPr>
                <w:rFonts w:hint="eastAsia" w:ascii="Courier New" w:hAnsi="宋体" w:cs="Courier New"/>
                <w:color w:val="auto"/>
                <w:sz w:val="24"/>
                <w:szCs w:val="24"/>
                <w:highlight w:val="none"/>
              </w:rPr>
              <w:t>已标价工程量清单</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00848DC">
            <w:pPr>
              <w:spacing w:line="360" w:lineRule="auto"/>
              <w:ind w:firstLine="482"/>
              <w:rPr>
                <w:rFonts w:ascii="宋体" w:hAnsi="宋体" w:cs="宋体"/>
                <w:color w:val="auto"/>
                <w:kern w:val="0"/>
                <w:sz w:val="24"/>
                <w:szCs w:val="24"/>
                <w:highlight w:val="none"/>
              </w:rPr>
            </w:pPr>
            <w:r>
              <w:rPr>
                <w:rFonts w:hint="eastAsia" w:ascii="Courier New" w:hAnsi="宋体" w:cs="Courier New"/>
                <w:color w:val="auto"/>
                <w:sz w:val="24"/>
                <w:szCs w:val="24"/>
                <w:highlight w:val="none"/>
              </w:rPr>
              <w:t>符合</w:t>
            </w:r>
            <w:r>
              <w:rPr>
                <w:rFonts w:ascii="Courier New" w:hAnsi="宋体" w:cs="Courier New"/>
                <w:color w:val="auto"/>
                <w:sz w:val="24"/>
                <w:szCs w:val="24"/>
                <w:highlight w:val="none"/>
              </w:rPr>
              <w:t xml:space="preserve"> </w:t>
            </w:r>
            <w:r>
              <w:rPr>
                <w:rFonts w:hint="eastAsia" w:ascii="Courier New" w:hAnsi="宋体" w:cs="Courier New"/>
                <w:color w:val="auto"/>
                <w:sz w:val="24"/>
                <w:szCs w:val="24"/>
                <w:highlight w:val="none"/>
              </w:rPr>
              <w:t>“工程量清单”给出的范围及数量，投标人不得擅自修改工程量清单上的工程项目和数量，否则其投标将予否决。</w:t>
            </w:r>
          </w:p>
        </w:tc>
      </w:tr>
      <w:tr w14:paraId="02B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top w:val="single" w:color="auto" w:sz="4" w:space="0"/>
              <w:left w:val="single" w:color="auto" w:sz="4" w:space="0"/>
              <w:bottom w:val="single" w:color="auto" w:sz="4" w:space="0"/>
              <w:right w:val="single" w:color="auto" w:sz="4" w:space="0"/>
            </w:tcBorders>
            <w:noWrap w:val="0"/>
            <w:vAlign w:val="center"/>
          </w:tcPr>
          <w:p w14:paraId="4A3AE8FE">
            <w:pPr>
              <w:widowControl/>
              <w:ind w:firstLine="482"/>
              <w:jc w:val="left"/>
              <w:rPr>
                <w:rFonts w:ascii="宋体" w:hAnsi="宋体" w:cs="宋体"/>
                <w:color w:val="auto"/>
                <w:sz w:val="24"/>
                <w:szCs w:val="24"/>
                <w:highlight w:val="none"/>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14:paraId="036A308C">
            <w:pPr>
              <w:spacing w:line="360" w:lineRule="auto"/>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投标价格</w:t>
            </w:r>
          </w:p>
        </w:tc>
        <w:tc>
          <w:tcPr>
            <w:tcW w:w="5129" w:type="dxa"/>
            <w:tcBorders>
              <w:top w:val="single" w:color="auto" w:sz="4" w:space="0"/>
              <w:left w:val="single" w:color="auto" w:sz="4" w:space="0"/>
              <w:bottom w:val="single" w:color="auto" w:sz="4" w:space="0"/>
              <w:right w:val="single" w:color="auto" w:sz="4" w:space="0"/>
            </w:tcBorders>
            <w:noWrap w:val="0"/>
            <w:vAlign w:val="center"/>
          </w:tcPr>
          <w:p w14:paraId="6999440D">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低于（含等于）招标控制价</w:t>
            </w:r>
          </w:p>
        </w:tc>
      </w:tr>
    </w:tbl>
    <w:p w14:paraId="08C9E573">
      <w:pPr>
        <w:ind w:firstLine="482"/>
        <w:rPr>
          <w:rFonts w:hint="eastAsia"/>
          <w:color w:val="auto"/>
          <w:highlight w:val="none"/>
        </w:rPr>
      </w:pPr>
    </w:p>
    <w:p w14:paraId="39B27F14">
      <w:pPr>
        <w:rPr>
          <w:b w:val="0"/>
          <w:color w:val="auto"/>
          <w:highlight w:val="none"/>
        </w:rPr>
      </w:pPr>
      <w:r>
        <w:rPr>
          <w:b w:val="0"/>
          <w:color w:val="auto"/>
          <w:highlight w:val="none"/>
        </w:rPr>
        <w:br w:type="page"/>
      </w:r>
    </w:p>
    <w:p w14:paraId="29511179">
      <w:pPr>
        <w:pStyle w:val="5"/>
        <w:ind w:firstLine="1452" w:firstLineChars="484"/>
        <w:jc w:val="both"/>
        <w:rPr>
          <w:b w:val="0"/>
          <w:color w:val="auto"/>
          <w:highlight w:val="none"/>
        </w:rPr>
      </w:pPr>
      <w:r>
        <w:rPr>
          <w:b w:val="0"/>
          <w:color w:val="auto"/>
          <w:highlight w:val="none"/>
        </w:rPr>
        <w:t>评分标准：</w:t>
      </w:r>
    </w:p>
    <w:tbl>
      <w:tblPr>
        <w:tblStyle w:val="27"/>
        <w:tblW w:w="9148" w:type="dxa"/>
        <w:tblInd w:w="-251" w:type="dxa"/>
        <w:tblLayout w:type="fixed"/>
        <w:tblCellMar>
          <w:top w:w="0" w:type="dxa"/>
          <w:left w:w="108" w:type="dxa"/>
          <w:bottom w:w="0" w:type="dxa"/>
          <w:right w:w="108" w:type="dxa"/>
        </w:tblCellMar>
      </w:tblPr>
      <w:tblGrid>
        <w:gridCol w:w="726"/>
        <w:gridCol w:w="868"/>
        <w:gridCol w:w="608"/>
        <w:gridCol w:w="917"/>
        <w:gridCol w:w="4895"/>
        <w:gridCol w:w="1134"/>
      </w:tblGrid>
      <w:tr w14:paraId="3C897794">
        <w:tblPrEx>
          <w:tblCellMar>
            <w:top w:w="0" w:type="dxa"/>
            <w:left w:w="108" w:type="dxa"/>
            <w:bottom w:w="0" w:type="dxa"/>
            <w:right w:w="108" w:type="dxa"/>
          </w:tblCellMar>
        </w:tblPrEx>
        <w:trPr>
          <w:trHeight w:val="518" w:hRule="atLeast"/>
        </w:trPr>
        <w:tc>
          <w:tcPr>
            <w:tcW w:w="9148" w:type="dxa"/>
            <w:gridSpan w:val="6"/>
            <w:tcBorders>
              <w:top w:val="single" w:color="000000" w:sz="6" w:space="0"/>
              <w:left w:val="single" w:color="000000" w:sz="12" w:space="0"/>
              <w:bottom w:val="single" w:color="000000" w:sz="6" w:space="0"/>
              <w:right w:val="single" w:color="000000" w:sz="12" w:space="0"/>
            </w:tcBorders>
            <w:noWrap w:val="0"/>
            <w:vAlign w:val="center"/>
          </w:tcPr>
          <w:p w14:paraId="2653891B">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b/>
                <w:color w:val="auto"/>
                <w:kern w:val="1"/>
                <w:sz w:val="24"/>
                <w:szCs w:val="24"/>
                <w:highlight w:val="none"/>
                <w:lang w:eastAsia="en-US" w:bidi="en-US"/>
              </w:rPr>
              <w:t>评分部分（满分100分）</w:t>
            </w:r>
          </w:p>
        </w:tc>
      </w:tr>
      <w:tr w14:paraId="2D86BB2E">
        <w:tblPrEx>
          <w:tblCellMar>
            <w:top w:w="0" w:type="dxa"/>
            <w:left w:w="108" w:type="dxa"/>
            <w:bottom w:w="0" w:type="dxa"/>
            <w:right w:w="108" w:type="dxa"/>
          </w:tblCellMar>
        </w:tblPrEx>
        <w:trPr>
          <w:trHeight w:val="691" w:hRule="atLeast"/>
        </w:trPr>
        <w:tc>
          <w:tcPr>
            <w:tcW w:w="1594" w:type="dxa"/>
            <w:gridSpan w:val="2"/>
            <w:tcBorders>
              <w:top w:val="single" w:color="000000" w:sz="6" w:space="0"/>
              <w:left w:val="single" w:color="000000" w:sz="6" w:space="0"/>
              <w:bottom w:val="single" w:color="000000" w:sz="6" w:space="0"/>
              <w:right w:val="single" w:color="000000" w:sz="6" w:space="0"/>
            </w:tcBorders>
            <w:noWrap w:val="0"/>
            <w:vAlign w:val="center"/>
          </w:tcPr>
          <w:p w14:paraId="48D52FFB">
            <w:pPr>
              <w:adjustRightInd/>
              <w:snapToGrid/>
              <w:spacing w:after="0" w:line="400" w:lineRule="exact"/>
              <w:ind w:left="210" w:hanging="210"/>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分值构成</w:t>
            </w:r>
          </w:p>
          <w:p w14:paraId="0960470E">
            <w:pPr>
              <w:adjustRightInd/>
              <w:snapToGrid/>
              <w:spacing w:after="0" w:line="400" w:lineRule="exact"/>
              <w:ind w:left="210" w:hanging="210"/>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(总分100分)</w:t>
            </w:r>
          </w:p>
        </w:tc>
        <w:tc>
          <w:tcPr>
            <w:tcW w:w="7554" w:type="dxa"/>
            <w:gridSpan w:val="4"/>
            <w:tcBorders>
              <w:top w:val="single" w:color="000000" w:sz="6" w:space="0"/>
              <w:left w:val="single" w:color="000000" w:sz="6" w:space="0"/>
              <w:bottom w:val="single" w:color="000000" w:sz="6" w:space="0"/>
              <w:right w:val="single" w:color="000000" w:sz="12" w:space="0"/>
            </w:tcBorders>
            <w:noWrap w:val="0"/>
            <w:vAlign w:val="center"/>
          </w:tcPr>
          <w:p w14:paraId="6C81AED4">
            <w:pPr>
              <w:adjustRightInd/>
              <w:snapToGrid/>
              <w:spacing w:after="0" w:line="400" w:lineRule="exact"/>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bidi="en-US"/>
              </w:rPr>
              <w:t>商务标：</w:t>
            </w:r>
            <w:r>
              <w:rPr>
                <w:rFonts w:hint="eastAsia" w:ascii="宋体" w:hAnsi="宋体" w:eastAsia="宋体" w:cs="宋体"/>
                <w:color w:val="auto"/>
                <w:kern w:val="1"/>
                <w:sz w:val="24"/>
                <w:szCs w:val="24"/>
                <w:highlight w:val="none"/>
                <w:u w:val="single"/>
                <w:lang w:bidi="en-US"/>
              </w:rPr>
              <w:t>30</w:t>
            </w:r>
            <w:r>
              <w:rPr>
                <w:rFonts w:hint="eastAsia" w:ascii="宋体" w:hAnsi="宋体" w:eastAsia="宋体" w:cs="宋体"/>
                <w:color w:val="auto"/>
                <w:kern w:val="1"/>
                <w:sz w:val="24"/>
                <w:szCs w:val="24"/>
                <w:highlight w:val="none"/>
                <w:lang w:bidi="en-US"/>
              </w:rPr>
              <w:t>分</w:t>
            </w:r>
          </w:p>
          <w:p w14:paraId="677E3DB8">
            <w:pPr>
              <w:adjustRightInd/>
              <w:snapToGrid/>
              <w:spacing w:after="0" w:line="400" w:lineRule="exact"/>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bidi="en-US"/>
              </w:rPr>
              <w:t>技术标：</w:t>
            </w:r>
            <w:r>
              <w:rPr>
                <w:rFonts w:hint="eastAsia" w:ascii="宋体" w:hAnsi="宋体" w:eastAsia="宋体" w:cs="宋体"/>
                <w:color w:val="auto"/>
                <w:kern w:val="1"/>
                <w:sz w:val="24"/>
                <w:szCs w:val="24"/>
                <w:highlight w:val="none"/>
                <w:u w:val="single"/>
                <w:lang w:bidi="en-US"/>
              </w:rPr>
              <w:t>45</w:t>
            </w:r>
            <w:r>
              <w:rPr>
                <w:rFonts w:hint="eastAsia" w:ascii="宋体" w:hAnsi="宋体" w:eastAsia="宋体" w:cs="宋体"/>
                <w:color w:val="auto"/>
                <w:kern w:val="1"/>
                <w:sz w:val="24"/>
                <w:szCs w:val="24"/>
                <w:highlight w:val="none"/>
                <w:lang w:bidi="en-US"/>
              </w:rPr>
              <w:t>分</w:t>
            </w:r>
          </w:p>
          <w:p w14:paraId="2322E5D8">
            <w:pPr>
              <w:adjustRightInd/>
              <w:snapToGrid/>
              <w:spacing w:after="0" w:line="400" w:lineRule="exact"/>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bidi="en-US"/>
              </w:rPr>
              <w:t>综合标：</w:t>
            </w:r>
            <w:r>
              <w:rPr>
                <w:rFonts w:hint="eastAsia" w:ascii="宋体" w:hAnsi="宋体" w:eastAsia="宋体" w:cs="宋体"/>
                <w:color w:val="auto"/>
                <w:kern w:val="1"/>
                <w:sz w:val="24"/>
                <w:szCs w:val="24"/>
                <w:highlight w:val="none"/>
                <w:u w:val="single"/>
                <w:lang w:bidi="en-US"/>
              </w:rPr>
              <w:t>25</w:t>
            </w:r>
            <w:r>
              <w:rPr>
                <w:rFonts w:hint="eastAsia" w:ascii="宋体" w:hAnsi="宋体" w:eastAsia="宋体" w:cs="宋体"/>
                <w:color w:val="auto"/>
                <w:kern w:val="1"/>
                <w:sz w:val="24"/>
                <w:szCs w:val="24"/>
                <w:highlight w:val="none"/>
                <w:lang w:bidi="en-US"/>
              </w:rPr>
              <w:t>分</w:t>
            </w:r>
          </w:p>
        </w:tc>
      </w:tr>
      <w:tr w14:paraId="17D607B3">
        <w:tblPrEx>
          <w:tblCellMar>
            <w:top w:w="0" w:type="dxa"/>
            <w:left w:w="108" w:type="dxa"/>
            <w:bottom w:w="0" w:type="dxa"/>
            <w:right w:w="108" w:type="dxa"/>
          </w:tblCellMar>
        </w:tblPrEx>
        <w:trPr>
          <w:trHeight w:val="207" w:hRule="atLeast"/>
        </w:trPr>
        <w:tc>
          <w:tcPr>
            <w:tcW w:w="1594" w:type="dxa"/>
            <w:gridSpan w:val="2"/>
            <w:tcBorders>
              <w:top w:val="single" w:color="000000" w:sz="6" w:space="0"/>
              <w:left w:val="single" w:color="000000" w:sz="6" w:space="0"/>
              <w:bottom w:val="single" w:color="000000" w:sz="6" w:space="0"/>
              <w:right w:val="single" w:color="000000" w:sz="6" w:space="0"/>
            </w:tcBorders>
            <w:noWrap w:val="0"/>
            <w:vAlign w:val="center"/>
          </w:tcPr>
          <w:p w14:paraId="52BFD92A">
            <w:pPr>
              <w:adjustRightInd/>
              <w:snapToGrid/>
              <w:spacing w:after="0" w:line="400" w:lineRule="exact"/>
              <w:jc w:val="center"/>
              <w:rPr>
                <w:rFonts w:ascii="宋体" w:hAnsi="宋体" w:eastAsia="宋体" w:cs="宋体"/>
                <w:b/>
                <w:color w:val="auto"/>
                <w:kern w:val="1"/>
                <w:sz w:val="24"/>
                <w:szCs w:val="24"/>
                <w:highlight w:val="none"/>
                <w:lang w:eastAsia="en-US" w:bidi="en-US"/>
              </w:rPr>
            </w:pPr>
            <w:r>
              <w:rPr>
                <w:rFonts w:hint="eastAsia" w:ascii="宋体" w:hAnsi="宋体" w:eastAsia="宋体" w:cs="宋体"/>
                <w:b/>
                <w:color w:val="auto"/>
                <w:kern w:val="1"/>
                <w:sz w:val="24"/>
                <w:szCs w:val="24"/>
                <w:highlight w:val="none"/>
                <w:lang w:eastAsia="en-US" w:bidi="en-US"/>
              </w:rPr>
              <w:t>评分因素</w:t>
            </w:r>
          </w:p>
        </w:tc>
        <w:tc>
          <w:tcPr>
            <w:tcW w:w="7554" w:type="dxa"/>
            <w:gridSpan w:val="4"/>
            <w:tcBorders>
              <w:top w:val="single" w:color="000000" w:sz="6" w:space="0"/>
              <w:left w:val="single" w:color="000000" w:sz="6" w:space="0"/>
              <w:bottom w:val="single" w:color="000000" w:sz="6" w:space="0"/>
              <w:right w:val="single" w:color="000000" w:sz="12" w:space="0"/>
            </w:tcBorders>
            <w:noWrap w:val="0"/>
            <w:vAlign w:val="center"/>
          </w:tcPr>
          <w:p w14:paraId="46880895">
            <w:pPr>
              <w:adjustRightInd/>
              <w:snapToGrid/>
              <w:spacing w:after="0" w:line="400" w:lineRule="exact"/>
              <w:jc w:val="center"/>
              <w:rPr>
                <w:rFonts w:ascii="宋体" w:hAnsi="宋体" w:eastAsia="宋体" w:cs="宋体"/>
                <w:b/>
                <w:color w:val="auto"/>
                <w:kern w:val="1"/>
                <w:sz w:val="24"/>
                <w:szCs w:val="24"/>
                <w:highlight w:val="none"/>
                <w:lang w:eastAsia="en-US" w:bidi="en-US"/>
              </w:rPr>
            </w:pPr>
            <w:r>
              <w:rPr>
                <w:rFonts w:hint="eastAsia" w:ascii="宋体" w:hAnsi="宋体" w:eastAsia="宋体" w:cs="宋体"/>
                <w:b/>
                <w:color w:val="auto"/>
                <w:kern w:val="1"/>
                <w:sz w:val="24"/>
                <w:szCs w:val="24"/>
                <w:highlight w:val="none"/>
                <w:lang w:eastAsia="en-US" w:bidi="en-US"/>
              </w:rPr>
              <w:t>评分标准</w:t>
            </w:r>
          </w:p>
        </w:tc>
      </w:tr>
      <w:tr w14:paraId="1371B099">
        <w:tblPrEx>
          <w:tblCellMar>
            <w:top w:w="0" w:type="dxa"/>
            <w:left w:w="108" w:type="dxa"/>
            <w:bottom w:w="0" w:type="dxa"/>
            <w:right w:w="108" w:type="dxa"/>
          </w:tblCellMar>
        </w:tblPrEx>
        <w:trPr>
          <w:trHeight w:val="602" w:hRule="atLeast"/>
        </w:trPr>
        <w:tc>
          <w:tcPr>
            <w:tcW w:w="726" w:type="dxa"/>
            <w:tcBorders>
              <w:top w:val="single" w:color="000000" w:sz="6" w:space="0"/>
              <w:left w:val="single" w:color="000000" w:sz="4" w:space="0"/>
              <w:bottom w:val="single" w:color="000000" w:sz="6" w:space="0"/>
              <w:right w:val="single" w:color="000000" w:sz="6" w:space="0"/>
            </w:tcBorders>
            <w:noWrap w:val="0"/>
            <w:vAlign w:val="center"/>
          </w:tcPr>
          <w:p w14:paraId="689F9881">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商务标（</w:t>
            </w:r>
            <w:r>
              <w:rPr>
                <w:rFonts w:hint="eastAsia" w:ascii="宋体" w:hAnsi="宋体" w:eastAsia="宋体" w:cs="宋体"/>
                <w:color w:val="auto"/>
                <w:kern w:val="1"/>
                <w:sz w:val="24"/>
                <w:szCs w:val="24"/>
                <w:highlight w:val="none"/>
                <w:lang w:bidi="en-US"/>
              </w:rPr>
              <w:t>3</w:t>
            </w:r>
            <w:r>
              <w:rPr>
                <w:rFonts w:hint="eastAsia" w:ascii="宋体" w:hAnsi="宋体" w:eastAsia="宋体" w:cs="宋体"/>
                <w:color w:val="auto"/>
                <w:kern w:val="1"/>
                <w:sz w:val="24"/>
                <w:szCs w:val="24"/>
                <w:highlight w:val="none"/>
                <w:lang w:eastAsia="en-US" w:bidi="en-US"/>
              </w:rPr>
              <w:t>0分）</w:t>
            </w:r>
          </w:p>
        </w:tc>
        <w:tc>
          <w:tcPr>
            <w:tcW w:w="868" w:type="dxa"/>
            <w:tcBorders>
              <w:top w:val="single" w:color="000000" w:sz="6" w:space="0"/>
              <w:left w:val="single" w:color="000000" w:sz="4" w:space="0"/>
              <w:bottom w:val="single" w:color="000000" w:sz="6" w:space="0"/>
              <w:right w:val="single" w:color="000000" w:sz="6" w:space="0"/>
            </w:tcBorders>
            <w:noWrap w:val="0"/>
            <w:vAlign w:val="center"/>
          </w:tcPr>
          <w:p w14:paraId="417347AA">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投标报价</w:t>
            </w:r>
          </w:p>
        </w:tc>
        <w:tc>
          <w:tcPr>
            <w:tcW w:w="7554" w:type="dxa"/>
            <w:gridSpan w:val="4"/>
            <w:tcBorders>
              <w:top w:val="single" w:color="000000" w:sz="6" w:space="0"/>
              <w:left w:val="single" w:color="000000" w:sz="6" w:space="0"/>
              <w:bottom w:val="single" w:color="000000" w:sz="6" w:space="0"/>
              <w:right w:val="single" w:color="000000" w:sz="12" w:space="0"/>
            </w:tcBorders>
            <w:noWrap w:val="0"/>
            <w:vAlign w:val="center"/>
          </w:tcPr>
          <w:p w14:paraId="35CE2D8C">
            <w:pPr>
              <w:adjustRightInd/>
              <w:snapToGrid/>
              <w:spacing w:after="0" w:line="400" w:lineRule="exact"/>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sz w:val="24"/>
                <w:szCs w:val="24"/>
                <w:highlight w:val="none"/>
                <w:lang w:bidi="en-US"/>
              </w:rPr>
              <w:t>1</w:t>
            </w:r>
            <w:r>
              <w:rPr>
                <w:rFonts w:hint="eastAsia" w:ascii="宋体" w:hAnsi="宋体" w:eastAsia="宋体" w:cs="宋体"/>
                <w:color w:val="auto"/>
                <w:kern w:val="0"/>
                <w:sz w:val="24"/>
                <w:szCs w:val="24"/>
                <w:highlight w:val="none"/>
                <w:lang w:val="en-US" w:eastAsia="zh-CN" w:bidi="en-US"/>
              </w:rPr>
              <w:t>、综合评分法中的价格分统一采用低价优先法计算，即满足磋商文件要求且最后报价最低的供应商的价格为磋商基准价，其价格分为满分。</w:t>
            </w:r>
          </w:p>
          <w:p w14:paraId="178F983C">
            <w:pPr>
              <w:adjustRightInd/>
              <w:snapToGrid/>
              <w:spacing w:after="0" w:line="400" w:lineRule="exact"/>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2、其他供应商的价格分统一按照下列公式计算：磋商报价得分=（磋商基准价/最后磋商报价）×30</w:t>
            </w:r>
          </w:p>
          <w:p w14:paraId="6DB28419">
            <w:pPr>
              <w:adjustRightInd/>
              <w:snapToGrid/>
              <w:spacing w:after="0" w:line="400" w:lineRule="exact"/>
              <w:rPr>
                <w:rFonts w:hint="eastAsia" w:ascii="宋体" w:hAnsi="宋体" w:eastAsia="宋体" w:cs="宋体"/>
                <w:color w:val="auto"/>
                <w:kern w:val="0"/>
                <w:sz w:val="24"/>
                <w:szCs w:val="24"/>
                <w:highlight w:val="none"/>
                <w:lang w:val="en-US" w:eastAsia="zh-CN" w:bidi="en-US"/>
              </w:rPr>
            </w:pPr>
            <w:r>
              <w:rPr>
                <w:rFonts w:hint="eastAsia" w:ascii="宋体" w:hAnsi="宋体" w:eastAsia="宋体" w:cs="宋体"/>
                <w:color w:val="auto"/>
                <w:kern w:val="0"/>
                <w:sz w:val="24"/>
                <w:szCs w:val="24"/>
                <w:highlight w:val="none"/>
                <w:lang w:val="en-US" w:eastAsia="zh-CN" w:bidi="en-US"/>
              </w:rPr>
              <w:t>注：（1）分值计算保留两位小数。</w:t>
            </w:r>
          </w:p>
          <w:p w14:paraId="11587241">
            <w:pPr>
              <w:pStyle w:val="3"/>
            </w:pPr>
            <w:r>
              <w:rPr>
                <w:rFonts w:hint="eastAsia" w:ascii="宋体" w:hAnsi="宋体" w:eastAsia="宋体" w:cs="宋体"/>
                <w:color w:val="auto"/>
                <w:sz w:val="24"/>
                <w:szCs w:val="24"/>
                <w:highlight w:val="none"/>
                <w:lang w:bidi="en-US"/>
              </w:rPr>
              <w:t>（</w:t>
            </w:r>
            <w:r>
              <w:rPr>
                <w:rFonts w:hint="eastAsia" w:ascii="宋体" w:hAnsi="宋体" w:eastAsia="宋体" w:cs="宋体"/>
                <w:color w:val="auto"/>
                <w:sz w:val="24"/>
                <w:szCs w:val="24"/>
                <w:highlight w:val="none"/>
                <w:lang w:val="en-US" w:eastAsia="zh-CN" w:bidi="en-US"/>
              </w:rPr>
              <w:t>2</w:t>
            </w:r>
            <w:r>
              <w:rPr>
                <w:rFonts w:hint="eastAsia" w:ascii="宋体" w:hAnsi="宋体" w:eastAsia="宋体" w:cs="宋体"/>
                <w:color w:val="auto"/>
                <w:sz w:val="24"/>
                <w:szCs w:val="24"/>
                <w:highlight w:val="none"/>
                <w:lang w:bidi="en-US"/>
              </w:rPr>
              <w:t>）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p w14:paraId="23577AE7">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w:t>
            </w:r>
            <w:r>
              <w:rPr>
                <w:rFonts w:hint="eastAsia" w:ascii="宋体" w:hAnsi="宋体" w:eastAsia="宋体" w:cs="宋体"/>
                <w:color w:val="auto"/>
                <w:sz w:val="24"/>
                <w:szCs w:val="24"/>
                <w:highlight w:val="none"/>
                <w:lang w:val="en-US" w:eastAsia="zh-CN" w:bidi="en-US"/>
              </w:rPr>
              <w:t>3</w:t>
            </w:r>
            <w:r>
              <w:rPr>
                <w:rFonts w:hint="eastAsia" w:ascii="宋体" w:hAnsi="宋体" w:eastAsia="宋体" w:cs="宋体"/>
                <w:color w:val="auto"/>
                <w:sz w:val="24"/>
                <w:szCs w:val="24"/>
                <w:highlight w:val="none"/>
                <w:lang w:bidi="en-US"/>
              </w:rPr>
              <w:t>）</w:t>
            </w:r>
            <w:r>
              <w:rPr>
                <w:rFonts w:hint="eastAsia" w:ascii="宋体" w:hAnsi="宋体" w:eastAsia="宋体" w:cs="宋体"/>
                <w:snapToGrid w:val="0"/>
                <w:sz w:val="24"/>
                <w:szCs w:val="24"/>
                <w:highlight w:val="none"/>
                <w:lang w:val="en-US" w:eastAsia="zh-CN"/>
              </w:rPr>
              <w:t>价格扣除：供应商根据《政府采购促进中小企业发展 管理办法》（财库[2020]46号）、财政部司法部《关于政府采购支持监狱企业发展有关问题的</w:t>
            </w:r>
            <w:r>
              <w:rPr>
                <w:rFonts w:hint="eastAsia" w:ascii="宋体" w:hAnsi="宋体" w:eastAsia="宋体" w:cs="宋体"/>
                <w:color w:val="auto"/>
                <w:kern w:val="0"/>
                <w:sz w:val="24"/>
                <w:szCs w:val="24"/>
                <w:highlight w:val="none"/>
                <w:lang w:val="en-US" w:eastAsia="zh-CN" w:bidi="en-US"/>
              </w:rPr>
              <w:t>通知》（财库〔2014〕68 号）和财政部民政部中国残疾人联合会《关于促进残疾人就业政府采购政策的通知》（财库〔2017〕141 号）规定，本项目对小微企业、监狱企业、残疾人福利性企业作为供应商所提供的本企业生产的产品的价格给予20%的扣除。同一供应商（包括联合体），小微企业、监狱、残疾人福利性企业同一产品价格扣除优惠只享受一次，不得重复享受。</w:t>
            </w:r>
          </w:p>
        </w:tc>
      </w:tr>
      <w:tr w14:paraId="607B7DC3">
        <w:tblPrEx>
          <w:tblCellMar>
            <w:top w:w="0" w:type="dxa"/>
            <w:left w:w="108" w:type="dxa"/>
            <w:bottom w:w="0" w:type="dxa"/>
            <w:right w:w="108" w:type="dxa"/>
          </w:tblCellMar>
        </w:tblPrEx>
        <w:trPr>
          <w:trHeight w:val="406" w:hRule="atLeast"/>
        </w:trPr>
        <w:tc>
          <w:tcPr>
            <w:tcW w:w="726" w:type="dxa"/>
            <w:vMerge w:val="restart"/>
            <w:tcBorders>
              <w:top w:val="single" w:color="000000" w:sz="6" w:space="0"/>
              <w:left w:val="single" w:color="000000" w:sz="6" w:space="0"/>
              <w:right w:val="single" w:color="000000" w:sz="4" w:space="0"/>
            </w:tcBorders>
            <w:noWrap w:val="0"/>
            <w:vAlign w:val="center"/>
          </w:tcPr>
          <w:p w14:paraId="50256E3B">
            <w:pPr>
              <w:adjustRightInd/>
              <w:snapToGrid/>
              <w:spacing w:after="0" w:line="400" w:lineRule="exact"/>
              <w:jc w:val="center"/>
              <w:rPr>
                <w:rFonts w:ascii="宋体" w:hAnsi="宋体" w:eastAsia="宋体" w:cs="宋体"/>
                <w:color w:val="auto"/>
                <w:spacing w:val="6"/>
                <w:kern w:val="1"/>
                <w:sz w:val="24"/>
                <w:szCs w:val="24"/>
                <w:highlight w:val="none"/>
                <w:lang w:eastAsia="en-US" w:bidi="en-US"/>
              </w:rPr>
            </w:pPr>
            <w:r>
              <w:rPr>
                <w:rFonts w:hint="eastAsia" w:ascii="宋体" w:hAnsi="宋体" w:eastAsia="宋体" w:cs="宋体"/>
                <w:color w:val="auto"/>
                <w:spacing w:val="6"/>
                <w:kern w:val="1"/>
                <w:sz w:val="24"/>
                <w:szCs w:val="24"/>
                <w:highlight w:val="none"/>
                <w:lang w:eastAsia="en-US" w:bidi="en-US"/>
              </w:rPr>
              <w:t>技术标</w:t>
            </w:r>
          </w:p>
          <w:p w14:paraId="0AA59EDD">
            <w:pPr>
              <w:adjustRightInd/>
              <w:snapToGrid/>
              <w:spacing w:after="0" w:line="400" w:lineRule="exact"/>
              <w:jc w:val="center"/>
              <w:rPr>
                <w:rFonts w:ascii="宋体" w:hAnsi="宋体" w:eastAsia="宋体" w:cs="宋体"/>
                <w:color w:val="auto"/>
                <w:spacing w:val="6"/>
                <w:kern w:val="1"/>
                <w:sz w:val="24"/>
                <w:szCs w:val="24"/>
                <w:highlight w:val="none"/>
                <w:lang w:eastAsia="en-US" w:bidi="en-US"/>
              </w:rPr>
            </w:pPr>
            <w:r>
              <w:rPr>
                <w:rFonts w:hint="eastAsia" w:ascii="宋体" w:hAnsi="宋体" w:eastAsia="宋体" w:cs="宋体"/>
                <w:color w:val="auto"/>
                <w:spacing w:val="6"/>
                <w:kern w:val="1"/>
                <w:sz w:val="24"/>
                <w:szCs w:val="24"/>
                <w:highlight w:val="none"/>
                <w:lang w:eastAsia="en-US" w:bidi="en-US"/>
              </w:rPr>
              <w:t>（</w:t>
            </w:r>
            <w:r>
              <w:rPr>
                <w:rFonts w:hint="eastAsia" w:ascii="宋体" w:hAnsi="宋体" w:eastAsia="宋体" w:cs="宋体"/>
                <w:color w:val="auto"/>
                <w:spacing w:val="6"/>
                <w:kern w:val="1"/>
                <w:sz w:val="24"/>
                <w:szCs w:val="24"/>
                <w:highlight w:val="none"/>
                <w:lang w:bidi="en-US"/>
              </w:rPr>
              <w:t>45</w:t>
            </w:r>
            <w:r>
              <w:rPr>
                <w:rFonts w:hint="eastAsia" w:ascii="宋体" w:hAnsi="宋体" w:eastAsia="宋体" w:cs="宋体"/>
                <w:color w:val="auto"/>
                <w:spacing w:val="6"/>
                <w:kern w:val="1"/>
                <w:sz w:val="24"/>
                <w:szCs w:val="24"/>
                <w:highlight w:val="none"/>
                <w:lang w:eastAsia="en-US" w:bidi="en-US"/>
              </w:rPr>
              <w:t>分）</w:t>
            </w:r>
          </w:p>
        </w:tc>
        <w:tc>
          <w:tcPr>
            <w:tcW w:w="868" w:type="dxa"/>
            <w:vMerge w:val="restart"/>
            <w:tcBorders>
              <w:top w:val="single" w:color="000000" w:sz="6" w:space="0"/>
              <w:left w:val="single" w:color="000000" w:sz="6" w:space="0"/>
              <w:right w:val="single" w:color="000000" w:sz="4" w:space="0"/>
            </w:tcBorders>
            <w:noWrap w:val="0"/>
            <w:vAlign w:val="center"/>
          </w:tcPr>
          <w:p w14:paraId="41DB4C5E">
            <w:pPr>
              <w:adjustRightInd/>
              <w:snapToGrid/>
              <w:spacing w:after="0" w:line="400" w:lineRule="exact"/>
              <w:jc w:val="center"/>
              <w:rPr>
                <w:rFonts w:ascii="宋体" w:hAnsi="宋体" w:eastAsia="宋体" w:cs="宋体"/>
                <w:color w:val="auto"/>
                <w:spacing w:val="6"/>
                <w:kern w:val="1"/>
                <w:sz w:val="24"/>
                <w:szCs w:val="24"/>
                <w:highlight w:val="none"/>
                <w:lang w:bidi="en-US"/>
              </w:rPr>
            </w:pPr>
            <w:r>
              <w:rPr>
                <w:rFonts w:hint="eastAsia" w:ascii="宋体" w:hAnsi="宋体" w:eastAsia="宋体" w:cs="宋体"/>
                <w:color w:val="auto"/>
                <w:spacing w:val="6"/>
                <w:kern w:val="1"/>
                <w:sz w:val="24"/>
                <w:szCs w:val="24"/>
                <w:highlight w:val="none"/>
                <w:lang w:bidi="en-US"/>
              </w:rPr>
              <w:t>施工组织设计</w:t>
            </w:r>
          </w:p>
          <w:p w14:paraId="290A684E">
            <w:pPr>
              <w:adjustRightInd/>
              <w:snapToGrid/>
              <w:spacing w:after="0" w:line="400" w:lineRule="exact"/>
              <w:jc w:val="center"/>
              <w:rPr>
                <w:rFonts w:ascii="宋体" w:hAnsi="宋体" w:eastAsia="宋体" w:cs="宋体"/>
                <w:color w:val="auto"/>
                <w:spacing w:val="6"/>
                <w:kern w:val="1"/>
                <w:sz w:val="24"/>
                <w:szCs w:val="24"/>
                <w:highlight w:val="none"/>
                <w:lang w:bidi="en-US"/>
              </w:rPr>
            </w:pPr>
            <w:r>
              <w:rPr>
                <w:rFonts w:hint="eastAsia" w:ascii="宋体" w:hAnsi="宋体" w:eastAsia="宋体" w:cs="宋体"/>
                <w:color w:val="auto"/>
                <w:spacing w:val="6"/>
                <w:kern w:val="1"/>
                <w:sz w:val="24"/>
                <w:szCs w:val="24"/>
                <w:highlight w:val="none"/>
                <w:lang w:bidi="en-US"/>
              </w:rPr>
              <w:t>评分标准</w:t>
            </w:r>
          </w:p>
        </w:tc>
        <w:tc>
          <w:tcPr>
            <w:tcW w:w="1525" w:type="dxa"/>
            <w:gridSpan w:val="2"/>
            <w:vMerge w:val="restart"/>
            <w:tcBorders>
              <w:top w:val="single" w:color="000000" w:sz="6" w:space="0"/>
              <w:left w:val="single" w:color="000000" w:sz="4" w:space="0"/>
              <w:right w:val="single" w:color="000000" w:sz="6" w:space="0"/>
            </w:tcBorders>
            <w:noWrap w:val="0"/>
            <w:vAlign w:val="center"/>
          </w:tcPr>
          <w:p w14:paraId="67577E19">
            <w:pPr>
              <w:spacing w:after="0" w:line="360" w:lineRule="auto"/>
              <w:jc w:val="both"/>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lang w:val="zh-CN"/>
              </w:rPr>
              <w:t>1.</w:t>
            </w:r>
            <w:r>
              <w:rPr>
                <w:rFonts w:hint="eastAsia" w:ascii="宋体" w:hAnsi="宋体" w:eastAsia="宋体" w:cs="Times New Roman"/>
                <w:color w:val="auto"/>
                <w:sz w:val="24"/>
                <w:szCs w:val="24"/>
                <w:highlight w:val="none"/>
              </w:rPr>
              <w:t>主要施工方法（0-8分）</w:t>
            </w:r>
            <w:r>
              <w:rPr>
                <w:rFonts w:hint="eastAsia" w:ascii="宋体" w:hAnsi="宋体" w:eastAsia="宋体" w:cs="Times New Roman"/>
                <w:color w:val="auto"/>
                <w:sz w:val="24"/>
                <w:szCs w:val="24"/>
                <w:highlight w:val="none"/>
                <w:lang w:val="zh-CN"/>
              </w:rPr>
              <w:t xml:space="preserve"> </w:t>
            </w:r>
          </w:p>
        </w:tc>
        <w:tc>
          <w:tcPr>
            <w:tcW w:w="4895" w:type="dxa"/>
            <w:vMerge w:val="restart"/>
            <w:tcBorders>
              <w:top w:val="single" w:color="000000" w:sz="6" w:space="0"/>
              <w:left w:val="single" w:color="000000" w:sz="6" w:space="0"/>
              <w:right w:val="single" w:color="000000" w:sz="12" w:space="0"/>
            </w:tcBorders>
            <w:noWrap w:val="0"/>
            <w:vAlign w:val="center"/>
          </w:tcPr>
          <w:p w14:paraId="7469A32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Times New Roman"/>
                <w:color w:val="auto"/>
                <w:sz w:val="24"/>
                <w:szCs w:val="24"/>
                <w:highlight w:val="none"/>
              </w:rPr>
              <w:t>各</w:t>
            </w:r>
            <w:r>
              <w:rPr>
                <w:rFonts w:hint="eastAsia" w:ascii="宋体" w:hAnsi="宋体" w:eastAsia="宋体" w:cs="宋体"/>
                <w:color w:val="auto"/>
                <w:sz w:val="24"/>
                <w:szCs w:val="24"/>
                <w:highlight w:val="none"/>
                <w:lang w:bidi="en-US"/>
              </w:rPr>
              <w:t>项主要内容的施工方案和措施</w:t>
            </w:r>
          </w:p>
          <w:p w14:paraId="2A0B1BD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内容完整、切实可行，完全符合本项目需求的得8分；</w:t>
            </w:r>
          </w:p>
          <w:p w14:paraId="0A69570A">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内容较为完善、较切实可行，较符合本项目需求的得，得6分；</w:t>
            </w:r>
          </w:p>
          <w:p w14:paraId="3127A9C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内容基本完善，基本可行，基本符合本项目需求的得4分；</w:t>
            </w:r>
          </w:p>
          <w:p w14:paraId="4C62146B">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内容存在不合理项、存在实施难度的得2分；</w:t>
            </w:r>
          </w:p>
          <w:p w14:paraId="7B330BB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2A6A59BB">
            <w:pPr>
              <w:adjustRightInd/>
              <w:snapToGrid/>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en-US"/>
              </w:rPr>
              <w:t>未针对本项描述的得0分。</w:t>
            </w:r>
          </w:p>
        </w:tc>
        <w:tc>
          <w:tcPr>
            <w:tcW w:w="1134" w:type="dxa"/>
            <w:vMerge w:val="restart"/>
            <w:tcBorders>
              <w:top w:val="single" w:color="000000" w:sz="6" w:space="0"/>
              <w:left w:val="single" w:color="000000" w:sz="6" w:space="0"/>
              <w:right w:val="single" w:color="000000" w:sz="12" w:space="0"/>
            </w:tcBorders>
            <w:noWrap w:val="0"/>
            <w:vAlign w:val="center"/>
          </w:tcPr>
          <w:p w14:paraId="45BC8BA1">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0-8分</w:t>
            </w:r>
          </w:p>
        </w:tc>
      </w:tr>
      <w:tr w14:paraId="6A7193CA">
        <w:tblPrEx>
          <w:tblCellMar>
            <w:top w:w="0" w:type="dxa"/>
            <w:left w:w="108" w:type="dxa"/>
            <w:bottom w:w="0" w:type="dxa"/>
            <w:right w:w="108" w:type="dxa"/>
          </w:tblCellMar>
        </w:tblPrEx>
        <w:trPr>
          <w:trHeight w:val="406" w:hRule="atLeast"/>
        </w:trPr>
        <w:tc>
          <w:tcPr>
            <w:tcW w:w="726" w:type="dxa"/>
            <w:vMerge w:val="continue"/>
            <w:tcBorders>
              <w:left w:val="single" w:color="000000" w:sz="6" w:space="0"/>
              <w:right w:val="single" w:color="000000" w:sz="4" w:space="0"/>
            </w:tcBorders>
            <w:noWrap w:val="0"/>
            <w:vAlign w:val="top"/>
          </w:tcPr>
          <w:p w14:paraId="3E5ECC6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0BD8D00A">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vMerge w:val="continue"/>
            <w:tcBorders>
              <w:left w:val="single" w:color="000000" w:sz="4" w:space="0"/>
              <w:bottom w:val="single" w:color="000000" w:sz="6" w:space="0"/>
              <w:right w:val="single" w:color="000000" w:sz="6" w:space="0"/>
            </w:tcBorders>
            <w:noWrap w:val="0"/>
            <w:vAlign w:val="center"/>
          </w:tcPr>
          <w:p w14:paraId="338AC935">
            <w:pPr>
              <w:spacing w:after="0" w:line="360" w:lineRule="auto"/>
              <w:jc w:val="both"/>
              <w:rPr>
                <w:rFonts w:ascii="宋体" w:hAnsi="宋体" w:eastAsia="宋体" w:cs="Times New Roman"/>
                <w:color w:val="auto"/>
                <w:sz w:val="24"/>
                <w:szCs w:val="24"/>
                <w:highlight w:val="none"/>
                <w:lang w:val="zh-CN"/>
              </w:rPr>
            </w:pPr>
          </w:p>
        </w:tc>
        <w:tc>
          <w:tcPr>
            <w:tcW w:w="4895" w:type="dxa"/>
            <w:vMerge w:val="continue"/>
            <w:tcBorders>
              <w:left w:val="single" w:color="000000" w:sz="6" w:space="0"/>
              <w:bottom w:val="single" w:color="000000" w:sz="6" w:space="0"/>
              <w:right w:val="single" w:color="000000" w:sz="12" w:space="0"/>
            </w:tcBorders>
            <w:noWrap w:val="0"/>
            <w:vAlign w:val="center"/>
          </w:tcPr>
          <w:p w14:paraId="21F9C1D6">
            <w:pPr>
              <w:spacing w:after="0" w:line="360" w:lineRule="auto"/>
              <w:jc w:val="both"/>
              <w:rPr>
                <w:rFonts w:ascii="宋体" w:hAnsi="宋体" w:eastAsia="宋体" w:cs="Times New Roman"/>
                <w:color w:val="auto"/>
                <w:sz w:val="24"/>
                <w:szCs w:val="24"/>
                <w:highlight w:val="none"/>
                <w:lang w:val="zh-CN"/>
              </w:rPr>
            </w:pPr>
          </w:p>
        </w:tc>
        <w:tc>
          <w:tcPr>
            <w:tcW w:w="1134" w:type="dxa"/>
            <w:vMerge w:val="continue"/>
            <w:tcBorders>
              <w:left w:val="single" w:color="000000" w:sz="6" w:space="0"/>
              <w:bottom w:val="single" w:color="000000" w:sz="6" w:space="0"/>
              <w:right w:val="single" w:color="000000" w:sz="12" w:space="0"/>
            </w:tcBorders>
            <w:noWrap w:val="0"/>
            <w:vAlign w:val="center"/>
          </w:tcPr>
          <w:p w14:paraId="2851A7F0">
            <w:pPr>
              <w:spacing w:after="0" w:line="400" w:lineRule="exact"/>
              <w:jc w:val="center"/>
              <w:rPr>
                <w:rFonts w:ascii="宋体" w:hAnsi="宋体" w:eastAsia="宋体" w:cs="宋体"/>
                <w:color w:val="auto"/>
                <w:sz w:val="24"/>
                <w:szCs w:val="24"/>
                <w:highlight w:val="none"/>
              </w:rPr>
            </w:pPr>
          </w:p>
        </w:tc>
      </w:tr>
      <w:tr w14:paraId="1C87A2CA">
        <w:tblPrEx>
          <w:tblCellMar>
            <w:top w:w="0" w:type="dxa"/>
            <w:left w:w="108" w:type="dxa"/>
            <w:bottom w:w="0" w:type="dxa"/>
            <w:right w:w="108" w:type="dxa"/>
          </w:tblCellMar>
        </w:tblPrEx>
        <w:trPr>
          <w:trHeight w:val="363" w:hRule="atLeast"/>
        </w:trPr>
        <w:tc>
          <w:tcPr>
            <w:tcW w:w="726" w:type="dxa"/>
            <w:vMerge w:val="continue"/>
            <w:tcBorders>
              <w:left w:val="single" w:color="000000" w:sz="6" w:space="0"/>
              <w:right w:val="single" w:color="000000" w:sz="4" w:space="0"/>
            </w:tcBorders>
            <w:noWrap w:val="0"/>
            <w:vAlign w:val="top"/>
          </w:tcPr>
          <w:p w14:paraId="6C974373">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23E2B182">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tcBorders>
              <w:top w:val="single" w:color="000000" w:sz="6" w:space="0"/>
              <w:left w:val="single" w:color="000000" w:sz="4" w:space="0"/>
              <w:bottom w:val="single" w:color="000000" w:sz="6" w:space="0"/>
              <w:right w:val="single" w:color="000000" w:sz="6" w:space="0"/>
            </w:tcBorders>
            <w:noWrap w:val="0"/>
            <w:vAlign w:val="center"/>
          </w:tcPr>
          <w:p w14:paraId="0DE3F7BE">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rPr>
              <w:t>2.工程施工重点、难点分析及对策（0-6分）</w:t>
            </w:r>
          </w:p>
        </w:tc>
        <w:tc>
          <w:tcPr>
            <w:tcW w:w="4895" w:type="dxa"/>
            <w:tcBorders>
              <w:top w:val="single" w:color="000000" w:sz="6" w:space="0"/>
              <w:left w:val="single" w:color="000000" w:sz="6" w:space="0"/>
              <w:bottom w:val="single" w:color="000000" w:sz="6" w:space="0"/>
              <w:right w:val="single" w:color="000000" w:sz="12" w:space="0"/>
            </w:tcBorders>
            <w:noWrap w:val="0"/>
            <w:vAlign w:val="center"/>
          </w:tcPr>
          <w:p w14:paraId="33FDE3B4">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工程施工中重难点问题及关键过程分析</w:t>
            </w:r>
          </w:p>
          <w:p w14:paraId="1A295F1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内容完整、切实可行，完全符合本项目需求的得6分；</w:t>
            </w:r>
          </w:p>
          <w:p w14:paraId="7BA64AC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内容较为完善、较切实可行，较符合本项目需求的得，得4分；</w:t>
            </w:r>
          </w:p>
          <w:p w14:paraId="11FDE8FA">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22FC8A7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44CCA535">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noWrap w:val="0"/>
            <w:vAlign w:val="center"/>
          </w:tcPr>
          <w:p w14:paraId="22DBD9D7">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0-6分</w:t>
            </w:r>
          </w:p>
        </w:tc>
      </w:tr>
      <w:tr w14:paraId="32DDE4CC">
        <w:tblPrEx>
          <w:tblCellMar>
            <w:top w:w="0" w:type="dxa"/>
            <w:left w:w="108" w:type="dxa"/>
            <w:bottom w:w="0" w:type="dxa"/>
            <w:right w:w="108" w:type="dxa"/>
          </w:tblCellMar>
        </w:tblPrEx>
        <w:trPr>
          <w:trHeight w:val="349" w:hRule="atLeast"/>
        </w:trPr>
        <w:tc>
          <w:tcPr>
            <w:tcW w:w="726" w:type="dxa"/>
            <w:vMerge w:val="continue"/>
            <w:tcBorders>
              <w:left w:val="single" w:color="000000" w:sz="6" w:space="0"/>
              <w:right w:val="single" w:color="000000" w:sz="4" w:space="0"/>
            </w:tcBorders>
            <w:noWrap w:val="0"/>
            <w:vAlign w:val="top"/>
          </w:tcPr>
          <w:p w14:paraId="2057F06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56C5A382">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tcBorders>
              <w:top w:val="single" w:color="000000" w:sz="6" w:space="0"/>
              <w:left w:val="single" w:color="000000" w:sz="4" w:space="0"/>
              <w:bottom w:val="single" w:color="000000" w:sz="6" w:space="0"/>
              <w:right w:val="single" w:color="000000" w:sz="6" w:space="0"/>
            </w:tcBorders>
            <w:noWrap w:val="0"/>
            <w:vAlign w:val="center"/>
          </w:tcPr>
          <w:p w14:paraId="2AAA2F6B">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3.</w:t>
            </w:r>
            <w:r>
              <w:rPr>
                <w:rFonts w:hint="eastAsia" w:ascii="宋体" w:hAnsi="宋体" w:eastAsia="宋体" w:cs="Times New Roman"/>
                <w:color w:val="auto"/>
                <w:sz w:val="24"/>
                <w:szCs w:val="24"/>
                <w:highlight w:val="none"/>
              </w:rPr>
              <w:t>质量管理体系与措施（0-4分）</w:t>
            </w:r>
          </w:p>
        </w:tc>
        <w:tc>
          <w:tcPr>
            <w:tcW w:w="4895" w:type="dxa"/>
            <w:tcBorders>
              <w:top w:val="single" w:color="000000" w:sz="6" w:space="0"/>
              <w:left w:val="single" w:color="000000" w:sz="6" w:space="0"/>
              <w:bottom w:val="single" w:color="000000" w:sz="6" w:space="0"/>
              <w:right w:val="single" w:color="000000" w:sz="12" w:space="0"/>
            </w:tcBorders>
            <w:noWrap w:val="0"/>
            <w:vAlign w:val="center"/>
          </w:tcPr>
          <w:p w14:paraId="4BDC8AD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包含但不限于以下方面：质量管理的组织机构及职责、项目质量目标、制度及保障措施、关键分部主体结构严格按照强制性标准实施、建立项目建设过程质量检查制度，制定纠正和预防措施等方面；</w:t>
            </w:r>
          </w:p>
          <w:p w14:paraId="4349E2FB">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0B2E34A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789DC8D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3684806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74D4E154">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noWrap w:val="0"/>
            <w:vAlign w:val="center"/>
          </w:tcPr>
          <w:p w14:paraId="4704E966">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0-4分</w:t>
            </w:r>
          </w:p>
        </w:tc>
      </w:tr>
      <w:tr w14:paraId="1BA019EC">
        <w:tblPrEx>
          <w:tblCellMar>
            <w:top w:w="0" w:type="dxa"/>
            <w:left w:w="108" w:type="dxa"/>
            <w:bottom w:w="0" w:type="dxa"/>
            <w:right w:w="108" w:type="dxa"/>
          </w:tblCellMar>
        </w:tblPrEx>
        <w:trPr>
          <w:trHeight w:val="364" w:hRule="atLeast"/>
        </w:trPr>
        <w:tc>
          <w:tcPr>
            <w:tcW w:w="726" w:type="dxa"/>
            <w:vMerge w:val="continue"/>
            <w:tcBorders>
              <w:left w:val="single" w:color="000000" w:sz="6" w:space="0"/>
              <w:right w:val="single" w:color="000000" w:sz="4" w:space="0"/>
            </w:tcBorders>
            <w:noWrap w:val="0"/>
            <w:vAlign w:val="top"/>
          </w:tcPr>
          <w:p w14:paraId="05EE9D98">
            <w:pPr>
              <w:adjustRightInd/>
              <w:snapToGrid/>
              <w:spacing w:after="0" w:line="400" w:lineRule="exact"/>
              <w:rPr>
                <w:rFonts w:ascii="宋体" w:hAnsi="宋体" w:eastAsia="宋体" w:cs="宋体"/>
                <w:color w:val="auto"/>
                <w:kern w:val="1"/>
                <w:sz w:val="24"/>
                <w:szCs w:val="24"/>
                <w:highlight w:val="none"/>
                <w:lang w:eastAsia="en-US" w:bidi="en-US"/>
              </w:rPr>
            </w:pPr>
          </w:p>
        </w:tc>
        <w:tc>
          <w:tcPr>
            <w:tcW w:w="868" w:type="dxa"/>
            <w:vMerge w:val="continue"/>
            <w:tcBorders>
              <w:left w:val="single" w:color="000000" w:sz="6" w:space="0"/>
              <w:right w:val="single" w:color="000000" w:sz="4" w:space="0"/>
            </w:tcBorders>
            <w:noWrap w:val="0"/>
            <w:vAlign w:val="top"/>
          </w:tcPr>
          <w:p w14:paraId="23923A78">
            <w:pPr>
              <w:adjustRightInd/>
              <w:snapToGrid/>
              <w:spacing w:after="0" w:line="400" w:lineRule="exact"/>
              <w:rPr>
                <w:rFonts w:ascii="宋体" w:hAnsi="宋体" w:eastAsia="宋体" w:cs="宋体"/>
                <w:color w:val="auto"/>
                <w:kern w:val="1"/>
                <w:sz w:val="24"/>
                <w:szCs w:val="24"/>
                <w:highlight w:val="none"/>
                <w:lang w:eastAsia="en-US" w:bidi="en-US"/>
              </w:rPr>
            </w:pPr>
          </w:p>
        </w:tc>
        <w:tc>
          <w:tcPr>
            <w:tcW w:w="1525" w:type="dxa"/>
            <w:gridSpan w:val="2"/>
            <w:tcBorders>
              <w:top w:val="single" w:color="000000" w:sz="6" w:space="0"/>
              <w:left w:val="single" w:color="000000" w:sz="4" w:space="0"/>
              <w:bottom w:val="single" w:color="000000" w:sz="6" w:space="0"/>
              <w:right w:val="single" w:color="000000" w:sz="6" w:space="0"/>
            </w:tcBorders>
            <w:noWrap w:val="0"/>
            <w:vAlign w:val="center"/>
          </w:tcPr>
          <w:p w14:paraId="79D67272">
            <w:pPr>
              <w:spacing w:after="0" w:line="360" w:lineRule="auto"/>
              <w:jc w:val="both"/>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4.安全管理体系与措施（0-4分）</w:t>
            </w:r>
          </w:p>
        </w:tc>
        <w:tc>
          <w:tcPr>
            <w:tcW w:w="4895" w:type="dxa"/>
            <w:tcBorders>
              <w:top w:val="single" w:color="000000" w:sz="6" w:space="0"/>
              <w:left w:val="single" w:color="000000" w:sz="6" w:space="0"/>
              <w:bottom w:val="single" w:color="000000" w:sz="6" w:space="0"/>
              <w:right w:val="single" w:color="000000" w:sz="12" w:space="0"/>
            </w:tcBorders>
            <w:noWrap w:val="0"/>
            <w:vAlign w:val="center"/>
          </w:tcPr>
          <w:p w14:paraId="3B8A48DE">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施工安全生产保障体系健全，安全管理制度完善，安全管理目标具体，全员安全责任制明确，现场安全管理组织机构、人员配备满足国家规定</w:t>
            </w:r>
          </w:p>
          <w:p w14:paraId="5A178B45">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1225AE5D">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3016D25F">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0546EDA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7827BF50">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宋体"/>
                <w:color w:val="auto"/>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noWrap w:val="0"/>
            <w:vAlign w:val="center"/>
          </w:tcPr>
          <w:p w14:paraId="6639A574">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r>
      <w:tr w14:paraId="5C7D7398">
        <w:tblPrEx>
          <w:tblCellMar>
            <w:top w:w="0" w:type="dxa"/>
            <w:left w:w="108" w:type="dxa"/>
            <w:bottom w:w="0" w:type="dxa"/>
            <w:right w:w="108" w:type="dxa"/>
          </w:tblCellMar>
        </w:tblPrEx>
        <w:trPr>
          <w:trHeight w:val="349" w:hRule="atLeast"/>
        </w:trPr>
        <w:tc>
          <w:tcPr>
            <w:tcW w:w="726" w:type="dxa"/>
            <w:vMerge w:val="continue"/>
            <w:tcBorders>
              <w:left w:val="single" w:color="000000" w:sz="6" w:space="0"/>
              <w:right w:val="single" w:color="000000" w:sz="4" w:space="0"/>
            </w:tcBorders>
            <w:noWrap w:val="0"/>
            <w:vAlign w:val="top"/>
          </w:tcPr>
          <w:p w14:paraId="3D21047D">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498760DB">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tcBorders>
              <w:top w:val="single" w:color="000000" w:sz="6" w:space="0"/>
              <w:left w:val="single" w:color="000000" w:sz="4" w:space="0"/>
              <w:bottom w:val="single" w:color="000000" w:sz="6" w:space="0"/>
              <w:right w:val="single" w:color="000000" w:sz="6" w:space="0"/>
            </w:tcBorders>
            <w:noWrap w:val="0"/>
            <w:vAlign w:val="center"/>
          </w:tcPr>
          <w:p w14:paraId="2BCB5170">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5.</w:t>
            </w:r>
            <w:r>
              <w:rPr>
                <w:rFonts w:hint="eastAsia" w:ascii="宋体" w:hAnsi="宋体" w:eastAsia="宋体" w:cs="Times New Roman"/>
                <w:color w:val="auto"/>
                <w:sz w:val="24"/>
                <w:szCs w:val="24"/>
                <w:highlight w:val="none"/>
              </w:rPr>
              <w:t>工程进度计划与措施（0-4分）</w:t>
            </w:r>
          </w:p>
        </w:tc>
        <w:tc>
          <w:tcPr>
            <w:tcW w:w="4895" w:type="dxa"/>
            <w:tcBorders>
              <w:top w:val="single" w:color="000000" w:sz="6" w:space="0"/>
              <w:left w:val="single" w:color="000000" w:sz="6" w:space="0"/>
              <w:bottom w:val="single" w:color="000000" w:sz="6" w:space="0"/>
              <w:right w:val="single" w:color="000000" w:sz="12" w:space="0"/>
            </w:tcBorders>
            <w:noWrap w:val="0"/>
            <w:vAlign w:val="center"/>
          </w:tcPr>
          <w:p w14:paraId="7F1F5C90">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对总体进度计划、关键节点及中间完工项目施工进度计划、施工强度等</w:t>
            </w:r>
          </w:p>
          <w:p w14:paraId="0C353670">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3F0D0221">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43D01937">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0E4418B1">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3883DD6A">
            <w:pPr>
              <w:spacing w:after="0" w:line="360" w:lineRule="auto"/>
              <w:jc w:val="both"/>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noWrap w:val="0"/>
            <w:vAlign w:val="center"/>
          </w:tcPr>
          <w:p w14:paraId="40B3AEBD">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r>
      <w:tr w14:paraId="4848F763">
        <w:tblPrEx>
          <w:tblCellMar>
            <w:top w:w="0" w:type="dxa"/>
            <w:left w:w="108" w:type="dxa"/>
            <w:bottom w:w="0" w:type="dxa"/>
            <w:right w:w="108" w:type="dxa"/>
          </w:tblCellMar>
        </w:tblPrEx>
        <w:trPr>
          <w:trHeight w:val="391" w:hRule="atLeast"/>
        </w:trPr>
        <w:tc>
          <w:tcPr>
            <w:tcW w:w="726" w:type="dxa"/>
            <w:vMerge w:val="continue"/>
            <w:tcBorders>
              <w:left w:val="single" w:color="000000" w:sz="6" w:space="0"/>
              <w:right w:val="single" w:color="000000" w:sz="4" w:space="0"/>
            </w:tcBorders>
            <w:noWrap w:val="0"/>
            <w:vAlign w:val="top"/>
          </w:tcPr>
          <w:p w14:paraId="775F3C4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4B11D559">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tcBorders>
              <w:top w:val="single" w:color="000000" w:sz="6" w:space="0"/>
              <w:left w:val="single" w:color="000000" w:sz="4" w:space="0"/>
              <w:bottom w:val="single" w:color="000000" w:sz="6" w:space="0"/>
              <w:right w:val="single" w:color="000000" w:sz="6" w:space="0"/>
            </w:tcBorders>
            <w:noWrap w:val="0"/>
            <w:vAlign w:val="center"/>
          </w:tcPr>
          <w:p w14:paraId="0B9FB39E">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6.</w:t>
            </w:r>
            <w:r>
              <w:rPr>
                <w:rFonts w:hint="eastAsia" w:ascii="宋体" w:hAnsi="宋体" w:eastAsia="宋体" w:cs="Times New Roman"/>
                <w:color w:val="auto"/>
                <w:sz w:val="24"/>
                <w:szCs w:val="24"/>
                <w:highlight w:val="none"/>
              </w:rPr>
              <w:t>组织机构及管理人员、资源配备计划（0-5分）</w:t>
            </w:r>
          </w:p>
        </w:tc>
        <w:tc>
          <w:tcPr>
            <w:tcW w:w="4895" w:type="dxa"/>
            <w:tcBorders>
              <w:top w:val="single" w:color="000000" w:sz="6" w:space="0"/>
              <w:left w:val="single" w:color="000000" w:sz="6" w:space="0"/>
              <w:bottom w:val="single" w:color="000000" w:sz="6" w:space="0"/>
              <w:right w:val="single" w:color="000000" w:sz="12" w:space="0"/>
            </w:tcBorders>
            <w:noWrap w:val="0"/>
            <w:vAlign w:val="center"/>
          </w:tcPr>
          <w:p w14:paraId="4855FC43">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1.组织机构模式合理并满足工程施工需要，各部门责任、任务明确</w:t>
            </w:r>
          </w:p>
          <w:p w14:paraId="1ED20A98">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内容完整、切实可行，完全符合本项目需求的得3分；</w:t>
            </w:r>
          </w:p>
          <w:p w14:paraId="0908897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内容较为完善、较切实可行，较符合本项目需求的得，得2分；</w:t>
            </w:r>
          </w:p>
          <w:p w14:paraId="355AA3CE">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内容基本完善，基本可行，基本符合本项目需求的得1分；</w:t>
            </w:r>
          </w:p>
          <w:p w14:paraId="7DE4831D">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未针对本项描述的得0分。</w:t>
            </w:r>
          </w:p>
          <w:p w14:paraId="1B17568B">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2.劳动力配备计划及主要施工机械配备计划合理、可行</w:t>
            </w:r>
          </w:p>
          <w:p w14:paraId="7353EDA2">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内容完整、切实可行，完全符合本项目需求的得2分；</w:t>
            </w:r>
          </w:p>
          <w:p w14:paraId="4D2C7B1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内容较为完善、较切实可行，较符合本项目需求的得，得1分；</w:t>
            </w:r>
          </w:p>
          <w:p w14:paraId="4B383C99">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noWrap w:val="0"/>
            <w:vAlign w:val="center"/>
          </w:tcPr>
          <w:p w14:paraId="2B737853">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1AE1F4EB">
        <w:tblPrEx>
          <w:tblCellMar>
            <w:top w:w="0" w:type="dxa"/>
            <w:left w:w="108" w:type="dxa"/>
            <w:bottom w:w="0" w:type="dxa"/>
            <w:right w:w="108" w:type="dxa"/>
          </w:tblCellMar>
        </w:tblPrEx>
        <w:trPr>
          <w:trHeight w:val="979" w:hRule="atLeast"/>
        </w:trPr>
        <w:tc>
          <w:tcPr>
            <w:tcW w:w="726" w:type="dxa"/>
            <w:vMerge w:val="continue"/>
            <w:tcBorders>
              <w:left w:val="single" w:color="000000" w:sz="6" w:space="0"/>
              <w:right w:val="single" w:color="000000" w:sz="4" w:space="0"/>
            </w:tcBorders>
            <w:noWrap w:val="0"/>
            <w:vAlign w:val="top"/>
          </w:tcPr>
          <w:p w14:paraId="0A82C8E6">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7AD78662">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tcBorders>
              <w:top w:val="single" w:color="000000" w:sz="6" w:space="0"/>
              <w:left w:val="single" w:color="000000" w:sz="4" w:space="0"/>
              <w:bottom w:val="single" w:color="000000" w:sz="6" w:space="0"/>
              <w:right w:val="single" w:color="000000" w:sz="6" w:space="0"/>
            </w:tcBorders>
            <w:noWrap w:val="0"/>
            <w:vAlign w:val="center"/>
          </w:tcPr>
          <w:p w14:paraId="37CD4C7A">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rPr>
              <w:t>7.</w:t>
            </w:r>
            <w:r>
              <w:rPr>
                <w:rFonts w:hint="eastAsia" w:ascii="宋体" w:hAnsi="宋体" w:eastAsia="宋体" w:cs="Times New Roman"/>
                <w:color w:val="auto"/>
                <w:sz w:val="24"/>
                <w:szCs w:val="24"/>
                <w:highlight w:val="none"/>
                <w:lang w:val="zh-CN"/>
              </w:rPr>
              <w:t>确保环境保护管理的技术与措施（</w:t>
            </w:r>
            <w:r>
              <w:rPr>
                <w:rFonts w:hint="eastAsia" w:ascii="宋体" w:hAnsi="宋体" w:eastAsia="宋体" w:cs="Times New Roman"/>
                <w:color w:val="auto"/>
                <w:sz w:val="24"/>
                <w:szCs w:val="24"/>
                <w:highlight w:val="none"/>
              </w:rPr>
              <w:t>0-4分</w:t>
            </w:r>
            <w:r>
              <w:rPr>
                <w:rFonts w:hint="eastAsia" w:ascii="宋体" w:hAnsi="宋体" w:eastAsia="宋体" w:cs="Times New Roman"/>
                <w:color w:val="auto"/>
                <w:sz w:val="24"/>
                <w:szCs w:val="24"/>
                <w:highlight w:val="none"/>
                <w:lang w:val="zh-CN"/>
              </w:rPr>
              <w:t>）</w:t>
            </w:r>
          </w:p>
        </w:tc>
        <w:tc>
          <w:tcPr>
            <w:tcW w:w="4895" w:type="dxa"/>
            <w:tcBorders>
              <w:top w:val="single" w:color="000000" w:sz="6" w:space="0"/>
              <w:left w:val="single" w:color="000000" w:sz="6" w:space="0"/>
              <w:bottom w:val="single" w:color="000000" w:sz="6" w:space="0"/>
              <w:right w:val="single" w:color="000000" w:sz="12" w:space="0"/>
            </w:tcBorders>
            <w:noWrap w:val="0"/>
            <w:vAlign w:val="center"/>
          </w:tcPr>
          <w:p w14:paraId="542FB143">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有环境保护管理体系与施工环保措施计划且措施</w:t>
            </w:r>
          </w:p>
          <w:p w14:paraId="144A402C">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内容完整、切实可行，完全符合本项目需求的得4分；</w:t>
            </w:r>
          </w:p>
          <w:p w14:paraId="6710D763">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内容较为完善、较切实可行，较符合本项目需求的得，得3分；</w:t>
            </w:r>
          </w:p>
          <w:p w14:paraId="0C945B41">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内容基本完善，基本可行，基本符合本项目需求的得2分；</w:t>
            </w:r>
          </w:p>
          <w:p w14:paraId="685B19F0">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内容前后不连贯导致语义不明或存在与本项目无关内容的得1分；</w:t>
            </w:r>
          </w:p>
          <w:p w14:paraId="737EDC59">
            <w:pPr>
              <w:spacing w:after="0" w:line="360" w:lineRule="auto"/>
              <w:jc w:val="both"/>
              <w:rPr>
                <w:rFonts w:ascii="宋体" w:hAnsi="宋体" w:eastAsia="宋体" w:cs="Times New Roman"/>
                <w:color w:val="auto"/>
                <w:sz w:val="24"/>
                <w:szCs w:val="24"/>
                <w:highlight w:val="none"/>
              </w:rPr>
            </w:pPr>
            <w:r>
              <w:rPr>
                <w:rFonts w:hint="eastAsia" w:ascii="宋体" w:hAnsi="宋体" w:eastAsia="宋体" w:cs="宋体"/>
                <w:color w:val="auto"/>
                <w:sz w:val="24"/>
                <w:szCs w:val="24"/>
                <w:highlight w:val="none"/>
                <w:lang w:bidi="en-US"/>
              </w:rPr>
              <w:t>未针对本项描述的得0分。</w:t>
            </w:r>
          </w:p>
        </w:tc>
        <w:tc>
          <w:tcPr>
            <w:tcW w:w="1134" w:type="dxa"/>
            <w:tcBorders>
              <w:top w:val="single" w:color="000000" w:sz="6" w:space="0"/>
              <w:left w:val="single" w:color="000000" w:sz="6" w:space="0"/>
              <w:bottom w:val="single" w:color="000000" w:sz="6" w:space="0"/>
              <w:right w:val="single" w:color="000000" w:sz="12" w:space="0"/>
            </w:tcBorders>
            <w:noWrap w:val="0"/>
            <w:vAlign w:val="center"/>
          </w:tcPr>
          <w:p w14:paraId="54A31F6A">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r>
      <w:tr w14:paraId="6DAE2CF7">
        <w:tblPrEx>
          <w:tblCellMar>
            <w:top w:w="0" w:type="dxa"/>
            <w:left w:w="108" w:type="dxa"/>
            <w:bottom w:w="0" w:type="dxa"/>
            <w:right w:w="108" w:type="dxa"/>
          </w:tblCellMar>
        </w:tblPrEx>
        <w:trPr>
          <w:trHeight w:val="979" w:hRule="atLeast"/>
        </w:trPr>
        <w:tc>
          <w:tcPr>
            <w:tcW w:w="726" w:type="dxa"/>
            <w:vMerge w:val="continue"/>
            <w:tcBorders>
              <w:left w:val="single" w:color="000000" w:sz="6" w:space="0"/>
              <w:right w:val="single" w:color="000000" w:sz="4" w:space="0"/>
            </w:tcBorders>
            <w:noWrap w:val="0"/>
            <w:vAlign w:val="top"/>
          </w:tcPr>
          <w:p w14:paraId="634CCF2D">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6957F07A">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tcBorders>
              <w:top w:val="single" w:color="000000" w:sz="6" w:space="0"/>
              <w:left w:val="single" w:color="000000" w:sz="4" w:space="0"/>
              <w:bottom w:val="single" w:color="000000" w:sz="6" w:space="0"/>
              <w:right w:val="single" w:color="000000" w:sz="6" w:space="0"/>
            </w:tcBorders>
            <w:noWrap w:val="0"/>
            <w:vAlign w:val="center"/>
          </w:tcPr>
          <w:p w14:paraId="44B7C3CB">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8.劳动力计划及主要施工机械计划</w:t>
            </w:r>
            <w:r>
              <w:rPr>
                <w:rFonts w:hint="eastAsia" w:ascii="宋体" w:hAnsi="宋体" w:eastAsia="宋体" w:cs="Times New Roman"/>
                <w:color w:val="auto"/>
                <w:sz w:val="24"/>
                <w:szCs w:val="24"/>
                <w:highlight w:val="none"/>
              </w:rPr>
              <w:t>（0-5分）</w:t>
            </w:r>
          </w:p>
        </w:tc>
        <w:tc>
          <w:tcPr>
            <w:tcW w:w="4895" w:type="dxa"/>
            <w:tcBorders>
              <w:top w:val="single" w:color="000000" w:sz="6" w:space="0"/>
              <w:left w:val="single" w:color="000000" w:sz="6" w:space="0"/>
              <w:bottom w:val="single" w:color="000000" w:sz="6" w:space="0"/>
              <w:right w:val="single" w:color="000000" w:sz="12" w:space="0"/>
            </w:tcBorders>
            <w:noWrap w:val="0"/>
            <w:vAlign w:val="center"/>
          </w:tcPr>
          <w:p w14:paraId="47626979">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1.机械：投入计划与进度计划呼应，采用先进机械设备且配置合理、先进，满足安全技术规范和施工进度需要，得2分，缺项不得分；</w:t>
            </w:r>
          </w:p>
          <w:p w14:paraId="10FF9114">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2.劳动力：投入计划与进度计划呼应，较好满足施工需要，调配投入计划合理、准确，得1分，缺项不得分；</w:t>
            </w:r>
          </w:p>
          <w:p w14:paraId="46CE9B36">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3.主要施工计划：主要物资投入计划与进度计划呼应，较好满足施工需要，调配投入计划合理、准确，得2分，缺项不得分。</w:t>
            </w:r>
          </w:p>
        </w:tc>
        <w:tc>
          <w:tcPr>
            <w:tcW w:w="1134" w:type="dxa"/>
            <w:tcBorders>
              <w:top w:val="single" w:color="000000" w:sz="6" w:space="0"/>
              <w:left w:val="single" w:color="000000" w:sz="6" w:space="0"/>
              <w:bottom w:val="single" w:color="000000" w:sz="6" w:space="0"/>
              <w:right w:val="single" w:color="000000" w:sz="12" w:space="0"/>
            </w:tcBorders>
            <w:noWrap w:val="0"/>
            <w:vAlign w:val="center"/>
          </w:tcPr>
          <w:p w14:paraId="763FBB39">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7A191A9C">
        <w:tblPrEx>
          <w:tblCellMar>
            <w:top w:w="0" w:type="dxa"/>
            <w:left w:w="108" w:type="dxa"/>
            <w:bottom w:w="0" w:type="dxa"/>
            <w:right w:w="108" w:type="dxa"/>
          </w:tblCellMar>
        </w:tblPrEx>
        <w:trPr>
          <w:trHeight w:val="927" w:hRule="atLeast"/>
        </w:trPr>
        <w:tc>
          <w:tcPr>
            <w:tcW w:w="726" w:type="dxa"/>
            <w:vMerge w:val="continue"/>
            <w:tcBorders>
              <w:left w:val="single" w:color="000000" w:sz="6" w:space="0"/>
              <w:right w:val="single" w:color="000000" w:sz="4" w:space="0"/>
            </w:tcBorders>
            <w:noWrap w:val="0"/>
            <w:vAlign w:val="top"/>
          </w:tcPr>
          <w:p w14:paraId="607A586E">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right w:val="single" w:color="000000" w:sz="4" w:space="0"/>
            </w:tcBorders>
            <w:noWrap w:val="0"/>
            <w:vAlign w:val="top"/>
          </w:tcPr>
          <w:p w14:paraId="7C50DC54">
            <w:pPr>
              <w:adjustRightInd/>
              <w:snapToGrid/>
              <w:spacing w:after="0" w:line="400" w:lineRule="exact"/>
              <w:rPr>
                <w:rFonts w:ascii="宋体" w:hAnsi="宋体" w:eastAsia="宋体" w:cs="宋体"/>
                <w:color w:val="auto"/>
                <w:kern w:val="1"/>
                <w:sz w:val="24"/>
                <w:szCs w:val="24"/>
                <w:highlight w:val="none"/>
                <w:lang w:bidi="en-US"/>
              </w:rPr>
            </w:pPr>
          </w:p>
        </w:tc>
        <w:tc>
          <w:tcPr>
            <w:tcW w:w="1525" w:type="dxa"/>
            <w:gridSpan w:val="2"/>
            <w:tcBorders>
              <w:top w:val="single" w:color="000000" w:sz="6" w:space="0"/>
              <w:left w:val="single" w:color="000000" w:sz="4" w:space="0"/>
              <w:right w:val="single" w:color="000000" w:sz="6" w:space="0"/>
            </w:tcBorders>
            <w:noWrap w:val="0"/>
            <w:vAlign w:val="center"/>
          </w:tcPr>
          <w:p w14:paraId="317967DD">
            <w:pPr>
              <w:spacing w:after="0" w:line="360" w:lineRule="auto"/>
              <w:jc w:val="both"/>
              <w:rPr>
                <w:rFonts w:ascii="宋体" w:hAnsi="宋体" w:eastAsia="宋体" w:cs="Times New Roman"/>
                <w:color w:val="auto"/>
                <w:sz w:val="24"/>
                <w:szCs w:val="24"/>
                <w:highlight w:val="none"/>
                <w:lang w:val="zh-CN"/>
              </w:rPr>
            </w:pPr>
            <w:r>
              <w:rPr>
                <w:rFonts w:hint="eastAsia" w:ascii="宋体" w:hAnsi="宋体" w:eastAsia="宋体" w:cs="Times New Roman"/>
                <w:color w:val="auto"/>
                <w:sz w:val="24"/>
                <w:szCs w:val="24"/>
                <w:highlight w:val="none"/>
                <w:lang w:val="zh-CN"/>
              </w:rPr>
              <w:t>9.</w:t>
            </w:r>
            <w:r>
              <w:rPr>
                <w:rFonts w:hint="eastAsia" w:ascii="宋体" w:hAnsi="宋体" w:eastAsia="宋体" w:cs="Times New Roman"/>
                <w:color w:val="auto"/>
                <w:sz w:val="24"/>
                <w:szCs w:val="24"/>
                <w:highlight w:val="none"/>
              </w:rPr>
              <w:t>施工平面图布置图及施工进度图（0-5分）</w:t>
            </w:r>
          </w:p>
        </w:tc>
        <w:tc>
          <w:tcPr>
            <w:tcW w:w="4895" w:type="dxa"/>
            <w:tcBorders>
              <w:top w:val="single" w:color="000000" w:sz="6" w:space="0"/>
              <w:left w:val="single" w:color="000000" w:sz="6" w:space="0"/>
              <w:right w:val="single" w:color="000000" w:sz="12" w:space="0"/>
            </w:tcBorders>
            <w:noWrap w:val="0"/>
            <w:vAlign w:val="center"/>
          </w:tcPr>
          <w:p w14:paraId="0AF8812C">
            <w:pPr>
              <w:adjustRightInd/>
              <w:snapToGrid/>
              <w:spacing w:after="0" w:line="4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总体布置有针对性、合理、能较好满足施工需要，符合安全、文明施工要求；材料堆放有序。关键线路清晰、准确、完整、计划编制合理</w:t>
            </w:r>
          </w:p>
          <w:p w14:paraId="6E1763D2">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内容完整、切实可行，完全符合本项目需求的得5分；</w:t>
            </w:r>
          </w:p>
          <w:p w14:paraId="04EA9216">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内容较为完善、较切实可行，较符合本项目需求的得，得4分；</w:t>
            </w:r>
          </w:p>
          <w:p w14:paraId="26E31B5E">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内容基本完善，基本可行，基本符合本项目需求的得3分；</w:t>
            </w:r>
          </w:p>
          <w:p w14:paraId="5D3A7074">
            <w:pPr>
              <w:adjustRightInd/>
              <w:snapToGrid/>
              <w:spacing w:after="0" w:line="400" w:lineRule="exact"/>
              <w:rPr>
                <w:rFonts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内容前后不连贯导致语义不明或存在与本项目无关内容的得2分；</w:t>
            </w:r>
          </w:p>
          <w:p w14:paraId="237C2B76">
            <w:pPr>
              <w:spacing w:after="0" w:line="360" w:lineRule="auto"/>
              <w:jc w:val="both"/>
              <w:rPr>
                <w:rFonts w:hint="eastAsia" w:ascii="宋体" w:hAnsi="宋体" w:eastAsia="宋体" w:cs="宋体"/>
                <w:color w:val="auto"/>
                <w:sz w:val="24"/>
                <w:szCs w:val="24"/>
                <w:highlight w:val="none"/>
                <w:lang w:bidi="en-US"/>
              </w:rPr>
            </w:pPr>
            <w:r>
              <w:rPr>
                <w:rFonts w:hint="eastAsia" w:ascii="宋体" w:hAnsi="宋体" w:eastAsia="宋体" w:cs="宋体"/>
                <w:color w:val="auto"/>
                <w:sz w:val="24"/>
                <w:szCs w:val="24"/>
                <w:highlight w:val="none"/>
                <w:lang w:bidi="en-US"/>
              </w:rPr>
              <w:t>未针对本项描述的得0分。</w:t>
            </w:r>
          </w:p>
          <w:p w14:paraId="3F4E8B3D">
            <w:pPr>
              <w:pStyle w:val="2"/>
              <w:ind w:left="0" w:leftChars="0" w:firstLine="0" w:firstLineChars="0"/>
            </w:pPr>
          </w:p>
        </w:tc>
        <w:tc>
          <w:tcPr>
            <w:tcW w:w="1134" w:type="dxa"/>
            <w:tcBorders>
              <w:top w:val="single" w:color="000000" w:sz="6" w:space="0"/>
              <w:left w:val="single" w:color="000000" w:sz="6" w:space="0"/>
              <w:right w:val="single" w:color="000000" w:sz="12" w:space="0"/>
            </w:tcBorders>
            <w:noWrap w:val="0"/>
            <w:vAlign w:val="center"/>
          </w:tcPr>
          <w:p w14:paraId="77C51AF5">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0-5分</w:t>
            </w:r>
          </w:p>
        </w:tc>
      </w:tr>
      <w:tr w14:paraId="1E65ECE3">
        <w:tblPrEx>
          <w:tblCellMar>
            <w:top w:w="0" w:type="dxa"/>
            <w:left w:w="108" w:type="dxa"/>
            <w:bottom w:w="0" w:type="dxa"/>
            <w:right w:w="108" w:type="dxa"/>
          </w:tblCellMar>
        </w:tblPrEx>
        <w:trPr>
          <w:trHeight w:val="391" w:hRule="atLeast"/>
        </w:trPr>
        <w:tc>
          <w:tcPr>
            <w:tcW w:w="726" w:type="dxa"/>
            <w:vMerge w:val="continue"/>
            <w:tcBorders>
              <w:left w:val="single" w:color="000000" w:sz="6" w:space="0"/>
              <w:right w:val="single" w:color="000000" w:sz="4" w:space="0"/>
            </w:tcBorders>
            <w:noWrap w:val="0"/>
            <w:vAlign w:val="top"/>
          </w:tcPr>
          <w:p w14:paraId="3907D59A">
            <w:pPr>
              <w:adjustRightInd/>
              <w:snapToGrid/>
              <w:spacing w:after="0" w:line="400" w:lineRule="exact"/>
              <w:rPr>
                <w:rFonts w:ascii="宋体" w:hAnsi="宋体" w:eastAsia="宋体" w:cs="宋体"/>
                <w:color w:val="auto"/>
                <w:kern w:val="1"/>
                <w:sz w:val="24"/>
                <w:szCs w:val="24"/>
                <w:highlight w:val="none"/>
                <w:lang w:bidi="en-US"/>
              </w:rPr>
            </w:pPr>
          </w:p>
        </w:tc>
        <w:tc>
          <w:tcPr>
            <w:tcW w:w="868" w:type="dxa"/>
            <w:vMerge w:val="continue"/>
            <w:tcBorders>
              <w:left w:val="single" w:color="000000" w:sz="6" w:space="0"/>
              <w:bottom w:val="single" w:color="auto" w:sz="4" w:space="0"/>
              <w:right w:val="single" w:color="000000" w:sz="4" w:space="0"/>
            </w:tcBorders>
            <w:noWrap w:val="0"/>
            <w:vAlign w:val="top"/>
          </w:tcPr>
          <w:p w14:paraId="39B48D77">
            <w:pPr>
              <w:adjustRightInd/>
              <w:snapToGrid/>
              <w:spacing w:after="0" w:line="400" w:lineRule="exact"/>
              <w:rPr>
                <w:rFonts w:ascii="宋体" w:hAnsi="宋体" w:eastAsia="宋体" w:cs="宋体"/>
                <w:color w:val="auto"/>
                <w:kern w:val="1"/>
                <w:sz w:val="24"/>
                <w:szCs w:val="24"/>
                <w:highlight w:val="none"/>
                <w:lang w:bidi="en-US"/>
              </w:rPr>
            </w:pPr>
          </w:p>
        </w:tc>
        <w:tc>
          <w:tcPr>
            <w:tcW w:w="7554" w:type="dxa"/>
            <w:gridSpan w:val="4"/>
            <w:tcBorders>
              <w:top w:val="single" w:color="000000" w:sz="6" w:space="0"/>
              <w:left w:val="single" w:color="000000" w:sz="4" w:space="0"/>
              <w:bottom w:val="single" w:color="auto" w:sz="4" w:space="0"/>
              <w:right w:val="single" w:color="000000" w:sz="12" w:space="0"/>
            </w:tcBorders>
            <w:noWrap w:val="0"/>
            <w:vAlign w:val="center"/>
          </w:tcPr>
          <w:p w14:paraId="1466BA90">
            <w:pPr>
              <w:adjustRightInd/>
              <w:snapToGrid/>
              <w:spacing w:after="0" w:line="400" w:lineRule="exact"/>
              <w:jc w:val="center"/>
              <w:rPr>
                <w:rFonts w:ascii="宋体" w:hAnsi="宋体" w:eastAsia="宋体" w:cs="宋体"/>
                <w:color w:val="auto"/>
                <w:kern w:val="1"/>
                <w:sz w:val="24"/>
                <w:szCs w:val="24"/>
                <w:highlight w:val="none"/>
                <w:lang w:bidi="en-US"/>
              </w:rPr>
            </w:pPr>
            <w:r>
              <w:rPr>
                <w:rFonts w:hint="eastAsia" w:ascii="宋体" w:hAnsi="宋体" w:eastAsia="宋体" w:cs="宋体"/>
                <w:color w:val="auto"/>
                <w:kern w:val="1"/>
                <w:sz w:val="24"/>
                <w:szCs w:val="24"/>
                <w:highlight w:val="none"/>
                <w:lang w:bidi="en-US"/>
              </w:rPr>
              <w:t>缺项为0分。不缺项不低于最低分</w:t>
            </w:r>
          </w:p>
        </w:tc>
      </w:tr>
      <w:tr w14:paraId="3D767C12">
        <w:tblPrEx>
          <w:tblCellMar>
            <w:top w:w="0" w:type="dxa"/>
            <w:left w:w="108" w:type="dxa"/>
            <w:bottom w:w="0" w:type="dxa"/>
            <w:right w:w="108" w:type="dxa"/>
          </w:tblCellMar>
        </w:tblPrEx>
        <w:trPr>
          <w:trHeight w:val="1447" w:hRule="atLeast"/>
        </w:trPr>
        <w:tc>
          <w:tcPr>
            <w:tcW w:w="726" w:type="dxa"/>
            <w:vMerge w:val="restart"/>
            <w:tcBorders>
              <w:top w:val="single" w:color="000000" w:sz="4" w:space="0"/>
              <w:left w:val="single" w:color="000000" w:sz="6" w:space="0"/>
              <w:right w:val="single" w:color="auto" w:sz="4" w:space="0"/>
            </w:tcBorders>
            <w:noWrap w:val="0"/>
            <w:vAlign w:val="center"/>
          </w:tcPr>
          <w:p w14:paraId="42CED10D">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综合标</w:t>
            </w:r>
          </w:p>
          <w:p w14:paraId="1A431FEC">
            <w:pPr>
              <w:adjustRightInd/>
              <w:snapToGrid/>
              <w:spacing w:after="0" w:line="400" w:lineRule="exact"/>
              <w:jc w:val="center"/>
              <w:rPr>
                <w:rFonts w:ascii="宋体" w:hAnsi="宋体" w:eastAsia="宋体" w:cs="宋体"/>
                <w:color w:val="auto"/>
                <w:kern w:val="1"/>
                <w:sz w:val="24"/>
                <w:szCs w:val="24"/>
                <w:highlight w:val="none"/>
                <w:lang w:eastAsia="en-US" w:bidi="en-US"/>
              </w:rPr>
            </w:pPr>
            <w:r>
              <w:rPr>
                <w:rFonts w:hint="eastAsia" w:ascii="宋体" w:hAnsi="宋体" w:eastAsia="宋体" w:cs="宋体"/>
                <w:color w:val="auto"/>
                <w:kern w:val="1"/>
                <w:sz w:val="24"/>
                <w:szCs w:val="24"/>
                <w:highlight w:val="none"/>
                <w:lang w:eastAsia="en-US" w:bidi="en-US"/>
              </w:rPr>
              <w:t>（</w:t>
            </w:r>
            <w:r>
              <w:rPr>
                <w:rFonts w:hint="eastAsia" w:ascii="宋体" w:hAnsi="宋体" w:eastAsia="宋体" w:cs="宋体"/>
                <w:color w:val="auto"/>
                <w:kern w:val="1"/>
                <w:sz w:val="24"/>
                <w:szCs w:val="24"/>
                <w:highlight w:val="none"/>
                <w:lang w:bidi="en-US"/>
              </w:rPr>
              <w:t>25</w:t>
            </w:r>
            <w:r>
              <w:rPr>
                <w:rFonts w:hint="eastAsia" w:ascii="宋体" w:hAnsi="宋体" w:eastAsia="宋体" w:cs="宋体"/>
                <w:color w:val="auto"/>
                <w:kern w:val="1"/>
                <w:sz w:val="24"/>
                <w:szCs w:val="24"/>
                <w:highlight w:val="none"/>
                <w:lang w:eastAsia="en-US" w:bidi="en-US"/>
              </w:rPr>
              <w:t>分）</w:t>
            </w:r>
          </w:p>
        </w:tc>
        <w:tc>
          <w:tcPr>
            <w:tcW w:w="1476" w:type="dxa"/>
            <w:gridSpan w:val="2"/>
            <w:tcBorders>
              <w:top w:val="single" w:color="auto" w:sz="4" w:space="0"/>
              <w:left w:val="single" w:color="auto" w:sz="4" w:space="0"/>
              <w:bottom w:val="single" w:color="auto" w:sz="4" w:space="0"/>
              <w:right w:val="single" w:color="auto" w:sz="4" w:space="0"/>
            </w:tcBorders>
            <w:noWrap w:val="0"/>
            <w:vAlign w:val="center"/>
          </w:tcPr>
          <w:p w14:paraId="19731694">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73735BFB">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0-4分</w:t>
            </w:r>
          </w:p>
        </w:tc>
        <w:tc>
          <w:tcPr>
            <w:tcW w:w="6946" w:type="dxa"/>
            <w:gridSpan w:val="3"/>
            <w:tcBorders>
              <w:top w:val="single" w:color="auto" w:sz="4" w:space="0"/>
              <w:left w:val="single" w:color="auto" w:sz="4" w:space="0"/>
              <w:bottom w:val="single" w:color="auto" w:sz="4" w:space="0"/>
              <w:right w:val="single" w:color="auto" w:sz="4" w:space="0"/>
            </w:tcBorders>
            <w:noWrap w:val="0"/>
            <w:vAlign w:val="center"/>
          </w:tcPr>
          <w:p w14:paraId="0829A9A8">
            <w:pPr>
              <w:spacing w:after="0" w:line="400" w:lineRule="exact"/>
              <w:rPr>
                <w:rFonts w:ascii="宋体" w:hAnsi="宋体" w:eastAsia="宋体" w:cs="宋体"/>
                <w:color w:val="auto"/>
                <w:sz w:val="24"/>
                <w:szCs w:val="24"/>
                <w:highlight w:val="none"/>
              </w:rPr>
            </w:pPr>
            <w:r>
              <w:rPr>
                <w:rFonts w:hint="eastAsia" w:ascii="宋体" w:hAnsi="宋体" w:eastAsia="宋体" w:cs="宋体"/>
                <w:bCs/>
                <w:color w:val="auto"/>
                <w:kern w:val="1"/>
                <w:sz w:val="24"/>
                <w:szCs w:val="24"/>
                <w:highlight w:val="none"/>
                <w:lang w:val="zh-CN"/>
              </w:rPr>
              <w:t>202</w:t>
            </w:r>
            <w:r>
              <w:rPr>
                <w:rFonts w:hint="eastAsia" w:ascii="宋体" w:hAnsi="宋体" w:eastAsia="宋体" w:cs="宋体"/>
                <w:bCs/>
                <w:color w:val="auto"/>
                <w:kern w:val="1"/>
                <w:sz w:val="24"/>
                <w:szCs w:val="24"/>
                <w:highlight w:val="none"/>
                <w:lang w:val="en-US" w:eastAsia="zh-CN"/>
              </w:rPr>
              <w:t>3</w:t>
            </w:r>
            <w:r>
              <w:rPr>
                <w:rFonts w:hint="eastAsia" w:ascii="宋体" w:hAnsi="宋体" w:eastAsia="宋体" w:cs="宋体"/>
                <w:bCs/>
                <w:color w:val="auto"/>
                <w:kern w:val="1"/>
                <w:sz w:val="24"/>
                <w:szCs w:val="24"/>
                <w:highlight w:val="none"/>
                <w:lang w:val="zh-CN"/>
              </w:rPr>
              <w:t>年1月1日以来承担过类似业绩每份2分，最多得4分（须提供中标通知书和施工合同，时间以签订施工合同为准，否则不得分）</w:t>
            </w:r>
          </w:p>
        </w:tc>
      </w:tr>
      <w:tr w14:paraId="1FD446D3">
        <w:tblPrEx>
          <w:tblCellMar>
            <w:top w:w="0" w:type="dxa"/>
            <w:left w:w="108" w:type="dxa"/>
            <w:bottom w:w="0" w:type="dxa"/>
            <w:right w:w="108" w:type="dxa"/>
          </w:tblCellMar>
        </w:tblPrEx>
        <w:trPr>
          <w:trHeight w:val="864" w:hRule="atLeast"/>
        </w:trPr>
        <w:tc>
          <w:tcPr>
            <w:tcW w:w="726" w:type="dxa"/>
            <w:vMerge w:val="continue"/>
            <w:tcBorders>
              <w:left w:val="single" w:color="000000" w:sz="6" w:space="0"/>
              <w:right w:val="single" w:color="auto" w:sz="4" w:space="0"/>
            </w:tcBorders>
            <w:noWrap w:val="0"/>
            <w:vAlign w:val="center"/>
          </w:tcPr>
          <w:p w14:paraId="28F886DE">
            <w:pPr>
              <w:adjustRightInd/>
              <w:snapToGrid/>
              <w:spacing w:after="0" w:line="400" w:lineRule="exact"/>
              <w:jc w:val="center"/>
              <w:rPr>
                <w:rFonts w:ascii="宋体" w:hAnsi="宋体" w:eastAsia="宋体" w:cs="宋体"/>
                <w:color w:val="auto"/>
                <w:kern w:val="1"/>
                <w:sz w:val="24"/>
                <w:szCs w:val="24"/>
                <w:highlight w:val="none"/>
                <w:lang w:bidi="en-US"/>
              </w:rPr>
            </w:pPr>
          </w:p>
        </w:tc>
        <w:tc>
          <w:tcPr>
            <w:tcW w:w="1476" w:type="dxa"/>
            <w:gridSpan w:val="2"/>
            <w:tcBorders>
              <w:top w:val="single" w:color="auto" w:sz="4" w:space="0"/>
              <w:left w:val="single" w:color="auto" w:sz="4" w:space="0"/>
              <w:bottom w:val="single" w:color="auto" w:sz="4" w:space="0"/>
              <w:right w:val="single" w:color="auto" w:sz="4" w:space="0"/>
            </w:tcBorders>
            <w:noWrap w:val="0"/>
            <w:vAlign w:val="center"/>
          </w:tcPr>
          <w:p w14:paraId="0C416AAF">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w:t>
            </w:r>
          </w:p>
          <w:p w14:paraId="1022182B">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0-7分</w:t>
            </w:r>
          </w:p>
        </w:tc>
        <w:tc>
          <w:tcPr>
            <w:tcW w:w="6946" w:type="dxa"/>
            <w:gridSpan w:val="3"/>
            <w:tcBorders>
              <w:top w:val="single" w:color="auto" w:sz="4" w:space="0"/>
              <w:left w:val="single" w:color="auto" w:sz="4" w:space="0"/>
              <w:bottom w:val="single" w:color="auto" w:sz="4" w:space="0"/>
              <w:right w:val="single" w:color="auto" w:sz="4" w:space="0"/>
            </w:tcBorders>
            <w:noWrap w:val="0"/>
            <w:vAlign w:val="center"/>
          </w:tcPr>
          <w:p w14:paraId="7F6986E0">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优惠承诺应是书面的符合工程实际情况，在施工过程中协调配合、文明施工，工程质量、工期、安全等承诺。</w:t>
            </w:r>
          </w:p>
          <w:p w14:paraId="05CA4C96">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承诺内容全面、详实可行、合法有效、有针对性的得7分；</w:t>
            </w:r>
          </w:p>
          <w:p w14:paraId="5D18BBD1">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承诺内容比较全面、详实可行、合法有效的得5分；</w:t>
            </w:r>
          </w:p>
          <w:p w14:paraId="57C4D455">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承诺内容片面、不详细、不完整的得2分；</w:t>
            </w:r>
          </w:p>
          <w:p w14:paraId="72584328">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内容前后不连贯导致语义不明或存在与本项目无关内容的得1分；</w:t>
            </w:r>
          </w:p>
          <w:p w14:paraId="56C8C98D">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未提供者不得分。</w:t>
            </w:r>
          </w:p>
        </w:tc>
      </w:tr>
      <w:tr w14:paraId="00EB132F">
        <w:tblPrEx>
          <w:tblCellMar>
            <w:top w:w="0" w:type="dxa"/>
            <w:left w:w="108" w:type="dxa"/>
            <w:bottom w:w="0" w:type="dxa"/>
            <w:right w:w="108" w:type="dxa"/>
          </w:tblCellMar>
        </w:tblPrEx>
        <w:trPr>
          <w:trHeight w:val="637" w:hRule="atLeast"/>
        </w:trPr>
        <w:tc>
          <w:tcPr>
            <w:tcW w:w="726" w:type="dxa"/>
            <w:vMerge w:val="continue"/>
            <w:tcBorders>
              <w:left w:val="single" w:color="000000" w:sz="6" w:space="0"/>
              <w:right w:val="single" w:color="000000" w:sz="2" w:space="0"/>
            </w:tcBorders>
            <w:noWrap w:val="0"/>
            <w:vAlign w:val="center"/>
          </w:tcPr>
          <w:p w14:paraId="7DB1A5C3">
            <w:pPr>
              <w:adjustRightInd/>
              <w:snapToGrid/>
              <w:spacing w:after="0" w:line="400" w:lineRule="exact"/>
              <w:jc w:val="center"/>
              <w:rPr>
                <w:rFonts w:ascii="宋体" w:hAnsi="宋体" w:eastAsia="宋体" w:cs="宋体"/>
                <w:color w:val="auto"/>
                <w:kern w:val="1"/>
                <w:sz w:val="24"/>
                <w:szCs w:val="24"/>
                <w:highlight w:val="none"/>
                <w:lang w:bidi="en-US"/>
              </w:rPr>
            </w:pPr>
          </w:p>
        </w:tc>
        <w:tc>
          <w:tcPr>
            <w:tcW w:w="1476" w:type="dxa"/>
            <w:gridSpan w:val="2"/>
            <w:tcBorders>
              <w:top w:val="single" w:color="auto" w:sz="4" w:space="0"/>
              <w:left w:val="single" w:color="000000" w:sz="6" w:space="0"/>
              <w:bottom w:val="single" w:color="000000" w:sz="4" w:space="0"/>
              <w:right w:val="single" w:color="000000" w:sz="12" w:space="0"/>
            </w:tcBorders>
            <w:noWrap w:val="0"/>
            <w:vAlign w:val="center"/>
          </w:tcPr>
          <w:p w14:paraId="7EA87970">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履职尽责承诺</w:t>
            </w:r>
          </w:p>
          <w:p w14:paraId="6C8D99DA">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0-7分</w:t>
            </w:r>
          </w:p>
        </w:tc>
        <w:tc>
          <w:tcPr>
            <w:tcW w:w="6946" w:type="dxa"/>
            <w:gridSpan w:val="3"/>
            <w:tcBorders>
              <w:top w:val="single" w:color="auto" w:sz="4" w:space="0"/>
              <w:left w:val="single" w:color="000000" w:sz="2" w:space="0"/>
              <w:bottom w:val="single" w:color="000000" w:sz="4" w:space="0"/>
              <w:right w:val="single" w:color="000000" w:sz="12" w:space="0"/>
            </w:tcBorders>
            <w:noWrap w:val="0"/>
            <w:vAlign w:val="center"/>
          </w:tcPr>
          <w:p w14:paraId="796C6327">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具有全面、详实、可行、合法有效的书面保证技术措施落实到位的承诺和落实不到位的处理承诺，其中包括各关键岗位人员（项目经理、技术负责人及相关技术人员等）的在岗、更换等履职尽责承诺。</w:t>
            </w:r>
          </w:p>
          <w:p w14:paraId="518E0D6C">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承诺内容全面、详实可行、合法有效、有针对性的得7分；</w:t>
            </w:r>
          </w:p>
          <w:p w14:paraId="48A09636">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承诺内容比较全面、详实可行、合法有效的得5分；</w:t>
            </w:r>
          </w:p>
          <w:p w14:paraId="4ACC8D88">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承诺内容片面、不详细、不完整的得2分；</w:t>
            </w:r>
          </w:p>
          <w:p w14:paraId="702130E5">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内容前后不连贯导致语义不明或存在与本项目无关内容的得1分；</w:t>
            </w:r>
          </w:p>
          <w:p w14:paraId="2481EC5D">
            <w:pPr>
              <w:spacing w:after="0" w:line="400" w:lineRule="exact"/>
              <w:rPr>
                <w:color w:val="auto"/>
                <w:sz w:val="24"/>
                <w:szCs w:val="24"/>
                <w:highlight w:val="none"/>
              </w:rPr>
            </w:pPr>
            <w:r>
              <w:rPr>
                <w:rFonts w:hint="eastAsia" w:ascii="宋体" w:hAnsi="宋体" w:eastAsia="宋体" w:cs="宋体"/>
                <w:color w:val="auto"/>
                <w:sz w:val="24"/>
                <w:szCs w:val="24"/>
                <w:highlight w:val="none"/>
              </w:rPr>
              <w:t>未提供者不得分。</w:t>
            </w:r>
          </w:p>
        </w:tc>
      </w:tr>
      <w:tr w14:paraId="3D2B6426">
        <w:tblPrEx>
          <w:tblCellMar>
            <w:top w:w="0" w:type="dxa"/>
            <w:left w:w="108" w:type="dxa"/>
            <w:bottom w:w="0" w:type="dxa"/>
            <w:right w:w="108" w:type="dxa"/>
          </w:tblCellMar>
        </w:tblPrEx>
        <w:trPr>
          <w:trHeight w:val="637" w:hRule="atLeast"/>
        </w:trPr>
        <w:tc>
          <w:tcPr>
            <w:tcW w:w="726" w:type="dxa"/>
            <w:vMerge w:val="continue"/>
            <w:tcBorders>
              <w:left w:val="single" w:color="000000" w:sz="6" w:space="0"/>
              <w:right w:val="single" w:color="000000" w:sz="2" w:space="0"/>
            </w:tcBorders>
            <w:noWrap w:val="0"/>
            <w:vAlign w:val="center"/>
          </w:tcPr>
          <w:p w14:paraId="3E605ACF">
            <w:pPr>
              <w:adjustRightInd/>
              <w:snapToGrid/>
              <w:spacing w:after="0" w:line="400" w:lineRule="exact"/>
              <w:jc w:val="center"/>
              <w:rPr>
                <w:rFonts w:ascii="宋体" w:hAnsi="宋体" w:eastAsia="宋体" w:cs="宋体"/>
                <w:color w:val="auto"/>
                <w:kern w:val="1"/>
                <w:sz w:val="24"/>
                <w:szCs w:val="24"/>
                <w:highlight w:val="none"/>
                <w:lang w:bidi="en-US"/>
              </w:rPr>
            </w:pPr>
          </w:p>
        </w:tc>
        <w:tc>
          <w:tcPr>
            <w:tcW w:w="1476" w:type="dxa"/>
            <w:gridSpan w:val="2"/>
            <w:tcBorders>
              <w:top w:val="single" w:color="000000" w:sz="4" w:space="0"/>
              <w:left w:val="single" w:color="000000" w:sz="6" w:space="0"/>
              <w:bottom w:val="single" w:color="000000" w:sz="4" w:space="0"/>
              <w:right w:val="single" w:color="000000" w:sz="12" w:space="0"/>
            </w:tcBorders>
            <w:noWrap w:val="0"/>
            <w:vAlign w:val="center"/>
          </w:tcPr>
          <w:p w14:paraId="314566C1">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相关承诺</w:t>
            </w:r>
          </w:p>
          <w:p w14:paraId="7F1A3990">
            <w:pPr>
              <w:spacing w:after="0"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0-7分</w:t>
            </w:r>
          </w:p>
        </w:tc>
        <w:tc>
          <w:tcPr>
            <w:tcW w:w="6946" w:type="dxa"/>
            <w:gridSpan w:val="3"/>
            <w:tcBorders>
              <w:left w:val="single" w:color="000000" w:sz="2" w:space="0"/>
              <w:bottom w:val="single" w:color="000000" w:sz="4" w:space="0"/>
              <w:right w:val="single" w:color="000000" w:sz="12" w:space="0"/>
            </w:tcBorders>
            <w:noWrap w:val="0"/>
            <w:vAlign w:val="center"/>
          </w:tcPr>
          <w:p w14:paraId="7427A3D1">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承诺质量达到或优于国家规范要求、工期达到或优于磋商文件要求、工程进度及施工程序、项目部组成人员及现场管理服从采购人及监理人管理并有具体措施。</w:t>
            </w:r>
          </w:p>
          <w:p w14:paraId="67747B87">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承诺内容全面、详实可行、合法有效、有针对性的得7分；</w:t>
            </w:r>
          </w:p>
          <w:p w14:paraId="4FB2DEA0">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承诺内容比较全面、详实可行、合法有效的得5分；</w:t>
            </w:r>
          </w:p>
          <w:p w14:paraId="53AE4F87">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承诺内容片面、不详细、不完整的得2分；</w:t>
            </w:r>
          </w:p>
          <w:p w14:paraId="3CAE9C9D">
            <w:pPr>
              <w:spacing w:after="0" w:line="4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en-US"/>
              </w:rPr>
              <w:t>内容前后不连贯导致语义不明或存在与本项目无关内容的得1分；</w:t>
            </w:r>
          </w:p>
          <w:p w14:paraId="22FF883F">
            <w:pPr>
              <w:pStyle w:val="3"/>
              <w:rPr>
                <w:color w:val="auto"/>
                <w:sz w:val="24"/>
                <w:highlight w:val="none"/>
              </w:rPr>
            </w:pPr>
            <w:r>
              <w:rPr>
                <w:rFonts w:hint="eastAsia" w:ascii="宋体" w:hAnsi="宋体" w:cs="宋体"/>
                <w:color w:val="auto"/>
                <w:sz w:val="24"/>
                <w:highlight w:val="none"/>
              </w:rPr>
              <w:t>未提供者不得分。</w:t>
            </w:r>
          </w:p>
        </w:tc>
      </w:tr>
      <w:tr w14:paraId="679B685F">
        <w:tblPrEx>
          <w:tblCellMar>
            <w:top w:w="0" w:type="dxa"/>
            <w:left w:w="108" w:type="dxa"/>
            <w:bottom w:w="0" w:type="dxa"/>
            <w:right w:w="108" w:type="dxa"/>
          </w:tblCellMar>
        </w:tblPrEx>
        <w:trPr>
          <w:trHeight w:val="1009" w:hRule="atLeast"/>
        </w:trPr>
        <w:tc>
          <w:tcPr>
            <w:tcW w:w="9148" w:type="dxa"/>
            <w:gridSpan w:val="6"/>
            <w:tcBorders>
              <w:top w:val="single" w:color="000000" w:sz="4" w:space="0"/>
              <w:left w:val="single" w:color="000000" w:sz="12" w:space="0"/>
              <w:bottom w:val="single" w:color="000000" w:sz="12" w:space="0"/>
              <w:right w:val="single" w:color="000000" w:sz="6" w:space="0"/>
            </w:tcBorders>
            <w:noWrap w:val="0"/>
            <w:vAlign w:val="center"/>
          </w:tcPr>
          <w:p w14:paraId="31BA813F">
            <w:pPr>
              <w:adjustRightInd/>
              <w:snapToGrid/>
              <w:spacing w:after="0" w:line="400" w:lineRule="exact"/>
              <w:rPr>
                <w:rFonts w:ascii="宋体" w:hAnsi="宋体" w:eastAsia="宋体" w:cs="宋体"/>
                <w:b/>
                <w:color w:val="auto"/>
                <w:sz w:val="24"/>
                <w:szCs w:val="24"/>
                <w:highlight w:val="none"/>
                <w:lang w:bidi="en-US"/>
              </w:rPr>
            </w:pPr>
            <w:r>
              <w:rPr>
                <w:rFonts w:hint="eastAsia" w:ascii="宋体" w:hAnsi="宋体" w:eastAsia="宋体" w:cs="宋体"/>
                <w:b/>
                <w:color w:val="auto"/>
                <w:sz w:val="24"/>
                <w:szCs w:val="24"/>
                <w:highlight w:val="none"/>
                <w:lang w:bidi="en-US"/>
              </w:rPr>
              <w:t>供应商综合得分=技术标得分+商务标得分+综合标得分</w:t>
            </w:r>
          </w:p>
          <w:p w14:paraId="59904232">
            <w:pPr>
              <w:adjustRightInd/>
              <w:snapToGrid/>
              <w:spacing w:after="0" w:line="400" w:lineRule="exact"/>
              <w:rPr>
                <w:rFonts w:ascii="宋体" w:hAnsi="宋体" w:eastAsia="宋体" w:cs="宋体"/>
                <w:b/>
                <w:color w:val="auto"/>
                <w:sz w:val="24"/>
                <w:szCs w:val="24"/>
                <w:highlight w:val="none"/>
                <w:lang w:bidi="en-US"/>
              </w:rPr>
            </w:pPr>
            <w:r>
              <w:rPr>
                <w:rFonts w:hint="eastAsia" w:ascii="宋体" w:hAnsi="宋体" w:eastAsia="宋体" w:cs="宋体"/>
                <w:b/>
                <w:color w:val="auto"/>
                <w:sz w:val="24"/>
                <w:szCs w:val="24"/>
                <w:highlight w:val="none"/>
                <w:lang w:bidi="en-US"/>
              </w:rPr>
              <w:t>供应商的报价应包含供应商所承诺的应达到的工程质量标准及其他承诺应达到的标准所包含的所有费用。</w:t>
            </w:r>
          </w:p>
        </w:tc>
      </w:tr>
    </w:tbl>
    <w:p w14:paraId="02D4CFDA">
      <w:pPr>
        <w:spacing w:line="440" w:lineRule="exact"/>
        <w:ind w:firstLine="241" w:firstLineChars="100"/>
        <w:rPr>
          <w:rFonts w:ascii="宋体" w:hAnsi="宋体" w:cs="宋体"/>
          <w:b/>
          <w:color w:val="auto"/>
          <w:sz w:val="24"/>
          <w:szCs w:val="24"/>
          <w:highlight w:val="none"/>
        </w:rPr>
      </w:pPr>
      <w:r>
        <w:rPr>
          <w:rFonts w:hint="eastAsia" w:ascii="宋体" w:hAnsi="宋体" w:cs="宋体"/>
          <w:b/>
          <w:color w:val="auto"/>
          <w:sz w:val="24"/>
          <w:szCs w:val="24"/>
          <w:highlight w:val="none"/>
        </w:rPr>
        <w:t>1. 评标方法</w:t>
      </w:r>
    </w:p>
    <w:p w14:paraId="4D412DA3">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次评标采用综合评分法。磋商小组对满足磋商文件实质性要求的磋商响应文件，按照本章第2.2款规定的评分标准进行打分，并按得分由高到低顺序推荐成交候选人，并经磋商小组推荐排名第一的成交候选人为成交人，但磋商报价低于其成本的除外。评审得分相同的，按照最后报价由低到高的顺序确定，评审得分且最后报价相同的，按照技术指标优劣顺序确定成交候选人。</w:t>
      </w:r>
    </w:p>
    <w:p w14:paraId="2FDE1726">
      <w:pPr>
        <w:widowControl/>
        <w:suppressAutoHyphens/>
        <w:adjustRightInd w:val="0"/>
        <w:spacing w:line="480" w:lineRule="exact"/>
        <w:ind w:firstLine="241" w:firstLineChars="100"/>
        <w:jc w:val="left"/>
        <w:outlineLvl w:val="1"/>
        <w:rPr>
          <w:rFonts w:hint="eastAsia" w:ascii="宋体" w:hAnsi="宋体" w:cs="宋体"/>
          <w:b/>
          <w:bCs/>
          <w:color w:val="auto"/>
          <w:kern w:val="28"/>
          <w:sz w:val="24"/>
          <w:szCs w:val="24"/>
          <w:highlight w:val="none"/>
        </w:rPr>
      </w:pPr>
      <w:bookmarkStart w:id="447" w:name="_Toc11985"/>
      <w:bookmarkStart w:id="448" w:name="_Toc144974568"/>
      <w:bookmarkStart w:id="449" w:name="_Toc246996244"/>
      <w:bookmarkStart w:id="450" w:name="_Toc179632619"/>
      <w:bookmarkStart w:id="451" w:name="_Toc152042378"/>
      <w:bookmarkStart w:id="452" w:name="_Toc247085759"/>
      <w:bookmarkStart w:id="453" w:name="_Toc152045601"/>
      <w:bookmarkStart w:id="454" w:name="_Toc77586955"/>
      <w:bookmarkStart w:id="455" w:name="_Toc77586861"/>
      <w:bookmarkStart w:id="456" w:name="_Toc246996987"/>
      <w:bookmarkStart w:id="457" w:name="_Toc296602489"/>
      <w:r>
        <w:rPr>
          <w:rFonts w:hint="eastAsia" w:ascii="宋体" w:hAnsi="宋体" w:cs="宋体"/>
          <w:b/>
          <w:bCs/>
          <w:color w:val="auto"/>
          <w:kern w:val="28"/>
          <w:sz w:val="24"/>
          <w:szCs w:val="24"/>
          <w:highlight w:val="none"/>
        </w:rPr>
        <w:t>2. 评审标准</w:t>
      </w:r>
      <w:bookmarkEnd w:id="447"/>
      <w:bookmarkEnd w:id="448"/>
      <w:bookmarkEnd w:id="449"/>
      <w:bookmarkEnd w:id="450"/>
      <w:bookmarkEnd w:id="451"/>
      <w:bookmarkEnd w:id="452"/>
      <w:bookmarkEnd w:id="453"/>
      <w:bookmarkEnd w:id="454"/>
      <w:bookmarkEnd w:id="455"/>
      <w:bookmarkEnd w:id="456"/>
      <w:bookmarkEnd w:id="457"/>
      <w:bookmarkStart w:id="458" w:name="_Toc152045602"/>
      <w:bookmarkStart w:id="459" w:name="_Toc144974569"/>
      <w:bookmarkStart w:id="460" w:name="_Toc179632620"/>
      <w:bookmarkStart w:id="461" w:name="_Toc247085760"/>
      <w:bookmarkStart w:id="462" w:name="_Toc246996245"/>
      <w:bookmarkStart w:id="463" w:name="_Toc246996988"/>
      <w:bookmarkStart w:id="464" w:name="_Toc152042379"/>
      <w:bookmarkStart w:id="465" w:name="_Toc296602490"/>
    </w:p>
    <w:p w14:paraId="705FBEFB">
      <w:pPr>
        <w:widowControl/>
        <w:suppressAutoHyphens/>
        <w:adjustRightInd w:val="0"/>
        <w:spacing w:line="480" w:lineRule="exact"/>
        <w:ind w:firstLine="241" w:firstLineChars="100"/>
        <w:jc w:val="left"/>
        <w:outlineLvl w:val="1"/>
        <w:rPr>
          <w:rFonts w:hint="eastAsia" w:ascii="宋体" w:hAnsi="宋体" w:cs="宋体"/>
          <w:b/>
          <w:bCs/>
          <w:color w:val="auto"/>
          <w:kern w:val="28"/>
          <w:sz w:val="24"/>
          <w:szCs w:val="24"/>
          <w:highlight w:val="none"/>
        </w:rPr>
      </w:pPr>
      <w:bookmarkStart w:id="466" w:name="_Toc11055"/>
      <w:bookmarkStart w:id="467" w:name="_Toc77586862"/>
      <w:bookmarkStart w:id="468" w:name="_Toc77586956"/>
      <w:r>
        <w:rPr>
          <w:rFonts w:hint="eastAsia" w:ascii="宋体" w:hAnsi="宋体" w:cs="宋体"/>
          <w:b/>
          <w:bCs/>
          <w:color w:val="auto"/>
          <w:kern w:val="28"/>
          <w:sz w:val="24"/>
          <w:szCs w:val="24"/>
          <w:highlight w:val="none"/>
        </w:rPr>
        <w:t>2.1 初步评审标准</w:t>
      </w:r>
      <w:bookmarkEnd w:id="458"/>
      <w:bookmarkEnd w:id="459"/>
      <w:bookmarkEnd w:id="460"/>
      <w:bookmarkEnd w:id="461"/>
      <w:bookmarkEnd w:id="462"/>
      <w:bookmarkEnd w:id="463"/>
      <w:bookmarkEnd w:id="464"/>
      <w:bookmarkEnd w:id="465"/>
      <w:bookmarkEnd w:id="466"/>
      <w:bookmarkEnd w:id="467"/>
      <w:bookmarkEnd w:id="468"/>
    </w:p>
    <w:p w14:paraId="41B424AD">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形式评审标准：见评标办法前附表。</w:t>
      </w:r>
    </w:p>
    <w:p w14:paraId="7B3F2B52">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资格评审标准：见评标办法前附表。</w:t>
      </w:r>
    </w:p>
    <w:p w14:paraId="4267A845">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响应性评审标准：见评标办法前附表。</w:t>
      </w:r>
    </w:p>
    <w:p w14:paraId="2672B1F6">
      <w:pPr>
        <w:keepNext/>
        <w:keepLines/>
        <w:spacing w:line="480" w:lineRule="exact"/>
        <w:ind w:firstLine="241" w:firstLineChars="100"/>
        <w:outlineLvl w:val="2"/>
        <w:rPr>
          <w:rFonts w:hint="eastAsia" w:ascii="宋体" w:hAnsi="宋体" w:cs="宋体"/>
          <w:b/>
          <w:bCs/>
          <w:color w:val="auto"/>
          <w:kern w:val="0"/>
          <w:sz w:val="24"/>
          <w:szCs w:val="24"/>
          <w:highlight w:val="none"/>
        </w:rPr>
      </w:pPr>
      <w:bookmarkStart w:id="469" w:name="_Toc152045603"/>
      <w:bookmarkStart w:id="470" w:name="_Toc144974570"/>
      <w:bookmarkStart w:id="471" w:name="_Toc247085761"/>
      <w:bookmarkStart w:id="472" w:name="_Toc77586957"/>
      <w:bookmarkStart w:id="473" w:name="_Toc6872"/>
      <w:bookmarkStart w:id="474" w:name="_Toc296602491"/>
      <w:bookmarkStart w:id="475" w:name="_Toc246996246"/>
      <w:bookmarkStart w:id="476" w:name="_Toc179632621"/>
      <w:bookmarkStart w:id="477" w:name="_Toc77586863"/>
      <w:bookmarkStart w:id="478" w:name="_Toc152042380"/>
      <w:bookmarkStart w:id="479" w:name="_Toc246996989"/>
      <w:r>
        <w:rPr>
          <w:rFonts w:hint="eastAsia" w:ascii="宋体" w:hAnsi="宋体" w:cs="宋体"/>
          <w:b/>
          <w:bCs/>
          <w:color w:val="auto"/>
          <w:kern w:val="0"/>
          <w:sz w:val="24"/>
          <w:szCs w:val="24"/>
          <w:highlight w:val="none"/>
        </w:rPr>
        <w:t>2.2 分值构成与评分标准</w:t>
      </w:r>
      <w:bookmarkEnd w:id="469"/>
      <w:bookmarkEnd w:id="470"/>
      <w:bookmarkEnd w:id="471"/>
      <w:bookmarkEnd w:id="472"/>
      <w:bookmarkEnd w:id="473"/>
      <w:bookmarkEnd w:id="474"/>
      <w:bookmarkEnd w:id="475"/>
      <w:bookmarkEnd w:id="476"/>
      <w:bookmarkEnd w:id="477"/>
      <w:bookmarkEnd w:id="478"/>
      <w:bookmarkEnd w:id="479"/>
    </w:p>
    <w:p w14:paraId="2C5DD9A2">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 分值构成</w:t>
      </w:r>
    </w:p>
    <w:p w14:paraId="15EF8D1B">
      <w:pPr>
        <w:spacing w:line="48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（1）技术标：见评标办法前附表；</w:t>
      </w:r>
    </w:p>
    <w:p w14:paraId="369955D8">
      <w:pPr>
        <w:spacing w:line="48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（2）商务标：见评标办法前附表；</w:t>
      </w:r>
    </w:p>
    <w:p w14:paraId="7894815A">
      <w:pPr>
        <w:spacing w:line="48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（3）综合标：见评标办法前附表。</w:t>
      </w:r>
    </w:p>
    <w:p w14:paraId="7E74C2B0">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 评分标准</w:t>
      </w:r>
    </w:p>
    <w:p w14:paraId="46894CFF">
      <w:pPr>
        <w:spacing w:line="48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（1）技术标评分标准：见评标办法前附表；</w:t>
      </w:r>
    </w:p>
    <w:p w14:paraId="766EAA09">
      <w:pPr>
        <w:spacing w:line="48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（2）商务标评分标准：见评标办法前附表；</w:t>
      </w:r>
    </w:p>
    <w:p w14:paraId="14A3EDB8">
      <w:pPr>
        <w:spacing w:line="48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（3）综合标评分标准：见评标办法前附表。</w:t>
      </w:r>
      <w:bookmarkStart w:id="480" w:name="_Toc247085762"/>
      <w:bookmarkStart w:id="481" w:name="_Toc152045604"/>
      <w:bookmarkStart w:id="482" w:name="_Toc152042381"/>
      <w:bookmarkStart w:id="483" w:name="_Toc246996990"/>
      <w:bookmarkStart w:id="484" w:name="_Toc179632622"/>
      <w:bookmarkStart w:id="485" w:name="_Toc144974571"/>
      <w:bookmarkStart w:id="486" w:name="_Toc246996247"/>
      <w:bookmarkStart w:id="487" w:name="_Toc296602492"/>
    </w:p>
    <w:p w14:paraId="496317CF">
      <w:pPr>
        <w:spacing w:line="480" w:lineRule="exact"/>
        <w:ind w:firstLine="241" w:firstLineChars="1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 评标程序</w:t>
      </w:r>
      <w:bookmarkEnd w:id="480"/>
      <w:bookmarkEnd w:id="481"/>
      <w:bookmarkEnd w:id="482"/>
      <w:bookmarkEnd w:id="483"/>
      <w:bookmarkEnd w:id="484"/>
      <w:bookmarkEnd w:id="485"/>
      <w:bookmarkEnd w:id="486"/>
      <w:bookmarkEnd w:id="487"/>
    </w:p>
    <w:p w14:paraId="6029BF08">
      <w:pPr>
        <w:keepNext/>
        <w:keepLines/>
        <w:spacing w:line="480" w:lineRule="exact"/>
        <w:ind w:firstLine="241" w:firstLineChars="100"/>
        <w:outlineLvl w:val="2"/>
        <w:rPr>
          <w:rFonts w:hint="eastAsia" w:ascii="宋体" w:hAnsi="宋体" w:cs="宋体"/>
          <w:b/>
          <w:bCs/>
          <w:color w:val="auto"/>
          <w:kern w:val="0"/>
          <w:sz w:val="24"/>
          <w:szCs w:val="24"/>
          <w:highlight w:val="none"/>
        </w:rPr>
      </w:pPr>
      <w:bookmarkStart w:id="488" w:name="_Toc77586958"/>
      <w:bookmarkStart w:id="489" w:name="_Toc247085763"/>
      <w:bookmarkStart w:id="490" w:name="_Toc144974572"/>
      <w:bookmarkStart w:id="491" w:name="_Toc152042382"/>
      <w:bookmarkStart w:id="492" w:name="_Toc296602493"/>
      <w:bookmarkStart w:id="493" w:name="_Toc179632623"/>
      <w:bookmarkStart w:id="494" w:name="_Toc152045605"/>
      <w:bookmarkStart w:id="495" w:name="_Toc77586864"/>
      <w:bookmarkStart w:id="496" w:name="_Toc246996991"/>
      <w:bookmarkStart w:id="497" w:name="_Toc246996248"/>
      <w:bookmarkStart w:id="498" w:name="_Toc30399"/>
      <w:r>
        <w:rPr>
          <w:rFonts w:hint="eastAsia" w:ascii="宋体" w:hAnsi="宋体" w:cs="宋体"/>
          <w:b/>
          <w:bCs/>
          <w:color w:val="auto"/>
          <w:kern w:val="0"/>
          <w:sz w:val="24"/>
          <w:szCs w:val="24"/>
          <w:highlight w:val="none"/>
        </w:rPr>
        <w:t>3.1 初步评审</w:t>
      </w:r>
      <w:bookmarkEnd w:id="488"/>
      <w:bookmarkEnd w:id="489"/>
      <w:bookmarkEnd w:id="490"/>
      <w:bookmarkEnd w:id="491"/>
      <w:bookmarkEnd w:id="492"/>
      <w:bookmarkEnd w:id="493"/>
      <w:bookmarkEnd w:id="494"/>
      <w:bookmarkEnd w:id="495"/>
      <w:bookmarkEnd w:id="496"/>
      <w:bookmarkEnd w:id="497"/>
      <w:bookmarkEnd w:id="498"/>
    </w:p>
    <w:p w14:paraId="15C08466">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3.1.1磋商小组依据本章第2.1款规定的标准对磋商响应文件进行初步评审。有一项不符合评审标准的，磋商小组应当否决其投标。</w:t>
      </w:r>
    </w:p>
    <w:p w14:paraId="04E58F09">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3.1.2 投标人有以下情形之一的，磋商小组应当否决其投标：</w:t>
      </w:r>
    </w:p>
    <w:p w14:paraId="7550C594">
      <w:pPr>
        <w:spacing w:line="48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（1）第二章“投标人须知”第1.4.2项、第1.4.3项规定的任何一种情形的；</w:t>
      </w:r>
    </w:p>
    <w:p w14:paraId="3FDBC3D3">
      <w:pPr>
        <w:spacing w:line="48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（2）串通投标或弄虚作假或有其他违法行为的；</w:t>
      </w:r>
    </w:p>
    <w:p w14:paraId="7118802F">
      <w:pPr>
        <w:spacing w:line="48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（3）不按磋商小组要求澄清、说明或补正的。</w:t>
      </w:r>
    </w:p>
    <w:p w14:paraId="09212E38">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3.1.3投标报价有算术错误的，磋商小组按以下原则对投标报价进行修正，修正的价格经投标人书面确认后具有约束力。投标人不接受修正价格的，磋商小组应当否决其投标。</w:t>
      </w:r>
    </w:p>
    <w:p w14:paraId="7E37C924">
      <w:pPr>
        <w:spacing w:line="480" w:lineRule="exact"/>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（1）磋商响应文件中的大写金额与小写金额不一致的，以大写金额为准；</w:t>
      </w:r>
    </w:p>
    <w:p w14:paraId="54D27EC3">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（2）总价金额与依据单价计算出的结果不一致的，以单价金额为准修正总价，但单价金额小数点有明显错误的除外。</w:t>
      </w:r>
    </w:p>
    <w:p w14:paraId="47E176BC">
      <w:pPr>
        <w:keepNext/>
        <w:keepLines/>
        <w:spacing w:line="480" w:lineRule="exact"/>
        <w:ind w:firstLine="480"/>
        <w:outlineLvl w:val="2"/>
        <w:rPr>
          <w:rFonts w:hint="eastAsia" w:ascii="宋体" w:hAnsi="宋体" w:cs="宋体"/>
          <w:b/>
          <w:bCs/>
          <w:color w:val="auto"/>
          <w:kern w:val="0"/>
          <w:sz w:val="24"/>
          <w:szCs w:val="24"/>
          <w:highlight w:val="none"/>
        </w:rPr>
      </w:pPr>
      <w:bookmarkStart w:id="499" w:name="_Toc144974573"/>
      <w:bookmarkStart w:id="500" w:name="_Toc247085764"/>
      <w:bookmarkStart w:id="501" w:name="_Toc152045606"/>
      <w:bookmarkStart w:id="502" w:name="_Toc296602494"/>
      <w:bookmarkStart w:id="503" w:name="_Toc152042384"/>
      <w:bookmarkStart w:id="504" w:name="_Toc5844"/>
      <w:bookmarkStart w:id="505" w:name="_Toc77586959"/>
      <w:bookmarkStart w:id="506" w:name="_Toc77586865"/>
      <w:bookmarkStart w:id="507" w:name="_Toc179632624"/>
      <w:bookmarkStart w:id="508" w:name="_Toc246996249"/>
      <w:bookmarkStart w:id="509" w:name="_Toc246996992"/>
      <w:r>
        <w:rPr>
          <w:rFonts w:hint="eastAsia" w:ascii="宋体" w:hAnsi="宋体" w:cs="宋体"/>
          <w:b/>
          <w:bCs/>
          <w:color w:val="auto"/>
          <w:kern w:val="0"/>
          <w:sz w:val="24"/>
          <w:szCs w:val="24"/>
          <w:highlight w:val="none"/>
        </w:rPr>
        <w:t>3.2 详细评审</w:t>
      </w:r>
      <w:bookmarkEnd w:id="499"/>
      <w:bookmarkEnd w:id="500"/>
      <w:bookmarkEnd w:id="501"/>
      <w:bookmarkEnd w:id="502"/>
      <w:bookmarkEnd w:id="503"/>
      <w:bookmarkEnd w:id="504"/>
      <w:bookmarkEnd w:id="505"/>
      <w:bookmarkEnd w:id="506"/>
      <w:bookmarkEnd w:id="507"/>
      <w:bookmarkEnd w:id="508"/>
      <w:bookmarkEnd w:id="509"/>
    </w:p>
    <w:p w14:paraId="6870235F">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 磋商小组按本章第2.2款规定的量化因素和分值进行打分，并计算出综合评估得分。</w:t>
      </w:r>
    </w:p>
    <w:p w14:paraId="280EC4BF">
      <w:pPr>
        <w:spacing w:line="48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（1）按本章第2.2.2（1）目规定的评审因素和分值对技术标计算出得分；</w:t>
      </w:r>
    </w:p>
    <w:p w14:paraId="1CEB1EA4">
      <w:pPr>
        <w:spacing w:line="48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（2）按本章第2.2.2（2）目规定的评审因素和分值对商务标计算出得分；</w:t>
      </w:r>
    </w:p>
    <w:p w14:paraId="336BF79F">
      <w:pPr>
        <w:spacing w:line="48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（3）按本章第2.2.2（3）目规定的评审因素和分值对综合标计算出得分；</w:t>
      </w:r>
    </w:p>
    <w:p w14:paraId="0C4BCBA5">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 评分分值计算过程中保留小数点后三位，最后投标人得分汇总时保留小数点后两位，小数点后第三位“四舍五入”。</w:t>
      </w:r>
    </w:p>
    <w:p w14:paraId="39379F4B">
      <w:pPr>
        <w:tabs>
          <w:tab w:val="center" w:pos="4677"/>
        </w:tabs>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 投标人得分=技术标+商务标+综合标。</w:t>
      </w:r>
    </w:p>
    <w:p w14:paraId="3C0D9177">
      <w:pPr>
        <w:spacing w:line="480" w:lineRule="exact"/>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3.2.4在磋商小组完成对技术标、商务标和综合标的汇总后取平均值，作为该投标人的最终得分。</w:t>
      </w:r>
    </w:p>
    <w:p w14:paraId="0DF19BCC">
      <w:pPr>
        <w:tabs>
          <w:tab w:val="center" w:pos="4677"/>
        </w:tabs>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3.2.5磋商小组发现投标人的报价明显低于其他投标报价，使得其投标报价可能低于其个别成本的，应当要求该投标人做出书面说明并提供相应的证明材料。投标人不能合理说明或者不能提供相应证明材料的，磋商小组应当认定该投标人以低于成本报价竞标，否决其投标。</w:t>
      </w:r>
    </w:p>
    <w:p w14:paraId="30B53585">
      <w:pPr>
        <w:keepNext/>
        <w:keepLines/>
        <w:spacing w:line="480" w:lineRule="exact"/>
        <w:ind w:firstLine="241" w:firstLineChars="100"/>
        <w:outlineLvl w:val="2"/>
        <w:rPr>
          <w:rFonts w:hint="eastAsia" w:ascii="宋体" w:hAnsi="宋体" w:cs="宋体"/>
          <w:b/>
          <w:bCs/>
          <w:color w:val="auto"/>
          <w:kern w:val="0"/>
          <w:sz w:val="24"/>
          <w:szCs w:val="24"/>
          <w:highlight w:val="none"/>
        </w:rPr>
      </w:pPr>
      <w:bookmarkStart w:id="510" w:name="_Toc144974575"/>
      <w:bookmarkStart w:id="511" w:name="_Toc15850"/>
      <w:bookmarkStart w:id="512" w:name="_Toc247085765"/>
      <w:bookmarkStart w:id="513" w:name="_Toc77586866"/>
      <w:bookmarkStart w:id="514" w:name="_Toc152042385"/>
      <w:bookmarkStart w:id="515" w:name="_Toc77586960"/>
      <w:bookmarkStart w:id="516" w:name="_Toc246996993"/>
      <w:bookmarkStart w:id="517" w:name="_Toc179632625"/>
      <w:bookmarkStart w:id="518" w:name="_Toc246996250"/>
      <w:bookmarkStart w:id="519" w:name="_Toc296602495"/>
      <w:bookmarkStart w:id="520" w:name="_Toc152045607"/>
      <w:r>
        <w:rPr>
          <w:rFonts w:hint="eastAsia" w:ascii="宋体" w:hAnsi="宋体" w:cs="宋体"/>
          <w:b/>
          <w:bCs/>
          <w:color w:val="auto"/>
          <w:kern w:val="0"/>
          <w:sz w:val="24"/>
          <w:szCs w:val="24"/>
          <w:highlight w:val="none"/>
        </w:rPr>
        <w:t>3.3 磋商响应文件的澄清</w:t>
      </w:r>
      <w:bookmarkEnd w:id="510"/>
      <w:r>
        <w:rPr>
          <w:rFonts w:hint="eastAsia" w:ascii="宋体" w:hAnsi="宋体" w:cs="宋体"/>
          <w:b/>
          <w:bCs/>
          <w:color w:val="auto"/>
          <w:kern w:val="0"/>
          <w:sz w:val="24"/>
          <w:szCs w:val="24"/>
          <w:highlight w:val="none"/>
        </w:rPr>
        <w:t>和补正</w:t>
      </w:r>
      <w:bookmarkEnd w:id="511"/>
      <w:bookmarkEnd w:id="512"/>
      <w:bookmarkEnd w:id="513"/>
      <w:bookmarkEnd w:id="514"/>
      <w:bookmarkEnd w:id="515"/>
      <w:bookmarkEnd w:id="516"/>
      <w:bookmarkEnd w:id="517"/>
      <w:bookmarkEnd w:id="518"/>
      <w:bookmarkEnd w:id="519"/>
      <w:bookmarkEnd w:id="520"/>
    </w:p>
    <w:p w14:paraId="0DD23470">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3.3.1在评标过程中，磋商小组可以书面形式要求投标人对所提交磋商响应文件中不明确的内容进行书面澄清或说明，或者对细微偏差进行补正。磋商小组不接受投标人主动提出的澄清、说明或补正。</w:t>
      </w:r>
    </w:p>
    <w:p w14:paraId="222D7726">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 澄清、说明和补正不得改变磋商响应文件的实质性内容。投标人的书面澄清、说明和补正属于磋商响应文件的组成部分。</w:t>
      </w:r>
    </w:p>
    <w:p w14:paraId="55109F54">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 磋商小组对投标人提交的澄清、说明或补正有疑问的，可以要求投标人进一步澄清、说明或补正，直至满足磋商小组的要求。</w:t>
      </w:r>
    </w:p>
    <w:p w14:paraId="2D9D0EA1">
      <w:pPr>
        <w:keepNext/>
        <w:keepLines/>
        <w:spacing w:line="480" w:lineRule="exact"/>
        <w:ind w:firstLine="480"/>
        <w:outlineLvl w:val="2"/>
        <w:rPr>
          <w:rFonts w:hint="eastAsia" w:ascii="宋体" w:hAnsi="宋体" w:cs="宋体"/>
          <w:b/>
          <w:bCs/>
          <w:color w:val="auto"/>
          <w:kern w:val="0"/>
          <w:sz w:val="24"/>
          <w:szCs w:val="24"/>
          <w:highlight w:val="none"/>
        </w:rPr>
      </w:pPr>
      <w:bookmarkStart w:id="521" w:name="_Toc2712"/>
      <w:bookmarkStart w:id="522" w:name="_Toc144974576"/>
      <w:bookmarkStart w:id="523" w:name="_Toc296602496"/>
      <w:bookmarkStart w:id="524" w:name="_Toc77586867"/>
      <w:bookmarkStart w:id="525" w:name="_Toc77586961"/>
      <w:bookmarkStart w:id="526" w:name="_Toc246996994"/>
      <w:bookmarkStart w:id="527" w:name="_Toc152045608"/>
      <w:bookmarkStart w:id="528" w:name="_Toc246996251"/>
      <w:bookmarkStart w:id="529" w:name="_Toc152042386"/>
      <w:bookmarkStart w:id="530" w:name="_Toc247085766"/>
      <w:bookmarkStart w:id="531" w:name="_Toc179632626"/>
      <w:r>
        <w:rPr>
          <w:rFonts w:hint="eastAsia" w:ascii="宋体" w:hAnsi="宋体" w:cs="宋体"/>
          <w:b/>
          <w:bCs/>
          <w:color w:val="auto"/>
          <w:kern w:val="0"/>
          <w:sz w:val="24"/>
          <w:szCs w:val="24"/>
          <w:highlight w:val="none"/>
        </w:rPr>
        <w:t>3.4 评标结果</w:t>
      </w:r>
      <w:bookmarkEnd w:id="521"/>
      <w:bookmarkEnd w:id="522"/>
      <w:bookmarkEnd w:id="523"/>
      <w:bookmarkEnd w:id="524"/>
      <w:bookmarkEnd w:id="525"/>
      <w:bookmarkEnd w:id="526"/>
      <w:bookmarkEnd w:id="527"/>
      <w:bookmarkEnd w:id="528"/>
      <w:bookmarkEnd w:id="529"/>
      <w:bookmarkEnd w:id="530"/>
      <w:bookmarkEnd w:id="531"/>
    </w:p>
    <w:p w14:paraId="672B148B">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3.4.1磋商小组按照得分由高到低的顺序推荐成交候选人。</w:t>
      </w:r>
    </w:p>
    <w:p w14:paraId="67DCCC45">
      <w:pPr>
        <w:spacing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3.4.2 磋商小组完成评标后，应当向招标人提交书面评标报告。</w:t>
      </w:r>
    </w:p>
    <w:p w14:paraId="7B584D2D">
      <w:pPr>
        <w:pStyle w:val="14"/>
        <w:spacing w:line="600" w:lineRule="exact"/>
        <w:ind w:left="9860" w:leftChars="60" w:hanging="9734" w:hangingChars="2424"/>
        <w:jc w:val="center"/>
        <w:outlineLvl w:val="0"/>
        <w:rPr>
          <w:rFonts w:hint="eastAsia" w:ascii="宋体" w:hAnsi="宋体" w:cs="宋体"/>
          <w:b/>
          <w:bCs/>
          <w:color w:val="auto"/>
          <w:sz w:val="32"/>
          <w:szCs w:val="32"/>
          <w:highlight w:val="none"/>
        </w:rPr>
      </w:pPr>
      <w:r>
        <w:rPr>
          <w:rFonts w:hint="eastAsia" w:ascii="宋体" w:hAnsi="宋体" w:cs="宋体"/>
          <w:b/>
          <w:color w:val="auto"/>
          <w:sz w:val="40"/>
          <w:szCs w:val="40"/>
          <w:highlight w:val="none"/>
        </w:rPr>
        <w:br w:type="page"/>
      </w:r>
      <w:bookmarkStart w:id="532" w:name="_Toc5870"/>
      <w:r>
        <w:rPr>
          <w:rFonts w:hint="eastAsia" w:ascii="宋体" w:hAnsi="宋体" w:cs="宋体"/>
          <w:b/>
          <w:bCs/>
          <w:color w:val="auto"/>
          <w:sz w:val="32"/>
          <w:szCs w:val="32"/>
          <w:highlight w:val="none"/>
        </w:rPr>
        <w:t>第四章 合同条款及格式</w:t>
      </w:r>
      <w:bookmarkEnd w:id="532"/>
    </w:p>
    <w:p w14:paraId="2F61F1C9">
      <w:pPr>
        <w:widowControl/>
        <w:autoSpaceDE w:val="0"/>
        <w:autoSpaceDN w:val="0"/>
        <w:adjustRightInd w:val="0"/>
        <w:snapToGrid w:val="0"/>
        <w:spacing w:after="200"/>
        <w:ind w:firstLine="482"/>
        <w:jc w:val="center"/>
        <w:rPr>
          <w:rFonts w:hint="eastAsia" w:ascii="宋体" w:hAnsi="宋体"/>
          <w:bCs/>
          <w:color w:val="auto"/>
          <w:sz w:val="32"/>
          <w:szCs w:val="32"/>
          <w:highlight w:val="none"/>
        </w:rPr>
      </w:pPr>
      <w:r>
        <w:rPr>
          <w:rFonts w:hint="eastAsia" w:ascii="宋体" w:hAnsi="宋体" w:cs="Calibri"/>
          <w:color w:val="auto"/>
          <w:kern w:val="0"/>
          <w:sz w:val="24"/>
          <w:highlight w:val="none"/>
        </w:rPr>
        <w:t>此合同仅供参考。以最终招标人与成交人签定的合同草案为准进行公示</w:t>
      </w:r>
    </w:p>
    <w:p w14:paraId="48DF7117">
      <w:pPr>
        <w:keepNext/>
        <w:keepLines/>
        <w:spacing w:line="400" w:lineRule="exact"/>
        <w:ind w:firstLine="643"/>
        <w:jc w:val="center"/>
        <w:outlineLvl w:val="2"/>
        <w:rPr>
          <w:rFonts w:hint="eastAsia" w:ascii="宋体" w:hAnsi="宋体"/>
          <w:bCs/>
          <w:color w:val="auto"/>
          <w:sz w:val="32"/>
          <w:szCs w:val="32"/>
          <w:highlight w:val="none"/>
        </w:rPr>
      </w:pPr>
      <w:bookmarkStart w:id="533" w:name="_Toc12861"/>
      <w:r>
        <w:rPr>
          <w:rFonts w:hint="eastAsia" w:ascii="宋体" w:hAnsi="宋体"/>
          <w:bCs/>
          <w:color w:val="auto"/>
          <w:sz w:val="32"/>
          <w:szCs w:val="32"/>
          <w:highlight w:val="none"/>
        </w:rPr>
        <w:t>第一部分、合同协议书</w:t>
      </w:r>
      <w:bookmarkEnd w:id="533"/>
    </w:p>
    <w:p w14:paraId="1996EA8B">
      <w:pPr>
        <w:spacing w:line="400" w:lineRule="exact"/>
        <w:ind w:firstLine="482"/>
        <w:rPr>
          <w:rFonts w:hint="eastAsia" w:ascii="宋体" w:hAnsi="宋体"/>
          <w:color w:val="auto"/>
          <w:sz w:val="24"/>
          <w:szCs w:val="24"/>
          <w:highlight w:val="none"/>
          <w:u w:val="single"/>
        </w:rPr>
      </w:pPr>
      <w:r>
        <w:rPr>
          <w:rFonts w:hint="eastAsia" w:ascii="宋体" w:hAnsi="宋体"/>
          <w:color w:val="auto"/>
          <w:sz w:val="24"/>
          <w:szCs w:val="24"/>
          <w:highlight w:val="none"/>
        </w:rPr>
        <w:t>发包人（全称）：</w:t>
      </w:r>
      <w:r>
        <w:rPr>
          <w:rFonts w:hint="eastAsia" w:ascii="宋体" w:hAnsi="宋体"/>
          <w:color w:val="auto"/>
          <w:sz w:val="24"/>
          <w:szCs w:val="24"/>
          <w:highlight w:val="none"/>
          <w:u w:val="single"/>
        </w:rPr>
        <w:t xml:space="preserve">         </w:t>
      </w:r>
    </w:p>
    <w:p w14:paraId="6B723BCB">
      <w:pPr>
        <w:spacing w:line="400" w:lineRule="exact"/>
        <w:ind w:firstLine="482"/>
        <w:rPr>
          <w:rFonts w:hint="eastAsia" w:ascii="宋体" w:hAnsi="宋体"/>
          <w:color w:val="auto"/>
          <w:sz w:val="24"/>
          <w:szCs w:val="24"/>
          <w:highlight w:val="none"/>
          <w:u w:val="single"/>
        </w:rPr>
      </w:pPr>
      <w:r>
        <w:rPr>
          <w:rFonts w:hint="eastAsia" w:ascii="宋体" w:hAnsi="宋体"/>
          <w:color w:val="auto"/>
          <w:sz w:val="24"/>
          <w:szCs w:val="24"/>
          <w:highlight w:val="none"/>
        </w:rPr>
        <w:t>承包人（全称）：</w:t>
      </w:r>
      <w:r>
        <w:rPr>
          <w:rFonts w:hint="eastAsia" w:ascii="宋体" w:hAnsi="宋体"/>
          <w:color w:val="auto"/>
          <w:sz w:val="24"/>
          <w:szCs w:val="24"/>
          <w:highlight w:val="none"/>
          <w:u w:val="single"/>
        </w:rPr>
        <w:t xml:space="preserve">     </w:t>
      </w:r>
    </w:p>
    <w:p w14:paraId="4D99E73F">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根据《中华人民共和国民法典》、《中华人民共和国建筑法》及有关法律规定，遵循平等、自愿、公平和诚实信用的原则，双方就</w:t>
      </w:r>
    </w:p>
    <w:p w14:paraId="054D0984">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工程施工及有关事项协商一致，共同达成如下协议：</w:t>
      </w:r>
    </w:p>
    <w:p w14:paraId="0B4AA58D">
      <w:pPr>
        <w:keepNext/>
        <w:keepLines/>
        <w:spacing w:line="400" w:lineRule="exact"/>
        <w:ind w:firstLine="482"/>
        <w:outlineLvl w:val="3"/>
        <w:rPr>
          <w:rFonts w:hint="eastAsia" w:ascii="宋体" w:hAnsi="宋体"/>
          <w:color w:val="auto"/>
          <w:sz w:val="24"/>
          <w:szCs w:val="24"/>
          <w:highlight w:val="none"/>
        </w:rPr>
      </w:pPr>
      <w:bookmarkStart w:id="534" w:name="_Toc351203481"/>
      <w:r>
        <w:rPr>
          <w:rFonts w:hint="eastAsia" w:ascii="宋体" w:hAnsi="宋体"/>
          <w:bCs/>
          <w:color w:val="auto"/>
          <w:sz w:val="24"/>
          <w:szCs w:val="24"/>
          <w:highlight w:val="none"/>
        </w:rPr>
        <w:t>一、工程概况</w:t>
      </w:r>
      <w:bookmarkEnd w:id="534"/>
    </w:p>
    <w:p w14:paraId="72AEB643">
      <w:pPr>
        <w:spacing w:line="400" w:lineRule="exact"/>
        <w:ind w:firstLine="470" w:firstLineChars="196"/>
        <w:rPr>
          <w:rFonts w:hint="eastAsia" w:ascii="宋体" w:hAnsi="宋体"/>
          <w:color w:val="auto"/>
          <w:sz w:val="24"/>
          <w:szCs w:val="24"/>
          <w:highlight w:val="none"/>
          <w:u w:val="single"/>
        </w:rPr>
      </w:pPr>
      <w:r>
        <w:rPr>
          <w:rFonts w:hint="eastAsia" w:ascii="宋体" w:hAnsi="宋体"/>
          <w:bCs/>
          <w:color w:val="auto"/>
          <w:sz w:val="24"/>
          <w:szCs w:val="24"/>
          <w:highlight w:val="none"/>
        </w:rPr>
        <w:t>1.工程名称</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00C02ED">
      <w:pPr>
        <w:spacing w:line="400" w:lineRule="exact"/>
        <w:ind w:firstLine="470" w:firstLineChars="196"/>
        <w:rPr>
          <w:rFonts w:hint="eastAsia" w:ascii="宋体" w:hAnsi="宋体"/>
          <w:bCs/>
          <w:color w:val="auto"/>
          <w:sz w:val="24"/>
          <w:szCs w:val="24"/>
          <w:highlight w:val="none"/>
        </w:rPr>
      </w:pPr>
      <w:r>
        <w:rPr>
          <w:rFonts w:hint="eastAsia" w:ascii="宋体" w:hAnsi="宋体"/>
          <w:bCs/>
          <w:color w:val="auto"/>
          <w:sz w:val="24"/>
          <w:szCs w:val="24"/>
          <w:highlight w:val="none"/>
        </w:rPr>
        <w:t>2.工程地点：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86981F9">
      <w:pPr>
        <w:spacing w:line="400" w:lineRule="exact"/>
        <w:ind w:firstLine="470" w:firstLineChars="196"/>
        <w:rPr>
          <w:rFonts w:hint="eastAsia" w:ascii="宋体" w:hAnsi="宋体"/>
          <w:bCs/>
          <w:color w:val="auto"/>
          <w:sz w:val="24"/>
          <w:szCs w:val="24"/>
          <w:highlight w:val="none"/>
        </w:rPr>
      </w:pPr>
      <w:r>
        <w:rPr>
          <w:rFonts w:hint="eastAsia" w:ascii="宋体" w:hAnsi="宋体"/>
          <w:bCs/>
          <w:color w:val="auto"/>
          <w:sz w:val="24"/>
          <w:szCs w:val="24"/>
          <w:highlight w:val="none"/>
        </w:rPr>
        <w:t>3.工程立项批准文号：</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w:t>
      </w:r>
    </w:p>
    <w:p w14:paraId="1D08B167">
      <w:pPr>
        <w:spacing w:line="400" w:lineRule="exact"/>
        <w:ind w:firstLine="470" w:firstLineChars="196"/>
        <w:rPr>
          <w:rFonts w:hint="eastAsia" w:ascii="宋体" w:hAnsi="宋体"/>
          <w:bCs/>
          <w:color w:val="auto"/>
          <w:sz w:val="24"/>
          <w:szCs w:val="24"/>
          <w:highlight w:val="none"/>
        </w:rPr>
      </w:pPr>
      <w:r>
        <w:rPr>
          <w:rFonts w:hint="eastAsia" w:ascii="宋体" w:hAnsi="宋体"/>
          <w:bCs/>
          <w:color w:val="auto"/>
          <w:sz w:val="24"/>
          <w:szCs w:val="24"/>
          <w:highlight w:val="none"/>
        </w:rPr>
        <w:t>4.资金来源：</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w:t>
      </w:r>
    </w:p>
    <w:p w14:paraId="0F625583">
      <w:pPr>
        <w:spacing w:line="400" w:lineRule="exact"/>
        <w:ind w:firstLine="470" w:firstLineChars="196"/>
        <w:rPr>
          <w:rFonts w:hint="eastAsia" w:ascii="宋体" w:hAnsi="宋体"/>
          <w:bCs/>
          <w:color w:val="auto"/>
          <w:sz w:val="24"/>
          <w:szCs w:val="24"/>
          <w:highlight w:val="none"/>
        </w:rPr>
      </w:pPr>
      <w:r>
        <w:rPr>
          <w:rFonts w:hint="eastAsia" w:ascii="宋体" w:hAnsi="宋体"/>
          <w:bCs/>
          <w:color w:val="auto"/>
          <w:sz w:val="24"/>
          <w:szCs w:val="24"/>
          <w:highlight w:val="none"/>
        </w:rPr>
        <w:t>5.工程内容：</w:t>
      </w:r>
      <w:r>
        <w:rPr>
          <w:rFonts w:hint="eastAsia" w:ascii="宋体" w:hAnsi="宋体"/>
          <w:color w:val="auto"/>
          <w:sz w:val="24"/>
          <w:szCs w:val="24"/>
          <w:highlight w:val="none"/>
          <w:u w:val="single"/>
        </w:rPr>
        <w:t xml:space="preserve"> </w:t>
      </w:r>
      <w:r>
        <w:rPr>
          <w:rFonts w:hint="eastAsia" w:ascii="宋体" w:hAnsi="宋体"/>
          <w:bCs/>
          <w:color w:val="auto"/>
          <w:sz w:val="24"/>
          <w:szCs w:val="24"/>
          <w:highlight w:val="none"/>
        </w:rPr>
        <w:t>。</w:t>
      </w:r>
    </w:p>
    <w:p w14:paraId="7C7C8A58">
      <w:pPr>
        <w:spacing w:line="400" w:lineRule="exact"/>
        <w:ind w:firstLine="470" w:firstLineChars="196"/>
        <w:rPr>
          <w:rFonts w:hint="eastAsia" w:ascii="宋体" w:hAnsi="宋体"/>
          <w:bCs/>
          <w:color w:val="auto"/>
          <w:sz w:val="24"/>
          <w:szCs w:val="24"/>
          <w:highlight w:val="none"/>
        </w:rPr>
      </w:pPr>
      <w:r>
        <w:rPr>
          <w:rFonts w:hint="eastAsia" w:ascii="宋体" w:hAnsi="宋体"/>
          <w:color w:val="auto"/>
          <w:sz w:val="24"/>
          <w:szCs w:val="24"/>
          <w:highlight w:val="none"/>
        </w:rPr>
        <w:t>群体工程应附《承包人承揽工程项目一览表》（附件1）。</w:t>
      </w:r>
    </w:p>
    <w:p w14:paraId="3AECC32E">
      <w:pPr>
        <w:spacing w:line="400" w:lineRule="exact"/>
        <w:ind w:firstLine="470" w:firstLineChars="196"/>
        <w:rPr>
          <w:rFonts w:hint="eastAsia" w:ascii="宋体" w:hAnsi="宋体"/>
          <w:color w:val="auto"/>
          <w:sz w:val="24"/>
          <w:szCs w:val="24"/>
          <w:highlight w:val="none"/>
        </w:rPr>
      </w:pPr>
      <w:r>
        <w:rPr>
          <w:rFonts w:hint="eastAsia" w:ascii="宋体" w:hAnsi="宋体"/>
          <w:bCs/>
          <w:color w:val="auto"/>
          <w:sz w:val="24"/>
          <w:szCs w:val="24"/>
          <w:highlight w:val="none"/>
        </w:rPr>
        <w:t>6.工程承包范围：</w:t>
      </w:r>
      <w:r>
        <w:rPr>
          <w:rFonts w:hint="eastAsia" w:ascii="宋体" w:hAnsi="宋体"/>
          <w:color w:val="auto"/>
          <w:sz w:val="24"/>
          <w:szCs w:val="24"/>
          <w:highlight w:val="none"/>
        </w:rPr>
        <w:t>。</w:t>
      </w:r>
    </w:p>
    <w:p w14:paraId="7B8E53D7">
      <w:pPr>
        <w:keepNext/>
        <w:keepLines/>
        <w:spacing w:line="400" w:lineRule="exact"/>
        <w:ind w:firstLine="482"/>
        <w:outlineLvl w:val="3"/>
        <w:rPr>
          <w:rFonts w:hint="eastAsia" w:ascii="宋体" w:hAnsi="宋体"/>
          <w:bCs/>
          <w:color w:val="auto"/>
          <w:sz w:val="24"/>
          <w:szCs w:val="24"/>
          <w:highlight w:val="none"/>
        </w:rPr>
      </w:pPr>
      <w:bookmarkStart w:id="535" w:name="_Toc351203482"/>
      <w:r>
        <w:rPr>
          <w:rFonts w:hint="eastAsia" w:ascii="宋体" w:hAnsi="宋体"/>
          <w:bCs/>
          <w:color w:val="auto"/>
          <w:sz w:val="24"/>
          <w:szCs w:val="24"/>
          <w:highlight w:val="none"/>
        </w:rPr>
        <w:t>二、合同工期</w:t>
      </w:r>
      <w:bookmarkEnd w:id="535"/>
    </w:p>
    <w:p w14:paraId="796642B7">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计划开工日期：年月日。</w:t>
      </w:r>
    </w:p>
    <w:p w14:paraId="2C74F6D4">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计划竣工日期：年月日。</w:t>
      </w:r>
    </w:p>
    <w:p w14:paraId="5F4E6D3A">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工期总日历天数：天。工期总日历天数与根据前述计划开竣工日期计算的工期天数不一致的，以工期总日历天数为准。</w:t>
      </w:r>
    </w:p>
    <w:p w14:paraId="50D02904">
      <w:pPr>
        <w:keepNext/>
        <w:keepLines/>
        <w:spacing w:line="400" w:lineRule="exact"/>
        <w:ind w:firstLine="482"/>
        <w:outlineLvl w:val="3"/>
        <w:rPr>
          <w:rFonts w:hint="eastAsia" w:ascii="宋体" w:hAnsi="宋体"/>
          <w:color w:val="auto"/>
          <w:sz w:val="24"/>
          <w:szCs w:val="24"/>
          <w:highlight w:val="none"/>
        </w:rPr>
      </w:pPr>
      <w:bookmarkStart w:id="536" w:name="_Toc351203483"/>
      <w:r>
        <w:rPr>
          <w:rFonts w:hint="eastAsia" w:ascii="宋体" w:hAnsi="宋体"/>
          <w:bCs/>
          <w:color w:val="auto"/>
          <w:sz w:val="24"/>
          <w:szCs w:val="24"/>
          <w:highlight w:val="none"/>
        </w:rPr>
        <w:t>三、质量标准</w:t>
      </w:r>
      <w:bookmarkEnd w:id="536"/>
    </w:p>
    <w:p w14:paraId="77552990">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工程质量符合标准。</w:t>
      </w:r>
    </w:p>
    <w:p w14:paraId="7E217A13">
      <w:pPr>
        <w:keepNext/>
        <w:keepLines/>
        <w:spacing w:line="400" w:lineRule="exact"/>
        <w:ind w:firstLine="482"/>
        <w:outlineLvl w:val="3"/>
        <w:rPr>
          <w:rFonts w:hint="eastAsia" w:ascii="宋体" w:hAnsi="宋体"/>
          <w:color w:val="auto"/>
          <w:sz w:val="24"/>
          <w:szCs w:val="24"/>
          <w:highlight w:val="none"/>
        </w:rPr>
      </w:pPr>
      <w:bookmarkStart w:id="537" w:name="_Toc351203484"/>
      <w:r>
        <w:rPr>
          <w:rFonts w:hint="eastAsia" w:ascii="宋体" w:hAnsi="宋体"/>
          <w:bCs/>
          <w:color w:val="auto"/>
          <w:sz w:val="24"/>
          <w:szCs w:val="24"/>
          <w:highlight w:val="none"/>
        </w:rPr>
        <w:t>四、签约合同价与合同价格形式</w:t>
      </w:r>
      <w:bookmarkEnd w:id="537"/>
      <w:r>
        <w:rPr>
          <w:rFonts w:hint="eastAsia" w:ascii="宋体" w:hAnsi="宋体"/>
          <w:bCs/>
          <w:color w:val="auto"/>
          <w:sz w:val="24"/>
          <w:szCs w:val="24"/>
          <w:highlight w:val="none"/>
        </w:rPr>
        <w:tab/>
      </w:r>
    </w:p>
    <w:p w14:paraId="3421F19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1.签约合同价为：</w:t>
      </w:r>
    </w:p>
    <w:p w14:paraId="2863CE71">
      <w:pPr>
        <w:spacing w:line="400" w:lineRule="exact"/>
        <w:ind w:firstLine="600" w:firstLineChars="250"/>
        <w:rPr>
          <w:rFonts w:hint="eastAsia" w:ascii="宋体" w:hAnsi="宋体"/>
          <w:color w:val="auto"/>
          <w:sz w:val="24"/>
          <w:szCs w:val="24"/>
          <w:highlight w:val="none"/>
        </w:rPr>
      </w:pPr>
      <w:r>
        <w:rPr>
          <w:rFonts w:hint="eastAsia" w:ascii="宋体" w:hAnsi="宋体"/>
          <w:color w:val="auto"/>
          <w:sz w:val="24"/>
          <w:szCs w:val="24"/>
          <w:highlight w:val="none"/>
        </w:rPr>
        <w:t>人民币（大写）(¥元)；</w:t>
      </w:r>
    </w:p>
    <w:p w14:paraId="56B109AF">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其中：</w:t>
      </w:r>
    </w:p>
    <w:p w14:paraId="728D89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（1）安全文明施工费：</w:t>
      </w:r>
    </w:p>
    <w:p w14:paraId="161233A9">
      <w:pPr>
        <w:spacing w:line="400" w:lineRule="exact"/>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人民币（大写） (¥元)；</w:t>
      </w:r>
    </w:p>
    <w:p w14:paraId="520C2F2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（2）材料和工程设备暂估价金额：</w:t>
      </w:r>
    </w:p>
    <w:p w14:paraId="5DE3FE78">
      <w:pPr>
        <w:spacing w:line="400" w:lineRule="exact"/>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人民币（大写） (¥元)；</w:t>
      </w:r>
    </w:p>
    <w:p w14:paraId="235D81C5">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（3）专业工程暂估价金额：</w:t>
      </w:r>
    </w:p>
    <w:p w14:paraId="2037B154">
      <w:pPr>
        <w:spacing w:line="400" w:lineRule="exact"/>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人民币（大写） (¥元)；</w:t>
      </w:r>
    </w:p>
    <w:p w14:paraId="63D58056">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（4）暂列金额：</w:t>
      </w:r>
    </w:p>
    <w:p w14:paraId="2CDC38D9">
      <w:pPr>
        <w:spacing w:line="400" w:lineRule="exact"/>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人民币（大写） (¥元)。</w:t>
      </w:r>
    </w:p>
    <w:p w14:paraId="6597B727">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2.合同价格形式：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3121152">
      <w:pPr>
        <w:keepNext/>
        <w:keepLines/>
        <w:spacing w:line="400" w:lineRule="exact"/>
        <w:ind w:firstLine="482"/>
        <w:outlineLvl w:val="3"/>
        <w:rPr>
          <w:rFonts w:hint="eastAsia" w:ascii="宋体" w:hAnsi="宋体"/>
          <w:bCs/>
          <w:color w:val="auto"/>
          <w:sz w:val="24"/>
          <w:szCs w:val="24"/>
          <w:highlight w:val="none"/>
        </w:rPr>
      </w:pPr>
      <w:bookmarkStart w:id="538" w:name="_Toc351203485"/>
      <w:r>
        <w:rPr>
          <w:rFonts w:hint="eastAsia" w:ascii="宋体" w:hAnsi="宋体"/>
          <w:bCs/>
          <w:color w:val="auto"/>
          <w:sz w:val="24"/>
          <w:szCs w:val="24"/>
          <w:highlight w:val="none"/>
        </w:rPr>
        <w:t>五、</w:t>
      </w:r>
      <w:bookmarkEnd w:id="538"/>
      <w:r>
        <w:rPr>
          <w:rFonts w:hint="eastAsia" w:ascii="宋体" w:hAnsi="宋体"/>
          <w:bCs/>
          <w:color w:val="auto"/>
          <w:sz w:val="24"/>
          <w:szCs w:val="24"/>
          <w:highlight w:val="none"/>
        </w:rPr>
        <w:t>项目经理</w:t>
      </w:r>
    </w:p>
    <w:p w14:paraId="0E2F35D9">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承包人项目经理：。</w:t>
      </w:r>
    </w:p>
    <w:p w14:paraId="62B7AFF6">
      <w:pPr>
        <w:keepNext/>
        <w:keepLines/>
        <w:spacing w:line="400" w:lineRule="exact"/>
        <w:ind w:firstLine="482"/>
        <w:outlineLvl w:val="3"/>
        <w:rPr>
          <w:rFonts w:hint="eastAsia" w:ascii="宋体" w:hAnsi="宋体"/>
          <w:color w:val="auto"/>
          <w:sz w:val="24"/>
          <w:szCs w:val="24"/>
          <w:highlight w:val="none"/>
        </w:rPr>
      </w:pPr>
      <w:bookmarkStart w:id="539" w:name="_Toc351203486"/>
      <w:r>
        <w:rPr>
          <w:rFonts w:hint="eastAsia" w:ascii="宋体" w:hAnsi="宋体"/>
          <w:bCs/>
          <w:color w:val="auto"/>
          <w:sz w:val="24"/>
          <w:szCs w:val="24"/>
          <w:highlight w:val="none"/>
        </w:rPr>
        <w:t>六、合同文件构成</w:t>
      </w:r>
      <w:bookmarkEnd w:id="539"/>
    </w:p>
    <w:p w14:paraId="605FB056">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本协议书与下列文件一起构成合同文件：</w:t>
      </w:r>
    </w:p>
    <w:p w14:paraId="0F0408C0">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（1）中标通知书（如果有）；</w:t>
      </w:r>
    </w:p>
    <w:p w14:paraId="42DE8319">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 xml:space="preserve">（2）投标函及其附录（如果有）； </w:t>
      </w:r>
    </w:p>
    <w:p w14:paraId="34FE6AE4">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（3）专用合同草案及其附件；</w:t>
      </w:r>
    </w:p>
    <w:p w14:paraId="0FF12059">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（4）通用合同草案；</w:t>
      </w:r>
    </w:p>
    <w:p w14:paraId="44815AC4">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（5）技术标准和要求；</w:t>
      </w:r>
    </w:p>
    <w:p w14:paraId="265A1324">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（6）图纸；</w:t>
      </w:r>
    </w:p>
    <w:p w14:paraId="29140BDE">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（7）已标价工程量清单或预算书；</w:t>
      </w:r>
    </w:p>
    <w:p w14:paraId="1A1FD564">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（8）其他合同文件。</w:t>
      </w:r>
    </w:p>
    <w:p w14:paraId="495870FA">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在合同订立及履行过程中形成的与合同有关的文件均构成合同文件组成部分。</w:t>
      </w:r>
    </w:p>
    <w:p w14:paraId="3B5FBE85">
      <w:pPr>
        <w:autoSpaceDE w:val="0"/>
        <w:autoSpaceDN w:val="0"/>
        <w:adjustRightInd w:val="0"/>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上述各项合同文件包括合同当事人就该项合同文件所作出的补充和修改，属于同一类内容的文件，应以最新签署的为准。专用合同草案及其附件须经合同当事人电子签章。</w:t>
      </w:r>
    </w:p>
    <w:p w14:paraId="7D70C290">
      <w:pPr>
        <w:keepNext/>
        <w:keepLines/>
        <w:spacing w:line="400" w:lineRule="exact"/>
        <w:ind w:firstLine="482"/>
        <w:outlineLvl w:val="3"/>
        <w:rPr>
          <w:rFonts w:hint="eastAsia" w:ascii="宋体" w:hAnsi="宋体"/>
          <w:color w:val="auto"/>
          <w:sz w:val="24"/>
          <w:szCs w:val="24"/>
          <w:highlight w:val="none"/>
        </w:rPr>
      </w:pPr>
      <w:bookmarkStart w:id="540" w:name="_Toc351203487"/>
      <w:r>
        <w:rPr>
          <w:rFonts w:hint="eastAsia" w:ascii="宋体" w:hAnsi="宋体"/>
          <w:bCs/>
          <w:color w:val="auto"/>
          <w:sz w:val="24"/>
          <w:szCs w:val="24"/>
          <w:highlight w:val="none"/>
        </w:rPr>
        <w:t>七、承诺</w:t>
      </w:r>
      <w:bookmarkEnd w:id="540"/>
    </w:p>
    <w:p w14:paraId="34D06362">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1.发包人承诺按照法律规定履行项目审批手续、筹集工程建设资金并按照合同约定的期限和方式支付合同价款。</w:t>
      </w:r>
    </w:p>
    <w:p w14:paraId="1D9D2651">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14:paraId="2C2C9DFA">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3.发包人和承包人通过招投标形式签订合同的，双方理解并承诺不再就同一工程另行签订与合同实质性内容相背离的协议。</w:t>
      </w:r>
    </w:p>
    <w:p w14:paraId="69391796">
      <w:pPr>
        <w:spacing w:line="400" w:lineRule="exact"/>
        <w:ind w:firstLine="482"/>
        <w:rPr>
          <w:rFonts w:hint="eastAsia" w:ascii="宋体" w:hAnsi="宋体"/>
          <w:bCs/>
          <w:color w:val="auto"/>
          <w:sz w:val="24"/>
          <w:szCs w:val="24"/>
          <w:highlight w:val="none"/>
        </w:rPr>
      </w:pPr>
      <w:bookmarkStart w:id="541" w:name="_Toc351203488"/>
      <w:r>
        <w:rPr>
          <w:rFonts w:hint="eastAsia" w:ascii="宋体" w:hAnsi="宋体"/>
          <w:color w:val="auto"/>
          <w:sz w:val="24"/>
          <w:szCs w:val="24"/>
          <w:highlight w:val="none"/>
        </w:rPr>
        <w:t>八、词语含义</w:t>
      </w:r>
      <w:bookmarkEnd w:id="541"/>
    </w:p>
    <w:p w14:paraId="35705C93">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本协议书中词语含义与第二部分通用合同草案中赋予的含义相同。</w:t>
      </w:r>
    </w:p>
    <w:p w14:paraId="50DA62BD">
      <w:pPr>
        <w:keepNext/>
        <w:keepLines/>
        <w:spacing w:line="400" w:lineRule="exact"/>
        <w:ind w:firstLine="482"/>
        <w:outlineLvl w:val="3"/>
        <w:rPr>
          <w:rFonts w:hint="eastAsia" w:ascii="宋体" w:hAnsi="宋体"/>
          <w:color w:val="auto"/>
          <w:sz w:val="24"/>
          <w:szCs w:val="24"/>
          <w:highlight w:val="none"/>
        </w:rPr>
      </w:pPr>
      <w:bookmarkStart w:id="542" w:name="_Toc351203489"/>
      <w:r>
        <w:rPr>
          <w:rFonts w:hint="eastAsia" w:ascii="宋体" w:hAnsi="宋体"/>
          <w:bCs/>
          <w:color w:val="auto"/>
          <w:sz w:val="24"/>
          <w:szCs w:val="24"/>
          <w:highlight w:val="none"/>
        </w:rPr>
        <w:t>九、签订时间</w:t>
      </w:r>
      <w:bookmarkEnd w:id="542"/>
    </w:p>
    <w:p w14:paraId="4629DC87">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本合同于年月日签订。</w:t>
      </w:r>
    </w:p>
    <w:p w14:paraId="4375EA3A">
      <w:pPr>
        <w:keepNext/>
        <w:keepLines/>
        <w:spacing w:line="400" w:lineRule="exact"/>
        <w:ind w:firstLine="482"/>
        <w:outlineLvl w:val="3"/>
        <w:rPr>
          <w:rFonts w:hint="eastAsia" w:ascii="宋体" w:hAnsi="宋体"/>
          <w:color w:val="auto"/>
          <w:sz w:val="24"/>
          <w:szCs w:val="24"/>
          <w:highlight w:val="none"/>
        </w:rPr>
      </w:pPr>
      <w:bookmarkStart w:id="543" w:name="_Toc351203490"/>
      <w:r>
        <w:rPr>
          <w:rFonts w:hint="eastAsia" w:ascii="宋体" w:hAnsi="宋体"/>
          <w:bCs/>
          <w:color w:val="auto"/>
          <w:sz w:val="24"/>
          <w:szCs w:val="24"/>
          <w:highlight w:val="none"/>
        </w:rPr>
        <w:t>十、签订地点</w:t>
      </w:r>
      <w:bookmarkEnd w:id="543"/>
    </w:p>
    <w:p w14:paraId="6D2B0B56">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本合同在签订。</w:t>
      </w:r>
    </w:p>
    <w:p w14:paraId="2E13801F">
      <w:pPr>
        <w:keepNext/>
        <w:keepLines/>
        <w:spacing w:line="400" w:lineRule="exact"/>
        <w:ind w:firstLine="482"/>
        <w:outlineLvl w:val="3"/>
        <w:rPr>
          <w:rFonts w:hint="eastAsia" w:ascii="宋体" w:hAnsi="宋体"/>
          <w:color w:val="auto"/>
          <w:sz w:val="24"/>
          <w:szCs w:val="24"/>
          <w:highlight w:val="none"/>
        </w:rPr>
      </w:pPr>
      <w:bookmarkStart w:id="544" w:name="_Toc351203491"/>
      <w:r>
        <w:rPr>
          <w:rFonts w:hint="eastAsia" w:ascii="宋体" w:hAnsi="宋体"/>
          <w:bCs/>
          <w:color w:val="auto"/>
          <w:sz w:val="24"/>
          <w:szCs w:val="24"/>
          <w:highlight w:val="none"/>
        </w:rPr>
        <w:t>十一、补充协议</w:t>
      </w:r>
      <w:bookmarkEnd w:id="544"/>
    </w:p>
    <w:p w14:paraId="33E40CF7">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合同未尽事宜，合同当事人另行签订补充协议，补充协议是合同的组成部分。</w:t>
      </w:r>
    </w:p>
    <w:p w14:paraId="2AAC4B67">
      <w:pPr>
        <w:keepNext/>
        <w:keepLines/>
        <w:spacing w:line="400" w:lineRule="exact"/>
        <w:ind w:firstLine="482"/>
        <w:outlineLvl w:val="3"/>
        <w:rPr>
          <w:rFonts w:hint="eastAsia" w:ascii="宋体" w:hAnsi="宋体"/>
          <w:color w:val="auto"/>
          <w:sz w:val="24"/>
          <w:szCs w:val="24"/>
          <w:highlight w:val="none"/>
        </w:rPr>
      </w:pPr>
      <w:bookmarkStart w:id="545" w:name="_Toc351203492"/>
      <w:r>
        <w:rPr>
          <w:rFonts w:hint="eastAsia" w:ascii="宋体" w:hAnsi="宋体"/>
          <w:bCs/>
          <w:color w:val="auto"/>
          <w:sz w:val="24"/>
          <w:szCs w:val="24"/>
          <w:highlight w:val="none"/>
        </w:rPr>
        <w:t>十二、合同生效</w:t>
      </w:r>
      <w:bookmarkEnd w:id="545"/>
    </w:p>
    <w:p w14:paraId="3AEDEF2E">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本合同自生效。</w:t>
      </w:r>
    </w:p>
    <w:p w14:paraId="088145E5">
      <w:pPr>
        <w:keepNext/>
        <w:keepLines/>
        <w:spacing w:line="400" w:lineRule="exact"/>
        <w:ind w:firstLine="482"/>
        <w:outlineLvl w:val="3"/>
        <w:rPr>
          <w:rFonts w:hint="eastAsia" w:ascii="宋体" w:hAnsi="宋体"/>
          <w:color w:val="auto"/>
          <w:sz w:val="24"/>
          <w:szCs w:val="24"/>
          <w:highlight w:val="none"/>
        </w:rPr>
      </w:pPr>
      <w:bookmarkStart w:id="546" w:name="_Toc351203493"/>
      <w:r>
        <w:rPr>
          <w:rFonts w:hint="eastAsia" w:ascii="宋体" w:hAnsi="宋体"/>
          <w:bCs/>
          <w:color w:val="auto"/>
          <w:sz w:val="24"/>
          <w:szCs w:val="24"/>
          <w:highlight w:val="none"/>
        </w:rPr>
        <w:t>十三、合同份数</w:t>
      </w:r>
      <w:bookmarkEnd w:id="546"/>
    </w:p>
    <w:p w14:paraId="706F8F49">
      <w:pPr>
        <w:spacing w:line="400" w:lineRule="exact"/>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本合同一式份，均具有同等法律效力，发包人执份，承包人执份。</w:t>
      </w:r>
    </w:p>
    <w:p w14:paraId="3A281EFD">
      <w:pPr>
        <w:spacing w:line="400" w:lineRule="exact"/>
        <w:ind w:firstLine="482"/>
        <w:rPr>
          <w:rFonts w:hint="eastAsia" w:ascii="宋体" w:hAnsi="宋体"/>
          <w:bCs/>
          <w:color w:val="auto"/>
          <w:sz w:val="24"/>
          <w:szCs w:val="24"/>
          <w:highlight w:val="none"/>
        </w:rPr>
      </w:pPr>
    </w:p>
    <w:p w14:paraId="0E0C1969">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发包人：  (公章)承包人：  (公章)</w:t>
      </w:r>
    </w:p>
    <w:p w14:paraId="71A1884A">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 xml:space="preserve">法定代表人或其委托代理人：（签字） 法定代表人或其委托代理人：（签字）                    </w:t>
      </w:r>
    </w:p>
    <w:p w14:paraId="21BA8EED">
      <w:pPr>
        <w:tabs>
          <w:tab w:val="left" w:pos="4410"/>
        </w:tabs>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组织机构代码：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组织机构代码：</w:t>
      </w:r>
      <w:r>
        <w:rPr>
          <w:rFonts w:hint="eastAsia" w:ascii="宋体" w:hAnsi="宋体"/>
          <w:color w:val="auto"/>
          <w:sz w:val="24"/>
          <w:szCs w:val="24"/>
          <w:highlight w:val="none"/>
          <w:u w:val="single"/>
        </w:rPr>
        <w:t xml:space="preserve">   </w:t>
      </w:r>
    </w:p>
    <w:p w14:paraId="697285E4">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p>
    <w:p w14:paraId="7D64B197">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邮政编码：</w:t>
      </w:r>
      <w:r>
        <w:rPr>
          <w:rFonts w:hint="eastAsia" w:ascii="宋体" w:hAnsi="宋体"/>
          <w:color w:val="auto"/>
          <w:sz w:val="24"/>
          <w:szCs w:val="24"/>
          <w:highlight w:val="none"/>
          <w:u w:val="single"/>
        </w:rPr>
        <w:t xml:space="preserve">   </w:t>
      </w:r>
    </w:p>
    <w:p w14:paraId="406F8E69">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法定代表人：法定代表人：</w:t>
      </w:r>
    </w:p>
    <w:p w14:paraId="00D1CA98">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委托代理人：</w:t>
      </w:r>
      <w:r>
        <w:rPr>
          <w:rFonts w:hint="eastAsia" w:ascii="宋体" w:hAnsi="宋体"/>
          <w:color w:val="auto"/>
          <w:sz w:val="24"/>
          <w:szCs w:val="24"/>
          <w:highlight w:val="none"/>
          <w:u w:val="single"/>
        </w:rPr>
        <w:t xml:space="preserve">  </w:t>
      </w:r>
    </w:p>
    <w:p w14:paraId="361A6CEE">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电  话：电  话：</w:t>
      </w:r>
    </w:p>
    <w:p w14:paraId="0BC5BC49">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传  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传  真：</w:t>
      </w:r>
      <w:r>
        <w:rPr>
          <w:rFonts w:hint="eastAsia" w:ascii="宋体" w:hAnsi="宋体"/>
          <w:color w:val="auto"/>
          <w:sz w:val="24"/>
          <w:szCs w:val="24"/>
          <w:highlight w:val="none"/>
          <w:u w:val="single"/>
        </w:rPr>
        <w:t xml:space="preserve">   </w:t>
      </w:r>
    </w:p>
    <w:p w14:paraId="2DAEE7FE">
      <w:pPr>
        <w:spacing w:line="40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电子信箱：电子信箱：</w:t>
      </w:r>
      <w:r>
        <w:rPr>
          <w:rFonts w:hint="eastAsia" w:ascii="宋体" w:hAnsi="宋体"/>
          <w:color w:val="auto"/>
          <w:sz w:val="24"/>
          <w:szCs w:val="24"/>
          <w:highlight w:val="none"/>
          <w:u w:val="single"/>
        </w:rPr>
        <w:t xml:space="preserve">   </w:t>
      </w:r>
    </w:p>
    <w:p w14:paraId="472F9032">
      <w:pPr>
        <w:spacing w:line="400" w:lineRule="exact"/>
        <w:ind w:firstLine="482"/>
        <w:rPr>
          <w:rFonts w:hint="eastAsia" w:ascii="宋体" w:hAnsi="宋体"/>
          <w:color w:val="auto"/>
          <w:sz w:val="24"/>
          <w:szCs w:val="24"/>
          <w:highlight w:val="none"/>
          <w:u w:val="single"/>
        </w:rPr>
      </w:pP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w:t>
      </w:r>
    </w:p>
    <w:p w14:paraId="2EDF8F49">
      <w:pPr>
        <w:spacing w:line="400" w:lineRule="exact"/>
        <w:ind w:firstLine="482"/>
        <w:rPr>
          <w:rFonts w:hint="eastAsia" w:ascii="宋体" w:hAnsi="宋体"/>
          <w:color w:val="auto"/>
          <w:sz w:val="24"/>
          <w:szCs w:val="24"/>
          <w:highlight w:val="none"/>
          <w:u w:val="single"/>
        </w:rPr>
      </w:pPr>
      <w:r>
        <w:rPr>
          <w:rFonts w:hint="eastAsia" w:ascii="宋体" w:hAnsi="宋体"/>
          <w:color w:val="auto"/>
          <w:sz w:val="24"/>
          <w:szCs w:val="24"/>
          <w:highlight w:val="none"/>
        </w:rPr>
        <w:t>账  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账 号：</w:t>
      </w:r>
    </w:p>
    <w:p w14:paraId="1ACA2178">
      <w:pPr>
        <w:spacing w:line="490" w:lineRule="exact"/>
        <w:ind w:firstLine="482"/>
        <w:jc w:val="center"/>
        <w:rPr>
          <w:rFonts w:hint="eastAsia" w:ascii="宋体" w:hAnsi="宋体" w:cs="仿宋_GB2312"/>
          <w:color w:val="auto"/>
          <w:sz w:val="24"/>
          <w:szCs w:val="24"/>
          <w:highlight w:val="none"/>
        </w:rPr>
      </w:pPr>
    </w:p>
    <w:p w14:paraId="01F33516">
      <w:pPr>
        <w:spacing w:line="490" w:lineRule="exact"/>
        <w:ind w:firstLine="482"/>
        <w:rPr>
          <w:rFonts w:hint="eastAsia" w:ascii="宋体" w:hAnsi="宋体"/>
          <w:color w:val="auto"/>
          <w:sz w:val="24"/>
          <w:szCs w:val="24"/>
          <w:highlight w:val="none"/>
        </w:rPr>
      </w:pPr>
    </w:p>
    <w:p w14:paraId="41F37FA2">
      <w:pPr>
        <w:spacing w:line="490" w:lineRule="exact"/>
        <w:ind w:firstLine="640"/>
        <w:jc w:val="center"/>
        <w:rPr>
          <w:rFonts w:hint="eastAsia" w:ascii="宋体" w:hAnsi="宋体"/>
          <w:color w:val="auto"/>
          <w:kern w:val="0"/>
          <w:sz w:val="32"/>
          <w:szCs w:val="32"/>
          <w:highlight w:val="none"/>
        </w:rPr>
      </w:pPr>
      <w:r>
        <w:rPr>
          <w:rFonts w:hint="eastAsia" w:ascii="宋体" w:hAnsi="宋体" w:cs="宋体"/>
          <w:b/>
          <w:bCs/>
          <w:color w:val="auto"/>
          <w:sz w:val="32"/>
          <w:szCs w:val="32"/>
          <w:highlight w:val="none"/>
        </w:rPr>
        <w:br w:type="page"/>
      </w:r>
      <w:bookmarkStart w:id="547" w:name="_Toc351203494"/>
      <w:bookmarkStart w:id="548" w:name="_Toc152045782"/>
      <w:bookmarkStart w:id="549" w:name="_Toc152042571"/>
      <w:bookmarkStart w:id="550" w:name="_Toc144974851"/>
      <w:bookmarkStart w:id="551" w:name="_Toc247096438"/>
      <w:bookmarkStart w:id="552" w:name="_Toc296602596"/>
      <w:bookmarkStart w:id="553" w:name="_Toc247085866"/>
      <w:bookmarkStart w:id="554" w:name="_Toc179632800"/>
      <w:bookmarkStart w:id="555" w:name="_Toc246997093"/>
      <w:bookmarkStart w:id="556" w:name="_Toc246996350"/>
      <w:r>
        <w:rPr>
          <w:rFonts w:hint="eastAsia" w:ascii="宋体" w:hAnsi="宋体"/>
          <w:color w:val="auto"/>
          <w:kern w:val="0"/>
          <w:sz w:val="32"/>
          <w:szCs w:val="32"/>
          <w:highlight w:val="none"/>
        </w:rPr>
        <w:t>第二部分 通用</w:t>
      </w:r>
      <w:bookmarkEnd w:id="547"/>
      <w:r>
        <w:rPr>
          <w:rFonts w:hint="eastAsia" w:ascii="宋体" w:hAnsi="宋体"/>
          <w:color w:val="auto"/>
          <w:kern w:val="0"/>
          <w:sz w:val="32"/>
          <w:szCs w:val="32"/>
          <w:highlight w:val="none"/>
        </w:rPr>
        <w:t>合同草案</w:t>
      </w:r>
    </w:p>
    <w:p w14:paraId="6C0D71E1">
      <w:pPr>
        <w:spacing w:line="490" w:lineRule="exact"/>
        <w:ind w:firstLine="562"/>
        <w:jc w:val="center"/>
        <w:rPr>
          <w:rFonts w:hint="eastAsia" w:ascii="Calibri" w:hAnsi="Calibri"/>
          <w:color w:val="auto"/>
          <w:highlight w:val="none"/>
        </w:rPr>
      </w:pPr>
      <w:r>
        <w:rPr>
          <w:rFonts w:hint="eastAsia" w:ascii="宋体" w:hAnsi="宋体"/>
          <w:color w:val="auto"/>
          <w:kern w:val="0"/>
          <w:sz w:val="28"/>
          <w:szCs w:val="28"/>
          <w:highlight w:val="none"/>
        </w:rPr>
        <w:t>详见建设工程施工合同（GF—2017—0201）中的通用合同草案</w:t>
      </w:r>
    </w:p>
    <w:p w14:paraId="3248D05B">
      <w:pPr>
        <w:spacing w:line="490" w:lineRule="exact"/>
        <w:ind w:firstLine="562"/>
        <w:jc w:val="center"/>
        <w:rPr>
          <w:rFonts w:ascii="宋体" w:hAnsi="宋体"/>
          <w:color w:val="auto"/>
          <w:kern w:val="0"/>
          <w:sz w:val="28"/>
          <w:szCs w:val="28"/>
          <w:highlight w:val="none"/>
        </w:rPr>
      </w:pPr>
    </w:p>
    <w:p w14:paraId="6F91A502">
      <w:pPr>
        <w:autoSpaceDE w:val="0"/>
        <w:autoSpaceDN w:val="0"/>
        <w:adjustRightInd w:val="0"/>
        <w:spacing w:line="490" w:lineRule="exact"/>
        <w:ind w:firstLine="643"/>
        <w:jc w:val="center"/>
        <w:rPr>
          <w:rFonts w:hint="eastAsia" w:ascii="宋体" w:hAnsi="宋体"/>
          <w:bCs/>
          <w:color w:val="auto"/>
          <w:sz w:val="32"/>
          <w:szCs w:val="32"/>
          <w:highlight w:val="none"/>
        </w:rPr>
      </w:pPr>
    </w:p>
    <w:p w14:paraId="0BDC9C24">
      <w:pPr>
        <w:autoSpaceDE w:val="0"/>
        <w:autoSpaceDN w:val="0"/>
        <w:adjustRightInd w:val="0"/>
        <w:spacing w:line="400" w:lineRule="exact"/>
        <w:ind w:firstLine="643"/>
        <w:jc w:val="center"/>
        <w:rPr>
          <w:rFonts w:hint="eastAsia" w:ascii="宋体" w:hAnsi="宋体"/>
          <w:bCs/>
          <w:color w:val="auto"/>
          <w:sz w:val="32"/>
          <w:szCs w:val="32"/>
          <w:highlight w:val="none"/>
        </w:rPr>
      </w:pPr>
      <w:r>
        <w:rPr>
          <w:rFonts w:hint="eastAsia" w:ascii="宋体" w:hAnsi="宋体"/>
          <w:bCs/>
          <w:color w:val="auto"/>
          <w:sz w:val="32"/>
          <w:szCs w:val="32"/>
          <w:highlight w:val="none"/>
        </w:rPr>
        <w:t>第三部分 专用合同草案</w:t>
      </w:r>
    </w:p>
    <w:p w14:paraId="2F331B59">
      <w:pPr>
        <w:keepNext/>
        <w:keepLines/>
        <w:spacing w:line="380" w:lineRule="exact"/>
        <w:ind w:firstLine="482"/>
        <w:outlineLvl w:val="3"/>
        <w:rPr>
          <w:rFonts w:hint="eastAsia" w:ascii="宋体" w:hAnsi="宋体"/>
          <w:bCs/>
          <w:color w:val="auto"/>
          <w:sz w:val="24"/>
          <w:szCs w:val="24"/>
          <w:highlight w:val="none"/>
        </w:rPr>
      </w:pPr>
      <w:bookmarkStart w:id="557" w:name="_Toc351203633"/>
      <w:r>
        <w:rPr>
          <w:rFonts w:hint="eastAsia" w:ascii="宋体" w:hAnsi="宋体"/>
          <w:bCs/>
          <w:color w:val="auto"/>
          <w:sz w:val="24"/>
          <w:szCs w:val="24"/>
          <w:highlight w:val="none"/>
        </w:rPr>
        <w:t>1</w:t>
      </w:r>
      <w:bookmarkStart w:id="558" w:name="_Toc296890984"/>
      <w:bookmarkStart w:id="559" w:name="_Toc297120456"/>
      <w:bookmarkStart w:id="560" w:name="_Toc296347155"/>
      <w:bookmarkStart w:id="561" w:name="_Toc296944495"/>
      <w:bookmarkStart w:id="562" w:name="_Toc292559866"/>
      <w:bookmarkStart w:id="563" w:name="_Toc296503156"/>
      <w:bookmarkStart w:id="564" w:name="_Toc296891196"/>
      <w:bookmarkStart w:id="565" w:name="_Toc296346657"/>
      <w:bookmarkStart w:id="566" w:name="_Toc292559361"/>
      <w:bookmarkStart w:id="567" w:name="_Toc297048342"/>
      <w:r>
        <w:rPr>
          <w:rFonts w:hint="eastAsia" w:ascii="宋体" w:hAnsi="宋体"/>
          <w:bCs/>
          <w:color w:val="auto"/>
          <w:sz w:val="24"/>
          <w:szCs w:val="24"/>
          <w:highlight w:val="none"/>
        </w:rPr>
        <w:t>. 一般约定</w:t>
      </w:r>
      <w:bookmarkEnd w:id="557"/>
    </w:p>
    <w:bookmarkEnd w:id="558"/>
    <w:bookmarkEnd w:id="559"/>
    <w:bookmarkEnd w:id="560"/>
    <w:bookmarkEnd w:id="561"/>
    <w:bookmarkEnd w:id="562"/>
    <w:bookmarkEnd w:id="563"/>
    <w:bookmarkEnd w:id="564"/>
    <w:bookmarkEnd w:id="565"/>
    <w:bookmarkEnd w:id="566"/>
    <w:bookmarkEnd w:id="567"/>
    <w:p w14:paraId="2745A609">
      <w:pPr>
        <w:spacing w:line="380" w:lineRule="exact"/>
        <w:ind w:firstLine="480" w:firstLineChars="200"/>
        <w:outlineLvl w:val="0"/>
        <w:rPr>
          <w:rFonts w:hint="eastAsia" w:ascii="宋体" w:hAnsi="宋体"/>
          <w:color w:val="auto"/>
          <w:sz w:val="24"/>
          <w:szCs w:val="24"/>
          <w:highlight w:val="none"/>
        </w:rPr>
      </w:pPr>
      <w:bookmarkStart w:id="568" w:name="_Toc3310"/>
      <w:bookmarkStart w:id="569" w:name="_Toc30819"/>
      <w:bookmarkStart w:id="570" w:name="_Toc18899"/>
      <w:bookmarkStart w:id="571" w:name="_Toc31882"/>
      <w:bookmarkStart w:id="572" w:name="_Toc5323"/>
      <w:bookmarkStart w:id="573" w:name="_Toc19202"/>
      <w:bookmarkStart w:id="574" w:name="_Toc6409"/>
      <w:r>
        <w:rPr>
          <w:rFonts w:hint="eastAsia" w:ascii="宋体" w:hAnsi="宋体"/>
          <w:color w:val="auto"/>
          <w:sz w:val="24"/>
          <w:szCs w:val="24"/>
          <w:highlight w:val="none"/>
        </w:rPr>
        <w:t>1.1 词语定义</w:t>
      </w:r>
      <w:bookmarkEnd w:id="568"/>
      <w:bookmarkEnd w:id="569"/>
      <w:bookmarkEnd w:id="570"/>
      <w:bookmarkEnd w:id="571"/>
      <w:bookmarkEnd w:id="572"/>
      <w:bookmarkEnd w:id="573"/>
      <w:bookmarkEnd w:id="574"/>
    </w:p>
    <w:p w14:paraId="12F998DE">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1.1.1合同</w:t>
      </w:r>
    </w:p>
    <w:p w14:paraId="31AFB21F">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1.1.1.10其他合同文件包括：</w:t>
      </w:r>
      <w:r>
        <w:rPr>
          <w:rFonts w:hint="eastAsia" w:ascii="宋体" w:hAnsi="宋体" w:cs="宋体"/>
          <w:color w:val="auto"/>
          <w:sz w:val="24"/>
          <w:szCs w:val="24"/>
          <w:highlight w:val="none"/>
          <w:u w:val="single"/>
          <w:lang w:bidi="ar"/>
        </w:rPr>
        <w:t>合同发行中，发包人和承包人有关工程的会议纪要、工程变更、签证、工程洽商、有关通知、信件、数据电文等，以及法律、法规规定具有证明效力和合同效力的文件或资料视为本合同的组成部分</w:t>
      </w:r>
      <w:r>
        <w:rPr>
          <w:rFonts w:hint="eastAsia" w:ascii="宋体" w:hAnsi="宋体"/>
          <w:color w:val="auto"/>
          <w:sz w:val="24"/>
          <w:szCs w:val="24"/>
          <w:highlight w:val="none"/>
        </w:rPr>
        <w:t>。</w:t>
      </w:r>
    </w:p>
    <w:p w14:paraId="000CC3E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1.1.2 合同当事人及其他相关方</w:t>
      </w:r>
    </w:p>
    <w:p w14:paraId="7031E24B">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1.1.2.4监理人：</w:t>
      </w:r>
    </w:p>
    <w:p w14:paraId="2B4DD25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名    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77E5274">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资质类别和等级：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819F39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7A4851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电子信箱：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0DA5F9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通信地址：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BAAD94B">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1.1.2.5 设计人：</w:t>
      </w:r>
    </w:p>
    <w:p w14:paraId="427F6664">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名    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788556C">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资质类别和等级：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87DD30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A89B0AC">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电子信箱：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FD8A4A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通信地址：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5CEC0A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1.1.3 工程和设备</w:t>
      </w:r>
    </w:p>
    <w:p w14:paraId="76023FC4">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1.1.3.7 作为施工现场组成部分的其他场所包括：</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201809CF">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1.1.3.9 永久占地包括：</w:t>
      </w:r>
      <w:r>
        <w:rPr>
          <w:rFonts w:hint="eastAsia" w:ascii="宋体" w:hAnsi="宋体"/>
          <w:color w:val="auto"/>
          <w:sz w:val="24"/>
          <w:szCs w:val="24"/>
          <w:highlight w:val="none"/>
          <w:u w:val="single"/>
        </w:rPr>
        <w:t xml:space="preserve">/         </w:t>
      </w:r>
      <w:r>
        <w:rPr>
          <w:rFonts w:hint="eastAsia" w:ascii="宋体" w:hAnsi="宋体"/>
          <w:color w:val="auto"/>
          <w:kern w:val="0"/>
          <w:sz w:val="24"/>
          <w:szCs w:val="24"/>
          <w:highlight w:val="none"/>
        </w:rPr>
        <w:t>。</w:t>
      </w:r>
    </w:p>
    <w:p w14:paraId="354095F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kern w:val="0"/>
          <w:sz w:val="24"/>
          <w:szCs w:val="24"/>
          <w:highlight w:val="none"/>
        </w:rPr>
        <w:t>1.1.3.10 临时占地包括：</w:t>
      </w:r>
      <w:r>
        <w:rPr>
          <w:rFonts w:hint="eastAsia" w:ascii="宋体" w:hAnsi="宋体"/>
          <w:color w:val="auto"/>
          <w:sz w:val="24"/>
          <w:szCs w:val="24"/>
          <w:highlight w:val="none"/>
          <w:u w:val="single"/>
        </w:rPr>
        <w:t xml:space="preserve">/            </w:t>
      </w:r>
      <w:r>
        <w:rPr>
          <w:rFonts w:hint="eastAsia" w:ascii="宋体" w:hAnsi="宋体"/>
          <w:color w:val="auto"/>
          <w:kern w:val="0"/>
          <w:sz w:val="24"/>
          <w:szCs w:val="24"/>
          <w:highlight w:val="none"/>
        </w:rPr>
        <w:t>。</w:t>
      </w:r>
    </w:p>
    <w:p w14:paraId="75792BB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1.3法律 </w:t>
      </w:r>
    </w:p>
    <w:p w14:paraId="6BF17881">
      <w:pPr>
        <w:autoSpaceDE w:val="0"/>
        <w:autoSpaceDN w:val="0"/>
        <w:adjustRightInd w:val="0"/>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适用于合同的其他规范性文件：</w:t>
      </w:r>
      <w:r>
        <w:rPr>
          <w:rFonts w:hint="eastAsia" w:ascii="宋体" w:hAnsi="宋体"/>
          <w:color w:val="auto"/>
          <w:sz w:val="24"/>
          <w:szCs w:val="24"/>
          <w:highlight w:val="none"/>
          <w:u w:val="single" w:color="000000"/>
          <w:lang w:val="zh-TW" w:eastAsia="zh-TW"/>
        </w:rPr>
        <w:t>《中华人民共和国建筑法》、《</w:t>
      </w:r>
      <w:r>
        <w:rPr>
          <w:rFonts w:hint="eastAsia" w:ascii="宋体" w:hAnsi="宋体"/>
          <w:color w:val="auto"/>
          <w:sz w:val="24"/>
          <w:szCs w:val="24"/>
          <w:highlight w:val="none"/>
          <w:u w:val="single" w:color="000000"/>
          <w:lang w:val="zh-TW"/>
        </w:rPr>
        <w:t>中华人民共和国民法典</w:t>
      </w:r>
      <w:r>
        <w:rPr>
          <w:rFonts w:hint="eastAsia" w:ascii="宋体" w:hAnsi="宋体"/>
          <w:color w:val="auto"/>
          <w:sz w:val="24"/>
          <w:szCs w:val="24"/>
          <w:highlight w:val="none"/>
          <w:u w:val="single" w:color="000000"/>
          <w:lang w:val="zh-TW" w:eastAsia="zh-TW"/>
        </w:rPr>
        <w:t>》、《中华人民共和国招标投标法》、《</w:t>
      </w:r>
      <w:r>
        <w:rPr>
          <w:rFonts w:hint="eastAsia" w:ascii="宋体" w:hAnsi="宋体"/>
          <w:color w:val="auto"/>
          <w:sz w:val="24"/>
          <w:szCs w:val="24"/>
          <w:highlight w:val="none"/>
          <w:u w:val="single" w:color="000000"/>
          <w:lang w:val="zh-TW" w:eastAsia="zh-CN"/>
        </w:rPr>
        <w:t>建筑工程</w:t>
      </w:r>
      <w:r>
        <w:rPr>
          <w:rFonts w:hint="eastAsia" w:ascii="宋体" w:hAnsi="宋体"/>
          <w:color w:val="auto"/>
          <w:sz w:val="24"/>
          <w:szCs w:val="24"/>
          <w:highlight w:val="none"/>
          <w:u w:val="single" w:color="000000"/>
          <w:lang w:val="zh-TW" w:eastAsia="zh-TW"/>
        </w:rPr>
        <w:t>强制性标准条文》、《建设工程质量管理条例》、《</w:t>
      </w:r>
      <w:r>
        <w:rPr>
          <w:rFonts w:hint="eastAsia" w:ascii="宋体" w:hAnsi="宋体"/>
          <w:color w:val="auto"/>
          <w:sz w:val="24"/>
          <w:szCs w:val="24"/>
          <w:highlight w:val="none"/>
          <w:u w:val="single" w:color="000000"/>
          <w:lang w:val="zh-TW" w:eastAsia="zh-CN"/>
        </w:rPr>
        <w:t>建筑工程</w:t>
      </w:r>
      <w:r>
        <w:rPr>
          <w:rFonts w:hint="eastAsia" w:ascii="宋体" w:hAnsi="宋体"/>
          <w:color w:val="auto"/>
          <w:sz w:val="24"/>
          <w:szCs w:val="24"/>
          <w:highlight w:val="none"/>
          <w:u w:val="single" w:color="000000"/>
          <w:lang w:val="zh-TW" w:eastAsia="zh-TW"/>
        </w:rPr>
        <w:t>质量保修办法》、河南省及</w:t>
      </w:r>
      <w:r>
        <w:rPr>
          <w:rFonts w:hint="eastAsia" w:ascii="宋体" w:hAnsi="宋体"/>
          <w:color w:val="auto"/>
          <w:sz w:val="24"/>
          <w:szCs w:val="24"/>
          <w:highlight w:val="none"/>
          <w:u w:val="single" w:color="000000"/>
          <w:lang w:val="zh-TW"/>
        </w:rPr>
        <w:t>三门峡</w:t>
      </w:r>
      <w:r>
        <w:rPr>
          <w:rFonts w:hint="eastAsia" w:ascii="宋体" w:hAnsi="宋体"/>
          <w:color w:val="auto"/>
          <w:sz w:val="24"/>
          <w:szCs w:val="24"/>
          <w:highlight w:val="none"/>
          <w:u w:val="single" w:color="000000"/>
          <w:lang w:val="zh-TW" w:eastAsia="zh-TW"/>
        </w:rPr>
        <w:t>市关于安全文明施工的法规、条例和行政规范性文件等</w:t>
      </w:r>
      <w:r>
        <w:rPr>
          <w:rFonts w:hint="eastAsia" w:ascii="宋体" w:hAnsi="宋体"/>
          <w:color w:val="auto"/>
          <w:sz w:val="24"/>
          <w:szCs w:val="24"/>
          <w:highlight w:val="none"/>
        </w:rPr>
        <w:t>。</w:t>
      </w:r>
    </w:p>
    <w:p w14:paraId="41B1E25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 标准和规范</w:t>
      </w:r>
    </w:p>
    <w:p w14:paraId="323156F1">
      <w:pPr>
        <w:spacing w:line="38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1.4.1适用于工程的标准规范包括：</w:t>
      </w:r>
      <w:r>
        <w:rPr>
          <w:rFonts w:hint="eastAsia" w:ascii="宋体" w:hAnsi="宋体"/>
          <w:color w:val="auto"/>
          <w:sz w:val="24"/>
          <w:szCs w:val="24"/>
          <w:highlight w:val="none"/>
          <w:u w:val="single" w:color="000000"/>
          <w:lang w:val="zh-TW" w:eastAsia="zh-CN"/>
        </w:rPr>
        <w:t>《建设工程工程量清单计价标准》</w:t>
      </w:r>
      <w:r>
        <w:rPr>
          <w:rFonts w:hint="eastAsia" w:ascii="宋体" w:hAnsi="宋体"/>
          <w:color w:val="auto"/>
          <w:sz w:val="24"/>
          <w:szCs w:val="24"/>
          <w:highlight w:val="none"/>
          <w:u w:val="single" w:color="000000"/>
          <w:lang w:val="zh-TW" w:eastAsia="zh-TW"/>
        </w:rPr>
        <w:t>（</w:t>
      </w:r>
      <w:r>
        <w:rPr>
          <w:rFonts w:hint="eastAsia" w:ascii="宋体" w:hAnsi="宋体"/>
          <w:color w:val="auto"/>
          <w:sz w:val="24"/>
          <w:szCs w:val="24"/>
          <w:highlight w:val="none"/>
          <w:u w:val="single" w:color="000000"/>
          <w:lang w:eastAsia="zh-CN"/>
        </w:rPr>
        <w:t>GB/T50500-2024</w:t>
      </w:r>
      <w:r>
        <w:rPr>
          <w:rFonts w:hint="eastAsia" w:ascii="宋体" w:hAnsi="宋体"/>
          <w:color w:val="auto"/>
          <w:sz w:val="24"/>
          <w:szCs w:val="24"/>
          <w:highlight w:val="none"/>
          <w:u w:val="single" w:color="000000"/>
          <w:lang w:val="zh-TW" w:eastAsia="zh-TW"/>
        </w:rPr>
        <w:t>）、《</w:t>
      </w:r>
      <w:r>
        <w:rPr>
          <w:rFonts w:hint="eastAsia" w:ascii="宋体" w:hAnsi="宋体"/>
          <w:color w:val="auto"/>
          <w:sz w:val="24"/>
          <w:szCs w:val="24"/>
          <w:highlight w:val="none"/>
          <w:u w:val="single" w:color="000000"/>
          <w:lang w:val="zh-TW" w:eastAsia="zh-CN"/>
        </w:rPr>
        <w:t>建筑工程</w:t>
      </w:r>
      <w:r>
        <w:rPr>
          <w:rFonts w:hint="eastAsia" w:ascii="宋体" w:hAnsi="宋体"/>
          <w:color w:val="auto"/>
          <w:sz w:val="24"/>
          <w:szCs w:val="24"/>
          <w:highlight w:val="none"/>
          <w:u w:val="single" w:color="000000"/>
          <w:lang w:val="zh-TW" w:eastAsia="zh-TW"/>
        </w:rPr>
        <w:t>施工质量验收统一标准》等现行国家标准、规范等</w:t>
      </w:r>
      <w:r>
        <w:rPr>
          <w:rFonts w:hint="eastAsia" w:ascii="宋体" w:hAnsi="宋体"/>
          <w:color w:val="auto"/>
          <w:sz w:val="24"/>
          <w:szCs w:val="24"/>
          <w:highlight w:val="none"/>
        </w:rPr>
        <w:t>。</w:t>
      </w:r>
    </w:p>
    <w:p w14:paraId="16FF8178">
      <w:pPr>
        <w:spacing w:line="380" w:lineRule="exact"/>
        <w:ind w:firstLine="480" w:firstLineChars="200"/>
        <w:outlineLvl w:val="0"/>
        <w:rPr>
          <w:rFonts w:hint="eastAsia" w:ascii="宋体" w:hAnsi="宋体"/>
          <w:color w:val="auto"/>
          <w:kern w:val="0"/>
          <w:sz w:val="24"/>
          <w:szCs w:val="24"/>
          <w:highlight w:val="none"/>
        </w:rPr>
      </w:pPr>
      <w:bookmarkStart w:id="575" w:name="_Toc14271"/>
      <w:bookmarkStart w:id="576" w:name="_Toc7481"/>
      <w:bookmarkStart w:id="577" w:name="_Toc17608"/>
      <w:bookmarkStart w:id="578" w:name="_Toc29816"/>
      <w:bookmarkStart w:id="579" w:name="_Toc3436"/>
      <w:bookmarkStart w:id="580" w:name="_Toc8531"/>
      <w:bookmarkStart w:id="581" w:name="_Toc26784"/>
      <w:r>
        <w:rPr>
          <w:rFonts w:hint="eastAsia" w:ascii="宋体" w:hAnsi="宋体"/>
          <w:color w:val="auto"/>
          <w:kern w:val="0"/>
          <w:sz w:val="24"/>
          <w:szCs w:val="24"/>
          <w:highlight w:val="none"/>
        </w:rPr>
        <w:t>1.4.2 发包人提供国外标准、规范的名称：</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bookmarkEnd w:id="575"/>
      <w:bookmarkEnd w:id="576"/>
      <w:bookmarkEnd w:id="577"/>
      <w:bookmarkEnd w:id="578"/>
      <w:bookmarkEnd w:id="579"/>
      <w:bookmarkEnd w:id="580"/>
      <w:bookmarkEnd w:id="581"/>
    </w:p>
    <w:p w14:paraId="048658F9">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发包人提供国外标准、规范的份数：</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7962766B">
      <w:pPr>
        <w:spacing w:line="380" w:lineRule="exact"/>
        <w:ind w:firstLine="480" w:firstLineChars="200"/>
        <w:rPr>
          <w:rFonts w:hint="eastAsia" w:ascii="宋体" w:hAnsi="宋体"/>
          <w:color w:val="auto"/>
          <w:sz w:val="24"/>
          <w:szCs w:val="24"/>
          <w:highlight w:val="none"/>
        </w:rPr>
      </w:pPr>
      <w:r>
        <w:rPr>
          <w:rFonts w:hint="eastAsia" w:ascii="宋体" w:hAnsi="宋体"/>
          <w:color w:val="auto"/>
          <w:kern w:val="0"/>
          <w:sz w:val="24"/>
          <w:szCs w:val="24"/>
          <w:highlight w:val="none"/>
        </w:rPr>
        <w:t>发包人提供国外标准、规范的名称：</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54C96215">
      <w:pPr>
        <w:spacing w:line="38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1.4.3发包人对工程的技术标准和功能要求的特殊要求：</w:t>
      </w:r>
    </w:p>
    <w:p w14:paraId="549B91CA">
      <w:pPr>
        <w:widowControl/>
        <w:spacing w:line="380" w:lineRule="exact"/>
        <w:ind w:firstLine="482"/>
        <w:jc w:val="left"/>
        <w:rPr>
          <w:rFonts w:hint="eastAsia" w:ascii="宋体" w:hAnsi="宋体" w:cs="宋体"/>
          <w:color w:val="auto"/>
          <w:kern w:val="0"/>
          <w:sz w:val="24"/>
          <w:szCs w:val="24"/>
          <w:highlight w:val="none"/>
          <w:u w:val="single" w:color="000000"/>
          <w:lang w:val="zh-TW" w:eastAsia="zh-TW"/>
        </w:rPr>
      </w:pPr>
      <w:r>
        <w:rPr>
          <w:rFonts w:hint="eastAsia" w:ascii="宋体" w:hAnsi="宋体" w:cs="宋体"/>
          <w:color w:val="auto"/>
          <w:kern w:val="0"/>
          <w:sz w:val="24"/>
          <w:szCs w:val="24"/>
          <w:highlight w:val="none"/>
          <w:u w:val="single" w:color="000000"/>
          <w:lang w:val="zh-TW" w:eastAsia="zh-TW"/>
        </w:rPr>
        <w:t>如遇遗漏所需施工的工程规范，承包人应征得监理工程师和发包人代表同意，补充规范以满足合同要求。</w:t>
      </w:r>
    </w:p>
    <w:p w14:paraId="2466AF58">
      <w:pPr>
        <w:widowControl/>
        <w:spacing w:line="380" w:lineRule="exact"/>
        <w:ind w:firstLine="482"/>
        <w:jc w:val="left"/>
        <w:rPr>
          <w:rFonts w:hint="eastAsia" w:ascii="宋体" w:hAnsi="宋体" w:cs="宋体"/>
          <w:color w:val="auto"/>
          <w:kern w:val="0"/>
          <w:sz w:val="24"/>
          <w:szCs w:val="24"/>
          <w:highlight w:val="none"/>
          <w:u w:val="single" w:color="000000"/>
          <w:lang w:val="zh-TW" w:eastAsia="zh-TW"/>
        </w:rPr>
      </w:pPr>
      <w:r>
        <w:rPr>
          <w:rFonts w:hint="eastAsia" w:ascii="宋体" w:hAnsi="宋体" w:cs="宋体"/>
          <w:color w:val="auto"/>
          <w:kern w:val="0"/>
          <w:sz w:val="24"/>
          <w:szCs w:val="24"/>
          <w:highlight w:val="none"/>
          <w:u w:val="single" w:color="000000"/>
          <w:lang w:val="zh-TW" w:eastAsia="zh-TW"/>
        </w:rPr>
        <w:t>如遇设计或施工规范和标准对同一问题的处理出现相互矛盾的情况时，承包人应通知监理工程师，提出解决办法并征得监理工程师和发包人代表的同意。</w:t>
      </w:r>
    </w:p>
    <w:p w14:paraId="7C6A5FC7">
      <w:pPr>
        <w:widowControl/>
        <w:spacing w:line="380" w:lineRule="exact"/>
        <w:ind w:firstLine="482"/>
        <w:jc w:val="left"/>
        <w:rPr>
          <w:rFonts w:hint="eastAsia" w:ascii="宋体" w:hAnsi="宋体" w:cs="宋体"/>
          <w:color w:val="auto"/>
          <w:kern w:val="0"/>
          <w:sz w:val="24"/>
          <w:szCs w:val="24"/>
          <w:highlight w:val="none"/>
          <w:u w:val="single" w:color="000000"/>
          <w:lang w:val="zh-TW" w:eastAsia="zh-TW"/>
        </w:rPr>
      </w:pPr>
      <w:r>
        <w:rPr>
          <w:rFonts w:hint="eastAsia" w:ascii="宋体" w:hAnsi="宋体"/>
          <w:color w:val="auto"/>
          <w:sz w:val="24"/>
          <w:szCs w:val="24"/>
          <w:highlight w:val="none"/>
          <w:u w:val="single"/>
          <w:lang w:val="zh-TW" w:eastAsia="zh-TW"/>
        </w:rPr>
        <w:t>施工所用的规范及标准应采用最新版本，除非所使用规范、监理工程师书面通知或合同中另有规定</w:t>
      </w:r>
      <w:r>
        <w:rPr>
          <w:rFonts w:hint="eastAsia" w:ascii="宋体" w:hAnsi="宋体"/>
          <w:color w:val="auto"/>
          <w:sz w:val="24"/>
          <w:szCs w:val="24"/>
          <w:highlight w:val="none"/>
        </w:rPr>
        <w:t>。</w:t>
      </w:r>
    </w:p>
    <w:p w14:paraId="1C189854">
      <w:pPr>
        <w:spacing w:line="380" w:lineRule="exact"/>
        <w:ind w:firstLine="480" w:firstLineChars="200"/>
        <w:outlineLvl w:val="0"/>
        <w:rPr>
          <w:rFonts w:hint="eastAsia" w:ascii="宋体" w:hAnsi="宋体"/>
          <w:color w:val="auto"/>
          <w:sz w:val="24"/>
          <w:szCs w:val="24"/>
          <w:highlight w:val="none"/>
        </w:rPr>
      </w:pPr>
      <w:bookmarkStart w:id="582" w:name="_Toc14278"/>
      <w:bookmarkStart w:id="583" w:name="_Toc10302"/>
      <w:bookmarkStart w:id="584" w:name="_Toc19049"/>
      <w:bookmarkStart w:id="585" w:name="_Toc32029"/>
      <w:bookmarkStart w:id="586" w:name="_Toc22939"/>
      <w:bookmarkStart w:id="587" w:name="_Toc15485"/>
      <w:bookmarkStart w:id="588" w:name="_Toc4785"/>
      <w:r>
        <w:rPr>
          <w:rFonts w:hint="eastAsia" w:ascii="宋体" w:hAnsi="宋体"/>
          <w:color w:val="auto"/>
          <w:sz w:val="24"/>
          <w:szCs w:val="24"/>
          <w:highlight w:val="none"/>
        </w:rPr>
        <w:t>1.5 合同文件的优先顺序</w:t>
      </w:r>
      <w:bookmarkEnd w:id="582"/>
      <w:bookmarkEnd w:id="583"/>
      <w:bookmarkEnd w:id="584"/>
      <w:bookmarkEnd w:id="585"/>
      <w:bookmarkEnd w:id="586"/>
      <w:bookmarkEnd w:id="587"/>
      <w:bookmarkEnd w:id="588"/>
    </w:p>
    <w:p w14:paraId="2D9E6BC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合同文件组成及优先顺序为：</w:t>
      </w:r>
      <w:r>
        <w:rPr>
          <w:rFonts w:hint="eastAsia" w:ascii="宋体" w:hAnsi="宋体"/>
          <w:color w:val="auto"/>
          <w:sz w:val="24"/>
          <w:szCs w:val="24"/>
          <w:highlight w:val="none"/>
          <w:u w:val="single" w:color="000000"/>
          <w:lang w:val="zh-TW" w:eastAsia="zh-TW"/>
        </w:rPr>
        <w:t>按照本合同第一部分合同协议书第六条处理，本合同处于最优先地位。合同履行中签订的补充或修改合同文书并入本合同</w:t>
      </w:r>
      <w:r>
        <w:rPr>
          <w:rFonts w:hint="eastAsia" w:ascii="宋体" w:hAnsi="宋体"/>
          <w:color w:val="auto"/>
          <w:sz w:val="24"/>
          <w:szCs w:val="24"/>
          <w:highlight w:val="none"/>
        </w:rPr>
        <w:t>。</w:t>
      </w:r>
    </w:p>
    <w:p w14:paraId="27FD5613">
      <w:pPr>
        <w:spacing w:line="380" w:lineRule="exact"/>
        <w:ind w:firstLine="480" w:firstLineChars="200"/>
        <w:outlineLvl w:val="0"/>
        <w:rPr>
          <w:rFonts w:hint="eastAsia" w:ascii="宋体" w:hAnsi="宋体"/>
          <w:color w:val="auto"/>
          <w:sz w:val="24"/>
          <w:szCs w:val="24"/>
          <w:highlight w:val="none"/>
        </w:rPr>
      </w:pPr>
      <w:bookmarkStart w:id="589" w:name="_Toc2477"/>
      <w:bookmarkStart w:id="590" w:name="_Toc32741"/>
      <w:bookmarkStart w:id="591" w:name="_Toc13900"/>
      <w:bookmarkStart w:id="592" w:name="_Toc12742"/>
      <w:bookmarkStart w:id="593" w:name="_Toc12786"/>
      <w:bookmarkStart w:id="594" w:name="_Toc1278"/>
      <w:bookmarkStart w:id="595" w:name="_Toc8185"/>
      <w:r>
        <w:rPr>
          <w:rFonts w:hint="eastAsia" w:ascii="宋体" w:hAnsi="宋体"/>
          <w:color w:val="auto"/>
          <w:sz w:val="24"/>
          <w:szCs w:val="24"/>
          <w:highlight w:val="none"/>
        </w:rPr>
        <w:t>1.6 图纸和承包人文件</w:t>
      </w:r>
      <w:bookmarkEnd w:id="589"/>
      <w:bookmarkEnd w:id="590"/>
      <w:bookmarkEnd w:id="591"/>
      <w:bookmarkEnd w:id="592"/>
      <w:bookmarkEnd w:id="593"/>
      <w:bookmarkEnd w:id="594"/>
      <w:bookmarkEnd w:id="595"/>
      <w:r>
        <w:rPr>
          <w:rFonts w:hint="eastAsia" w:ascii="宋体" w:hAnsi="宋体"/>
          <w:color w:val="auto"/>
          <w:sz w:val="24"/>
          <w:szCs w:val="24"/>
          <w:highlight w:val="none"/>
        </w:rPr>
        <w:tab/>
      </w:r>
    </w:p>
    <w:p w14:paraId="2462029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1.6.1 图纸的提供</w:t>
      </w:r>
    </w:p>
    <w:p w14:paraId="3CF66C6B">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发包人向承包人提供图纸的期限：</w:t>
      </w:r>
      <w:r>
        <w:rPr>
          <w:rFonts w:hint="eastAsia" w:ascii="宋体" w:hAnsi="宋体" w:cs="宋体"/>
          <w:color w:val="auto"/>
          <w:sz w:val="24"/>
          <w:szCs w:val="24"/>
          <w:highlight w:val="none"/>
          <w:u w:val="single"/>
          <w:lang w:bidi="ar"/>
        </w:rPr>
        <w:t>开工前7天</w:t>
      </w:r>
      <w:r>
        <w:rPr>
          <w:rFonts w:hint="eastAsia" w:ascii="宋体" w:hAnsi="宋体"/>
          <w:color w:val="auto"/>
          <w:sz w:val="24"/>
          <w:szCs w:val="24"/>
          <w:highlight w:val="none"/>
        </w:rPr>
        <w:t>；</w:t>
      </w:r>
    </w:p>
    <w:p w14:paraId="78F0FA2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发包人向承包人提供图纸的数量：；</w:t>
      </w:r>
    </w:p>
    <w:p w14:paraId="118129D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发包人向承包人提供图纸的内容：</w:t>
      </w:r>
      <w:r>
        <w:rPr>
          <w:rFonts w:hint="eastAsia" w:ascii="宋体" w:hAnsi="宋体" w:cs="宋体"/>
          <w:color w:val="auto"/>
          <w:sz w:val="24"/>
          <w:szCs w:val="24"/>
          <w:highlight w:val="none"/>
          <w:u w:val="single"/>
          <w:lang w:bidi="ar"/>
        </w:rPr>
        <w:t xml:space="preserve">详见图纸目录    </w:t>
      </w:r>
      <w:r>
        <w:rPr>
          <w:rFonts w:hint="eastAsia" w:ascii="宋体" w:hAnsi="宋体"/>
          <w:color w:val="auto"/>
          <w:sz w:val="24"/>
          <w:szCs w:val="24"/>
          <w:highlight w:val="none"/>
        </w:rPr>
        <w:t>。</w:t>
      </w:r>
    </w:p>
    <w:p w14:paraId="557FA62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1.6.4 承包人文件</w:t>
      </w:r>
    </w:p>
    <w:p w14:paraId="4378E2D3">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需要由承包人提供的文件，包括：</w:t>
      </w:r>
      <w:r>
        <w:rPr>
          <w:rFonts w:hint="eastAsia" w:ascii="宋体" w:hAnsi="宋体" w:cs="宋体"/>
          <w:color w:val="auto"/>
          <w:sz w:val="24"/>
          <w:szCs w:val="24"/>
          <w:highlight w:val="none"/>
          <w:u w:val="single"/>
          <w:lang w:bidi="ar"/>
        </w:rPr>
        <w:t>施工组织设计及方案、施工过程管控资料及相关会议纪要、联系函等文件</w:t>
      </w:r>
      <w:r>
        <w:rPr>
          <w:rFonts w:hint="eastAsia" w:ascii="宋体" w:hAnsi="宋体"/>
          <w:color w:val="auto"/>
          <w:sz w:val="24"/>
          <w:szCs w:val="24"/>
          <w:highlight w:val="none"/>
        </w:rPr>
        <w:t>；</w:t>
      </w:r>
    </w:p>
    <w:p w14:paraId="2FBF5EA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承包人提供的文件的期限为：</w:t>
      </w:r>
      <w:r>
        <w:rPr>
          <w:rFonts w:hint="eastAsia" w:ascii="宋体" w:hAnsi="宋体" w:cs="宋体"/>
          <w:color w:val="auto"/>
          <w:sz w:val="24"/>
          <w:szCs w:val="24"/>
          <w:highlight w:val="none"/>
          <w:u w:val="single"/>
          <w:lang w:bidi="ar"/>
        </w:rPr>
        <w:t>按基本要求</w:t>
      </w:r>
      <w:r>
        <w:rPr>
          <w:rFonts w:hint="eastAsia" w:ascii="宋体" w:hAnsi="宋体"/>
          <w:color w:val="auto"/>
          <w:sz w:val="24"/>
          <w:szCs w:val="24"/>
          <w:highlight w:val="none"/>
        </w:rPr>
        <w:t>；</w:t>
      </w:r>
    </w:p>
    <w:p w14:paraId="731A0B7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承包人提供的文件的数量为：</w:t>
      </w:r>
      <w:r>
        <w:rPr>
          <w:rFonts w:hint="eastAsia" w:ascii="宋体" w:hAnsi="宋体" w:cs="宋体"/>
          <w:color w:val="auto"/>
          <w:sz w:val="24"/>
          <w:szCs w:val="24"/>
          <w:highlight w:val="none"/>
          <w:u w:val="single"/>
          <w:lang w:bidi="ar"/>
        </w:rPr>
        <w:t>按基本要求</w:t>
      </w:r>
      <w:r>
        <w:rPr>
          <w:rFonts w:hint="eastAsia" w:ascii="宋体" w:hAnsi="宋体"/>
          <w:color w:val="auto"/>
          <w:sz w:val="24"/>
          <w:szCs w:val="24"/>
          <w:highlight w:val="none"/>
        </w:rPr>
        <w:t>；</w:t>
      </w:r>
    </w:p>
    <w:p w14:paraId="5126C1E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承包人提供的文件的形式为：</w:t>
      </w:r>
      <w:r>
        <w:rPr>
          <w:rFonts w:hint="eastAsia" w:ascii="宋体" w:hAnsi="宋体" w:cs="宋体"/>
          <w:color w:val="auto"/>
          <w:sz w:val="24"/>
          <w:szCs w:val="24"/>
          <w:highlight w:val="none"/>
          <w:u w:val="single"/>
          <w:lang w:bidi="ar"/>
        </w:rPr>
        <w:t>纸质</w:t>
      </w:r>
      <w:r>
        <w:rPr>
          <w:rFonts w:hint="eastAsia" w:ascii="宋体" w:hAnsi="宋体"/>
          <w:color w:val="auto"/>
          <w:sz w:val="24"/>
          <w:szCs w:val="24"/>
          <w:highlight w:val="none"/>
        </w:rPr>
        <w:t>；</w:t>
      </w:r>
    </w:p>
    <w:p w14:paraId="3291617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发包人审批承包人文件的期限：</w:t>
      </w:r>
      <w:r>
        <w:rPr>
          <w:rFonts w:hint="eastAsia" w:ascii="宋体" w:hAnsi="宋体" w:cs="宋体"/>
          <w:color w:val="auto"/>
          <w:sz w:val="24"/>
          <w:szCs w:val="24"/>
          <w:highlight w:val="none"/>
          <w:u w:val="single"/>
          <w:lang w:bidi="ar"/>
        </w:rPr>
        <w:t>七日内</w:t>
      </w:r>
      <w:r>
        <w:rPr>
          <w:rFonts w:hint="eastAsia" w:ascii="宋体" w:hAnsi="宋体"/>
          <w:color w:val="auto"/>
          <w:sz w:val="24"/>
          <w:szCs w:val="24"/>
          <w:highlight w:val="none"/>
        </w:rPr>
        <w:t>。</w:t>
      </w:r>
    </w:p>
    <w:p w14:paraId="5421397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1.6.5 现场图纸准备</w:t>
      </w:r>
    </w:p>
    <w:p w14:paraId="3EB9CDE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关于现场图纸准备的约定：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4A3F0002">
      <w:pPr>
        <w:spacing w:line="380" w:lineRule="exact"/>
        <w:ind w:firstLine="480" w:firstLineChars="200"/>
        <w:outlineLvl w:val="0"/>
        <w:rPr>
          <w:rFonts w:hint="eastAsia" w:ascii="宋体" w:hAnsi="宋体"/>
          <w:color w:val="auto"/>
          <w:sz w:val="24"/>
          <w:szCs w:val="24"/>
          <w:highlight w:val="none"/>
        </w:rPr>
      </w:pPr>
      <w:bookmarkStart w:id="596" w:name="_Toc9890"/>
      <w:bookmarkStart w:id="597" w:name="_Toc22565"/>
      <w:bookmarkStart w:id="598" w:name="_Toc22947"/>
      <w:bookmarkStart w:id="599" w:name="_Toc23676"/>
      <w:bookmarkStart w:id="600" w:name="_Toc32560"/>
      <w:bookmarkStart w:id="601" w:name="_Toc21272"/>
      <w:bookmarkStart w:id="602" w:name="_Toc2154"/>
      <w:r>
        <w:rPr>
          <w:rFonts w:hint="eastAsia" w:ascii="宋体" w:hAnsi="宋体"/>
          <w:color w:val="auto"/>
          <w:sz w:val="24"/>
          <w:szCs w:val="24"/>
          <w:highlight w:val="none"/>
        </w:rPr>
        <w:t>1.7 联络</w:t>
      </w:r>
      <w:bookmarkEnd w:id="596"/>
      <w:bookmarkEnd w:id="597"/>
      <w:bookmarkEnd w:id="598"/>
      <w:bookmarkEnd w:id="599"/>
      <w:bookmarkEnd w:id="600"/>
      <w:bookmarkEnd w:id="601"/>
      <w:bookmarkEnd w:id="602"/>
    </w:p>
    <w:p w14:paraId="181E10AF">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1.7.1发包人和承包人应当在</w:t>
      </w:r>
      <w:r>
        <w:rPr>
          <w:rFonts w:hint="eastAsia" w:ascii="宋体" w:hAnsi="宋体"/>
          <w:color w:val="auto"/>
          <w:sz w:val="24"/>
          <w:szCs w:val="24"/>
          <w:highlight w:val="none"/>
          <w:u w:val="single"/>
        </w:rPr>
        <w:t>7</w:t>
      </w:r>
      <w:r>
        <w:rPr>
          <w:rFonts w:hint="eastAsia" w:ascii="宋体" w:hAnsi="宋体"/>
          <w:color w:val="auto"/>
          <w:kern w:val="0"/>
          <w:sz w:val="24"/>
          <w:szCs w:val="24"/>
          <w:highlight w:val="none"/>
        </w:rPr>
        <w:t>天内将与合同有关的通知、批准、证明、证书、指示、指令、要求、请求、同意、意见、确定和决定等书面函件送达对方当事人。</w:t>
      </w:r>
    </w:p>
    <w:p w14:paraId="437D7D7A">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1.7.2 发包人接收文件的地点：</w:t>
      </w:r>
      <w:r>
        <w:rPr>
          <w:rFonts w:hint="eastAsia" w:ascii="宋体" w:hAnsi="宋体"/>
          <w:color w:val="auto"/>
          <w:sz w:val="24"/>
          <w:szCs w:val="24"/>
          <w:highlight w:val="none"/>
          <w:u w:val="single"/>
          <w:lang w:val="zh-TW" w:eastAsia="zh-TW"/>
        </w:rPr>
        <w:t>发包人办公地点</w:t>
      </w:r>
      <w:r>
        <w:rPr>
          <w:rFonts w:hint="eastAsia" w:ascii="宋体" w:hAnsi="宋体"/>
          <w:color w:val="auto"/>
          <w:kern w:val="0"/>
          <w:sz w:val="24"/>
          <w:szCs w:val="24"/>
          <w:highlight w:val="none"/>
        </w:rPr>
        <w:t>；</w:t>
      </w:r>
    </w:p>
    <w:p w14:paraId="7E4E32C7">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发包人指定的接收人为：</w:t>
      </w:r>
      <w:r>
        <w:rPr>
          <w:rFonts w:hint="eastAsia" w:ascii="宋体" w:hAnsi="宋体"/>
          <w:color w:val="auto"/>
          <w:sz w:val="24"/>
          <w:szCs w:val="24"/>
          <w:highlight w:val="none"/>
          <w:u w:val="single"/>
          <w:lang w:val="zh-TW" w:eastAsia="zh-TW"/>
        </w:rPr>
        <w:t>发包人代表</w:t>
      </w:r>
      <w:r>
        <w:rPr>
          <w:rFonts w:hint="eastAsia" w:ascii="宋体" w:hAnsi="宋体"/>
          <w:color w:val="auto"/>
          <w:kern w:val="0"/>
          <w:sz w:val="24"/>
          <w:szCs w:val="24"/>
          <w:highlight w:val="none"/>
        </w:rPr>
        <w:t>。</w:t>
      </w:r>
    </w:p>
    <w:p w14:paraId="6E20AB37">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承包人接收文件的地点：</w:t>
      </w:r>
      <w:r>
        <w:rPr>
          <w:rFonts w:hint="eastAsia" w:ascii="宋体" w:hAnsi="宋体"/>
          <w:color w:val="auto"/>
          <w:sz w:val="24"/>
          <w:szCs w:val="24"/>
          <w:highlight w:val="none"/>
          <w:u w:val="single"/>
          <w:lang w:val="zh-TW" w:eastAsia="zh-TW"/>
        </w:rPr>
        <w:t>承包人工程项目部</w:t>
      </w:r>
      <w:r>
        <w:rPr>
          <w:rFonts w:hint="eastAsia" w:ascii="宋体" w:hAnsi="宋体"/>
          <w:color w:val="auto"/>
          <w:kern w:val="0"/>
          <w:sz w:val="24"/>
          <w:szCs w:val="24"/>
          <w:highlight w:val="none"/>
        </w:rPr>
        <w:t>；</w:t>
      </w:r>
    </w:p>
    <w:p w14:paraId="21D895E5">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承包人指定的接收人为：</w:t>
      </w:r>
      <w:r>
        <w:rPr>
          <w:rFonts w:hint="eastAsia" w:ascii="宋体" w:hAnsi="宋体"/>
          <w:color w:val="auto"/>
          <w:sz w:val="24"/>
          <w:szCs w:val="24"/>
          <w:highlight w:val="none"/>
          <w:u w:val="single"/>
          <w:lang w:val="zh-TW" w:eastAsia="zh-TW"/>
        </w:rPr>
        <w:t>项目经理</w:t>
      </w:r>
      <w:r>
        <w:rPr>
          <w:rFonts w:hint="eastAsia" w:ascii="宋体" w:hAnsi="宋体"/>
          <w:color w:val="auto"/>
          <w:kern w:val="0"/>
          <w:sz w:val="24"/>
          <w:szCs w:val="24"/>
          <w:highlight w:val="none"/>
        </w:rPr>
        <w:t>。</w:t>
      </w:r>
    </w:p>
    <w:p w14:paraId="62316763">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监理人接收文件的地点：</w:t>
      </w:r>
      <w:r>
        <w:rPr>
          <w:rFonts w:hint="eastAsia" w:ascii="宋体" w:hAnsi="宋体"/>
          <w:color w:val="auto"/>
          <w:sz w:val="24"/>
          <w:szCs w:val="24"/>
          <w:highlight w:val="none"/>
          <w:u w:val="single"/>
          <w:lang w:val="zh-TW" w:eastAsia="zh-TW"/>
        </w:rPr>
        <w:t>监理项目部</w:t>
      </w:r>
      <w:r>
        <w:rPr>
          <w:rFonts w:hint="eastAsia" w:ascii="宋体" w:hAnsi="宋体"/>
          <w:color w:val="auto"/>
          <w:kern w:val="0"/>
          <w:sz w:val="24"/>
          <w:szCs w:val="24"/>
          <w:highlight w:val="none"/>
        </w:rPr>
        <w:t>；</w:t>
      </w:r>
    </w:p>
    <w:p w14:paraId="7E6C2B7E">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监理人指定的接收人为：</w:t>
      </w:r>
      <w:r>
        <w:rPr>
          <w:rFonts w:hint="eastAsia" w:ascii="宋体" w:hAnsi="宋体"/>
          <w:color w:val="auto"/>
          <w:sz w:val="24"/>
          <w:szCs w:val="24"/>
          <w:highlight w:val="none"/>
          <w:u w:val="single"/>
          <w:lang w:val="zh-TW" w:eastAsia="zh-TW"/>
        </w:rPr>
        <w:t>项目总监</w:t>
      </w:r>
      <w:r>
        <w:rPr>
          <w:rFonts w:hint="eastAsia" w:ascii="宋体" w:hAnsi="宋体"/>
          <w:color w:val="auto"/>
          <w:kern w:val="0"/>
          <w:sz w:val="24"/>
          <w:szCs w:val="24"/>
          <w:highlight w:val="none"/>
        </w:rPr>
        <w:t>。</w:t>
      </w:r>
    </w:p>
    <w:p w14:paraId="0FE58C52">
      <w:pPr>
        <w:spacing w:line="380" w:lineRule="exact"/>
        <w:ind w:firstLine="480" w:firstLineChars="200"/>
        <w:outlineLvl w:val="0"/>
        <w:rPr>
          <w:rFonts w:hint="eastAsia" w:ascii="宋体" w:hAnsi="宋体"/>
          <w:color w:val="auto"/>
          <w:sz w:val="24"/>
          <w:szCs w:val="24"/>
          <w:highlight w:val="none"/>
        </w:rPr>
      </w:pPr>
      <w:bookmarkStart w:id="603" w:name="_Toc2508"/>
      <w:bookmarkStart w:id="604" w:name="_Toc19893"/>
      <w:bookmarkStart w:id="605" w:name="_Toc9600"/>
      <w:bookmarkStart w:id="606" w:name="_Toc19491"/>
      <w:bookmarkStart w:id="607" w:name="_Toc25614"/>
      <w:bookmarkStart w:id="608" w:name="_Toc21604"/>
      <w:bookmarkStart w:id="609" w:name="_Toc7819"/>
      <w:r>
        <w:rPr>
          <w:rFonts w:hint="eastAsia" w:ascii="宋体" w:hAnsi="宋体"/>
          <w:color w:val="auto"/>
          <w:sz w:val="24"/>
          <w:szCs w:val="24"/>
          <w:highlight w:val="none"/>
        </w:rPr>
        <w:t>1.10 交通运输</w:t>
      </w:r>
      <w:bookmarkEnd w:id="603"/>
      <w:bookmarkEnd w:id="604"/>
      <w:bookmarkEnd w:id="605"/>
      <w:bookmarkEnd w:id="606"/>
      <w:bookmarkEnd w:id="607"/>
      <w:bookmarkEnd w:id="608"/>
      <w:bookmarkEnd w:id="609"/>
    </w:p>
    <w:p w14:paraId="365E1B3D">
      <w:pPr>
        <w:spacing w:line="380" w:lineRule="exact"/>
        <w:ind w:firstLine="480" w:firstLineChars="200"/>
        <w:outlineLvl w:val="0"/>
        <w:rPr>
          <w:rFonts w:hint="eastAsia" w:ascii="宋体" w:hAnsi="宋体"/>
          <w:color w:val="auto"/>
          <w:sz w:val="24"/>
          <w:szCs w:val="24"/>
          <w:highlight w:val="none"/>
        </w:rPr>
      </w:pPr>
      <w:bookmarkStart w:id="610" w:name="_Toc14855"/>
      <w:bookmarkStart w:id="611" w:name="_Toc21983"/>
      <w:bookmarkStart w:id="612" w:name="_Toc29818"/>
      <w:bookmarkStart w:id="613" w:name="_Toc26127"/>
      <w:bookmarkStart w:id="614" w:name="_Toc23966"/>
      <w:bookmarkStart w:id="615" w:name="_Toc14894"/>
      <w:bookmarkStart w:id="616" w:name="_Toc7381"/>
      <w:r>
        <w:rPr>
          <w:rFonts w:hint="eastAsia" w:ascii="宋体" w:hAnsi="宋体"/>
          <w:color w:val="auto"/>
          <w:sz w:val="24"/>
          <w:szCs w:val="24"/>
          <w:highlight w:val="none"/>
        </w:rPr>
        <w:t>1</w:t>
      </w:r>
      <w:bookmarkStart w:id="617" w:name="_Toc300934943"/>
      <w:bookmarkStart w:id="618" w:name="_Toc318581155"/>
      <w:bookmarkStart w:id="619" w:name="_Toc304295521"/>
      <w:bookmarkStart w:id="620" w:name="_Toc312677986"/>
      <w:bookmarkStart w:id="621" w:name="_Toc303539100"/>
      <w:r>
        <w:rPr>
          <w:rFonts w:hint="eastAsia" w:ascii="宋体" w:hAnsi="宋体"/>
          <w:color w:val="auto"/>
          <w:sz w:val="24"/>
          <w:szCs w:val="24"/>
          <w:highlight w:val="none"/>
        </w:rPr>
        <w:t>.10.1 出入现场的权利</w:t>
      </w:r>
      <w:bookmarkEnd w:id="610"/>
      <w:bookmarkEnd w:id="611"/>
      <w:bookmarkEnd w:id="612"/>
      <w:bookmarkEnd w:id="613"/>
      <w:bookmarkEnd w:id="614"/>
      <w:bookmarkEnd w:id="615"/>
      <w:bookmarkEnd w:id="616"/>
    </w:p>
    <w:p w14:paraId="52526D4F">
      <w:pPr>
        <w:spacing w:line="38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关于出入现场的权利的约定：</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bookmarkEnd w:id="617"/>
    <w:bookmarkEnd w:id="618"/>
    <w:bookmarkEnd w:id="619"/>
    <w:bookmarkEnd w:id="620"/>
    <w:bookmarkEnd w:id="621"/>
    <w:p w14:paraId="5533B939">
      <w:pPr>
        <w:spacing w:line="380" w:lineRule="exact"/>
        <w:ind w:firstLine="480" w:firstLineChars="200"/>
        <w:jc w:val="left"/>
        <w:outlineLvl w:val="0"/>
        <w:rPr>
          <w:rFonts w:hint="eastAsia" w:ascii="宋体" w:hAnsi="宋体"/>
          <w:color w:val="auto"/>
          <w:sz w:val="24"/>
          <w:szCs w:val="24"/>
          <w:highlight w:val="none"/>
        </w:rPr>
      </w:pPr>
      <w:bookmarkStart w:id="622" w:name="_Toc10776"/>
      <w:bookmarkStart w:id="623" w:name="_Toc9751"/>
      <w:bookmarkStart w:id="624" w:name="_Toc32733"/>
      <w:bookmarkStart w:id="625" w:name="_Toc9547"/>
      <w:bookmarkStart w:id="626" w:name="_Toc29938"/>
      <w:bookmarkStart w:id="627" w:name="_Toc22632"/>
      <w:bookmarkStart w:id="628" w:name="_Toc26942"/>
      <w:r>
        <w:rPr>
          <w:rFonts w:hint="eastAsia" w:ascii="宋体" w:hAnsi="宋体"/>
          <w:color w:val="auto"/>
          <w:sz w:val="24"/>
          <w:szCs w:val="24"/>
          <w:highlight w:val="none"/>
        </w:rPr>
        <w:t>1</w:t>
      </w:r>
      <w:bookmarkStart w:id="629" w:name="_Toc318581156"/>
      <w:bookmarkStart w:id="630" w:name="_Toc304295522"/>
      <w:bookmarkStart w:id="631" w:name="_Toc300934944"/>
      <w:bookmarkStart w:id="632" w:name="_Toc303539101"/>
      <w:bookmarkStart w:id="633" w:name="_Toc312677987"/>
      <w:r>
        <w:rPr>
          <w:rFonts w:hint="eastAsia" w:ascii="宋体" w:hAnsi="宋体"/>
          <w:color w:val="auto"/>
          <w:sz w:val="24"/>
          <w:szCs w:val="24"/>
          <w:highlight w:val="none"/>
        </w:rPr>
        <w:t>.10.3 场内交通</w:t>
      </w:r>
      <w:bookmarkEnd w:id="622"/>
      <w:bookmarkEnd w:id="623"/>
      <w:bookmarkEnd w:id="624"/>
      <w:bookmarkEnd w:id="625"/>
      <w:bookmarkEnd w:id="626"/>
      <w:bookmarkEnd w:id="627"/>
      <w:bookmarkEnd w:id="628"/>
    </w:p>
    <w:p w14:paraId="1F8AE135">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关于场外交通和场内交通的边界的约定：</w:t>
      </w:r>
      <w:r>
        <w:rPr>
          <w:rFonts w:hint="eastAsia" w:ascii="宋体" w:hAnsi="宋体" w:cs="宋体"/>
          <w:color w:val="auto"/>
          <w:sz w:val="24"/>
          <w:szCs w:val="24"/>
          <w:highlight w:val="none"/>
          <w:u w:val="single"/>
          <w:lang w:bidi="ar"/>
        </w:rPr>
        <w:t>发包人根据施工需要，负责取得出入施工现场所需的批准手续和全部权利</w:t>
      </w:r>
      <w:r>
        <w:rPr>
          <w:rFonts w:hint="eastAsia" w:ascii="宋体" w:hAnsi="宋体"/>
          <w:color w:val="auto"/>
          <w:sz w:val="24"/>
          <w:szCs w:val="24"/>
          <w:highlight w:val="none"/>
        </w:rPr>
        <w:t>。</w:t>
      </w:r>
    </w:p>
    <w:p w14:paraId="22848481">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关于发包人向承包人免费提供满足工程施工需要的场内道路和交通设施的约定：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bookmarkEnd w:id="629"/>
      <w:bookmarkEnd w:id="630"/>
      <w:bookmarkEnd w:id="631"/>
      <w:bookmarkEnd w:id="632"/>
      <w:bookmarkEnd w:id="633"/>
      <w:bookmarkStart w:id="634" w:name="_Toc318581157"/>
    </w:p>
    <w:p w14:paraId="6A0FE7DB">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1.10.4超大件和超重件的运输</w:t>
      </w:r>
    </w:p>
    <w:p w14:paraId="3A69F604">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运输超大件或超重件所需的道路和桥梁临时加固改造费用和其他有关费用由</w:t>
      </w:r>
      <w:r>
        <w:rPr>
          <w:rFonts w:hint="eastAsia" w:ascii="宋体" w:hAnsi="宋体" w:cs="宋体"/>
          <w:color w:val="auto"/>
          <w:sz w:val="24"/>
          <w:szCs w:val="24"/>
          <w:highlight w:val="none"/>
          <w:u w:val="single"/>
          <w:lang w:bidi="ar"/>
        </w:rPr>
        <w:t>承包人</w:t>
      </w:r>
      <w:r>
        <w:rPr>
          <w:rFonts w:hint="eastAsia" w:ascii="宋体" w:hAnsi="宋体"/>
          <w:color w:val="auto"/>
          <w:sz w:val="24"/>
          <w:szCs w:val="24"/>
          <w:highlight w:val="none"/>
        </w:rPr>
        <w:t>承担。</w:t>
      </w:r>
    </w:p>
    <w:bookmarkEnd w:id="634"/>
    <w:p w14:paraId="0FE3F88C">
      <w:pPr>
        <w:spacing w:line="380" w:lineRule="exact"/>
        <w:ind w:firstLine="480" w:firstLineChars="200"/>
        <w:outlineLvl w:val="0"/>
        <w:rPr>
          <w:rFonts w:hint="eastAsia" w:ascii="宋体" w:hAnsi="宋体"/>
          <w:color w:val="auto"/>
          <w:sz w:val="24"/>
          <w:szCs w:val="24"/>
          <w:highlight w:val="none"/>
        </w:rPr>
      </w:pPr>
      <w:bookmarkStart w:id="635" w:name="_Toc11496"/>
      <w:bookmarkStart w:id="636" w:name="_Toc31852"/>
      <w:bookmarkStart w:id="637" w:name="_Toc5804"/>
      <w:bookmarkStart w:id="638" w:name="_Toc3388"/>
      <w:bookmarkStart w:id="639" w:name="_Toc20355"/>
      <w:bookmarkStart w:id="640" w:name="_Toc15146"/>
      <w:bookmarkStart w:id="641" w:name="_Toc32393"/>
      <w:r>
        <w:rPr>
          <w:rFonts w:hint="eastAsia" w:ascii="宋体" w:hAnsi="宋体"/>
          <w:color w:val="auto"/>
          <w:sz w:val="24"/>
          <w:szCs w:val="24"/>
          <w:highlight w:val="none"/>
        </w:rPr>
        <w:t>1.11 知识产权</w:t>
      </w:r>
      <w:bookmarkEnd w:id="635"/>
      <w:bookmarkEnd w:id="636"/>
      <w:bookmarkEnd w:id="637"/>
      <w:bookmarkEnd w:id="638"/>
      <w:bookmarkEnd w:id="639"/>
      <w:bookmarkEnd w:id="640"/>
      <w:bookmarkEnd w:id="641"/>
    </w:p>
    <w:p w14:paraId="741583D6">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sz w:val="24"/>
          <w:szCs w:val="24"/>
          <w:highlight w:val="none"/>
          <w:u w:val="single"/>
          <w:lang w:bidi="ar"/>
        </w:rPr>
        <w:t>发包人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1909780">
      <w:pPr>
        <w:spacing w:line="38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关于发包人提供的上述文件的使用限制的要求：</w:t>
      </w:r>
      <w:r>
        <w:rPr>
          <w:rFonts w:hint="eastAsia" w:ascii="宋体" w:hAnsi="宋体" w:cs="宋体"/>
          <w:color w:val="auto"/>
          <w:sz w:val="24"/>
          <w:szCs w:val="24"/>
          <w:highlight w:val="none"/>
          <w:u w:val="single"/>
          <w:lang w:bidi="ar"/>
        </w:rPr>
        <w:t>不得转给任何第三方</w:t>
      </w:r>
      <w:r>
        <w:rPr>
          <w:rFonts w:hint="eastAsia" w:ascii="宋体" w:hAnsi="宋体"/>
          <w:color w:val="auto"/>
          <w:sz w:val="24"/>
          <w:szCs w:val="24"/>
          <w:highlight w:val="none"/>
        </w:rPr>
        <w:t>。</w:t>
      </w:r>
    </w:p>
    <w:p w14:paraId="48A13B0C">
      <w:pPr>
        <w:spacing w:line="380" w:lineRule="exact"/>
        <w:ind w:firstLine="482"/>
        <w:outlineLvl w:val="0"/>
        <w:rPr>
          <w:rFonts w:hint="eastAsia" w:ascii="宋体" w:hAnsi="宋体"/>
          <w:color w:val="auto"/>
          <w:sz w:val="24"/>
          <w:szCs w:val="24"/>
          <w:highlight w:val="none"/>
        </w:rPr>
      </w:pPr>
      <w:bookmarkStart w:id="642" w:name="_Toc32369"/>
      <w:bookmarkStart w:id="643" w:name="_Toc16189"/>
      <w:bookmarkStart w:id="644" w:name="_Toc6771"/>
      <w:bookmarkStart w:id="645" w:name="_Toc23892"/>
      <w:bookmarkStart w:id="646" w:name="_Toc22778"/>
      <w:bookmarkStart w:id="647" w:name="_Toc4949"/>
      <w:bookmarkStart w:id="648" w:name="_Toc14221"/>
      <w:r>
        <w:rPr>
          <w:rFonts w:hint="eastAsia" w:ascii="宋体" w:hAnsi="宋体"/>
          <w:color w:val="auto"/>
          <w:sz w:val="24"/>
          <w:szCs w:val="24"/>
          <w:highlight w:val="none"/>
        </w:rPr>
        <w:t>1.11.2 关于承包人为实施工程所编制文件的著作权的归属：</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bookmarkEnd w:id="642"/>
      <w:bookmarkEnd w:id="643"/>
      <w:bookmarkEnd w:id="644"/>
      <w:bookmarkEnd w:id="645"/>
      <w:bookmarkEnd w:id="646"/>
      <w:bookmarkEnd w:id="647"/>
      <w:bookmarkEnd w:id="648"/>
    </w:p>
    <w:p w14:paraId="653E6F0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关于承包人提供的上述文件的使用限制的要求：</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6ECFF2D6">
      <w:pPr>
        <w:spacing w:line="380" w:lineRule="exact"/>
        <w:ind w:firstLine="480" w:firstLineChars="200"/>
        <w:outlineLvl w:val="0"/>
        <w:rPr>
          <w:rFonts w:hint="eastAsia" w:ascii="宋体" w:hAnsi="宋体"/>
          <w:color w:val="auto"/>
          <w:kern w:val="0"/>
          <w:sz w:val="24"/>
          <w:szCs w:val="24"/>
          <w:highlight w:val="none"/>
        </w:rPr>
      </w:pPr>
      <w:bookmarkStart w:id="649" w:name="_Toc32767"/>
      <w:bookmarkStart w:id="650" w:name="_Toc19647"/>
      <w:bookmarkStart w:id="651" w:name="_Toc12165"/>
      <w:bookmarkStart w:id="652" w:name="_Toc18009"/>
      <w:bookmarkStart w:id="653" w:name="_Toc19620"/>
      <w:bookmarkStart w:id="654" w:name="_Toc19030"/>
      <w:bookmarkStart w:id="655" w:name="_Toc20088"/>
      <w:r>
        <w:rPr>
          <w:rFonts w:hint="eastAsia" w:ascii="宋体" w:hAnsi="宋体"/>
          <w:color w:val="auto"/>
          <w:sz w:val="24"/>
          <w:szCs w:val="24"/>
          <w:highlight w:val="none"/>
        </w:rPr>
        <w:t>1.11.4 承包人在施工过程中所采用的专利、专有技术、技术秘密的使用费的承担方式：</w:t>
      </w:r>
      <w:r>
        <w:rPr>
          <w:rFonts w:hint="eastAsia" w:ascii="宋体" w:hAnsi="宋体"/>
          <w:color w:val="auto"/>
          <w:sz w:val="24"/>
          <w:szCs w:val="24"/>
          <w:highlight w:val="none"/>
          <w:u w:val="single"/>
        </w:rPr>
        <w:t xml:space="preserve">/     </w:t>
      </w:r>
      <w:r>
        <w:rPr>
          <w:rFonts w:hint="eastAsia" w:ascii="宋体" w:hAnsi="宋体"/>
          <w:color w:val="auto"/>
          <w:kern w:val="0"/>
          <w:sz w:val="24"/>
          <w:szCs w:val="24"/>
          <w:highlight w:val="none"/>
        </w:rPr>
        <w:t>。</w:t>
      </w:r>
      <w:bookmarkEnd w:id="649"/>
      <w:bookmarkEnd w:id="650"/>
      <w:bookmarkEnd w:id="651"/>
      <w:bookmarkEnd w:id="652"/>
      <w:bookmarkEnd w:id="653"/>
      <w:bookmarkEnd w:id="654"/>
      <w:bookmarkEnd w:id="655"/>
    </w:p>
    <w:p w14:paraId="358A906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1.13工程量清单错误的修正</w:t>
      </w:r>
    </w:p>
    <w:p w14:paraId="40EF297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出现工程量清单错误时，是否调整合同价格：</w:t>
      </w:r>
      <w:r>
        <w:rPr>
          <w:rFonts w:hint="eastAsia" w:ascii="宋体" w:hAnsi="宋体"/>
          <w:color w:val="auto"/>
          <w:sz w:val="24"/>
          <w:szCs w:val="24"/>
          <w:highlight w:val="none"/>
          <w:u w:val="single"/>
        </w:rPr>
        <w:t xml:space="preserve"> 是  </w:t>
      </w:r>
      <w:r>
        <w:rPr>
          <w:rFonts w:hint="eastAsia" w:ascii="宋体" w:hAnsi="宋体"/>
          <w:color w:val="auto"/>
          <w:kern w:val="0"/>
          <w:sz w:val="24"/>
          <w:szCs w:val="24"/>
          <w:highlight w:val="none"/>
        </w:rPr>
        <w:t>。</w:t>
      </w:r>
    </w:p>
    <w:p w14:paraId="7608BD1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允许调整合同价格的工程量偏差范围：</w:t>
      </w:r>
      <w:r>
        <w:rPr>
          <w:rFonts w:hint="eastAsia" w:ascii="宋体" w:hAnsi="宋体"/>
          <w:color w:val="auto"/>
          <w:sz w:val="24"/>
          <w:szCs w:val="24"/>
          <w:highlight w:val="none"/>
          <w:u w:val="single"/>
        </w:rPr>
        <w:t>(1)</w:t>
      </w:r>
      <w:r>
        <w:rPr>
          <w:rFonts w:hint="eastAsia" w:ascii="宋体" w:hAnsi="宋体"/>
          <w:color w:val="auto"/>
          <w:sz w:val="24"/>
          <w:szCs w:val="24"/>
          <w:highlight w:val="none"/>
          <w:u w:val="single"/>
          <w:lang w:val="zh-TW" w:eastAsia="zh-TW"/>
        </w:rPr>
        <w:t>工程结算时：</w:t>
      </w:r>
      <w:r>
        <w:rPr>
          <w:rFonts w:hint="eastAsia" w:ascii="宋体" w:hAnsi="宋体"/>
          <w:color w:val="auto"/>
          <w:sz w:val="24"/>
          <w:szCs w:val="24"/>
          <w:highlight w:val="none"/>
          <w:u w:val="single"/>
        </w:rPr>
        <w:t>1</w:t>
      </w:r>
      <w:r>
        <w:rPr>
          <w:rFonts w:hint="eastAsia" w:ascii="宋体" w:hAnsi="宋体"/>
          <w:color w:val="auto"/>
          <w:sz w:val="24"/>
          <w:szCs w:val="24"/>
          <w:highlight w:val="none"/>
          <w:u w:val="single"/>
          <w:lang w:val="zh-TW" w:eastAsia="zh-TW"/>
        </w:rPr>
        <w:t>、当工程量清单中所列的工程量与实际完成工程量不符或由于设计变更引起工程量增减时，</w:t>
      </w:r>
      <w:r>
        <w:rPr>
          <w:rFonts w:hint="eastAsia" w:ascii="宋体" w:hAnsi="宋体"/>
          <w:color w:val="auto"/>
          <w:sz w:val="24"/>
          <w:szCs w:val="24"/>
          <w:highlight w:val="none"/>
          <w:u w:val="single"/>
        </w:rPr>
        <w:t>1</w:t>
      </w:r>
      <w:r>
        <w:rPr>
          <w:rFonts w:hint="eastAsia" w:ascii="宋体" w:hAnsi="宋体"/>
          <w:color w:val="auto"/>
          <w:sz w:val="24"/>
          <w:szCs w:val="24"/>
          <w:highlight w:val="none"/>
          <w:u w:val="single"/>
          <w:lang w:val="zh-TW" w:eastAsia="zh-TW"/>
        </w:rPr>
        <w:t>）、工程量增加幅度在</w:t>
      </w:r>
      <w:r>
        <w:rPr>
          <w:rFonts w:hint="eastAsia" w:ascii="宋体" w:hAnsi="宋体"/>
          <w:color w:val="auto"/>
          <w:sz w:val="24"/>
          <w:szCs w:val="24"/>
          <w:highlight w:val="none"/>
          <w:u w:val="single"/>
        </w:rPr>
        <w:t>10</w:t>
      </w:r>
      <w:r>
        <w:rPr>
          <w:rFonts w:hint="eastAsia" w:ascii="宋体" w:hAnsi="宋体"/>
          <w:color w:val="auto"/>
          <w:sz w:val="24"/>
          <w:szCs w:val="24"/>
          <w:highlight w:val="none"/>
          <w:u w:val="single"/>
          <w:lang w:val="zh-TW" w:eastAsia="zh-TW"/>
        </w:rPr>
        <w:t>％以内（包括</w:t>
      </w:r>
      <w:r>
        <w:rPr>
          <w:rFonts w:hint="eastAsia" w:ascii="宋体" w:hAnsi="宋体"/>
          <w:color w:val="auto"/>
          <w:sz w:val="24"/>
          <w:szCs w:val="24"/>
          <w:highlight w:val="none"/>
          <w:u w:val="single"/>
        </w:rPr>
        <w:t>10%</w:t>
      </w:r>
      <w:r>
        <w:rPr>
          <w:rFonts w:hint="eastAsia" w:ascii="宋体" w:hAnsi="宋体"/>
          <w:color w:val="auto"/>
          <w:sz w:val="24"/>
          <w:szCs w:val="24"/>
          <w:highlight w:val="none"/>
          <w:u w:val="single"/>
          <w:lang w:val="zh-TW" w:eastAsia="zh-TW"/>
        </w:rPr>
        <w:t>）按原综合单价结算，工程量据实调整；</w:t>
      </w:r>
      <w:r>
        <w:rPr>
          <w:rFonts w:hint="eastAsia" w:ascii="宋体" w:hAnsi="宋体"/>
          <w:color w:val="auto"/>
          <w:sz w:val="24"/>
          <w:szCs w:val="24"/>
          <w:highlight w:val="none"/>
          <w:u w:val="single"/>
        </w:rPr>
        <w:t>2</w:t>
      </w:r>
      <w:r>
        <w:rPr>
          <w:rFonts w:hint="eastAsia" w:ascii="宋体" w:hAnsi="宋体"/>
          <w:color w:val="auto"/>
          <w:sz w:val="24"/>
          <w:szCs w:val="24"/>
          <w:highlight w:val="none"/>
          <w:u w:val="single"/>
          <w:lang w:val="zh-TW" w:eastAsia="zh-TW"/>
        </w:rPr>
        <w:t>）、工程量增加幅度在</w:t>
      </w:r>
      <w:r>
        <w:rPr>
          <w:rFonts w:hint="eastAsia" w:ascii="宋体" w:hAnsi="宋体"/>
          <w:color w:val="auto"/>
          <w:sz w:val="24"/>
          <w:szCs w:val="24"/>
          <w:highlight w:val="none"/>
          <w:u w:val="single"/>
        </w:rPr>
        <w:t>10</w:t>
      </w:r>
      <w:r>
        <w:rPr>
          <w:rFonts w:hint="eastAsia" w:ascii="宋体" w:hAnsi="宋体"/>
          <w:color w:val="auto"/>
          <w:sz w:val="24"/>
          <w:szCs w:val="24"/>
          <w:highlight w:val="none"/>
          <w:u w:val="single"/>
          <w:lang w:val="zh-TW" w:eastAsia="zh-TW"/>
        </w:rPr>
        <w:t>％以上的部分可以调整综合单价；</w:t>
      </w:r>
      <w:r>
        <w:rPr>
          <w:rFonts w:hint="eastAsia" w:ascii="宋体" w:hAnsi="宋体"/>
          <w:color w:val="auto"/>
          <w:sz w:val="24"/>
          <w:szCs w:val="24"/>
          <w:highlight w:val="none"/>
          <w:u w:val="single"/>
        </w:rPr>
        <w:t>3</w:t>
      </w:r>
      <w:r>
        <w:rPr>
          <w:rFonts w:hint="eastAsia" w:ascii="宋体" w:hAnsi="宋体"/>
          <w:color w:val="auto"/>
          <w:sz w:val="24"/>
          <w:szCs w:val="24"/>
          <w:highlight w:val="none"/>
          <w:u w:val="single"/>
          <w:lang w:val="zh-TW" w:eastAsia="zh-TW"/>
        </w:rPr>
        <w:t>）工程量减少时按原单价扣除，工程量据实调整。</w:t>
      </w:r>
      <w:r>
        <w:rPr>
          <w:rFonts w:hint="eastAsia" w:ascii="宋体" w:hAnsi="宋体"/>
          <w:color w:val="auto"/>
          <w:sz w:val="24"/>
          <w:szCs w:val="24"/>
          <w:highlight w:val="none"/>
          <w:u w:val="single"/>
        </w:rPr>
        <w:t>(2)</w:t>
      </w:r>
      <w:r>
        <w:rPr>
          <w:rFonts w:hint="eastAsia" w:ascii="宋体" w:hAnsi="宋体"/>
          <w:color w:val="auto"/>
          <w:sz w:val="24"/>
          <w:szCs w:val="24"/>
          <w:highlight w:val="none"/>
          <w:u w:val="single"/>
          <w:lang w:val="zh-TW" w:eastAsia="zh-TW"/>
        </w:rPr>
        <w:t>、工程变更调整：非承包人原因的工程量变更，造成增加新的工程清单项目，对应的综合单价按以下方法确定：</w:t>
      </w:r>
      <w:r>
        <w:rPr>
          <w:rFonts w:hint="eastAsia" w:ascii="宋体" w:hAnsi="宋体"/>
          <w:color w:val="auto"/>
          <w:sz w:val="24"/>
          <w:szCs w:val="24"/>
          <w:highlight w:val="none"/>
          <w:u w:val="single"/>
        </w:rPr>
        <w:t>①</w:t>
      </w:r>
      <w:r>
        <w:rPr>
          <w:rFonts w:hint="eastAsia" w:ascii="宋体" w:hAnsi="宋体"/>
          <w:color w:val="auto"/>
          <w:sz w:val="24"/>
          <w:szCs w:val="24"/>
          <w:highlight w:val="none"/>
          <w:u w:val="single"/>
          <w:lang w:val="zh-TW" w:eastAsia="zh-TW"/>
        </w:rPr>
        <w:t>工程量清单中已有适用的综合单价，按已有的综合单价确定；</w:t>
      </w:r>
      <w:r>
        <w:rPr>
          <w:rFonts w:hint="eastAsia" w:ascii="宋体" w:hAnsi="宋体"/>
          <w:color w:val="auto"/>
          <w:sz w:val="24"/>
          <w:szCs w:val="24"/>
          <w:highlight w:val="none"/>
          <w:u w:val="single"/>
        </w:rPr>
        <w:t>②</w:t>
      </w:r>
      <w:r>
        <w:rPr>
          <w:rFonts w:hint="eastAsia" w:ascii="宋体" w:hAnsi="宋体"/>
          <w:color w:val="auto"/>
          <w:sz w:val="24"/>
          <w:szCs w:val="24"/>
          <w:highlight w:val="none"/>
          <w:u w:val="single"/>
          <w:lang w:val="zh-TW" w:eastAsia="zh-TW"/>
        </w:rPr>
        <w:t>工程量清单中有类似的综合单价，按类似的综合单价确定；</w:t>
      </w:r>
      <w:r>
        <w:rPr>
          <w:rFonts w:hint="eastAsia" w:ascii="宋体" w:hAnsi="宋体"/>
          <w:color w:val="auto"/>
          <w:sz w:val="24"/>
          <w:szCs w:val="24"/>
          <w:highlight w:val="none"/>
          <w:u w:val="single"/>
        </w:rPr>
        <w:t>③</w:t>
      </w:r>
      <w:r>
        <w:rPr>
          <w:rFonts w:hint="eastAsia" w:ascii="宋体" w:hAnsi="宋体"/>
          <w:color w:val="auto"/>
          <w:sz w:val="24"/>
          <w:szCs w:val="24"/>
          <w:highlight w:val="none"/>
          <w:u w:val="single"/>
          <w:lang w:val="zh-TW" w:eastAsia="zh-TW"/>
        </w:rPr>
        <w:t>中标工程量清单中没有适用或类似的综合单价，按</w:t>
      </w:r>
      <w:r>
        <w:rPr>
          <w:rFonts w:hint="eastAsia" w:ascii="宋体" w:hAnsi="宋体"/>
          <w:color w:val="auto"/>
          <w:sz w:val="24"/>
          <w:szCs w:val="24"/>
          <w:highlight w:val="none"/>
          <w:u w:val="single"/>
          <w:lang w:val="zh-TW" w:eastAsia="zh-CN"/>
        </w:rPr>
        <w:t>《建设工程工程量清单计价标准》</w:t>
      </w:r>
      <w:r>
        <w:rPr>
          <w:rFonts w:hint="eastAsia" w:ascii="宋体" w:hAnsi="宋体"/>
          <w:color w:val="auto"/>
          <w:sz w:val="24"/>
          <w:szCs w:val="24"/>
          <w:highlight w:val="none"/>
          <w:u w:val="single"/>
          <w:lang w:val="zh-TW" w:eastAsia="zh-TW"/>
        </w:rPr>
        <w:t>（</w:t>
      </w:r>
      <w:r>
        <w:rPr>
          <w:rFonts w:hint="eastAsia" w:ascii="宋体" w:hAnsi="宋体"/>
          <w:color w:val="auto"/>
          <w:sz w:val="24"/>
          <w:szCs w:val="24"/>
          <w:highlight w:val="none"/>
          <w:u w:val="single"/>
          <w:lang w:eastAsia="zh-CN"/>
        </w:rPr>
        <w:t>GB/T50500-2024</w:t>
      </w:r>
      <w:r>
        <w:rPr>
          <w:rFonts w:hint="eastAsia" w:ascii="宋体" w:hAnsi="宋体"/>
          <w:color w:val="auto"/>
          <w:sz w:val="24"/>
          <w:szCs w:val="24"/>
          <w:highlight w:val="none"/>
          <w:u w:val="single"/>
          <w:lang w:val="zh-TW" w:eastAsia="zh-TW"/>
        </w:rPr>
        <w:t>），《河南省房屋建筑与装饰工程预算定额》（</w:t>
      </w:r>
      <w:r>
        <w:rPr>
          <w:rFonts w:hint="eastAsia" w:ascii="宋体" w:hAnsi="宋体"/>
          <w:color w:val="auto"/>
          <w:sz w:val="24"/>
          <w:szCs w:val="24"/>
          <w:highlight w:val="none"/>
          <w:u w:val="single"/>
        </w:rPr>
        <w:t>HA01-31-2016</w:t>
      </w:r>
      <w:r>
        <w:rPr>
          <w:rFonts w:hint="eastAsia" w:ascii="宋体" w:hAnsi="宋体"/>
          <w:color w:val="auto"/>
          <w:sz w:val="24"/>
          <w:szCs w:val="24"/>
          <w:highlight w:val="none"/>
          <w:u w:val="single"/>
          <w:lang w:val="zh-TW" w:eastAsia="zh-TW"/>
        </w:rPr>
        <w:t>）、《河南省通用安装工程预算定额》（</w:t>
      </w:r>
      <w:r>
        <w:rPr>
          <w:rFonts w:hint="eastAsia" w:ascii="宋体" w:hAnsi="宋体"/>
          <w:color w:val="auto"/>
          <w:sz w:val="24"/>
          <w:szCs w:val="24"/>
          <w:highlight w:val="none"/>
          <w:u w:val="single"/>
        </w:rPr>
        <w:t>HA02-31-2016</w:t>
      </w:r>
      <w:r>
        <w:rPr>
          <w:rFonts w:hint="eastAsia" w:ascii="宋体" w:hAnsi="宋体"/>
          <w:color w:val="auto"/>
          <w:sz w:val="24"/>
          <w:szCs w:val="24"/>
          <w:highlight w:val="none"/>
          <w:u w:val="single"/>
          <w:lang w:val="zh-TW" w:eastAsia="zh-TW"/>
        </w:rPr>
        <w:t>）</w:t>
      </w:r>
      <w:r>
        <w:rPr>
          <w:rFonts w:hint="eastAsia" w:ascii="宋体" w:hAnsi="宋体"/>
          <w:color w:val="auto"/>
          <w:kern w:val="0"/>
          <w:sz w:val="24"/>
          <w:szCs w:val="24"/>
          <w:highlight w:val="none"/>
        </w:rPr>
        <w:t>。</w:t>
      </w:r>
    </w:p>
    <w:p w14:paraId="1843CDC8">
      <w:pPr>
        <w:keepNext/>
        <w:keepLines/>
        <w:spacing w:line="380" w:lineRule="exact"/>
        <w:ind w:firstLine="482"/>
        <w:outlineLvl w:val="3"/>
        <w:rPr>
          <w:rFonts w:hint="eastAsia" w:ascii="宋体" w:hAnsi="宋体"/>
          <w:bCs/>
          <w:color w:val="auto"/>
          <w:sz w:val="24"/>
          <w:szCs w:val="24"/>
          <w:highlight w:val="none"/>
        </w:rPr>
      </w:pPr>
      <w:bookmarkStart w:id="656" w:name="_Toc351203634"/>
      <w:r>
        <w:rPr>
          <w:rFonts w:hint="eastAsia" w:ascii="宋体" w:hAnsi="宋体"/>
          <w:bCs/>
          <w:color w:val="auto"/>
          <w:sz w:val="24"/>
          <w:szCs w:val="24"/>
          <w:highlight w:val="none"/>
        </w:rPr>
        <w:t>2</w:t>
      </w:r>
      <w:bookmarkStart w:id="657" w:name="_Toc296346658"/>
      <w:bookmarkStart w:id="658" w:name="_Toc292559362"/>
      <w:bookmarkStart w:id="659" w:name="_Toc296944496"/>
      <w:bookmarkStart w:id="660" w:name="_Toc297120457"/>
      <w:bookmarkStart w:id="661" w:name="_Toc296890985"/>
      <w:bookmarkStart w:id="662" w:name="_Toc296347156"/>
      <w:bookmarkStart w:id="663" w:name="_Toc296503157"/>
      <w:bookmarkStart w:id="664" w:name="_Toc292559867"/>
      <w:bookmarkStart w:id="665" w:name="_Toc296891197"/>
      <w:bookmarkStart w:id="666" w:name="_Toc297048343"/>
      <w:r>
        <w:rPr>
          <w:rFonts w:hint="eastAsia" w:ascii="宋体" w:hAnsi="宋体"/>
          <w:bCs/>
          <w:color w:val="auto"/>
          <w:sz w:val="24"/>
          <w:szCs w:val="24"/>
          <w:highlight w:val="none"/>
        </w:rPr>
        <w:t>. 发包人</w:t>
      </w:r>
      <w:bookmarkEnd w:id="656"/>
    </w:p>
    <w:bookmarkEnd w:id="657"/>
    <w:bookmarkEnd w:id="658"/>
    <w:bookmarkEnd w:id="659"/>
    <w:bookmarkEnd w:id="660"/>
    <w:bookmarkEnd w:id="661"/>
    <w:bookmarkEnd w:id="662"/>
    <w:bookmarkEnd w:id="663"/>
    <w:bookmarkEnd w:id="664"/>
    <w:bookmarkEnd w:id="665"/>
    <w:bookmarkEnd w:id="666"/>
    <w:p w14:paraId="4F5959FE">
      <w:pPr>
        <w:spacing w:line="380" w:lineRule="exact"/>
        <w:ind w:firstLine="480" w:firstLineChars="200"/>
        <w:outlineLvl w:val="0"/>
        <w:rPr>
          <w:rFonts w:hint="eastAsia" w:ascii="宋体" w:hAnsi="宋体"/>
          <w:color w:val="auto"/>
          <w:sz w:val="24"/>
          <w:szCs w:val="24"/>
          <w:highlight w:val="none"/>
        </w:rPr>
      </w:pPr>
      <w:bookmarkStart w:id="667" w:name="_Toc14097"/>
      <w:bookmarkStart w:id="668" w:name="_Toc25607"/>
      <w:bookmarkStart w:id="669" w:name="_Toc14811"/>
      <w:bookmarkStart w:id="670" w:name="_Toc26816"/>
      <w:bookmarkStart w:id="671" w:name="_Toc6618"/>
      <w:bookmarkStart w:id="672" w:name="_Toc7117"/>
      <w:bookmarkStart w:id="673" w:name="_Toc26299"/>
      <w:r>
        <w:rPr>
          <w:rFonts w:hint="eastAsia" w:ascii="宋体" w:hAnsi="宋体"/>
          <w:color w:val="auto"/>
          <w:sz w:val="24"/>
          <w:szCs w:val="24"/>
          <w:highlight w:val="none"/>
        </w:rPr>
        <w:t>2.2 发包人代表</w:t>
      </w:r>
      <w:bookmarkEnd w:id="667"/>
      <w:bookmarkEnd w:id="668"/>
      <w:bookmarkEnd w:id="669"/>
      <w:bookmarkEnd w:id="670"/>
      <w:bookmarkEnd w:id="671"/>
      <w:bookmarkEnd w:id="672"/>
      <w:bookmarkEnd w:id="673"/>
    </w:p>
    <w:p w14:paraId="3B6971C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发包人代表：</w:t>
      </w:r>
    </w:p>
    <w:p w14:paraId="687EEC1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4862A7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身份证号：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AA6871B">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职    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901EDE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77ABE8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电子信箱：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551C781">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通信地址：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718174C">
      <w:pPr>
        <w:spacing w:line="380" w:lineRule="exact"/>
        <w:ind w:firstLine="482"/>
        <w:rPr>
          <w:rFonts w:hint="eastAsia" w:ascii="宋体" w:hAnsi="宋体"/>
          <w:b/>
          <w:color w:val="auto"/>
          <w:sz w:val="24"/>
          <w:szCs w:val="24"/>
          <w:highlight w:val="none"/>
        </w:rPr>
      </w:pPr>
      <w:r>
        <w:rPr>
          <w:rFonts w:hint="eastAsia" w:ascii="宋体" w:hAnsi="宋体"/>
          <w:color w:val="auto"/>
          <w:sz w:val="24"/>
          <w:szCs w:val="24"/>
          <w:highlight w:val="none"/>
        </w:rPr>
        <w:t>发包人对发包人代表的授权范围如下：。</w:t>
      </w:r>
    </w:p>
    <w:p w14:paraId="2093C390">
      <w:pPr>
        <w:spacing w:line="380" w:lineRule="exact"/>
        <w:ind w:firstLine="480" w:firstLineChars="200"/>
        <w:outlineLvl w:val="0"/>
        <w:rPr>
          <w:rFonts w:hint="eastAsia" w:ascii="宋体" w:hAnsi="宋体"/>
          <w:color w:val="auto"/>
          <w:sz w:val="24"/>
          <w:szCs w:val="24"/>
          <w:highlight w:val="none"/>
        </w:rPr>
      </w:pPr>
      <w:bookmarkStart w:id="674" w:name="_Toc28782"/>
      <w:bookmarkStart w:id="675" w:name="_Toc7802"/>
      <w:bookmarkStart w:id="676" w:name="_Toc18092"/>
      <w:bookmarkStart w:id="677" w:name="_Toc5375"/>
      <w:bookmarkStart w:id="678" w:name="_Toc27870"/>
      <w:bookmarkStart w:id="679" w:name="_Toc15455"/>
      <w:bookmarkStart w:id="680" w:name="_Toc10388"/>
      <w:r>
        <w:rPr>
          <w:rFonts w:hint="eastAsia" w:ascii="宋体" w:hAnsi="宋体"/>
          <w:color w:val="auto"/>
          <w:sz w:val="24"/>
          <w:szCs w:val="24"/>
          <w:highlight w:val="none"/>
        </w:rPr>
        <w:t>2.4 施工现场、施工条件和基础资料的提供</w:t>
      </w:r>
      <w:bookmarkEnd w:id="674"/>
      <w:bookmarkEnd w:id="675"/>
      <w:bookmarkEnd w:id="676"/>
      <w:bookmarkEnd w:id="677"/>
      <w:bookmarkEnd w:id="678"/>
      <w:bookmarkEnd w:id="679"/>
      <w:bookmarkEnd w:id="680"/>
    </w:p>
    <w:p w14:paraId="0D3E476C">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2.4.1 提供施工现场</w:t>
      </w:r>
    </w:p>
    <w:p w14:paraId="3D50DB59">
      <w:pPr>
        <w:widowControl/>
        <w:spacing w:line="380" w:lineRule="exact"/>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关于发包人移交施工现场的期限要求：</w:t>
      </w:r>
      <w:r>
        <w:rPr>
          <w:rFonts w:hint="eastAsia" w:ascii="宋体" w:hAnsi="宋体" w:cs="宋体"/>
          <w:color w:val="auto"/>
          <w:kern w:val="0"/>
          <w:sz w:val="24"/>
          <w:szCs w:val="24"/>
          <w:highlight w:val="none"/>
          <w:u w:val="single"/>
        </w:rPr>
        <w:t>开工前3天</w:t>
      </w:r>
      <w:r>
        <w:rPr>
          <w:rFonts w:hint="eastAsia" w:ascii="宋体" w:hAnsi="宋体" w:cs="宋体"/>
          <w:color w:val="auto"/>
          <w:kern w:val="0"/>
          <w:sz w:val="24"/>
          <w:szCs w:val="24"/>
          <w:highlight w:val="none"/>
          <w:u w:val="single" w:color="000000"/>
          <w:lang w:val="zh-TW" w:eastAsia="zh-TW"/>
        </w:rPr>
        <w:t>。</w:t>
      </w:r>
    </w:p>
    <w:p w14:paraId="5BF6D74C">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2.4.2 提供施工条件</w:t>
      </w:r>
    </w:p>
    <w:p w14:paraId="29FFBF70">
      <w:pPr>
        <w:spacing w:line="38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关于发包人应负责提供施工所需要的条件，包括：</w:t>
      </w:r>
      <w:r>
        <w:rPr>
          <w:rFonts w:hint="eastAsia" w:ascii="宋体" w:hAnsi="宋体" w:cs="宋体"/>
          <w:color w:val="auto"/>
          <w:sz w:val="24"/>
          <w:szCs w:val="24"/>
          <w:highlight w:val="none"/>
          <w:u w:val="single"/>
          <w:lang w:bidi="ar"/>
        </w:rPr>
        <w:t>工程开工前7日内，组织水准点与坐标控制点交验，承包人自行安装相关设备</w:t>
      </w:r>
      <w:r>
        <w:rPr>
          <w:rFonts w:hint="eastAsia" w:ascii="宋体" w:hAnsi="宋体"/>
          <w:color w:val="auto"/>
          <w:sz w:val="24"/>
          <w:szCs w:val="24"/>
          <w:highlight w:val="none"/>
        </w:rPr>
        <w:t>。</w:t>
      </w:r>
    </w:p>
    <w:p w14:paraId="3F501CF3">
      <w:pPr>
        <w:spacing w:line="380" w:lineRule="exact"/>
        <w:ind w:firstLine="480" w:firstLineChars="200"/>
        <w:outlineLvl w:val="0"/>
        <w:rPr>
          <w:rFonts w:hint="eastAsia" w:ascii="宋体" w:hAnsi="宋体"/>
          <w:color w:val="auto"/>
          <w:sz w:val="24"/>
          <w:szCs w:val="24"/>
          <w:highlight w:val="none"/>
        </w:rPr>
      </w:pPr>
      <w:bookmarkStart w:id="681" w:name="_Toc30880"/>
      <w:bookmarkStart w:id="682" w:name="_Toc989"/>
      <w:bookmarkStart w:id="683" w:name="_Toc767"/>
      <w:bookmarkStart w:id="684" w:name="_Toc28463"/>
      <w:bookmarkStart w:id="685" w:name="_Toc5742"/>
      <w:bookmarkStart w:id="686" w:name="_Toc24997"/>
      <w:bookmarkStart w:id="687" w:name="_Toc3165"/>
      <w:r>
        <w:rPr>
          <w:rFonts w:hint="eastAsia" w:ascii="宋体" w:hAnsi="宋体"/>
          <w:color w:val="auto"/>
          <w:sz w:val="24"/>
          <w:szCs w:val="24"/>
          <w:highlight w:val="none"/>
        </w:rPr>
        <w:t>2.5 资金来源证明及支付担保</w:t>
      </w:r>
      <w:bookmarkEnd w:id="681"/>
      <w:bookmarkEnd w:id="682"/>
      <w:bookmarkEnd w:id="683"/>
      <w:bookmarkEnd w:id="684"/>
      <w:bookmarkEnd w:id="685"/>
      <w:bookmarkEnd w:id="686"/>
      <w:bookmarkEnd w:id="687"/>
    </w:p>
    <w:p w14:paraId="071A803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发包人提供资金来源证明的期限要求：</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66286BB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发包人是否提供支付担保：</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7A8F2EA1">
      <w:pPr>
        <w:spacing w:line="38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发包人提供支付担保的形式：</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057D6D89">
      <w:pPr>
        <w:keepNext/>
        <w:keepLines/>
        <w:spacing w:line="380" w:lineRule="exact"/>
        <w:ind w:firstLine="482"/>
        <w:outlineLvl w:val="3"/>
        <w:rPr>
          <w:rFonts w:hint="eastAsia" w:ascii="宋体" w:hAnsi="宋体"/>
          <w:bCs/>
          <w:color w:val="auto"/>
          <w:sz w:val="24"/>
          <w:szCs w:val="24"/>
          <w:highlight w:val="none"/>
        </w:rPr>
      </w:pPr>
      <w:bookmarkStart w:id="688" w:name="_Toc351203635"/>
      <w:r>
        <w:rPr>
          <w:rFonts w:hint="eastAsia" w:ascii="宋体" w:hAnsi="宋体"/>
          <w:bCs/>
          <w:color w:val="auto"/>
          <w:sz w:val="24"/>
          <w:szCs w:val="24"/>
          <w:highlight w:val="none"/>
        </w:rPr>
        <w:t>3</w:t>
      </w:r>
      <w:bookmarkStart w:id="689" w:name="_Toc292559868"/>
      <w:bookmarkStart w:id="690" w:name="_Toc296944497"/>
      <w:bookmarkStart w:id="691" w:name="_Toc296503158"/>
      <w:bookmarkStart w:id="692" w:name="_Toc296347157"/>
      <w:bookmarkStart w:id="693" w:name="_Toc292559363"/>
      <w:bookmarkStart w:id="694" w:name="_Toc296891198"/>
      <w:bookmarkStart w:id="695" w:name="_Toc296346659"/>
      <w:bookmarkStart w:id="696" w:name="_Toc297048344"/>
      <w:bookmarkStart w:id="697" w:name="_Toc297120458"/>
      <w:bookmarkStart w:id="698" w:name="_Toc296890986"/>
      <w:r>
        <w:rPr>
          <w:rFonts w:hint="eastAsia" w:ascii="宋体" w:hAnsi="宋体"/>
          <w:bCs/>
          <w:color w:val="auto"/>
          <w:sz w:val="24"/>
          <w:szCs w:val="24"/>
          <w:highlight w:val="none"/>
        </w:rPr>
        <w:t>. 承包人</w:t>
      </w:r>
      <w:bookmarkEnd w:id="688"/>
    </w:p>
    <w:bookmarkEnd w:id="689"/>
    <w:bookmarkEnd w:id="690"/>
    <w:bookmarkEnd w:id="691"/>
    <w:bookmarkEnd w:id="692"/>
    <w:bookmarkEnd w:id="693"/>
    <w:bookmarkEnd w:id="694"/>
    <w:bookmarkEnd w:id="695"/>
    <w:bookmarkEnd w:id="696"/>
    <w:bookmarkEnd w:id="697"/>
    <w:bookmarkEnd w:id="698"/>
    <w:p w14:paraId="010E3A4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3.1 承包人的一般义务</w:t>
      </w:r>
    </w:p>
    <w:p w14:paraId="281623A0">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kern w:val="0"/>
          <w:sz w:val="24"/>
          <w:szCs w:val="24"/>
          <w:highlight w:val="none"/>
        </w:rPr>
        <w:t>（9）</w:t>
      </w:r>
      <w:r>
        <w:rPr>
          <w:rFonts w:hint="eastAsia" w:ascii="宋体" w:hAnsi="宋体"/>
          <w:color w:val="auto"/>
          <w:sz w:val="24"/>
          <w:szCs w:val="24"/>
          <w:highlight w:val="none"/>
        </w:rPr>
        <w:t>承包人提交的竣工资料的内容：</w:t>
      </w:r>
      <w:r>
        <w:rPr>
          <w:rFonts w:hint="eastAsia" w:ascii="宋体" w:hAnsi="宋体" w:cs="宋体"/>
          <w:color w:val="auto"/>
          <w:sz w:val="24"/>
          <w:szCs w:val="24"/>
          <w:highlight w:val="none"/>
          <w:u w:val="single"/>
          <w:lang w:bidi="ar"/>
        </w:rPr>
        <w:t>竣工图及竣工验收资料</w:t>
      </w:r>
      <w:r>
        <w:rPr>
          <w:rFonts w:hint="eastAsia" w:ascii="宋体" w:hAnsi="宋体"/>
          <w:color w:val="auto"/>
          <w:sz w:val="24"/>
          <w:szCs w:val="24"/>
          <w:highlight w:val="none"/>
        </w:rPr>
        <w:t>。</w:t>
      </w:r>
    </w:p>
    <w:p w14:paraId="54DD1E5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承包人需要提交的竣工资料套数：。</w:t>
      </w:r>
    </w:p>
    <w:p w14:paraId="2ACA1F08">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承包人提交的竣工资料的费用承担：</w:t>
      </w:r>
      <w:r>
        <w:rPr>
          <w:rFonts w:hint="eastAsia" w:ascii="宋体" w:hAnsi="宋体" w:cs="宋体"/>
          <w:color w:val="auto"/>
          <w:sz w:val="24"/>
          <w:szCs w:val="24"/>
          <w:highlight w:val="none"/>
          <w:u w:val="single"/>
          <w:lang w:bidi="ar"/>
        </w:rPr>
        <w:t>自行承担</w:t>
      </w:r>
      <w:r>
        <w:rPr>
          <w:rFonts w:hint="eastAsia" w:ascii="宋体" w:hAnsi="宋体"/>
          <w:color w:val="auto"/>
          <w:sz w:val="24"/>
          <w:szCs w:val="24"/>
          <w:highlight w:val="none"/>
        </w:rPr>
        <w:t>。</w:t>
      </w:r>
    </w:p>
    <w:p w14:paraId="5DEE02C3">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承包人提交的竣工资料移交时间：</w:t>
      </w:r>
      <w:r>
        <w:rPr>
          <w:rFonts w:hint="eastAsia" w:ascii="宋体" w:hAnsi="宋体" w:cs="宋体"/>
          <w:color w:val="auto"/>
          <w:sz w:val="24"/>
          <w:szCs w:val="24"/>
          <w:highlight w:val="none"/>
          <w:u w:val="single"/>
          <w:lang w:bidi="ar"/>
        </w:rPr>
        <w:t>竣工验收后28天内</w:t>
      </w:r>
      <w:r>
        <w:rPr>
          <w:rFonts w:hint="eastAsia" w:ascii="宋体" w:hAnsi="宋体"/>
          <w:color w:val="auto"/>
          <w:sz w:val="24"/>
          <w:szCs w:val="24"/>
          <w:highlight w:val="none"/>
        </w:rPr>
        <w:t>。</w:t>
      </w:r>
    </w:p>
    <w:p w14:paraId="3D0D937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承包人提交的竣工资料形式要求：</w:t>
      </w:r>
      <w:r>
        <w:rPr>
          <w:rFonts w:hint="eastAsia" w:ascii="宋体" w:hAnsi="宋体" w:cs="宋体"/>
          <w:color w:val="auto"/>
          <w:sz w:val="24"/>
          <w:szCs w:val="24"/>
          <w:highlight w:val="none"/>
          <w:u w:val="single"/>
          <w:lang w:bidi="ar"/>
        </w:rPr>
        <w:t>纸质</w:t>
      </w:r>
      <w:r>
        <w:rPr>
          <w:rFonts w:hint="eastAsia" w:ascii="宋体" w:hAnsi="宋体"/>
          <w:color w:val="auto"/>
          <w:sz w:val="24"/>
          <w:szCs w:val="24"/>
          <w:highlight w:val="none"/>
        </w:rPr>
        <w:t>。</w:t>
      </w:r>
    </w:p>
    <w:p w14:paraId="738B5F88">
      <w:pPr>
        <w:spacing w:line="380" w:lineRule="exact"/>
        <w:ind w:firstLine="480" w:firstLineChars="200"/>
        <w:rPr>
          <w:rFonts w:hint="eastAsia" w:ascii="宋体" w:hAnsi="宋体"/>
          <w:color w:val="auto"/>
          <w:sz w:val="24"/>
          <w:szCs w:val="24"/>
          <w:highlight w:val="none"/>
        </w:rPr>
      </w:pPr>
      <w:r>
        <w:rPr>
          <w:rFonts w:hint="eastAsia" w:ascii="宋体" w:hAnsi="宋体"/>
          <w:color w:val="auto"/>
          <w:kern w:val="0"/>
          <w:sz w:val="24"/>
          <w:szCs w:val="24"/>
          <w:highlight w:val="none"/>
        </w:rPr>
        <w:t>（10）承包人应履行的其他义务：</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4D673F7C">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 项目经理</w:t>
      </w:r>
    </w:p>
    <w:p w14:paraId="7C1805ED">
      <w:pPr>
        <w:spacing w:line="380" w:lineRule="exact"/>
        <w:ind w:firstLine="480" w:firstLineChars="200"/>
        <w:rPr>
          <w:rFonts w:hint="eastAsia" w:ascii="宋体" w:hAnsi="宋体"/>
          <w:color w:val="auto"/>
          <w:sz w:val="24"/>
          <w:szCs w:val="24"/>
          <w:highlight w:val="none"/>
        </w:rPr>
      </w:pPr>
      <w:r>
        <w:rPr>
          <w:rFonts w:hint="eastAsia" w:ascii="宋体" w:hAnsi="宋体"/>
          <w:color w:val="auto"/>
          <w:kern w:val="0"/>
          <w:sz w:val="24"/>
          <w:szCs w:val="24"/>
          <w:highlight w:val="none"/>
        </w:rPr>
        <w:t xml:space="preserve">3.2.1 </w:t>
      </w:r>
      <w:r>
        <w:rPr>
          <w:rFonts w:hint="eastAsia" w:ascii="宋体" w:hAnsi="宋体"/>
          <w:color w:val="auto"/>
          <w:sz w:val="24"/>
          <w:szCs w:val="24"/>
          <w:highlight w:val="none"/>
        </w:rPr>
        <w:t>项目经理：</w:t>
      </w:r>
    </w:p>
    <w:p w14:paraId="6CFE476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EA6F771">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身份证号：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93BE0D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建造师执业资格等级：</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15DC48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建造师注册证书号：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2D634C6">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建造师执业印章号：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FD74021">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安全生产考核合格证书号：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37BDA571">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549DCA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电子信箱：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779B80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通信地址：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4C177A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承包人对项目经理的授权范围如下：</w:t>
      </w:r>
      <w:r>
        <w:rPr>
          <w:rFonts w:hint="eastAsia" w:ascii="宋体" w:hAnsi="宋体"/>
          <w:color w:val="auto"/>
          <w:sz w:val="24"/>
          <w:szCs w:val="24"/>
          <w:highlight w:val="none"/>
          <w:u w:val="single"/>
        </w:rPr>
        <w:t>代表承包人行使本合同约定的权利，履行本合同约定的义务</w:t>
      </w:r>
      <w:r>
        <w:rPr>
          <w:rFonts w:hint="eastAsia" w:ascii="宋体" w:hAnsi="宋体"/>
          <w:color w:val="auto"/>
          <w:sz w:val="24"/>
          <w:szCs w:val="24"/>
          <w:highlight w:val="none"/>
        </w:rPr>
        <w:t>。</w:t>
      </w:r>
    </w:p>
    <w:p w14:paraId="3008E091">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关于项目经理每月在施工现场的时间要求：</w:t>
      </w:r>
      <w:r>
        <w:rPr>
          <w:rFonts w:hint="eastAsia" w:ascii="宋体" w:hAnsi="宋体"/>
          <w:color w:val="auto"/>
          <w:sz w:val="24"/>
          <w:szCs w:val="24"/>
          <w:highlight w:val="none"/>
          <w:u w:val="single"/>
          <w:lang w:val="zh-TW" w:eastAsia="zh-TW"/>
        </w:rPr>
        <w:t>上岗时间不低于施工时间的50%</w:t>
      </w:r>
      <w:r>
        <w:rPr>
          <w:rFonts w:hint="eastAsia" w:ascii="宋体" w:hAnsi="宋体"/>
          <w:color w:val="auto"/>
          <w:sz w:val="24"/>
          <w:szCs w:val="24"/>
          <w:highlight w:val="none"/>
        </w:rPr>
        <w:t>。</w:t>
      </w:r>
    </w:p>
    <w:p w14:paraId="2C75538D">
      <w:pPr>
        <w:spacing w:line="380" w:lineRule="exact"/>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承包人未提交劳动合同，以及没有为项目经理缴纳社会保险证明的违约责任：</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129AFD3E">
      <w:pPr>
        <w:spacing w:line="380" w:lineRule="exact"/>
        <w:ind w:firstLine="480" w:firstLineChars="200"/>
        <w:rPr>
          <w:rFonts w:hint="eastAsia" w:ascii="宋体" w:hAnsi="宋体"/>
          <w:color w:val="auto"/>
          <w:sz w:val="24"/>
          <w:szCs w:val="24"/>
          <w:highlight w:val="none"/>
          <w:u w:val="single"/>
        </w:rPr>
      </w:pPr>
      <w:r>
        <w:rPr>
          <w:rFonts w:hint="eastAsia" w:ascii="宋体" w:hAnsi="宋体"/>
          <w:color w:val="auto"/>
          <w:kern w:val="0"/>
          <w:sz w:val="24"/>
          <w:szCs w:val="24"/>
          <w:highlight w:val="none"/>
        </w:rPr>
        <w:t>项目经理未经批准，擅自离开施工现场的违约责任：</w:t>
      </w:r>
      <w:r>
        <w:rPr>
          <w:rFonts w:hint="eastAsia" w:ascii="宋体" w:hAnsi="宋体"/>
          <w:color w:val="auto"/>
          <w:sz w:val="24"/>
          <w:szCs w:val="24"/>
          <w:highlight w:val="none"/>
          <w:u w:val="single"/>
          <w:lang w:val="zh-TW" w:eastAsia="zh-TW"/>
        </w:rPr>
        <w:t>按有关规定执行处理</w:t>
      </w:r>
      <w:r>
        <w:rPr>
          <w:rFonts w:hint="eastAsia" w:ascii="宋体" w:hAnsi="宋体"/>
          <w:color w:val="auto"/>
          <w:sz w:val="24"/>
          <w:szCs w:val="24"/>
          <w:highlight w:val="none"/>
        </w:rPr>
        <w:t>。</w:t>
      </w:r>
    </w:p>
    <w:p w14:paraId="0DB4D43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3.2.3 承包人擅自更换项目经理的违约责任：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AD1FF73">
      <w:pPr>
        <w:spacing w:line="380" w:lineRule="exact"/>
        <w:ind w:firstLine="482"/>
        <w:outlineLvl w:val="0"/>
        <w:rPr>
          <w:rFonts w:hint="eastAsia" w:ascii="宋体" w:hAnsi="宋体"/>
          <w:color w:val="auto"/>
          <w:sz w:val="24"/>
          <w:szCs w:val="24"/>
          <w:highlight w:val="none"/>
        </w:rPr>
      </w:pPr>
      <w:bookmarkStart w:id="699" w:name="_Toc22963"/>
      <w:bookmarkStart w:id="700" w:name="_Toc1533"/>
      <w:bookmarkStart w:id="701" w:name="_Toc22863"/>
      <w:bookmarkStart w:id="702" w:name="_Toc21921"/>
      <w:bookmarkStart w:id="703" w:name="_Toc14870"/>
      <w:bookmarkStart w:id="704" w:name="_Toc31071"/>
      <w:bookmarkStart w:id="705" w:name="_Toc24446"/>
      <w:r>
        <w:rPr>
          <w:rFonts w:hint="eastAsia" w:ascii="宋体" w:hAnsi="宋体"/>
          <w:color w:val="auto"/>
          <w:sz w:val="24"/>
          <w:szCs w:val="24"/>
          <w:highlight w:val="none"/>
        </w:rPr>
        <w:t>3.2.4 承包人无正当理由拒绝更换项目经理的违约责任：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bookmarkEnd w:id="699"/>
      <w:bookmarkEnd w:id="700"/>
      <w:bookmarkEnd w:id="701"/>
      <w:bookmarkEnd w:id="702"/>
      <w:bookmarkEnd w:id="703"/>
      <w:bookmarkEnd w:id="704"/>
      <w:bookmarkEnd w:id="705"/>
    </w:p>
    <w:p w14:paraId="32CAA3E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 承包人人员</w:t>
      </w:r>
    </w:p>
    <w:p w14:paraId="11D9A63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3.3.1 承包人提交项目管理机构及施工现场管理人员安排报告的期限：</w:t>
      </w:r>
      <w:r>
        <w:rPr>
          <w:rFonts w:hint="eastAsia" w:ascii="宋体" w:hAnsi="宋体"/>
          <w:color w:val="auto"/>
          <w:sz w:val="24"/>
          <w:szCs w:val="24"/>
          <w:highlight w:val="none"/>
          <w:u w:val="single"/>
        </w:rPr>
        <w:t xml:space="preserve">  </w:t>
      </w:r>
      <w:r>
        <w:rPr>
          <w:rFonts w:hint="eastAsia" w:ascii="宋体" w:hAnsi="宋体" w:cs="宋体"/>
          <w:color w:val="auto"/>
          <w:sz w:val="24"/>
          <w:szCs w:val="24"/>
          <w:highlight w:val="none"/>
          <w:u w:val="single"/>
          <w:lang w:bidi="ar"/>
        </w:rPr>
        <w:t>开工前7天</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B257F1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3.3.3 承包人无正当理由拒绝撤换主要施工管理人员的违约责任：</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5B9F1B49">
      <w:pPr>
        <w:spacing w:line="38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3.3.4 承包人主要施工管理人员离开施工现场的批准要求：</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37D8DB5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3.3.5承包人擅自更换主要施工管理人员的违约责任：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110EA69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承包人主要施工管理人员擅自离开施工现场的违约责任：</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E8CB96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bookmarkStart w:id="706" w:name="_Toc303539102"/>
      <w:bookmarkStart w:id="707" w:name="_Toc292559869"/>
      <w:bookmarkStart w:id="708" w:name="_Toc297048345"/>
      <w:bookmarkStart w:id="709" w:name="_Toc312677988"/>
      <w:bookmarkStart w:id="710" w:name="_Toc296891199"/>
      <w:bookmarkStart w:id="711" w:name="_Toc300934945"/>
      <w:bookmarkStart w:id="712" w:name="_Toc296944498"/>
      <w:bookmarkStart w:id="713" w:name="_Toc304295523"/>
      <w:bookmarkStart w:id="714" w:name="_Toc297120459"/>
      <w:bookmarkStart w:id="715" w:name="_Toc292559364"/>
      <w:bookmarkStart w:id="716" w:name="_Toc296890987"/>
      <w:bookmarkStart w:id="717" w:name="_Toc296347158"/>
      <w:bookmarkStart w:id="718" w:name="_Toc297123492"/>
      <w:bookmarkStart w:id="719" w:name="_Toc296503159"/>
      <w:bookmarkStart w:id="720" w:name="_Toc296346660"/>
      <w:bookmarkStart w:id="721" w:name="_Toc297216151"/>
      <w:r>
        <w:rPr>
          <w:rFonts w:hint="eastAsia" w:ascii="宋体" w:hAnsi="宋体"/>
          <w:color w:val="auto"/>
          <w:sz w:val="24"/>
          <w:szCs w:val="24"/>
          <w:highlight w:val="none"/>
        </w:rPr>
        <w:t>.5 分包</w:t>
      </w:r>
    </w:p>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14:paraId="2902C6D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bookmarkStart w:id="722" w:name="_Toc296891200"/>
      <w:bookmarkStart w:id="723" w:name="_Toc297048346"/>
      <w:bookmarkStart w:id="724" w:name="_Toc292559870"/>
      <w:bookmarkStart w:id="725" w:name="_Toc297216152"/>
      <w:bookmarkStart w:id="726" w:name="_Toc297123493"/>
      <w:bookmarkStart w:id="727" w:name="_Toc296890988"/>
      <w:bookmarkStart w:id="728" w:name="_Toc292559365"/>
      <w:bookmarkStart w:id="729" w:name="_Toc303539103"/>
      <w:bookmarkStart w:id="730" w:name="_Toc297120460"/>
      <w:bookmarkStart w:id="731" w:name="_Toc296944499"/>
      <w:bookmarkStart w:id="732" w:name="_Toc296503160"/>
      <w:bookmarkStart w:id="733" w:name="_Toc300934946"/>
      <w:bookmarkStart w:id="734" w:name="_Toc296346661"/>
      <w:bookmarkStart w:id="735" w:name="_Toc296347159"/>
      <w:bookmarkStart w:id="736" w:name="_Toc304295524"/>
      <w:bookmarkStart w:id="737" w:name="_Toc312677989"/>
      <w:bookmarkStart w:id="738" w:name="_Toc318581158"/>
      <w:r>
        <w:rPr>
          <w:rFonts w:hint="eastAsia" w:ascii="宋体" w:hAnsi="宋体"/>
          <w:color w:val="auto"/>
          <w:sz w:val="24"/>
          <w:szCs w:val="24"/>
          <w:highlight w:val="none"/>
        </w:rPr>
        <w:t>.5.1 分包的一般约定</w:t>
      </w:r>
    </w:p>
    <w:p w14:paraId="48B1C91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禁止分包的工程包括：</w:t>
      </w:r>
      <w:r>
        <w:rPr>
          <w:rFonts w:hint="eastAsia" w:ascii="宋体" w:hAnsi="宋体"/>
          <w:color w:val="auto"/>
          <w:sz w:val="24"/>
          <w:szCs w:val="24"/>
          <w:highlight w:val="none"/>
          <w:u w:val="single"/>
          <w:lang w:val="zh-TW" w:eastAsia="zh-TW"/>
        </w:rPr>
        <w:t>除发包人同意分包的工程外，承包人不得再分包</w:t>
      </w:r>
      <w:r>
        <w:rPr>
          <w:rFonts w:hint="eastAsia" w:ascii="宋体" w:hAnsi="宋体"/>
          <w:color w:val="auto"/>
          <w:sz w:val="24"/>
          <w:szCs w:val="24"/>
          <w:highlight w:val="none"/>
        </w:rPr>
        <w:t>。</w:t>
      </w:r>
    </w:p>
    <w:p w14:paraId="3573BED1">
      <w:pPr>
        <w:spacing w:line="38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主体结构、关键性工作的范围：</w:t>
      </w:r>
      <w:r>
        <w:rPr>
          <w:rFonts w:hint="eastAsia" w:ascii="宋体" w:hAnsi="宋体"/>
          <w:color w:val="auto"/>
          <w:sz w:val="24"/>
          <w:szCs w:val="24"/>
          <w:highlight w:val="none"/>
          <w:u w:val="single"/>
          <w:lang w:val="zh-TW" w:eastAsia="zh-TW"/>
        </w:rPr>
        <w:t>执行合同通用条款</w:t>
      </w:r>
      <w:r>
        <w:rPr>
          <w:rFonts w:hint="eastAsia" w:ascii="宋体" w:hAnsi="宋体"/>
          <w:color w:val="auto"/>
          <w:sz w:val="24"/>
          <w:szCs w:val="24"/>
          <w:highlight w:val="none"/>
        </w:rPr>
        <w:t>。</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Start w:id="739" w:name="_Toc297120461"/>
      <w:bookmarkStart w:id="740" w:name="_Toc296891201"/>
      <w:bookmarkStart w:id="741" w:name="_Toc296890989"/>
      <w:bookmarkStart w:id="742" w:name="_Toc297216153"/>
      <w:bookmarkStart w:id="743" w:name="_Toc303539104"/>
      <w:bookmarkStart w:id="744" w:name="_Toc297048347"/>
      <w:bookmarkStart w:id="745" w:name="_Toc296944500"/>
      <w:bookmarkStart w:id="746" w:name="_Toc297123494"/>
      <w:bookmarkStart w:id="747" w:name="_Toc296347160"/>
      <w:bookmarkStart w:id="748" w:name="_Toc296503161"/>
      <w:bookmarkStart w:id="749" w:name="_Toc300934947"/>
      <w:bookmarkStart w:id="750" w:name="_Toc296346662"/>
      <w:bookmarkStart w:id="751" w:name="_Toc304295525"/>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6228857E">
      <w:pPr>
        <w:spacing w:line="380" w:lineRule="exact"/>
        <w:ind w:firstLine="482"/>
        <w:rPr>
          <w:rFonts w:hint="eastAsia" w:ascii="宋体" w:hAnsi="宋体"/>
          <w:color w:val="auto"/>
          <w:sz w:val="24"/>
          <w:szCs w:val="24"/>
          <w:highlight w:val="none"/>
        </w:rPr>
      </w:pPr>
      <w:r>
        <w:rPr>
          <w:rFonts w:hint="eastAsia" w:ascii="宋体" w:hAnsi="宋体"/>
          <w:color w:val="auto"/>
          <w:sz w:val="24"/>
          <w:szCs w:val="24"/>
          <w:highlight w:val="none"/>
        </w:rPr>
        <w:t xml:space="preserve"> 3</w:t>
      </w:r>
      <w:bookmarkStart w:id="752" w:name="_Toc312677990"/>
      <w:bookmarkStart w:id="753" w:name="_Toc318581159"/>
      <w:r>
        <w:rPr>
          <w:rFonts w:hint="eastAsia" w:ascii="宋体" w:hAnsi="宋体"/>
          <w:color w:val="auto"/>
          <w:sz w:val="24"/>
          <w:szCs w:val="24"/>
          <w:highlight w:val="none"/>
        </w:rPr>
        <w:t>.5.2分包的确定</w:t>
      </w:r>
    </w:p>
    <w:p w14:paraId="7272ED62">
      <w:pPr>
        <w:spacing w:line="38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允许分包的专业工程包括：</w:t>
      </w:r>
      <w:r>
        <w:rPr>
          <w:rFonts w:hint="eastAsia" w:ascii="宋体" w:hAnsi="宋体"/>
          <w:color w:val="auto"/>
          <w:sz w:val="24"/>
          <w:szCs w:val="24"/>
          <w:highlight w:val="none"/>
          <w:u w:val="single"/>
          <w:lang w:val="en-US" w:eastAsia="zh-CN"/>
        </w:rPr>
        <w:t>严禁任何形式的分包</w:t>
      </w:r>
      <w:r>
        <w:rPr>
          <w:rFonts w:hint="eastAsia" w:ascii="宋体" w:hAnsi="宋体"/>
          <w:color w:val="auto"/>
          <w:sz w:val="24"/>
          <w:szCs w:val="24"/>
          <w:highlight w:val="none"/>
        </w:rPr>
        <w:t>。</w:t>
      </w:r>
    </w:p>
    <w:p w14:paraId="317B0BA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其他关于分包的约定：</w:t>
      </w:r>
      <w:r>
        <w:rPr>
          <w:rFonts w:hint="eastAsia" w:ascii="宋体" w:hAnsi="宋体"/>
          <w:color w:val="auto"/>
          <w:sz w:val="24"/>
          <w:szCs w:val="24"/>
          <w:highlight w:val="none"/>
          <w:u w:val="single"/>
          <w:lang w:val="zh-TW" w:eastAsia="zh-TW"/>
        </w:rPr>
        <w:t>承包人在选择专业分包单位时，发包人参与前期考察、招标及确认，发包人具有否决权</w:t>
      </w:r>
      <w:r>
        <w:rPr>
          <w:rFonts w:hint="eastAsia" w:ascii="宋体" w:hAnsi="宋体"/>
          <w:color w:val="auto"/>
          <w:sz w:val="24"/>
          <w:szCs w:val="24"/>
          <w:highlight w:val="none"/>
        </w:rPr>
        <w:t>。</w:t>
      </w:r>
    </w:p>
    <w:p w14:paraId="79E2827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3.5.4 分包合同价款</w:t>
      </w:r>
    </w:p>
    <w:p w14:paraId="74BC1D5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关于分包合同价款支付的约定：</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bookmarkEnd w:id="752"/>
    <w:bookmarkEnd w:id="753"/>
    <w:p w14:paraId="62661DC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3.6 工程照管与成品、半成品保护</w:t>
      </w:r>
    </w:p>
    <w:p w14:paraId="10F921C2">
      <w:pPr>
        <w:spacing w:line="380" w:lineRule="exact"/>
        <w:ind w:firstLine="480" w:firstLineChars="200"/>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承包人负责照管工程及工程相关的材料、工程设备的起始时间：</w:t>
      </w:r>
      <w:r>
        <w:rPr>
          <w:rFonts w:hint="eastAsia" w:ascii="宋体" w:hAnsi="宋体"/>
          <w:color w:val="auto"/>
          <w:sz w:val="24"/>
          <w:szCs w:val="24"/>
          <w:highlight w:val="none"/>
          <w:u w:val="single"/>
          <w:lang w:val="zh-TW" w:eastAsia="zh-TW"/>
        </w:rPr>
        <w:t>自发包人向承包人移交施工现场之日起，承包人应负责照管工程及工程相关的材料、工程设备，到竣工验收合格止，竣工验收合格后全部由发包人照管</w:t>
      </w:r>
      <w:r>
        <w:rPr>
          <w:rFonts w:hint="eastAsia" w:ascii="宋体" w:hAnsi="宋体"/>
          <w:color w:val="auto"/>
          <w:kern w:val="0"/>
          <w:sz w:val="24"/>
          <w:szCs w:val="24"/>
          <w:highlight w:val="none"/>
        </w:rPr>
        <w:t>。</w:t>
      </w:r>
    </w:p>
    <w:p w14:paraId="7D36748E">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3.7 履约担保</w:t>
      </w:r>
    </w:p>
    <w:p w14:paraId="59739828">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承包人是否提供履约担保：</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1C494A72">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承包人提供履约担保的形式、金额及期限的：</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5A78C4FF">
      <w:pPr>
        <w:keepNext/>
        <w:keepLines/>
        <w:spacing w:line="380" w:lineRule="exact"/>
        <w:ind w:firstLine="482"/>
        <w:outlineLvl w:val="3"/>
        <w:rPr>
          <w:rFonts w:hint="eastAsia" w:ascii="宋体" w:hAnsi="宋体"/>
          <w:bCs/>
          <w:color w:val="auto"/>
          <w:sz w:val="24"/>
          <w:szCs w:val="24"/>
          <w:highlight w:val="none"/>
        </w:rPr>
      </w:pPr>
      <w:bookmarkStart w:id="754" w:name="_Toc351203636"/>
      <w:r>
        <w:rPr>
          <w:rFonts w:hint="eastAsia" w:ascii="宋体" w:hAnsi="宋体"/>
          <w:bCs/>
          <w:color w:val="auto"/>
          <w:sz w:val="24"/>
          <w:szCs w:val="24"/>
          <w:highlight w:val="none"/>
        </w:rPr>
        <w:t>4</w:t>
      </w:r>
      <w:bookmarkStart w:id="755" w:name="_Toc296347161"/>
      <w:bookmarkStart w:id="756" w:name="_Toc292559366"/>
      <w:bookmarkStart w:id="757" w:name="_Toc297120462"/>
      <w:bookmarkStart w:id="758" w:name="_Toc296346663"/>
      <w:bookmarkStart w:id="759" w:name="_Toc296890990"/>
      <w:bookmarkStart w:id="760" w:name="_Toc267251413"/>
      <w:bookmarkStart w:id="761" w:name="_Toc297048348"/>
      <w:bookmarkStart w:id="762" w:name="_Toc296891202"/>
      <w:bookmarkStart w:id="763" w:name="_Toc296503162"/>
      <w:bookmarkStart w:id="764" w:name="_Toc292559871"/>
      <w:bookmarkStart w:id="765" w:name="_Toc296944501"/>
      <w:r>
        <w:rPr>
          <w:rFonts w:hint="eastAsia" w:ascii="宋体" w:hAnsi="宋体"/>
          <w:bCs/>
          <w:color w:val="auto"/>
          <w:sz w:val="24"/>
          <w:szCs w:val="24"/>
          <w:highlight w:val="none"/>
        </w:rPr>
        <w:t>. 监</w:t>
      </w:r>
      <w:bookmarkEnd w:id="755"/>
      <w:bookmarkEnd w:id="756"/>
      <w:bookmarkEnd w:id="757"/>
      <w:bookmarkEnd w:id="758"/>
      <w:bookmarkEnd w:id="759"/>
      <w:bookmarkEnd w:id="760"/>
      <w:bookmarkEnd w:id="761"/>
      <w:bookmarkEnd w:id="762"/>
      <w:bookmarkEnd w:id="763"/>
      <w:bookmarkEnd w:id="764"/>
      <w:bookmarkEnd w:id="765"/>
      <w:r>
        <w:rPr>
          <w:rFonts w:hint="eastAsia" w:ascii="宋体" w:hAnsi="宋体"/>
          <w:bCs/>
          <w:color w:val="auto"/>
          <w:sz w:val="24"/>
          <w:szCs w:val="24"/>
          <w:highlight w:val="none"/>
        </w:rPr>
        <w:t>理人</w:t>
      </w:r>
      <w:bookmarkEnd w:id="754"/>
    </w:p>
    <w:p w14:paraId="1E2DE506">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4.1监理人的一般规定</w:t>
      </w:r>
    </w:p>
    <w:p w14:paraId="3CA6BD88">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关于监理人的监理内容：</w:t>
      </w:r>
      <w:r>
        <w:rPr>
          <w:rFonts w:hint="eastAsia" w:ascii="宋体" w:hAnsi="宋体"/>
          <w:color w:val="auto"/>
          <w:sz w:val="24"/>
          <w:szCs w:val="24"/>
          <w:highlight w:val="none"/>
          <w:u w:val="single"/>
          <w:lang w:val="zh-TW" w:eastAsia="zh-TW"/>
        </w:rPr>
        <w:t>详见工程监理委托合同</w:t>
      </w:r>
      <w:r>
        <w:rPr>
          <w:rFonts w:hint="eastAsia" w:ascii="宋体" w:hAnsi="宋体"/>
          <w:color w:val="auto"/>
          <w:sz w:val="24"/>
          <w:szCs w:val="24"/>
          <w:highlight w:val="none"/>
        </w:rPr>
        <w:t>。</w:t>
      </w:r>
    </w:p>
    <w:p w14:paraId="7781B1E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关于监理人的监理权限：</w:t>
      </w:r>
      <w:r>
        <w:rPr>
          <w:rFonts w:hint="eastAsia" w:ascii="宋体" w:hAnsi="宋体"/>
          <w:color w:val="auto"/>
          <w:sz w:val="24"/>
          <w:szCs w:val="24"/>
          <w:highlight w:val="none"/>
          <w:u w:val="single"/>
          <w:lang w:val="zh-TW" w:eastAsia="zh-TW"/>
        </w:rPr>
        <w:t>详见工程监理委托合同</w:t>
      </w:r>
      <w:r>
        <w:rPr>
          <w:rFonts w:hint="eastAsia" w:ascii="宋体" w:hAnsi="宋体"/>
          <w:color w:val="auto"/>
          <w:sz w:val="24"/>
          <w:szCs w:val="24"/>
          <w:highlight w:val="none"/>
        </w:rPr>
        <w:t xml:space="preserve">。 </w:t>
      </w:r>
    </w:p>
    <w:p w14:paraId="1AFD64F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关于监理人在施工现场的办公场所、生活场所的提供和费用承担的约定：</w:t>
      </w:r>
      <w:r>
        <w:rPr>
          <w:rFonts w:hint="eastAsia" w:ascii="宋体" w:hAnsi="宋体"/>
          <w:color w:val="auto"/>
          <w:sz w:val="24"/>
          <w:szCs w:val="24"/>
          <w:highlight w:val="none"/>
          <w:u w:val="single"/>
          <w:lang w:val="zh-TW" w:eastAsia="zh-TW"/>
        </w:rPr>
        <w:t>同通用条款</w:t>
      </w:r>
      <w:r>
        <w:rPr>
          <w:rFonts w:hint="eastAsia" w:ascii="宋体" w:hAnsi="宋体"/>
          <w:color w:val="auto"/>
          <w:sz w:val="24"/>
          <w:szCs w:val="24"/>
          <w:highlight w:val="none"/>
        </w:rPr>
        <w:t>。</w:t>
      </w:r>
    </w:p>
    <w:p w14:paraId="0F9CF21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4.2 监理人员</w:t>
      </w:r>
    </w:p>
    <w:p w14:paraId="1147D14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总监理工程师：</w:t>
      </w:r>
    </w:p>
    <w:p w14:paraId="58C5A299">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姓    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E00E0A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职    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88D1526">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监理工程师执业资格证书号：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B6B7E34">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5262968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电子信箱：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89FD91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通信地址：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A5242C7">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关于监理人的其他约定：</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9987A1B">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4.4 商定或确定</w:t>
      </w:r>
    </w:p>
    <w:p w14:paraId="1147F4ED">
      <w:pPr>
        <w:spacing w:line="380" w:lineRule="exact"/>
        <w:ind w:firstLine="480" w:firstLineChars="200"/>
        <w:rPr>
          <w:rFonts w:hint="eastAsia" w:ascii="宋体" w:hAnsi="宋体"/>
          <w:color w:val="auto"/>
          <w:sz w:val="24"/>
          <w:szCs w:val="24"/>
          <w:highlight w:val="none"/>
        </w:rPr>
      </w:pPr>
      <w:bookmarkStart w:id="766" w:name="_Toc267251418"/>
      <w:r>
        <w:rPr>
          <w:rFonts w:hint="eastAsia" w:ascii="宋体" w:hAnsi="宋体"/>
          <w:color w:val="auto"/>
          <w:sz w:val="24"/>
          <w:szCs w:val="24"/>
          <w:highlight w:val="none"/>
        </w:rPr>
        <w:t>在发包人和承包人不能通过协商达成一致意见时，发包人授权监理人对以下事项进行确定：</w:t>
      </w:r>
    </w:p>
    <w:p w14:paraId="01C4E7E8">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w:t>
      </w:r>
      <w:r>
        <w:rPr>
          <w:rFonts w:hint="eastAsia" w:ascii="宋体" w:hAnsi="宋体"/>
          <w:color w:val="auto"/>
          <w:sz w:val="24"/>
          <w:szCs w:val="24"/>
          <w:highlight w:val="none"/>
        </w:rPr>
        <w:t>；</w:t>
      </w:r>
    </w:p>
    <w:p w14:paraId="4E51D364">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（2）</w:t>
      </w:r>
      <w:r>
        <w:rPr>
          <w:rFonts w:hint="eastAsia" w:ascii="宋体" w:hAnsi="宋体"/>
          <w:color w:val="auto"/>
          <w:sz w:val="24"/>
          <w:szCs w:val="24"/>
          <w:highlight w:val="none"/>
        </w:rPr>
        <w:t>；</w:t>
      </w:r>
    </w:p>
    <w:p w14:paraId="20425A6B">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（3）</w:t>
      </w:r>
      <w:r>
        <w:rPr>
          <w:rFonts w:hint="eastAsia" w:ascii="宋体" w:hAnsi="宋体"/>
          <w:color w:val="auto"/>
          <w:sz w:val="24"/>
          <w:szCs w:val="24"/>
          <w:highlight w:val="none"/>
        </w:rPr>
        <w:t>。</w:t>
      </w:r>
    </w:p>
    <w:p w14:paraId="0FFF7F12">
      <w:pPr>
        <w:keepNext/>
        <w:keepLines/>
        <w:spacing w:line="380" w:lineRule="exact"/>
        <w:ind w:firstLine="482"/>
        <w:outlineLvl w:val="3"/>
        <w:rPr>
          <w:rFonts w:hint="eastAsia" w:ascii="宋体" w:hAnsi="宋体"/>
          <w:bCs/>
          <w:color w:val="auto"/>
          <w:sz w:val="24"/>
          <w:szCs w:val="24"/>
          <w:highlight w:val="none"/>
        </w:rPr>
      </w:pPr>
      <w:bookmarkStart w:id="767" w:name="_Toc351203637"/>
      <w:r>
        <w:rPr>
          <w:rFonts w:hint="eastAsia" w:ascii="宋体" w:hAnsi="宋体"/>
          <w:bCs/>
          <w:color w:val="auto"/>
          <w:sz w:val="24"/>
          <w:szCs w:val="24"/>
          <w:highlight w:val="none"/>
        </w:rPr>
        <w:t>5</w:t>
      </w:r>
      <w:bookmarkEnd w:id="766"/>
      <w:bookmarkStart w:id="768" w:name="_Toc297048349"/>
      <w:bookmarkStart w:id="769" w:name="_Toc296503163"/>
      <w:bookmarkStart w:id="770" w:name="_Toc296944502"/>
      <w:bookmarkStart w:id="771" w:name="_Toc296347162"/>
      <w:bookmarkStart w:id="772" w:name="_Toc296891203"/>
      <w:bookmarkStart w:id="773" w:name="_Toc296890991"/>
      <w:bookmarkStart w:id="774" w:name="_Toc292559872"/>
      <w:bookmarkStart w:id="775" w:name="_Toc296346664"/>
      <w:bookmarkStart w:id="776" w:name="_Toc292559367"/>
      <w:bookmarkStart w:id="777" w:name="_Toc297120463"/>
      <w:r>
        <w:rPr>
          <w:rFonts w:hint="eastAsia" w:ascii="宋体" w:hAnsi="宋体"/>
          <w:bCs/>
          <w:color w:val="auto"/>
          <w:sz w:val="24"/>
          <w:szCs w:val="24"/>
          <w:highlight w:val="none"/>
        </w:rPr>
        <w:t>. 工程质量</w:t>
      </w:r>
      <w:bookmarkEnd w:id="767"/>
    </w:p>
    <w:p w14:paraId="70F0A345">
      <w:pPr>
        <w:spacing w:line="380" w:lineRule="exact"/>
        <w:ind w:firstLine="480" w:firstLineChars="200"/>
        <w:outlineLvl w:val="0"/>
        <w:rPr>
          <w:rFonts w:hint="eastAsia" w:ascii="宋体" w:hAnsi="宋体"/>
          <w:color w:val="auto"/>
          <w:sz w:val="24"/>
          <w:szCs w:val="24"/>
          <w:highlight w:val="none"/>
        </w:rPr>
      </w:pPr>
      <w:bookmarkStart w:id="778" w:name="_Toc27026"/>
      <w:bookmarkStart w:id="779" w:name="_Toc30512"/>
      <w:bookmarkStart w:id="780" w:name="_Toc8293"/>
      <w:bookmarkStart w:id="781" w:name="_Toc32326"/>
      <w:bookmarkStart w:id="782" w:name="_Toc10939"/>
      <w:bookmarkStart w:id="783" w:name="_Toc873"/>
      <w:bookmarkStart w:id="784" w:name="_Toc28173"/>
      <w:r>
        <w:rPr>
          <w:rFonts w:hint="eastAsia" w:ascii="宋体" w:hAnsi="宋体"/>
          <w:color w:val="auto"/>
          <w:sz w:val="24"/>
          <w:szCs w:val="24"/>
          <w:highlight w:val="none"/>
        </w:rPr>
        <w:t>5.1 质量要求</w:t>
      </w:r>
      <w:bookmarkEnd w:id="778"/>
      <w:bookmarkEnd w:id="779"/>
      <w:bookmarkEnd w:id="780"/>
      <w:bookmarkEnd w:id="781"/>
      <w:bookmarkEnd w:id="782"/>
      <w:bookmarkEnd w:id="783"/>
      <w:bookmarkEnd w:id="784"/>
    </w:p>
    <w:p w14:paraId="2BDEC0B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w:t>
      </w:r>
      <w:bookmarkStart w:id="785" w:name="_Toc312677997"/>
      <w:bookmarkStart w:id="786" w:name="_Toc297123496"/>
      <w:bookmarkStart w:id="787" w:name="_Toc303539106"/>
      <w:bookmarkStart w:id="788" w:name="_Toc300934949"/>
      <w:bookmarkStart w:id="789" w:name="_Toc318581164"/>
      <w:bookmarkStart w:id="790" w:name="_Toc304295527"/>
      <w:bookmarkStart w:id="791" w:name="_Toc297216155"/>
      <w:r>
        <w:rPr>
          <w:rFonts w:hint="eastAsia" w:ascii="宋体" w:hAnsi="宋体"/>
          <w:color w:val="auto"/>
          <w:sz w:val="24"/>
          <w:szCs w:val="24"/>
          <w:highlight w:val="none"/>
        </w:rPr>
        <w:t>.1.1 特殊质量标准和要求：</w:t>
      </w:r>
      <w:r>
        <w:rPr>
          <w:rFonts w:hint="eastAsia" w:ascii="宋体" w:hAnsi="宋体"/>
          <w:color w:val="auto"/>
          <w:sz w:val="24"/>
          <w:szCs w:val="24"/>
          <w:highlight w:val="none"/>
          <w:u w:val="single"/>
          <w:lang w:val="zh-TW" w:eastAsia="zh-TW"/>
        </w:rPr>
        <w:t>符合（工程施工质量验收规范）合格标准</w:t>
      </w:r>
      <w:r>
        <w:rPr>
          <w:rFonts w:hint="eastAsia" w:ascii="宋体" w:hAnsi="宋体"/>
          <w:color w:val="auto"/>
          <w:sz w:val="24"/>
          <w:szCs w:val="24"/>
          <w:highlight w:val="none"/>
        </w:rPr>
        <w:t>。</w:t>
      </w:r>
    </w:p>
    <w:p w14:paraId="76BD5F60">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关于工程奖项的约定：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22881C4A">
      <w:pPr>
        <w:spacing w:line="380" w:lineRule="exact"/>
        <w:ind w:firstLine="480" w:firstLineChars="200"/>
        <w:outlineLvl w:val="0"/>
        <w:rPr>
          <w:rFonts w:hint="eastAsia" w:ascii="宋体" w:hAnsi="宋体"/>
          <w:color w:val="auto"/>
          <w:sz w:val="24"/>
          <w:szCs w:val="24"/>
          <w:highlight w:val="none"/>
        </w:rPr>
      </w:pPr>
      <w:bookmarkStart w:id="792" w:name="_Toc16100"/>
      <w:bookmarkStart w:id="793" w:name="_Toc25610"/>
      <w:bookmarkStart w:id="794" w:name="_Toc2925"/>
      <w:bookmarkStart w:id="795" w:name="_Toc27779"/>
      <w:bookmarkStart w:id="796" w:name="_Toc16502"/>
      <w:bookmarkStart w:id="797" w:name="_Toc23760"/>
      <w:bookmarkStart w:id="798" w:name="_Toc11534"/>
      <w:r>
        <w:rPr>
          <w:rFonts w:hint="eastAsia" w:ascii="宋体" w:hAnsi="宋体"/>
          <w:color w:val="auto"/>
          <w:sz w:val="24"/>
          <w:szCs w:val="24"/>
          <w:highlight w:val="none"/>
        </w:rPr>
        <w:t>5.3 隐蔽工程检查</w:t>
      </w:r>
      <w:bookmarkEnd w:id="792"/>
      <w:bookmarkEnd w:id="793"/>
      <w:bookmarkEnd w:id="794"/>
      <w:bookmarkEnd w:id="795"/>
      <w:bookmarkEnd w:id="796"/>
      <w:bookmarkEnd w:id="797"/>
      <w:bookmarkEnd w:id="798"/>
    </w:p>
    <w:p w14:paraId="5752D9D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5.3.2承包人提前通知监理人隐蔽工程检查的期限的约定：</w:t>
      </w:r>
      <w:r>
        <w:rPr>
          <w:rFonts w:hint="eastAsia" w:ascii="宋体" w:hAnsi="宋体"/>
          <w:color w:val="auto"/>
          <w:sz w:val="24"/>
          <w:szCs w:val="24"/>
          <w:highlight w:val="none"/>
          <w:u w:val="single"/>
        </w:rPr>
        <w:t>48小时</w:t>
      </w:r>
      <w:r>
        <w:rPr>
          <w:rFonts w:hint="eastAsia" w:ascii="宋体" w:hAnsi="宋体"/>
          <w:color w:val="auto"/>
          <w:sz w:val="24"/>
          <w:szCs w:val="24"/>
          <w:highlight w:val="none"/>
        </w:rPr>
        <w:t>。</w:t>
      </w:r>
    </w:p>
    <w:p w14:paraId="10185393">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监理人不能按时进行检查时，应提前</w:t>
      </w:r>
      <w:r>
        <w:rPr>
          <w:rFonts w:hint="eastAsia" w:ascii="宋体" w:hAnsi="宋体"/>
          <w:color w:val="auto"/>
          <w:sz w:val="24"/>
          <w:szCs w:val="24"/>
          <w:highlight w:val="none"/>
          <w:u w:val="single"/>
        </w:rPr>
        <w:t>12</w:t>
      </w:r>
      <w:r>
        <w:rPr>
          <w:rFonts w:hint="eastAsia" w:ascii="宋体" w:hAnsi="宋体"/>
          <w:color w:val="auto"/>
          <w:sz w:val="24"/>
          <w:szCs w:val="24"/>
          <w:highlight w:val="none"/>
        </w:rPr>
        <w:t>小时提交书面延期要求。</w:t>
      </w:r>
    </w:p>
    <w:p w14:paraId="0327D58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关于延期最长不得超过：</w:t>
      </w:r>
      <w:r>
        <w:rPr>
          <w:rFonts w:hint="eastAsia" w:ascii="宋体" w:hAnsi="宋体"/>
          <w:color w:val="auto"/>
          <w:sz w:val="24"/>
          <w:szCs w:val="24"/>
          <w:highlight w:val="none"/>
          <w:u w:val="single"/>
        </w:rPr>
        <w:t>24</w:t>
      </w:r>
      <w:r>
        <w:rPr>
          <w:rFonts w:hint="eastAsia" w:ascii="宋体" w:hAnsi="宋体"/>
          <w:color w:val="auto"/>
          <w:sz w:val="24"/>
          <w:szCs w:val="24"/>
          <w:highlight w:val="none"/>
        </w:rPr>
        <w:t>小时。</w:t>
      </w:r>
    </w:p>
    <w:p w14:paraId="067AEC19">
      <w:pPr>
        <w:keepNext/>
        <w:keepLines/>
        <w:spacing w:line="380" w:lineRule="exact"/>
        <w:ind w:firstLine="482"/>
        <w:outlineLvl w:val="3"/>
        <w:rPr>
          <w:rFonts w:hint="eastAsia" w:ascii="宋体" w:hAnsi="宋体"/>
          <w:bCs/>
          <w:color w:val="auto"/>
          <w:sz w:val="24"/>
          <w:szCs w:val="24"/>
          <w:highlight w:val="none"/>
        </w:rPr>
      </w:pPr>
      <w:bookmarkStart w:id="799" w:name="_Toc351203638"/>
      <w:r>
        <w:rPr>
          <w:rFonts w:hint="eastAsia" w:ascii="宋体" w:hAnsi="宋体"/>
          <w:bCs/>
          <w:color w:val="auto"/>
          <w:sz w:val="24"/>
          <w:szCs w:val="24"/>
          <w:highlight w:val="none"/>
        </w:rPr>
        <w:t>6. 安全文明施工与环境保护</w:t>
      </w:r>
      <w:bookmarkEnd w:id="799"/>
    </w:p>
    <w:p w14:paraId="2C568B19">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6.1安全文明施工</w:t>
      </w:r>
    </w:p>
    <w:p w14:paraId="7B36B3FB">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6.1.1 项目安全生产的达标目标及相应事项的约定：</w:t>
      </w:r>
      <w:r>
        <w:rPr>
          <w:rFonts w:hint="eastAsia" w:ascii="宋体" w:hAnsi="宋体"/>
          <w:color w:val="auto"/>
          <w:sz w:val="24"/>
          <w:szCs w:val="24"/>
          <w:highlight w:val="none"/>
          <w:u w:val="single"/>
          <w:lang w:val="zh-TW" w:eastAsia="zh-TW"/>
        </w:rPr>
        <w:t>执行通用条款</w:t>
      </w:r>
      <w:r>
        <w:rPr>
          <w:rFonts w:hint="eastAsia" w:ascii="宋体" w:hAnsi="宋体"/>
          <w:color w:val="auto"/>
          <w:sz w:val="24"/>
          <w:szCs w:val="24"/>
          <w:highlight w:val="none"/>
        </w:rPr>
        <w:t>。</w:t>
      </w:r>
    </w:p>
    <w:p w14:paraId="52CC9254">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6.1.4 关于治安保卫的特别约定：</w:t>
      </w:r>
      <w:r>
        <w:rPr>
          <w:rFonts w:hint="eastAsia" w:ascii="宋体" w:hAnsi="宋体" w:cs="Noto Serif CJK SC"/>
          <w:color w:val="auto"/>
          <w:kern w:val="0"/>
          <w:sz w:val="24"/>
          <w:szCs w:val="24"/>
          <w:highlight w:val="none"/>
          <w:u w:val="single"/>
        </w:rPr>
        <w:t>由承包人负责并承担相应的费用</w:t>
      </w:r>
      <w:r>
        <w:rPr>
          <w:rFonts w:hint="eastAsia" w:ascii="宋体" w:hAnsi="宋体"/>
          <w:color w:val="auto"/>
          <w:sz w:val="24"/>
          <w:szCs w:val="24"/>
          <w:highlight w:val="none"/>
        </w:rPr>
        <w:t>。</w:t>
      </w:r>
    </w:p>
    <w:p w14:paraId="6B72F873">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关于编制施工场地治安管理计划的约定：</w:t>
      </w:r>
      <w:r>
        <w:rPr>
          <w:rFonts w:hint="eastAsia" w:ascii="宋体" w:hAnsi="宋体"/>
          <w:color w:val="auto"/>
          <w:sz w:val="24"/>
          <w:szCs w:val="24"/>
          <w:highlight w:val="none"/>
          <w:u w:val="single"/>
          <w:lang w:val="zh-TW" w:eastAsia="zh-TW"/>
        </w:rPr>
        <w:t>开工</w:t>
      </w:r>
      <w:r>
        <w:rPr>
          <w:rFonts w:hint="eastAsia" w:ascii="宋体" w:hAnsi="宋体"/>
          <w:color w:val="auto"/>
          <w:sz w:val="24"/>
          <w:szCs w:val="24"/>
          <w:highlight w:val="none"/>
          <w:u w:val="single"/>
        </w:rPr>
        <w:t>7</w:t>
      </w:r>
      <w:r>
        <w:rPr>
          <w:rFonts w:hint="eastAsia" w:ascii="宋体" w:hAnsi="宋体"/>
          <w:color w:val="auto"/>
          <w:sz w:val="24"/>
          <w:szCs w:val="24"/>
          <w:highlight w:val="none"/>
          <w:u w:val="single"/>
          <w:lang w:val="zh-TW" w:eastAsia="zh-TW"/>
        </w:rPr>
        <w:t>日前承包人提供施工场地治安管理计划</w:t>
      </w:r>
      <w:r>
        <w:rPr>
          <w:rFonts w:hint="eastAsia" w:ascii="宋体" w:hAnsi="宋体"/>
          <w:color w:val="auto"/>
          <w:sz w:val="24"/>
          <w:szCs w:val="24"/>
          <w:highlight w:val="none"/>
        </w:rPr>
        <w:t>。</w:t>
      </w:r>
    </w:p>
    <w:p w14:paraId="2A6239F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6.1.5 文明施工</w:t>
      </w:r>
    </w:p>
    <w:p w14:paraId="62230CF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合同当事人对文明施工的要求：</w:t>
      </w:r>
      <w:r>
        <w:rPr>
          <w:rFonts w:hint="eastAsia" w:ascii="宋体" w:hAnsi="宋体" w:cs="宋体"/>
          <w:color w:val="auto"/>
          <w:sz w:val="24"/>
          <w:szCs w:val="24"/>
          <w:highlight w:val="none"/>
          <w:u w:val="single"/>
          <w:lang w:bidi="ar"/>
        </w:rPr>
        <w:t>达到《建筑施工现场环境与卫生标准》</w:t>
      </w:r>
      <w:r>
        <w:rPr>
          <w:rFonts w:hint="eastAsia" w:ascii="宋体" w:hAnsi="宋体" w:cs="宋体"/>
          <w:color w:val="auto"/>
          <w:sz w:val="24"/>
          <w:szCs w:val="24"/>
          <w:highlight w:val="none"/>
          <w:u w:val="single"/>
          <w:lang w:val="en-US" w:eastAsia="zh-CN" w:bidi="ar"/>
        </w:rPr>
        <w:t>JGJ146-2013</w:t>
      </w:r>
      <w:r>
        <w:rPr>
          <w:rFonts w:hint="eastAsia" w:ascii="宋体" w:hAnsi="宋体" w:cs="宋体"/>
          <w:color w:val="auto"/>
          <w:sz w:val="24"/>
          <w:szCs w:val="24"/>
          <w:highlight w:val="none"/>
          <w:u w:val="single"/>
          <w:lang w:bidi="ar"/>
        </w:rPr>
        <w:t>、《三门峡市建筑工地安全文明施工标准化基本要求》及附件十《安全文明施工项目明细表》的要求并且符合三环委【2016】1号及三公办【2016】58号要求</w:t>
      </w:r>
      <w:r>
        <w:rPr>
          <w:rFonts w:hint="eastAsia" w:ascii="宋体" w:hAnsi="宋体"/>
          <w:color w:val="auto"/>
          <w:sz w:val="24"/>
          <w:szCs w:val="24"/>
          <w:highlight w:val="none"/>
        </w:rPr>
        <w:t>。</w:t>
      </w:r>
    </w:p>
    <w:p w14:paraId="3BBA9748">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6.1.6 关于安全文明施工费支付比例和支付期限的约定：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bookmarkEnd w:id="785"/>
    <w:bookmarkEnd w:id="786"/>
    <w:bookmarkEnd w:id="787"/>
    <w:bookmarkEnd w:id="788"/>
    <w:bookmarkEnd w:id="789"/>
    <w:bookmarkEnd w:id="790"/>
    <w:bookmarkEnd w:id="791"/>
    <w:p w14:paraId="56DC6ED6">
      <w:pPr>
        <w:keepNext/>
        <w:keepLines/>
        <w:spacing w:line="380" w:lineRule="exact"/>
        <w:ind w:firstLine="482"/>
        <w:outlineLvl w:val="3"/>
        <w:rPr>
          <w:rFonts w:hint="eastAsia" w:ascii="宋体" w:hAnsi="宋体"/>
          <w:bCs/>
          <w:color w:val="auto"/>
          <w:sz w:val="24"/>
          <w:szCs w:val="24"/>
          <w:highlight w:val="none"/>
        </w:rPr>
      </w:pPr>
      <w:bookmarkStart w:id="800" w:name="_Toc351203639"/>
      <w:r>
        <w:rPr>
          <w:rFonts w:hint="eastAsia" w:ascii="宋体" w:hAnsi="宋体"/>
          <w:bCs/>
          <w:color w:val="auto"/>
          <w:sz w:val="24"/>
          <w:szCs w:val="24"/>
          <w:highlight w:val="none"/>
        </w:rPr>
        <w:t>7. 工期和进度</w:t>
      </w:r>
      <w:bookmarkEnd w:id="800"/>
    </w:p>
    <w:p w14:paraId="628C93DB">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7.1 施工组织设计</w:t>
      </w:r>
    </w:p>
    <w:p w14:paraId="6CB34AA3">
      <w:pPr>
        <w:autoSpaceDE w:val="0"/>
        <w:autoSpaceDN w:val="0"/>
        <w:adjustRightInd w:val="0"/>
        <w:spacing w:line="380" w:lineRule="exact"/>
        <w:ind w:firstLine="482"/>
        <w:jc w:val="left"/>
        <w:rPr>
          <w:rFonts w:hint="eastAsia" w:ascii="宋体" w:hAnsi="宋体"/>
          <w:color w:val="auto"/>
          <w:kern w:val="0"/>
          <w:sz w:val="24"/>
          <w:szCs w:val="24"/>
          <w:highlight w:val="none"/>
        </w:rPr>
      </w:pPr>
      <w:r>
        <w:rPr>
          <w:rFonts w:hint="eastAsia" w:ascii="宋体" w:hAnsi="宋体"/>
          <w:color w:val="auto"/>
          <w:sz w:val="24"/>
          <w:szCs w:val="24"/>
          <w:highlight w:val="none"/>
        </w:rPr>
        <w:t>7.1.1 合</w:t>
      </w:r>
      <w:r>
        <w:rPr>
          <w:rFonts w:hint="eastAsia" w:ascii="宋体" w:hAnsi="宋体"/>
          <w:color w:val="auto"/>
          <w:kern w:val="0"/>
          <w:sz w:val="24"/>
          <w:szCs w:val="24"/>
          <w:highlight w:val="none"/>
        </w:rPr>
        <w:t>同当事人约定的施工组织设计应包括的其他内容：</w:t>
      </w:r>
      <w:r>
        <w:rPr>
          <w:rFonts w:hint="eastAsia" w:ascii="宋体" w:hAnsi="宋体"/>
          <w:color w:val="auto"/>
          <w:sz w:val="24"/>
          <w:szCs w:val="24"/>
          <w:highlight w:val="none"/>
          <w:u w:val="single"/>
          <w:lang w:val="zh-TW" w:eastAsia="zh-TW"/>
        </w:rPr>
        <w:t>同通用条款</w:t>
      </w:r>
      <w:r>
        <w:rPr>
          <w:rFonts w:hint="eastAsia" w:ascii="宋体" w:hAnsi="宋体"/>
          <w:color w:val="auto"/>
          <w:sz w:val="24"/>
          <w:szCs w:val="24"/>
          <w:highlight w:val="none"/>
        </w:rPr>
        <w:t>。</w:t>
      </w:r>
    </w:p>
    <w:p w14:paraId="2E43AADB">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sz w:val="24"/>
          <w:szCs w:val="24"/>
          <w:highlight w:val="none"/>
        </w:rPr>
        <w:t xml:space="preserve">7.1.2 </w:t>
      </w:r>
      <w:r>
        <w:rPr>
          <w:rFonts w:hint="eastAsia" w:ascii="宋体" w:hAnsi="宋体"/>
          <w:color w:val="auto"/>
          <w:kern w:val="0"/>
          <w:sz w:val="24"/>
          <w:szCs w:val="24"/>
          <w:highlight w:val="none"/>
        </w:rPr>
        <w:t>施工组织设计的提交和修改</w:t>
      </w:r>
    </w:p>
    <w:p w14:paraId="324B552F">
      <w:pPr>
        <w:autoSpaceDE w:val="0"/>
        <w:autoSpaceDN w:val="0"/>
        <w:adjustRightInd w:val="0"/>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kern w:val="0"/>
          <w:sz w:val="24"/>
          <w:szCs w:val="24"/>
          <w:highlight w:val="none"/>
        </w:rPr>
        <w:t>承包人提交详细施工组织设计的期限的约定：</w:t>
      </w:r>
      <w:r>
        <w:rPr>
          <w:rFonts w:hint="eastAsia" w:ascii="宋体" w:hAnsi="宋体" w:cs="宋体"/>
          <w:color w:val="auto"/>
          <w:sz w:val="24"/>
          <w:szCs w:val="24"/>
          <w:highlight w:val="none"/>
          <w:u w:val="single"/>
          <w:lang w:bidi="ar"/>
        </w:rPr>
        <w:t>在工程开工7天前</w:t>
      </w:r>
      <w:r>
        <w:rPr>
          <w:rFonts w:hint="eastAsia" w:ascii="宋体" w:hAnsi="宋体"/>
          <w:color w:val="auto"/>
          <w:sz w:val="24"/>
          <w:szCs w:val="24"/>
          <w:highlight w:val="none"/>
        </w:rPr>
        <w:t>。</w:t>
      </w:r>
    </w:p>
    <w:p w14:paraId="2AC3463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发包人和监理人在收到详细的施工组织设计后确认或提出修改意见的期限：</w:t>
      </w:r>
      <w:r>
        <w:rPr>
          <w:rFonts w:hint="eastAsia" w:ascii="宋体" w:hAnsi="宋体" w:cs="宋体"/>
          <w:color w:val="auto"/>
          <w:sz w:val="24"/>
          <w:szCs w:val="24"/>
          <w:highlight w:val="none"/>
          <w:u w:val="single"/>
          <w:lang w:bidi="ar"/>
        </w:rPr>
        <w:t>监理人应按协议条款约定的时间（7天内）予以批准或提出修改意见，逾期不批复，可视为该施工组织设计和进度计划已经批准</w:t>
      </w:r>
      <w:r>
        <w:rPr>
          <w:rFonts w:hint="eastAsia" w:ascii="宋体" w:hAnsi="宋体"/>
          <w:color w:val="auto"/>
          <w:sz w:val="24"/>
          <w:szCs w:val="24"/>
          <w:highlight w:val="none"/>
        </w:rPr>
        <w:t>。</w:t>
      </w:r>
    </w:p>
    <w:p w14:paraId="26D7726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bookmarkStart w:id="801" w:name="_Toc297123514"/>
      <w:bookmarkStart w:id="802" w:name="_Toc312678005"/>
      <w:bookmarkStart w:id="803" w:name="_Toc297216173"/>
      <w:bookmarkStart w:id="804" w:name="_Toc300934966"/>
      <w:bookmarkStart w:id="805" w:name="_Toc303539123"/>
      <w:bookmarkStart w:id="806" w:name="_Toc312677479"/>
      <w:bookmarkStart w:id="807" w:name="_Toc304295541"/>
      <w:r>
        <w:rPr>
          <w:rFonts w:hint="eastAsia" w:ascii="宋体" w:hAnsi="宋体"/>
          <w:color w:val="auto"/>
          <w:sz w:val="24"/>
          <w:szCs w:val="24"/>
          <w:highlight w:val="none"/>
        </w:rPr>
        <w:t>.2 施工进度计划</w:t>
      </w:r>
    </w:p>
    <w:p w14:paraId="3ABE6847">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7.2.2 施工进度计划的修订</w:t>
      </w:r>
    </w:p>
    <w:p w14:paraId="220576B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发包人和监理人在收到修订的施工进度计划后确认或提出修改意见的期限：</w:t>
      </w:r>
      <w:r>
        <w:rPr>
          <w:rFonts w:hint="eastAsia" w:ascii="宋体" w:hAnsi="宋体"/>
          <w:color w:val="auto"/>
          <w:sz w:val="24"/>
          <w:szCs w:val="24"/>
          <w:highlight w:val="none"/>
          <w:u w:val="single"/>
        </w:rPr>
        <w:t xml:space="preserve">3天内             </w:t>
      </w:r>
      <w:r>
        <w:rPr>
          <w:rFonts w:hint="eastAsia" w:ascii="宋体" w:hAnsi="宋体"/>
          <w:color w:val="auto"/>
          <w:sz w:val="24"/>
          <w:szCs w:val="24"/>
          <w:highlight w:val="none"/>
        </w:rPr>
        <w:t>。</w:t>
      </w:r>
    </w:p>
    <w:p w14:paraId="5103CCEC">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7.3 开工</w:t>
      </w:r>
    </w:p>
    <w:p w14:paraId="177539B4">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7.3.1 开工准备</w:t>
      </w:r>
    </w:p>
    <w:p w14:paraId="56A095B5">
      <w:pPr>
        <w:spacing w:line="380" w:lineRule="exact"/>
        <w:ind w:firstLine="482"/>
        <w:jc w:val="left"/>
        <w:rPr>
          <w:rFonts w:hint="eastAsia" w:ascii="宋体" w:hAnsi="宋体"/>
          <w:color w:val="auto"/>
          <w:sz w:val="24"/>
          <w:szCs w:val="24"/>
          <w:highlight w:val="none"/>
          <w:u w:val="single"/>
        </w:rPr>
      </w:pPr>
      <w:r>
        <w:rPr>
          <w:rFonts w:hint="eastAsia" w:ascii="宋体" w:hAnsi="宋体"/>
          <w:color w:val="auto"/>
          <w:sz w:val="24"/>
          <w:szCs w:val="24"/>
          <w:highlight w:val="none"/>
        </w:rPr>
        <w:t>关于承包人提交</w:t>
      </w:r>
      <w:r>
        <w:rPr>
          <w:rFonts w:hint="eastAsia" w:ascii="宋体" w:hAnsi="宋体"/>
          <w:color w:val="auto"/>
          <w:kern w:val="0"/>
          <w:sz w:val="24"/>
          <w:szCs w:val="24"/>
          <w:highlight w:val="none"/>
        </w:rPr>
        <w:t>工程开工报审表的期限：</w:t>
      </w:r>
      <w:r>
        <w:rPr>
          <w:rFonts w:hint="eastAsia" w:ascii="宋体" w:hAnsi="宋体" w:cs="宋体"/>
          <w:color w:val="auto"/>
          <w:sz w:val="24"/>
          <w:szCs w:val="24"/>
          <w:highlight w:val="none"/>
          <w:u w:val="single"/>
          <w:lang w:bidi="ar"/>
        </w:rPr>
        <w:t>开工前7天</w:t>
      </w:r>
      <w:r>
        <w:rPr>
          <w:rFonts w:hint="eastAsia" w:ascii="宋体" w:hAnsi="宋体"/>
          <w:color w:val="auto"/>
          <w:sz w:val="24"/>
          <w:szCs w:val="24"/>
          <w:highlight w:val="none"/>
        </w:rPr>
        <w:t>。</w:t>
      </w:r>
    </w:p>
    <w:p w14:paraId="1207F6E5">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关于发包人应完成的其他开工准备工作及期限：</w:t>
      </w:r>
      <w:r>
        <w:rPr>
          <w:rFonts w:hint="eastAsia" w:ascii="宋体" w:hAnsi="宋体" w:cs="宋体"/>
          <w:color w:val="auto"/>
          <w:sz w:val="24"/>
          <w:szCs w:val="24"/>
          <w:highlight w:val="none"/>
          <w:u w:val="single"/>
          <w:lang w:bidi="ar"/>
        </w:rPr>
        <w:t>开工前7天</w:t>
      </w:r>
      <w:r>
        <w:rPr>
          <w:rFonts w:hint="eastAsia" w:ascii="宋体" w:hAnsi="宋体"/>
          <w:color w:val="auto"/>
          <w:sz w:val="24"/>
          <w:szCs w:val="24"/>
          <w:highlight w:val="none"/>
        </w:rPr>
        <w:t>。</w:t>
      </w:r>
    </w:p>
    <w:p w14:paraId="23FA522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关于承包人应完成的其他开工准备工作及期限：</w:t>
      </w:r>
      <w:r>
        <w:rPr>
          <w:rFonts w:hint="eastAsia" w:ascii="宋体" w:hAnsi="宋体" w:cs="宋体"/>
          <w:color w:val="auto"/>
          <w:sz w:val="24"/>
          <w:szCs w:val="24"/>
          <w:highlight w:val="none"/>
          <w:u w:val="single"/>
          <w:lang w:bidi="ar"/>
        </w:rPr>
        <w:t>以监理人的通知为准</w:t>
      </w:r>
      <w:r>
        <w:rPr>
          <w:rFonts w:hint="eastAsia" w:ascii="宋体" w:hAnsi="宋体"/>
          <w:color w:val="auto"/>
          <w:sz w:val="24"/>
          <w:szCs w:val="24"/>
          <w:highlight w:val="none"/>
        </w:rPr>
        <w:t>。</w:t>
      </w:r>
    </w:p>
    <w:p w14:paraId="5126B1BB">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7.3.2开工通知</w:t>
      </w:r>
    </w:p>
    <w:p w14:paraId="630E1BBE">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因发包人原因造成监理人未能在计划开工日期之日起</w:t>
      </w:r>
      <w:r>
        <w:rPr>
          <w:rFonts w:hint="eastAsia" w:ascii="宋体" w:hAnsi="宋体"/>
          <w:color w:val="auto"/>
          <w:sz w:val="24"/>
          <w:szCs w:val="24"/>
          <w:highlight w:val="none"/>
          <w:u w:val="single"/>
        </w:rPr>
        <w:t>90</w:t>
      </w:r>
      <w:r>
        <w:rPr>
          <w:rFonts w:hint="eastAsia" w:ascii="宋体" w:hAnsi="宋体"/>
          <w:color w:val="auto"/>
          <w:sz w:val="24"/>
          <w:szCs w:val="24"/>
          <w:highlight w:val="none"/>
        </w:rPr>
        <w:t>内发出开工通知的，承包人有权提出价格调整要求，或者解除合同。</w:t>
      </w:r>
    </w:p>
    <w:bookmarkEnd w:id="801"/>
    <w:bookmarkEnd w:id="802"/>
    <w:bookmarkEnd w:id="803"/>
    <w:bookmarkEnd w:id="804"/>
    <w:bookmarkEnd w:id="805"/>
    <w:bookmarkEnd w:id="806"/>
    <w:bookmarkEnd w:id="807"/>
    <w:p w14:paraId="788CC742">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7.4 测量放线</w:t>
      </w:r>
    </w:p>
    <w:p w14:paraId="73630706">
      <w:pPr>
        <w:spacing w:line="38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7.4.1发包人通过监理人向承包人提供测量基准点、基准线和水准点及其书面资料的期限：</w:t>
      </w:r>
      <w:r>
        <w:rPr>
          <w:rFonts w:hint="eastAsia" w:ascii="宋体" w:hAnsi="宋体"/>
          <w:color w:val="auto"/>
          <w:sz w:val="24"/>
          <w:szCs w:val="24"/>
          <w:highlight w:val="none"/>
          <w:u w:val="single"/>
        </w:rPr>
        <w:t xml:space="preserve">     开工前7天           </w:t>
      </w:r>
      <w:r>
        <w:rPr>
          <w:rFonts w:hint="eastAsia" w:ascii="宋体" w:hAnsi="宋体"/>
          <w:color w:val="auto"/>
          <w:sz w:val="24"/>
          <w:szCs w:val="24"/>
          <w:highlight w:val="none"/>
        </w:rPr>
        <w:t>。</w:t>
      </w:r>
    </w:p>
    <w:p w14:paraId="511CE0C5">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bookmarkStart w:id="808" w:name="_Toc300934968"/>
      <w:bookmarkStart w:id="809" w:name="_Toc312678010"/>
      <w:bookmarkStart w:id="810" w:name="_Toc312677484"/>
      <w:bookmarkStart w:id="811" w:name="_Toc303539125"/>
      <w:bookmarkStart w:id="812" w:name="_Toc304295546"/>
      <w:bookmarkStart w:id="813" w:name="_Toc297123516"/>
      <w:bookmarkStart w:id="814" w:name="_Toc297216175"/>
      <w:r>
        <w:rPr>
          <w:rFonts w:hint="eastAsia" w:ascii="宋体" w:hAnsi="宋体"/>
          <w:color w:val="auto"/>
          <w:sz w:val="24"/>
          <w:szCs w:val="24"/>
          <w:highlight w:val="none"/>
        </w:rPr>
        <w:t>.5 工期延误</w:t>
      </w:r>
    </w:p>
    <w:bookmarkEnd w:id="808"/>
    <w:bookmarkEnd w:id="809"/>
    <w:bookmarkEnd w:id="810"/>
    <w:bookmarkEnd w:id="811"/>
    <w:bookmarkEnd w:id="812"/>
    <w:bookmarkEnd w:id="813"/>
    <w:bookmarkEnd w:id="814"/>
    <w:p w14:paraId="1B86FC6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7.5.1 因发包人原因导致工期延误</w:t>
      </w:r>
    </w:p>
    <w:p w14:paraId="309644F8">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（7）因发包人原因导致工期延误的其他情形：</w:t>
      </w:r>
      <w:r>
        <w:rPr>
          <w:rFonts w:hint="eastAsia" w:ascii="宋体" w:hAnsi="宋体"/>
          <w:color w:val="auto"/>
          <w:sz w:val="24"/>
          <w:szCs w:val="24"/>
          <w:highlight w:val="none"/>
          <w:u w:val="single"/>
          <w:lang w:val="zh-TW" w:eastAsia="zh-TW"/>
        </w:rPr>
        <w:t>（</w:t>
      </w:r>
      <w:r>
        <w:rPr>
          <w:rFonts w:hint="eastAsia" w:ascii="宋体" w:hAnsi="宋体"/>
          <w:color w:val="auto"/>
          <w:sz w:val="24"/>
          <w:szCs w:val="24"/>
          <w:highlight w:val="none"/>
          <w:u w:val="single"/>
        </w:rPr>
        <w:t>1</w:t>
      </w:r>
      <w:r>
        <w:rPr>
          <w:rFonts w:hint="eastAsia" w:ascii="宋体" w:hAnsi="宋体"/>
          <w:color w:val="auto"/>
          <w:sz w:val="24"/>
          <w:szCs w:val="24"/>
          <w:highlight w:val="none"/>
          <w:u w:val="single"/>
          <w:lang w:val="zh-TW" w:eastAsia="zh-TW"/>
        </w:rPr>
        <w:t>）由于国家政策停建或者缓建，致使施工无法正常进行以及由于政府及相关规定造成的工期延误。（</w:t>
      </w:r>
      <w:r>
        <w:rPr>
          <w:rFonts w:hint="eastAsia" w:ascii="宋体" w:hAnsi="宋体"/>
          <w:color w:val="auto"/>
          <w:sz w:val="24"/>
          <w:szCs w:val="24"/>
          <w:highlight w:val="none"/>
          <w:u w:val="single"/>
        </w:rPr>
        <w:t>2</w:t>
      </w:r>
      <w:r>
        <w:rPr>
          <w:rFonts w:hint="eastAsia" w:ascii="宋体" w:hAnsi="宋体"/>
          <w:color w:val="auto"/>
          <w:sz w:val="24"/>
          <w:szCs w:val="24"/>
          <w:highlight w:val="none"/>
          <w:u w:val="single"/>
          <w:lang w:val="zh-TW" w:eastAsia="zh-TW"/>
        </w:rPr>
        <w:t>）经双方书面确认的工期延误。（</w:t>
      </w:r>
      <w:r>
        <w:rPr>
          <w:rFonts w:hint="eastAsia" w:ascii="宋体" w:hAnsi="宋体"/>
          <w:color w:val="auto"/>
          <w:sz w:val="24"/>
          <w:szCs w:val="24"/>
          <w:highlight w:val="none"/>
          <w:u w:val="single"/>
        </w:rPr>
        <w:t>3</w:t>
      </w:r>
      <w:r>
        <w:rPr>
          <w:rFonts w:hint="eastAsia" w:ascii="宋体" w:hAnsi="宋体"/>
          <w:color w:val="auto"/>
          <w:sz w:val="24"/>
          <w:szCs w:val="24"/>
          <w:highlight w:val="none"/>
          <w:u w:val="single"/>
          <w:lang w:val="zh-TW" w:eastAsia="zh-TW"/>
        </w:rPr>
        <w:t>）由于不可抗力原因而影响工程施工；（</w:t>
      </w:r>
      <w:r>
        <w:rPr>
          <w:rFonts w:hint="eastAsia" w:ascii="宋体" w:hAnsi="宋体"/>
          <w:color w:val="auto"/>
          <w:sz w:val="24"/>
          <w:szCs w:val="24"/>
          <w:highlight w:val="none"/>
          <w:u w:val="single"/>
        </w:rPr>
        <w:t>4</w:t>
      </w:r>
      <w:r>
        <w:rPr>
          <w:rFonts w:hint="eastAsia" w:ascii="宋体" w:hAnsi="宋体"/>
          <w:color w:val="auto"/>
          <w:sz w:val="24"/>
          <w:szCs w:val="24"/>
          <w:highlight w:val="none"/>
          <w:u w:val="single"/>
          <w:lang w:val="zh-TW" w:eastAsia="zh-TW"/>
        </w:rPr>
        <w:t>）非承包人原因导致工期延误的其他情形</w:t>
      </w:r>
      <w:r>
        <w:rPr>
          <w:rFonts w:hint="eastAsia" w:ascii="宋体" w:hAnsi="宋体"/>
          <w:color w:val="auto"/>
          <w:sz w:val="24"/>
          <w:szCs w:val="24"/>
          <w:highlight w:val="none"/>
        </w:rPr>
        <w:t>。</w:t>
      </w:r>
    </w:p>
    <w:p w14:paraId="02C312F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w:t>
      </w:r>
      <w:bookmarkStart w:id="815" w:name="_Toc312678012"/>
      <w:bookmarkStart w:id="816" w:name="_Toc312677486"/>
      <w:bookmarkStart w:id="817" w:name="_Toc318581169"/>
      <w:bookmarkStart w:id="818" w:name="_Toc303539127"/>
      <w:bookmarkStart w:id="819" w:name="_Toc304295548"/>
      <w:bookmarkStart w:id="820" w:name="_Toc297123518"/>
      <w:bookmarkStart w:id="821" w:name="_Toc297216177"/>
      <w:bookmarkStart w:id="822" w:name="_Toc300934970"/>
      <w:r>
        <w:rPr>
          <w:rFonts w:hint="eastAsia" w:ascii="宋体" w:hAnsi="宋体"/>
          <w:color w:val="auto"/>
          <w:sz w:val="24"/>
          <w:szCs w:val="24"/>
          <w:highlight w:val="none"/>
        </w:rPr>
        <w:t>.5.2 因承包人原因导致工期延误</w:t>
      </w:r>
    </w:p>
    <w:bookmarkEnd w:id="815"/>
    <w:bookmarkEnd w:id="816"/>
    <w:bookmarkEnd w:id="817"/>
    <w:p w14:paraId="2D880B0F">
      <w:pPr>
        <w:spacing w:line="38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因</w:t>
      </w:r>
      <w:bookmarkStart w:id="823" w:name="_Toc312678013"/>
      <w:bookmarkStart w:id="824" w:name="_Toc312677487"/>
      <w:bookmarkStart w:id="825" w:name="_Toc318581170"/>
      <w:r>
        <w:rPr>
          <w:rFonts w:hint="eastAsia" w:ascii="宋体" w:hAnsi="宋体"/>
          <w:color w:val="auto"/>
          <w:sz w:val="24"/>
          <w:szCs w:val="24"/>
          <w:highlight w:val="none"/>
        </w:rPr>
        <w:t>承包人原因造成工期延误，逾期竣工违约金的计算方法为：</w:t>
      </w:r>
    </w:p>
    <w:p w14:paraId="62C4F08E">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u w:val="single"/>
          <w:lang w:val="zh-TW" w:eastAsia="zh-TW"/>
        </w:rPr>
        <w:t>工期顺延按合同总价的万分之五/天</w:t>
      </w:r>
      <w:r>
        <w:rPr>
          <w:rFonts w:hint="eastAsia" w:ascii="宋体" w:hAnsi="宋体"/>
          <w:color w:val="auto"/>
          <w:sz w:val="24"/>
          <w:szCs w:val="24"/>
          <w:highlight w:val="none"/>
        </w:rPr>
        <w:t>。</w:t>
      </w:r>
      <w:bookmarkEnd w:id="818"/>
      <w:bookmarkEnd w:id="819"/>
      <w:bookmarkEnd w:id="820"/>
      <w:bookmarkEnd w:id="821"/>
      <w:bookmarkEnd w:id="822"/>
      <w:bookmarkEnd w:id="823"/>
      <w:bookmarkEnd w:id="824"/>
    </w:p>
    <w:bookmarkEnd w:id="825"/>
    <w:p w14:paraId="370690F4">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因承包人原因造成工期延误，逾</w:t>
      </w:r>
      <w:bookmarkStart w:id="826" w:name="_Toc318581171"/>
      <w:bookmarkStart w:id="827" w:name="_Toc312678014"/>
      <w:r>
        <w:rPr>
          <w:rFonts w:hint="eastAsia" w:ascii="宋体" w:hAnsi="宋体"/>
          <w:color w:val="auto"/>
          <w:sz w:val="24"/>
          <w:szCs w:val="24"/>
          <w:highlight w:val="none"/>
        </w:rPr>
        <w:t>期竣工违约金的上限：</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826"/>
    <w:bookmarkEnd w:id="827"/>
    <w:p w14:paraId="3301101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bookmarkStart w:id="828" w:name="_Toc297216178"/>
      <w:bookmarkStart w:id="829" w:name="_Toc304295549"/>
      <w:bookmarkStart w:id="830" w:name="_Toc300934971"/>
      <w:bookmarkStart w:id="831" w:name="_Toc297123519"/>
      <w:bookmarkStart w:id="832" w:name="_Toc312678015"/>
      <w:bookmarkStart w:id="833" w:name="_Toc303539128"/>
      <w:r>
        <w:rPr>
          <w:rFonts w:hint="eastAsia" w:ascii="宋体" w:hAnsi="宋体"/>
          <w:color w:val="auto"/>
          <w:sz w:val="24"/>
          <w:szCs w:val="24"/>
          <w:highlight w:val="none"/>
        </w:rPr>
        <w:t>.6 不</w:t>
      </w:r>
      <w:bookmarkEnd w:id="828"/>
      <w:bookmarkEnd w:id="829"/>
      <w:bookmarkEnd w:id="830"/>
      <w:bookmarkEnd w:id="831"/>
      <w:bookmarkEnd w:id="832"/>
      <w:bookmarkEnd w:id="833"/>
      <w:r>
        <w:rPr>
          <w:rFonts w:hint="eastAsia" w:ascii="宋体" w:hAnsi="宋体"/>
          <w:color w:val="auto"/>
          <w:sz w:val="24"/>
          <w:szCs w:val="24"/>
          <w:highlight w:val="none"/>
        </w:rPr>
        <w:t>利物质条件</w:t>
      </w:r>
    </w:p>
    <w:p w14:paraId="7B2981A3">
      <w:pPr>
        <w:spacing w:line="380" w:lineRule="exact"/>
        <w:ind w:firstLine="482"/>
        <w:jc w:val="left"/>
        <w:rPr>
          <w:rFonts w:hint="eastAsia" w:ascii="宋体" w:hAnsi="宋体"/>
          <w:color w:val="auto"/>
          <w:sz w:val="24"/>
          <w:szCs w:val="24"/>
          <w:highlight w:val="none"/>
        </w:rPr>
      </w:pPr>
      <w:bookmarkStart w:id="834" w:name="_Toc318581172"/>
      <w:bookmarkStart w:id="835" w:name="_Toc304295550"/>
      <w:bookmarkStart w:id="836" w:name="_Toc297123520"/>
      <w:bookmarkStart w:id="837" w:name="_Toc300934972"/>
      <w:bookmarkStart w:id="838" w:name="_Toc312678016"/>
      <w:bookmarkStart w:id="839" w:name="_Toc297216179"/>
      <w:bookmarkStart w:id="840" w:name="_Toc303539129"/>
      <w:r>
        <w:rPr>
          <w:rFonts w:hint="eastAsia" w:ascii="宋体" w:hAnsi="宋体"/>
          <w:color w:val="auto"/>
          <w:sz w:val="24"/>
          <w:szCs w:val="24"/>
          <w:highlight w:val="none"/>
        </w:rPr>
        <w:t>不利物质条件的其他情形和有关约定：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834"/>
    <w:bookmarkEnd w:id="835"/>
    <w:bookmarkEnd w:id="836"/>
    <w:bookmarkEnd w:id="837"/>
    <w:bookmarkEnd w:id="838"/>
    <w:bookmarkEnd w:id="839"/>
    <w:bookmarkEnd w:id="840"/>
    <w:p w14:paraId="28D68EE3">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bookmarkStart w:id="841" w:name="_Toc303539130"/>
      <w:bookmarkStart w:id="842" w:name="_Toc312678017"/>
      <w:bookmarkStart w:id="843" w:name="_Toc297123521"/>
      <w:bookmarkStart w:id="844" w:name="_Toc304295551"/>
      <w:bookmarkStart w:id="845" w:name="_Toc300934973"/>
      <w:bookmarkStart w:id="846" w:name="_Toc297216180"/>
      <w:r>
        <w:rPr>
          <w:rFonts w:hint="eastAsia" w:ascii="宋体" w:hAnsi="宋体"/>
          <w:color w:val="auto"/>
          <w:sz w:val="24"/>
          <w:szCs w:val="24"/>
          <w:highlight w:val="none"/>
        </w:rPr>
        <w:t>.7异常恶劣的气候条件</w:t>
      </w:r>
    </w:p>
    <w:bookmarkEnd w:id="841"/>
    <w:bookmarkEnd w:id="842"/>
    <w:bookmarkEnd w:id="843"/>
    <w:bookmarkEnd w:id="844"/>
    <w:bookmarkEnd w:id="845"/>
    <w:bookmarkEnd w:id="846"/>
    <w:p w14:paraId="7423B19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发包人和承包人同意以下情形视为异常恶劣的气候条件：</w:t>
      </w:r>
    </w:p>
    <w:p w14:paraId="1ADE605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single"/>
          <w:lang w:val="zh-TW" w:eastAsia="zh-TW"/>
        </w:rPr>
        <w:t>双方另行确定</w:t>
      </w:r>
    </w:p>
    <w:p w14:paraId="104D87A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w:t>
      </w:r>
    </w:p>
    <w:p w14:paraId="1D88EAE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p>
    <w:p w14:paraId="752F271A">
      <w:pPr>
        <w:spacing w:line="380" w:lineRule="exact"/>
        <w:ind w:firstLine="480" w:firstLineChars="200"/>
        <w:outlineLvl w:val="0"/>
        <w:rPr>
          <w:rFonts w:hint="eastAsia" w:ascii="宋体" w:hAnsi="宋体"/>
          <w:color w:val="auto"/>
          <w:sz w:val="24"/>
          <w:szCs w:val="24"/>
          <w:highlight w:val="none"/>
        </w:rPr>
      </w:pPr>
      <w:bookmarkStart w:id="847" w:name="_Toc18677"/>
      <w:bookmarkStart w:id="848" w:name="_Toc27038"/>
      <w:bookmarkStart w:id="849" w:name="_Toc15734"/>
      <w:bookmarkStart w:id="850" w:name="_Toc21266"/>
      <w:bookmarkStart w:id="851" w:name="_Toc9468"/>
      <w:bookmarkStart w:id="852" w:name="_Toc17322"/>
      <w:bookmarkStart w:id="853" w:name="_Toc7521"/>
      <w:r>
        <w:rPr>
          <w:rFonts w:hint="eastAsia" w:ascii="宋体" w:hAnsi="宋体"/>
          <w:color w:val="auto"/>
          <w:sz w:val="24"/>
          <w:szCs w:val="24"/>
          <w:highlight w:val="none"/>
        </w:rPr>
        <w:t>7.9 提前竣工的奖励</w:t>
      </w:r>
      <w:bookmarkEnd w:id="847"/>
      <w:bookmarkEnd w:id="848"/>
      <w:bookmarkEnd w:id="849"/>
      <w:bookmarkEnd w:id="850"/>
      <w:bookmarkEnd w:id="851"/>
      <w:bookmarkEnd w:id="852"/>
      <w:bookmarkEnd w:id="853"/>
    </w:p>
    <w:p w14:paraId="24399A4B">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7.9.2提前竣工的奖励：</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5CF45F70">
      <w:pPr>
        <w:keepNext/>
        <w:keepLines/>
        <w:spacing w:line="380" w:lineRule="exact"/>
        <w:ind w:firstLine="482"/>
        <w:outlineLvl w:val="3"/>
        <w:rPr>
          <w:rFonts w:hint="eastAsia" w:ascii="宋体" w:hAnsi="宋体"/>
          <w:bCs/>
          <w:color w:val="auto"/>
          <w:sz w:val="24"/>
          <w:szCs w:val="24"/>
          <w:highlight w:val="none"/>
        </w:rPr>
      </w:pPr>
      <w:bookmarkStart w:id="854" w:name="_Toc351203640"/>
      <w:r>
        <w:rPr>
          <w:rFonts w:hint="eastAsia" w:ascii="宋体" w:hAnsi="宋体"/>
          <w:bCs/>
          <w:color w:val="auto"/>
          <w:sz w:val="24"/>
          <w:szCs w:val="24"/>
          <w:highlight w:val="none"/>
        </w:rPr>
        <w:t>8. 材料与设备</w:t>
      </w:r>
      <w:bookmarkEnd w:id="854"/>
    </w:p>
    <w:bookmarkEnd w:id="768"/>
    <w:bookmarkEnd w:id="769"/>
    <w:bookmarkEnd w:id="770"/>
    <w:bookmarkEnd w:id="771"/>
    <w:bookmarkEnd w:id="772"/>
    <w:bookmarkEnd w:id="773"/>
    <w:bookmarkEnd w:id="774"/>
    <w:bookmarkEnd w:id="775"/>
    <w:bookmarkEnd w:id="776"/>
    <w:bookmarkEnd w:id="777"/>
    <w:p w14:paraId="3008097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8</w:t>
      </w:r>
      <w:bookmarkStart w:id="855" w:name="_Toc297216186"/>
      <w:bookmarkStart w:id="856" w:name="_Toc296347166"/>
      <w:bookmarkStart w:id="857" w:name="_Toc296346668"/>
      <w:bookmarkStart w:id="858" w:name="_Toc297120467"/>
      <w:bookmarkStart w:id="859" w:name="_Toc297123527"/>
      <w:bookmarkStart w:id="860" w:name="_Toc292559372"/>
      <w:bookmarkStart w:id="861" w:name="_Toc304295556"/>
      <w:bookmarkStart w:id="862" w:name="_Toc296944506"/>
      <w:bookmarkStart w:id="863" w:name="_Toc297048353"/>
      <w:bookmarkStart w:id="864" w:name="_Toc312677493"/>
      <w:bookmarkStart w:id="865" w:name="_Toc280868654"/>
      <w:bookmarkStart w:id="866" w:name="_Toc296503167"/>
      <w:bookmarkStart w:id="867" w:name="_Toc296890995"/>
      <w:bookmarkStart w:id="868" w:name="_Toc292559877"/>
      <w:bookmarkStart w:id="869" w:name="_Toc296891207"/>
      <w:bookmarkStart w:id="870" w:name="_Toc303539136"/>
      <w:bookmarkStart w:id="871" w:name="_Toc312678019"/>
      <w:bookmarkStart w:id="872" w:name="_Toc300934979"/>
      <w:bookmarkStart w:id="873" w:name="_Toc267251424"/>
      <w:bookmarkStart w:id="874" w:name="_Toc280868656"/>
      <w:bookmarkStart w:id="875" w:name="_Toc280868655"/>
      <w:r>
        <w:rPr>
          <w:rFonts w:hint="eastAsia" w:ascii="宋体" w:hAnsi="宋体"/>
          <w:color w:val="auto"/>
          <w:sz w:val="24"/>
          <w:szCs w:val="24"/>
          <w:highlight w:val="none"/>
        </w:rPr>
        <w:t>.4材料与工程设备的保管与使用</w:t>
      </w:r>
    </w:p>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14:paraId="21E8F341">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8</w:t>
      </w:r>
      <w:bookmarkStart w:id="876" w:name="_Toc292559878"/>
      <w:bookmarkStart w:id="877" w:name="_Toc292559373"/>
      <w:bookmarkStart w:id="878" w:name="_Toc303539137"/>
      <w:bookmarkStart w:id="879" w:name="_Toc312678020"/>
      <w:bookmarkStart w:id="880" w:name="_Toc318581173"/>
      <w:bookmarkStart w:id="881" w:name="_Toc296503168"/>
      <w:bookmarkStart w:id="882" w:name="_Toc297216187"/>
      <w:bookmarkStart w:id="883" w:name="_Toc312677494"/>
      <w:bookmarkStart w:id="884" w:name="_Toc304295557"/>
      <w:bookmarkStart w:id="885" w:name="_Toc297048354"/>
      <w:bookmarkStart w:id="886" w:name="_Toc297120468"/>
      <w:bookmarkStart w:id="887" w:name="_Toc297123528"/>
      <w:bookmarkStart w:id="888" w:name="_Toc296347167"/>
      <w:bookmarkStart w:id="889" w:name="_Toc296346669"/>
      <w:bookmarkStart w:id="890" w:name="_Toc296890996"/>
      <w:bookmarkStart w:id="891" w:name="_Toc300934980"/>
      <w:bookmarkStart w:id="892" w:name="_Toc296891208"/>
      <w:bookmarkStart w:id="893" w:name="_Toc296944507"/>
      <w:r>
        <w:rPr>
          <w:rFonts w:hint="eastAsia" w:ascii="宋体" w:hAnsi="宋体"/>
          <w:color w:val="auto"/>
          <w:sz w:val="24"/>
          <w:szCs w:val="24"/>
          <w:highlight w:val="none"/>
        </w:rPr>
        <w:t>.4.1发包人供应的材料设备的保管费用的承担：</w:t>
      </w:r>
      <w:r>
        <w:rPr>
          <w:rFonts w:hint="eastAsia" w:ascii="宋体" w:hAnsi="宋体"/>
          <w:color w:val="auto"/>
          <w:sz w:val="24"/>
          <w:szCs w:val="24"/>
          <w:highlight w:val="none"/>
          <w:u w:val="single"/>
          <w:lang w:val="zh-TW" w:eastAsia="zh-TW"/>
        </w:rPr>
        <w:t>由发包人承担</w:t>
      </w:r>
      <w:r>
        <w:rPr>
          <w:rFonts w:hint="eastAsia" w:ascii="宋体" w:hAnsi="宋体"/>
          <w:color w:val="auto"/>
          <w:sz w:val="24"/>
          <w:szCs w:val="24"/>
          <w:highlight w:val="none"/>
        </w:rPr>
        <w:t>。</w:t>
      </w:r>
      <w:bookmarkEnd w:id="876"/>
      <w:bookmarkEnd w:id="877"/>
    </w:p>
    <w:p w14:paraId="7F6B31BD">
      <w:pPr>
        <w:spacing w:line="380" w:lineRule="exact"/>
        <w:ind w:firstLine="480" w:firstLineChars="200"/>
        <w:outlineLvl w:val="0"/>
        <w:rPr>
          <w:rFonts w:hint="eastAsia" w:ascii="宋体" w:hAnsi="宋体"/>
          <w:color w:val="auto"/>
          <w:sz w:val="24"/>
          <w:szCs w:val="24"/>
          <w:highlight w:val="none"/>
        </w:rPr>
      </w:pPr>
      <w:bookmarkStart w:id="894" w:name="_Toc29280"/>
      <w:bookmarkStart w:id="895" w:name="_Toc7715"/>
      <w:bookmarkStart w:id="896" w:name="_Toc8633"/>
      <w:bookmarkStart w:id="897" w:name="_Toc31142"/>
      <w:bookmarkStart w:id="898" w:name="_Toc10489"/>
      <w:bookmarkStart w:id="899" w:name="_Toc10139"/>
      <w:bookmarkStart w:id="900" w:name="_Toc26487"/>
      <w:r>
        <w:rPr>
          <w:rFonts w:hint="eastAsia" w:ascii="宋体" w:hAnsi="宋体"/>
          <w:color w:val="auto"/>
          <w:sz w:val="24"/>
          <w:szCs w:val="24"/>
          <w:highlight w:val="none"/>
        </w:rPr>
        <w:t>8.6 样品</w:t>
      </w:r>
      <w:bookmarkEnd w:id="894"/>
      <w:bookmarkEnd w:id="895"/>
      <w:bookmarkEnd w:id="896"/>
      <w:bookmarkEnd w:id="897"/>
      <w:bookmarkEnd w:id="898"/>
      <w:bookmarkEnd w:id="899"/>
      <w:bookmarkEnd w:id="900"/>
    </w:p>
    <w:p w14:paraId="0B99F052">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8.6.1</w:t>
      </w:r>
      <w:r>
        <w:rPr>
          <w:rFonts w:hint="eastAsia" w:ascii="宋体" w:hAnsi="宋体"/>
          <w:color w:val="auto"/>
          <w:kern w:val="0"/>
          <w:sz w:val="24"/>
          <w:szCs w:val="24"/>
          <w:highlight w:val="none"/>
        </w:rPr>
        <w:tab/>
      </w:r>
      <w:r>
        <w:rPr>
          <w:rFonts w:hint="eastAsia" w:ascii="宋体" w:hAnsi="宋体"/>
          <w:color w:val="auto"/>
          <w:kern w:val="0"/>
          <w:sz w:val="24"/>
          <w:szCs w:val="24"/>
          <w:highlight w:val="none"/>
        </w:rPr>
        <w:t>样品的报送与封存</w:t>
      </w:r>
    </w:p>
    <w:p w14:paraId="609E4665">
      <w:pPr>
        <w:autoSpaceDE w:val="0"/>
        <w:autoSpaceDN w:val="0"/>
        <w:adjustRightInd w:val="0"/>
        <w:spacing w:line="380" w:lineRule="exact"/>
        <w:ind w:firstLine="482"/>
        <w:jc w:val="left"/>
        <w:rPr>
          <w:rFonts w:hint="eastAsia" w:ascii="宋体" w:hAnsi="宋体"/>
          <w:color w:val="auto"/>
          <w:sz w:val="24"/>
          <w:szCs w:val="24"/>
          <w:highlight w:val="none"/>
        </w:rPr>
      </w:pPr>
      <w:r>
        <w:rPr>
          <w:rFonts w:hint="eastAsia" w:ascii="宋体" w:hAnsi="宋体"/>
          <w:color w:val="auto"/>
          <w:kern w:val="0"/>
          <w:sz w:val="24"/>
          <w:szCs w:val="24"/>
          <w:highlight w:val="none"/>
        </w:rPr>
        <w:t>需要承包人报送样品的材料或工程设备，样品的种类、名称、规格、数量要求：</w:t>
      </w:r>
      <w:r>
        <w:rPr>
          <w:rFonts w:hint="eastAsia" w:ascii="宋体" w:hAnsi="宋体"/>
          <w:color w:val="auto"/>
          <w:sz w:val="24"/>
          <w:szCs w:val="24"/>
          <w:highlight w:val="none"/>
        </w:rPr>
        <w:t>。</w:t>
      </w:r>
    </w:p>
    <w:p w14:paraId="1D6D1E36">
      <w:pPr>
        <w:spacing w:line="380" w:lineRule="exact"/>
        <w:ind w:firstLine="480" w:firstLineChars="200"/>
        <w:outlineLvl w:val="0"/>
        <w:rPr>
          <w:rFonts w:hint="eastAsia" w:ascii="宋体" w:hAnsi="宋体"/>
          <w:color w:val="auto"/>
          <w:sz w:val="24"/>
          <w:szCs w:val="24"/>
          <w:highlight w:val="none"/>
        </w:rPr>
      </w:pPr>
      <w:bookmarkStart w:id="901" w:name="_Toc25508"/>
      <w:bookmarkStart w:id="902" w:name="_Toc18512"/>
      <w:bookmarkStart w:id="903" w:name="_Toc21446"/>
      <w:bookmarkStart w:id="904" w:name="_Toc29728"/>
      <w:bookmarkStart w:id="905" w:name="_Toc23358"/>
      <w:bookmarkStart w:id="906" w:name="_Toc5065"/>
      <w:bookmarkStart w:id="907" w:name="_Toc823"/>
      <w:r>
        <w:rPr>
          <w:rFonts w:hint="eastAsia" w:ascii="宋体" w:hAnsi="宋体"/>
          <w:color w:val="auto"/>
          <w:sz w:val="24"/>
          <w:szCs w:val="24"/>
          <w:highlight w:val="none"/>
        </w:rPr>
        <w:t>8.8 施工设备和临时设施</w:t>
      </w:r>
      <w:bookmarkEnd w:id="901"/>
      <w:bookmarkEnd w:id="902"/>
      <w:bookmarkEnd w:id="903"/>
      <w:bookmarkEnd w:id="904"/>
      <w:bookmarkEnd w:id="905"/>
      <w:bookmarkEnd w:id="906"/>
      <w:bookmarkEnd w:id="907"/>
    </w:p>
    <w:p w14:paraId="1987F24F">
      <w:pPr>
        <w:autoSpaceDE w:val="0"/>
        <w:autoSpaceDN w:val="0"/>
        <w:adjustRightInd w:val="0"/>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8.8.1 承包人提供的施工设备和临时设施</w:t>
      </w:r>
    </w:p>
    <w:p w14:paraId="0E332D24">
      <w:pPr>
        <w:spacing w:line="38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关于修建临时设施费用承担的约定：</w:t>
      </w:r>
    </w:p>
    <w:p w14:paraId="2CDB0F72">
      <w:pPr>
        <w:spacing w:line="380" w:lineRule="exact"/>
        <w:ind w:firstLine="480" w:firstLineChars="200"/>
        <w:jc w:val="left"/>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1.承包人应按设计和有关标准要求采购工程所需材料，并提供材料、产品合格证明，报发包人代表和监理工程师签字验收认可后方可进场，不合格的材料、设备不得进场。</w:t>
      </w:r>
    </w:p>
    <w:p w14:paraId="71708589">
      <w:pPr>
        <w:spacing w:line="380" w:lineRule="exact"/>
        <w:ind w:firstLine="480" w:firstLineChars="200"/>
        <w:jc w:val="left"/>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2.承包人采购的材料、设备在使用前，应按要求进行检验或试验，检验合格且报发包人和监理工程师签字验收认可后方可使用，不合格的材料不得使用，检验、试验费由承包人承担。</w:t>
      </w:r>
    </w:p>
    <w:p w14:paraId="42B261C1">
      <w:pPr>
        <w:spacing w:line="380" w:lineRule="exact"/>
        <w:ind w:firstLine="480" w:firstLineChars="200"/>
        <w:jc w:val="left"/>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3.发包人和监理人发现在施工中有以次充好的、没有产品合格证的、经抽查检验或实验不合规格的材料或设备，承包人必须立即无条件地将这些材料或设备清理出场，并向发包人支付材料或设备价200%的经济补偿赔偿金，赔偿对发包人造成的损失。抽检中涉及的检验、试验费由承包人承担。</w:t>
      </w:r>
    </w:p>
    <w:p w14:paraId="4F1FD3BB">
      <w:pPr>
        <w:spacing w:line="380" w:lineRule="exact"/>
        <w:ind w:firstLine="480" w:firstLineChars="200"/>
        <w:jc w:val="left"/>
        <w:rPr>
          <w:rFonts w:hint="eastAsia" w:ascii="宋体" w:hAnsi="宋体"/>
          <w:color w:val="auto"/>
          <w:sz w:val="24"/>
          <w:szCs w:val="24"/>
          <w:highlight w:val="none"/>
        </w:rPr>
      </w:pPr>
      <w:r>
        <w:rPr>
          <w:rFonts w:hint="eastAsia" w:ascii="宋体" w:hAnsi="宋体" w:cs="宋体"/>
          <w:color w:val="auto"/>
          <w:sz w:val="24"/>
          <w:szCs w:val="24"/>
          <w:highlight w:val="none"/>
          <w:u w:val="single"/>
          <w:lang w:bidi="ar"/>
        </w:rPr>
        <w:t>4.材料在进货前由承包人组织，由发包人、监理人、承包人共同考察确定，承包人按三方认可的产品进货。且所有购货合同必须由发包人代表和监理工程师签字，到货产品必须与样品一致。不合格的材料、与样品不符的材料不准进入施工现场。否则，发包人可以通过监理人强行清理出场，其费用由承包人承担，并从工程款中直接扣除</w:t>
      </w:r>
      <w:r>
        <w:rPr>
          <w:rFonts w:hint="eastAsia" w:ascii="宋体" w:hAnsi="宋体"/>
          <w:color w:val="auto"/>
          <w:sz w:val="24"/>
          <w:szCs w:val="24"/>
          <w:highlight w:val="none"/>
        </w:rPr>
        <w:t>。</w:t>
      </w:r>
    </w:p>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14:paraId="697B1F17">
      <w:pPr>
        <w:keepNext/>
        <w:keepLines/>
        <w:spacing w:line="380" w:lineRule="exact"/>
        <w:ind w:firstLine="482"/>
        <w:outlineLvl w:val="3"/>
        <w:rPr>
          <w:rFonts w:hint="eastAsia" w:ascii="宋体" w:hAnsi="宋体"/>
          <w:bCs/>
          <w:color w:val="auto"/>
          <w:sz w:val="24"/>
          <w:szCs w:val="24"/>
          <w:highlight w:val="none"/>
        </w:rPr>
      </w:pPr>
      <w:bookmarkStart w:id="908" w:name="_Toc351203641"/>
      <w:r>
        <w:rPr>
          <w:rFonts w:hint="eastAsia" w:ascii="宋体" w:hAnsi="宋体"/>
          <w:bCs/>
          <w:color w:val="auto"/>
          <w:sz w:val="24"/>
          <w:szCs w:val="24"/>
          <w:highlight w:val="none"/>
        </w:rPr>
        <w:t>9</w:t>
      </w:r>
      <w:bookmarkEnd w:id="873"/>
      <w:bookmarkEnd w:id="874"/>
      <w:bookmarkEnd w:id="875"/>
      <w:bookmarkStart w:id="909" w:name="_Toc312678021"/>
      <w:bookmarkStart w:id="910" w:name="_Toc297123533"/>
      <w:bookmarkStart w:id="911" w:name="_Toc312677495"/>
      <w:bookmarkStart w:id="912" w:name="_Toc297216192"/>
      <w:bookmarkStart w:id="913" w:name="_Toc300934982"/>
      <w:bookmarkStart w:id="914" w:name="_Toc303539139"/>
      <w:bookmarkStart w:id="915" w:name="_Toc304295559"/>
      <w:bookmarkStart w:id="916" w:name="_Toc267251428"/>
      <w:bookmarkStart w:id="917" w:name="_Toc296944512"/>
      <w:bookmarkStart w:id="918" w:name="_Toc292559883"/>
      <w:bookmarkStart w:id="919" w:name="_Toc296891213"/>
      <w:bookmarkStart w:id="920" w:name="_Toc296503173"/>
      <w:bookmarkStart w:id="921" w:name="_Toc296346674"/>
      <w:bookmarkStart w:id="922" w:name="_Toc297048359"/>
      <w:bookmarkStart w:id="923" w:name="_Toc267251427"/>
      <w:bookmarkStart w:id="924" w:name="_Toc296891001"/>
      <w:bookmarkStart w:id="925" w:name="_Toc292559378"/>
      <w:bookmarkStart w:id="926" w:name="_Toc297120473"/>
      <w:bookmarkStart w:id="927" w:name="_Toc296347172"/>
      <w:r>
        <w:rPr>
          <w:rFonts w:hint="eastAsia" w:ascii="宋体" w:hAnsi="宋体"/>
          <w:bCs/>
          <w:color w:val="auto"/>
          <w:sz w:val="24"/>
          <w:szCs w:val="24"/>
          <w:highlight w:val="none"/>
        </w:rPr>
        <w:t>. 试验与检验</w:t>
      </w:r>
      <w:bookmarkEnd w:id="908"/>
    </w:p>
    <w:bookmarkEnd w:id="909"/>
    <w:bookmarkEnd w:id="910"/>
    <w:bookmarkEnd w:id="911"/>
    <w:bookmarkEnd w:id="912"/>
    <w:bookmarkEnd w:id="913"/>
    <w:bookmarkEnd w:id="914"/>
    <w:bookmarkEnd w:id="915"/>
    <w:p w14:paraId="753D2CB8">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bookmarkStart w:id="928" w:name="_Toc303539140"/>
      <w:bookmarkStart w:id="929" w:name="_Toc304295560"/>
      <w:bookmarkStart w:id="930" w:name="_Toc312678022"/>
      <w:bookmarkStart w:id="931" w:name="_Toc297216193"/>
      <w:bookmarkStart w:id="932" w:name="_Toc300934983"/>
      <w:bookmarkStart w:id="933" w:name="_Toc297123534"/>
      <w:bookmarkStart w:id="934" w:name="_Toc312677496"/>
      <w:r>
        <w:rPr>
          <w:rFonts w:hint="eastAsia" w:ascii="宋体" w:hAnsi="宋体"/>
          <w:color w:val="auto"/>
          <w:sz w:val="24"/>
          <w:szCs w:val="24"/>
          <w:highlight w:val="none"/>
        </w:rPr>
        <w:t>.1试验设备与试验人员</w:t>
      </w:r>
    </w:p>
    <w:bookmarkEnd w:id="928"/>
    <w:bookmarkEnd w:id="929"/>
    <w:bookmarkEnd w:id="930"/>
    <w:bookmarkEnd w:id="931"/>
    <w:bookmarkEnd w:id="932"/>
    <w:bookmarkEnd w:id="933"/>
    <w:bookmarkEnd w:id="934"/>
    <w:p w14:paraId="573525C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9</w:t>
      </w:r>
      <w:bookmarkStart w:id="935" w:name="_Toc297216194"/>
      <w:bookmarkStart w:id="936" w:name="_Toc300934984"/>
      <w:bookmarkStart w:id="937" w:name="_Toc303539141"/>
      <w:bookmarkStart w:id="938" w:name="_Toc304295561"/>
      <w:bookmarkStart w:id="939" w:name="_Toc312677497"/>
      <w:bookmarkStart w:id="940" w:name="_Toc297123535"/>
      <w:bookmarkStart w:id="941" w:name="_Toc312678023"/>
      <w:bookmarkStart w:id="942" w:name="_Toc318581174"/>
      <w:r>
        <w:rPr>
          <w:rFonts w:hint="eastAsia" w:ascii="宋体" w:hAnsi="宋体"/>
          <w:color w:val="auto"/>
          <w:sz w:val="24"/>
          <w:szCs w:val="24"/>
          <w:highlight w:val="none"/>
        </w:rPr>
        <w:t>.1.2 试验设备</w:t>
      </w:r>
    </w:p>
    <w:p w14:paraId="6E0FFA4F">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施工现场需要配置的试验场所：</w:t>
      </w:r>
      <w:bookmarkEnd w:id="935"/>
      <w:bookmarkEnd w:id="936"/>
      <w:bookmarkEnd w:id="937"/>
      <w:bookmarkEnd w:id="938"/>
      <w:bookmarkEnd w:id="939"/>
      <w:bookmarkEnd w:id="940"/>
      <w:bookmarkEnd w:id="941"/>
      <w:bookmarkStart w:id="943" w:name="_Toc297123536"/>
      <w:bookmarkStart w:id="944" w:name="_Toc304295562"/>
      <w:bookmarkStart w:id="945" w:name="_Toc300934985"/>
      <w:bookmarkStart w:id="946" w:name="_Toc303539142"/>
      <w:bookmarkStart w:id="947" w:name="_Toc297216195"/>
      <w:bookmarkStart w:id="948" w:name="_Toc312677498"/>
      <w:bookmarkStart w:id="949" w:name="_Toc312678024"/>
      <w:r>
        <w:rPr>
          <w:rFonts w:hint="eastAsia" w:ascii="宋体" w:hAnsi="宋体"/>
          <w:color w:val="auto"/>
          <w:sz w:val="24"/>
          <w:szCs w:val="24"/>
          <w:highlight w:val="none"/>
          <w:u w:val="single"/>
          <w:lang w:val="zh-TW" w:eastAsia="zh-TW"/>
        </w:rPr>
        <w:t>执行通用条款</w:t>
      </w:r>
      <w:r>
        <w:rPr>
          <w:rFonts w:hint="eastAsia" w:ascii="宋体" w:hAnsi="宋体"/>
          <w:color w:val="auto"/>
          <w:sz w:val="24"/>
          <w:szCs w:val="24"/>
          <w:highlight w:val="none"/>
        </w:rPr>
        <w:t>。</w:t>
      </w:r>
    </w:p>
    <w:p w14:paraId="56EAF429">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施工现场需要配备的试验设备：</w:t>
      </w:r>
      <w:r>
        <w:rPr>
          <w:rFonts w:hint="eastAsia" w:ascii="宋体" w:hAnsi="宋体"/>
          <w:color w:val="auto"/>
          <w:sz w:val="24"/>
          <w:szCs w:val="24"/>
          <w:highlight w:val="none"/>
          <w:u w:val="single"/>
          <w:lang w:val="zh-TW" w:eastAsia="zh-TW"/>
        </w:rPr>
        <w:t>执行通用条款</w:t>
      </w:r>
      <w:r>
        <w:rPr>
          <w:rFonts w:hint="eastAsia" w:ascii="宋体" w:hAnsi="宋体"/>
          <w:color w:val="auto"/>
          <w:sz w:val="24"/>
          <w:szCs w:val="24"/>
          <w:highlight w:val="none"/>
        </w:rPr>
        <w:t>。</w:t>
      </w:r>
    </w:p>
    <w:p w14:paraId="03D9988F">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施工现场需要具备的其他试验条件：</w:t>
      </w:r>
      <w:r>
        <w:rPr>
          <w:rFonts w:hint="eastAsia" w:ascii="宋体" w:hAnsi="宋体"/>
          <w:color w:val="auto"/>
          <w:sz w:val="24"/>
          <w:szCs w:val="24"/>
          <w:highlight w:val="none"/>
          <w:u w:val="single"/>
          <w:lang w:val="zh-TW" w:eastAsia="zh-TW"/>
        </w:rPr>
        <w:t>执行通用条款</w:t>
      </w:r>
      <w:r>
        <w:rPr>
          <w:rFonts w:hint="eastAsia" w:ascii="宋体" w:hAnsi="宋体"/>
          <w:color w:val="auto"/>
          <w:sz w:val="24"/>
          <w:szCs w:val="24"/>
          <w:highlight w:val="none"/>
        </w:rPr>
        <w:t>。</w:t>
      </w:r>
    </w:p>
    <w:p w14:paraId="35FFB278">
      <w:pPr>
        <w:spacing w:line="380" w:lineRule="exact"/>
        <w:ind w:firstLine="480" w:firstLineChars="200"/>
        <w:outlineLvl w:val="0"/>
        <w:rPr>
          <w:rFonts w:hint="eastAsia" w:ascii="宋体" w:hAnsi="宋体"/>
          <w:color w:val="auto"/>
          <w:sz w:val="24"/>
          <w:szCs w:val="24"/>
          <w:highlight w:val="none"/>
        </w:rPr>
      </w:pPr>
      <w:bookmarkStart w:id="950" w:name="_Toc2724"/>
      <w:bookmarkStart w:id="951" w:name="_Toc32105"/>
      <w:bookmarkStart w:id="952" w:name="_Toc3544"/>
      <w:bookmarkStart w:id="953" w:name="_Toc17353"/>
      <w:bookmarkStart w:id="954" w:name="_Toc21575"/>
      <w:bookmarkStart w:id="955" w:name="_Toc24363"/>
      <w:bookmarkStart w:id="956" w:name="_Toc10194"/>
      <w:r>
        <w:rPr>
          <w:rFonts w:hint="eastAsia" w:ascii="宋体" w:hAnsi="宋体"/>
          <w:color w:val="auto"/>
          <w:sz w:val="24"/>
          <w:szCs w:val="24"/>
          <w:highlight w:val="none"/>
        </w:rPr>
        <w:t>9.4 现场工艺试验</w:t>
      </w:r>
      <w:bookmarkEnd w:id="950"/>
      <w:bookmarkEnd w:id="951"/>
      <w:bookmarkEnd w:id="952"/>
      <w:bookmarkEnd w:id="953"/>
      <w:bookmarkEnd w:id="954"/>
      <w:bookmarkEnd w:id="955"/>
      <w:bookmarkEnd w:id="956"/>
    </w:p>
    <w:p w14:paraId="531186A5">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现场工艺试验的有关约定：</w:t>
      </w:r>
      <w:r>
        <w:rPr>
          <w:rFonts w:hint="eastAsia" w:ascii="宋体" w:hAnsi="宋体"/>
          <w:color w:val="auto"/>
          <w:sz w:val="24"/>
          <w:szCs w:val="24"/>
          <w:highlight w:val="none"/>
          <w:u w:val="single"/>
          <w:lang w:val="zh-TW" w:eastAsia="zh-TW"/>
        </w:rPr>
        <w:t>执行通用条款</w:t>
      </w:r>
      <w:r>
        <w:rPr>
          <w:rFonts w:hint="eastAsia" w:ascii="宋体" w:hAnsi="宋体"/>
          <w:color w:val="auto"/>
          <w:sz w:val="24"/>
          <w:szCs w:val="24"/>
          <w:highlight w:val="none"/>
        </w:rPr>
        <w:t>。</w:t>
      </w:r>
    </w:p>
    <w:bookmarkEnd w:id="942"/>
    <w:bookmarkEnd w:id="943"/>
    <w:bookmarkEnd w:id="944"/>
    <w:bookmarkEnd w:id="945"/>
    <w:bookmarkEnd w:id="946"/>
    <w:bookmarkEnd w:id="947"/>
    <w:bookmarkEnd w:id="948"/>
    <w:bookmarkEnd w:id="949"/>
    <w:p w14:paraId="38FDB328">
      <w:pPr>
        <w:keepNext/>
        <w:keepLines/>
        <w:spacing w:line="380" w:lineRule="exact"/>
        <w:ind w:firstLine="482"/>
        <w:outlineLvl w:val="3"/>
        <w:rPr>
          <w:rFonts w:hint="eastAsia" w:ascii="宋体" w:hAnsi="宋体"/>
          <w:bCs/>
          <w:color w:val="auto"/>
          <w:sz w:val="24"/>
          <w:szCs w:val="24"/>
          <w:highlight w:val="none"/>
        </w:rPr>
      </w:pPr>
      <w:bookmarkStart w:id="957" w:name="_Toc351203642"/>
      <w:r>
        <w:rPr>
          <w:rFonts w:hint="eastAsia" w:ascii="宋体" w:hAnsi="宋体"/>
          <w:bCs/>
          <w:color w:val="auto"/>
          <w:sz w:val="24"/>
          <w:szCs w:val="24"/>
          <w:highlight w:val="none"/>
        </w:rPr>
        <w:t>1</w:t>
      </w:r>
      <w:bookmarkEnd w:id="916"/>
      <w:bookmarkEnd w:id="917"/>
      <w:bookmarkEnd w:id="918"/>
      <w:bookmarkEnd w:id="919"/>
      <w:bookmarkEnd w:id="920"/>
      <w:bookmarkEnd w:id="921"/>
      <w:bookmarkEnd w:id="922"/>
      <w:bookmarkEnd w:id="923"/>
      <w:bookmarkEnd w:id="924"/>
      <w:bookmarkEnd w:id="925"/>
      <w:bookmarkEnd w:id="926"/>
      <w:bookmarkEnd w:id="927"/>
      <w:bookmarkStart w:id="958" w:name="_Toc296944532"/>
      <w:bookmarkStart w:id="959" w:name="_Toc304295566"/>
      <w:bookmarkStart w:id="960" w:name="_Toc296347192"/>
      <w:bookmarkStart w:id="961" w:name="_Toc292559398"/>
      <w:bookmarkStart w:id="962" w:name="_Toc296891233"/>
      <w:bookmarkStart w:id="963" w:name="_Toc297123540"/>
      <w:bookmarkStart w:id="964" w:name="_Toc296891021"/>
      <w:bookmarkStart w:id="965" w:name="_Toc296503193"/>
      <w:bookmarkStart w:id="966" w:name="_Toc303539146"/>
      <w:bookmarkStart w:id="967" w:name="_Toc297216199"/>
      <w:bookmarkStart w:id="968" w:name="_Toc297120493"/>
      <w:bookmarkStart w:id="969" w:name="_Toc300934989"/>
      <w:bookmarkStart w:id="970" w:name="_Toc296346694"/>
      <w:bookmarkStart w:id="971" w:name="_Toc292559903"/>
      <w:bookmarkStart w:id="972" w:name="_Toc297048379"/>
      <w:bookmarkStart w:id="973" w:name="_Toc312677499"/>
      <w:bookmarkStart w:id="974" w:name="_Toc312678025"/>
      <w:bookmarkStart w:id="975" w:name="_Toc267251439"/>
      <w:bookmarkStart w:id="976" w:name="_Toc267251441"/>
      <w:bookmarkStart w:id="977" w:name="_Toc267251440"/>
      <w:bookmarkStart w:id="978" w:name="_Toc267251435"/>
      <w:bookmarkStart w:id="979" w:name="_Toc267251437"/>
      <w:bookmarkStart w:id="980" w:name="_Toc267251433"/>
      <w:bookmarkStart w:id="981" w:name="_Toc267251442"/>
      <w:r>
        <w:rPr>
          <w:rFonts w:hint="eastAsia" w:ascii="宋体" w:hAnsi="宋体"/>
          <w:bCs/>
          <w:color w:val="auto"/>
          <w:sz w:val="24"/>
          <w:szCs w:val="24"/>
          <w:highlight w:val="none"/>
        </w:rPr>
        <w:t>0. 变更</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bookmarkEnd w:id="973"/>
    <w:bookmarkEnd w:id="974"/>
    <w:p w14:paraId="1E56978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bookmarkStart w:id="982" w:name="_Toc297048380"/>
      <w:bookmarkStart w:id="983" w:name="_Toc300934990"/>
      <w:bookmarkStart w:id="984" w:name="_Toc296891022"/>
      <w:bookmarkStart w:id="985" w:name="_Toc296944533"/>
      <w:bookmarkStart w:id="986" w:name="_Toc304295567"/>
      <w:bookmarkStart w:id="987" w:name="_Toc297123541"/>
      <w:bookmarkStart w:id="988" w:name="_Toc312678026"/>
      <w:bookmarkStart w:id="989" w:name="_Toc303539147"/>
      <w:bookmarkStart w:id="990" w:name="_Toc312677500"/>
      <w:bookmarkStart w:id="991" w:name="_Toc292559904"/>
      <w:bookmarkStart w:id="992" w:name="_Toc296503194"/>
      <w:bookmarkStart w:id="993" w:name="_Toc292559399"/>
      <w:bookmarkStart w:id="994" w:name="_Toc296347193"/>
      <w:bookmarkStart w:id="995" w:name="_Toc296891234"/>
      <w:bookmarkStart w:id="996" w:name="_Toc296346695"/>
      <w:bookmarkStart w:id="997" w:name="_Toc297216200"/>
      <w:bookmarkStart w:id="998" w:name="_Toc297120494"/>
      <w:r>
        <w:rPr>
          <w:rFonts w:hint="eastAsia" w:ascii="宋体" w:hAnsi="宋体"/>
          <w:color w:val="auto"/>
          <w:sz w:val="24"/>
          <w:szCs w:val="24"/>
          <w:highlight w:val="none"/>
        </w:rPr>
        <w:t>0.1变更的范围</w:t>
      </w:r>
    </w:p>
    <w:p w14:paraId="2143D215">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关于变更的范围的约定：</w:t>
      </w:r>
      <w:r>
        <w:rPr>
          <w:rFonts w:hint="eastAsia" w:ascii="宋体" w:hAnsi="宋体" w:cs="宋体"/>
          <w:color w:val="auto"/>
          <w:sz w:val="24"/>
          <w:szCs w:val="24"/>
          <w:highlight w:val="none"/>
          <w:u w:val="single"/>
          <w:lang w:bidi="ar"/>
        </w:rPr>
        <w:t>增加或减少合同中任何工作，或追加额外的工作；改变合同中任何工作的质量标准或其他特性</w:t>
      </w:r>
      <w:r>
        <w:rPr>
          <w:rFonts w:hint="eastAsia" w:ascii="宋体" w:hAnsi="宋体"/>
          <w:color w:val="auto"/>
          <w:sz w:val="24"/>
          <w:szCs w:val="24"/>
          <w:highlight w:val="none"/>
        </w:rPr>
        <w:t>。</w:t>
      </w:r>
    </w:p>
    <w:p w14:paraId="22C201D8">
      <w:pPr>
        <w:spacing w:line="380" w:lineRule="exact"/>
        <w:ind w:firstLine="480" w:firstLineChars="200"/>
        <w:outlineLvl w:val="0"/>
        <w:rPr>
          <w:rFonts w:hint="eastAsia" w:ascii="宋体" w:hAnsi="宋体"/>
          <w:color w:val="auto"/>
          <w:sz w:val="24"/>
          <w:szCs w:val="24"/>
          <w:highlight w:val="none"/>
        </w:rPr>
      </w:pPr>
      <w:bookmarkStart w:id="999" w:name="_Toc14085"/>
      <w:bookmarkStart w:id="1000" w:name="_Toc3593"/>
      <w:bookmarkStart w:id="1001" w:name="_Toc30468"/>
      <w:bookmarkStart w:id="1002" w:name="_Toc19051"/>
      <w:bookmarkStart w:id="1003" w:name="_Toc172"/>
      <w:bookmarkStart w:id="1004" w:name="_Toc22985"/>
      <w:bookmarkStart w:id="1005" w:name="_Toc16420"/>
      <w:r>
        <w:rPr>
          <w:rFonts w:hint="eastAsia" w:ascii="宋体" w:hAnsi="宋体"/>
          <w:color w:val="auto"/>
          <w:sz w:val="24"/>
          <w:szCs w:val="24"/>
          <w:highlight w:val="none"/>
        </w:rPr>
        <w:t>10.4 变更估价</w:t>
      </w:r>
      <w:bookmarkEnd w:id="999"/>
      <w:bookmarkEnd w:id="1000"/>
      <w:bookmarkEnd w:id="1001"/>
      <w:bookmarkEnd w:id="1002"/>
      <w:bookmarkEnd w:id="1003"/>
      <w:bookmarkEnd w:id="1004"/>
      <w:bookmarkEnd w:id="1005"/>
    </w:p>
    <w:p w14:paraId="752233CD">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10.4.1 变更估价原则</w:t>
      </w:r>
    </w:p>
    <w:p w14:paraId="146213BF">
      <w:pPr>
        <w:spacing w:line="380" w:lineRule="exact"/>
        <w:ind w:firstLine="482"/>
        <w:jc w:val="left"/>
        <w:rPr>
          <w:rFonts w:hint="eastAsia" w:ascii="宋体" w:hAnsi="宋体"/>
          <w:color w:val="auto"/>
          <w:sz w:val="24"/>
          <w:szCs w:val="24"/>
          <w:highlight w:val="none"/>
          <w:u w:val="single"/>
        </w:rPr>
      </w:pPr>
      <w:r>
        <w:rPr>
          <w:rFonts w:hint="eastAsia" w:ascii="宋体" w:hAnsi="宋体"/>
          <w:color w:val="auto"/>
          <w:sz w:val="24"/>
          <w:szCs w:val="24"/>
          <w:highlight w:val="none"/>
        </w:rPr>
        <w:t xml:space="preserve">关于变更估价的约定: </w:t>
      </w:r>
      <w:r>
        <w:rPr>
          <w:rFonts w:hint="eastAsia" w:ascii="宋体" w:hAnsi="宋体"/>
          <w:color w:val="auto"/>
          <w:sz w:val="24"/>
          <w:szCs w:val="24"/>
          <w:highlight w:val="none"/>
          <w:u w:val="single"/>
          <w:lang w:val="zh-TW" w:eastAsia="zh-TW"/>
        </w:rPr>
        <w:t>执行通用条款</w:t>
      </w:r>
      <w:r>
        <w:rPr>
          <w:rFonts w:hint="eastAsia" w:ascii="宋体" w:hAnsi="宋体"/>
          <w:color w:val="auto"/>
          <w:sz w:val="24"/>
          <w:szCs w:val="24"/>
          <w:highlight w:val="none"/>
        </w:rPr>
        <w:t>。</w:t>
      </w:r>
    </w:p>
    <w:p w14:paraId="602282F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Start w:id="1006" w:name="_Toc296891237"/>
      <w:bookmarkStart w:id="1007" w:name="_Toc296891025"/>
      <w:bookmarkStart w:id="1008" w:name="_Toc297120497"/>
      <w:bookmarkStart w:id="1009" w:name="_Toc296346698"/>
      <w:bookmarkStart w:id="1010" w:name="_Toc296503197"/>
      <w:bookmarkStart w:id="1011" w:name="_Toc303539150"/>
      <w:bookmarkStart w:id="1012" w:name="_Toc297123544"/>
      <w:bookmarkStart w:id="1013" w:name="_Toc296944536"/>
      <w:bookmarkStart w:id="1014" w:name="_Toc297216203"/>
      <w:bookmarkStart w:id="1015" w:name="_Toc300934993"/>
      <w:bookmarkStart w:id="1016" w:name="_Toc297048383"/>
      <w:bookmarkStart w:id="1017" w:name="_Toc292559402"/>
      <w:bookmarkStart w:id="1018" w:name="_Toc292559907"/>
      <w:bookmarkStart w:id="1019" w:name="_Toc296347196"/>
      <w:bookmarkStart w:id="1020" w:name="_Toc312678029"/>
      <w:bookmarkStart w:id="1021" w:name="_Toc304295570"/>
      <w:bookmarkStart w:id="1022" w:name="_Toc312677503"/>
      <w:r>
        <w:rPr>
          <w:rFonts w:hint="eastAsia" w:ascii="宋体" w:hAnsi="宋体"/>
          <w:color w:val="auto"/>
          <w:sz w:val="24"/>
          <w:szCs w:val="24"/>
          <w:highlight w:val="none"/>
        </w:rPr>
        <w:t>0.5承</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Start w:id="1023" w:name="_Toc297048389"/>
      <w:bookmarkStart w:id="1024" w:name="_Toc296503203"/>
      <w:bookmarkStart w:id="1025" w:name="_Toc297120503"/>
      <w:bookmarkStart w:id="1026" w:name="_Toc296891031"/>
      <w:bookmarkStart w:id="1027" w:name="_Toc297216204"/>
      <w:bookmarkStart w:id="1028" w:name="_Toc292559408"/>
      <w:bookmarkStart w:id="1029" w:name="_Toc303539151"/>
      <w:bookmarkStart w:id="1030" w:name="_Toc296944542"/>
      <w:bookmarkStart w:id="1031" w:name="_Toc296346704"/>
      <w:bookmarkStart w:id="1032" w:name="_Toc292559913"/>
      <w:bookmarkStart w:id="1033" w:name="_Toc296347202"/>
      <w:bookmarkStart w:id="1034" w:name="_Toc297123545"/>
      <w:bookmarkStart w:id="1035" w:name="_Toc296891243"/>
      <w:bookmarkStart w:id="1036" w:name="_Toc300934994"/>
      <w:r>
        <w:rPr>
          <w:rFonts w:hint="eastAsia" w:ascii="宋体" w:hAnsi="宋体"/>
          <w:color w:val="auto"/>
          <w:sz w:val="24"/>
          <w:szCs w:val="24"/>
          <w:highlight w:val="none"/>
        </w:rPr>
        <w:t>包人的合理化建议</w:t>
      </w:r>
    </w:p>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14:paraId="01FC310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监理人审查承包人合理化建议的期限：</w:t>
      </w:r>
      <w:r>
        <w:rPr>
          <w:rFonts w:hint="eastAsia" w:ascii="宋体" w:hAnsi="宋体" w:cs="宋体"/>
          <w:color w:val="auto"/>
          <w:sz w:val="24"/>
          <w:szCs w:val="24"/>
          <w:highlight w:val="none"/>
          <w:u w:val="single"/>
          <w:lang w:bidi="ar"/>
        </w:rPr>
        <w:t>7天内</w:t>
      </w:r>
      <w:r>
        <w:rPr>
          <w:rFonts w:hint="eastAsia" w:ascii="宋体" w:hAnsi="宋体"/>
          <w:color w:val="auto"/>
          <w:sz w:val="24"/>
          <w:szCs w:val="24"/>
          <w:highlight w:val="none"/>
        </w:rPr>
        <w:t>。</w:t>
      </w:r>
    </w:p>
    <w:p w14:paraId="7E6BF1A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发包人审批承包人合理化建议的期限：</w:t>
      </w:r>
      <w:r>
        <w:rPr>
          <w:rFonts w:hint="eastAsia" w:ascii="宋体" w:hAnsi="宋体" w:cs="宋体"/>
          <w:color w:val="auto"/>
          <w:sz w:val="24"/>
          <w:szCs w:val="24"/>
          <w:highlight w:val="none"/>
          <w:u w:val="single"/>
          <w:lang w:bidi="ar"/>
        </w:rPr>
        <w:t>7天内</w:t>
      </w:r>
      <w:r>
        <w:rPr>
          <w:rFonts w:hint="eastAsia" w:ascii="宋体" w:hAnsi="宋体"/>
          <w:color w:val="auto"/>
          <w:sz w:val="24"/>
          <w:szCs w:val="24"/>
          <w:highlight w:val="none"/>
        </w:rPr>
        <w:t>。</w:t>
      </w:r>
    </w:p>
    <w:p w14:paraId="52235147">
      <w:pPr>
        <w:spacing w:line="380" w:lineRule="exact"/>
        <w:ind w:firstLine="482"/>
        <w:jc w:val="left"/>
        <w:rPr>
          <w:rFonts w:hint="eastAsia" w:ascii="宋体" w:hAnsi="宋体"/>
          <w:color w:val="auto"/>
          <w:sz w:val="24"/>
          <w:szCs w:val="24"/>
          <w:highlight w:val="none"/>
          <w:u w:val="single"/>
        </w:rPr>
      </w:pPr>
      <w:r>
        <w:rPr>
          <w:rFonts w:hint="eastAsia" w:ascii="宋体" w:hAnsi="宋体"/>
          <w:color w:val="auto"/>
          <w:sz w:val="24"/>
          <w:szCs w:val="24"/>
          <w:highlight w:val="none"/>
        </w:rPr>
        <w:t>承</w:t>
      </w:r>
      <w:bookmarkStart w:id="1037" w:name="_Toc303539152"/>
      <w:bookmarkStart w:id="1038" w:name="_Toc318581175"/>
      <w:bookmarkStart w:id="1039" w:name="_Toc297123546"/>
      <w:bookmarkStart w:id="1040" w:name="_Toc296346705"/>
      <w:bookmarkStart w:id="1041" w:name="_Toc312678030"/>
      <w:bookmarkStart w:id="1042" w:name="_Toc296891032"/>
      <w:bookmarkStart w:id="1043" w:name="_Toc296944543"/>
      <w:bookmarkStart w:id="1044" w:name="_Toc297048390"/>
      <w:bookmarkStart w:id="1045" w:name="_Toc296347203"/>
      <w:bookmarkStart w:id="1046" w:name="_Toc304295571"/>
      <w:bookmarkStart w:id="1047" w:name="_Toc297216205"/>
      <w:bookmarkStart w:id="1048" w:name="_Toc292559409"/>
      <w:bookmarkStart w:id="1049" w:name="_Toc296503204"/>
      <w:bookmarkStart w:id="1050" w:name="_Toc296891244"/>
      <w:bookmarkStart w:id="1051" w:name="_Toc300934995"/>
      <w:bookmarkStart w:id="1052" w:name="_Toc297120504"/>
      <w:bookmarkStart w:id="1053" w:name="_Toc312677504"/>
      <w:bookmarkStart w:id="1054" w:name="_Toc292559914"/>
      <w:r>
        <w:rPr>
          <w:rFonts w:hint="eastAsia" w:ascii="宋体" w:hAnsi="宋体"/>
          <w:color w:val="auto"/>
          <w:sz w:val="24"/>
          <w:szCs w:val="24"/>
          <w:highlight w:val="none"/>
        </w:rPr>
        <w:t>包人提出的合理化建议降低了合同价格或者提高了工程经济效益的奖励的方法和金额为：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14:paraId="325E02D3">
      <w:pPr>
        <w:spacing w:line="380" w:lineRule="exact"/>
        <w:ind w:firstLine="480" w:firstLineChars="200"/>
        <w:outlineLvl w:val="0"/>
        <w:rPr>
          <w:rFonts w:hint="eastAsia" w:ascii="宋体" w:hAnsi="宋体"/>
          <w:color w:val="auto"/>
          <w:sz w:val="24"/>
          <w:szCs w:val="24"/>
          <w:highlight w:val="none"/>
        </w:rPr>
      </w:pPr>
      <w:bookmarkStart w:id="1055" w:name="_Toc23449"/>
      <w:bookmarkStart w:id="1056" w:name="_Toc3697"/>
      <w:bookmarkStart w:id="1057" w:name="_Toc24439"/>
      <w:bookmarkStart w:id="1058" w:name="_Toc24799"/>
      <w:bookmarkStart w:id="1059" w:name="_Toc11106"/>
      <w:bookmarkStart w:id="1060" w:name="_Toc3640"/>
      <w:bookmarkStart w:id="1061" w:name="_Toc9265"/>
      <w:r>
        <w:rPr>
          <w:rFonts w:hint="eastAsia" w:ascii="宋体" w:hAnsi="宋体"/>
          <w:color w:val="auto"/>
          <w:sz w:val="24"/>
          <w:szCs w:val="24"/>
          <w:highlight w:val="none"/>
        </w:rPr>
        <w:t>1</w:t>
      </w:r>
      <w:bookmarkStart w:id="1062" w:name="_Toc296891239"/>
      <w:bookmarkStart w:id="1063" w:name="_Toc296347198"/>
      <w:bookmarkStart w:id="1064" w:name="_Toc303539154"/>
      <w:bookmarkStart w:id="1065" w:name="_Toc296346700"/>
      <w:bookmarkStart w:id="1066" w:name="_Toc297120499"/>
      <w:bookmarkStart w:id="1067" w:name="_Toc304295574"/>
      <w:bookmarkStart w:id="1068" w:name="_Toc300934997"/>
      <w:bookmarkStart w:id="1069" w:name="_Toc296891027"/>
      <w:bookmarkStart w:id="1070" w:name="_Toc292559404"/>
      <w:bookmarkStart w:id="1071" w:name="_Toc296944538"/>
      <w:bookmarkStart w:id="1072" w:name="_Toc297048385"/>
      <w:bookmarkStart w:id="1073" w:name="_Toc312678033"/>
      <w:bookmarkStart w:id="1074" w:name="_Toc296503199"/>
      <w:bookmarkStart w:id="1075" w:name="_Toc297123548"/>
      <w:bookmarkStart w:id="1076" w:name="_Toc297216207"/>
      <w:bookmarkStart w:id="1077" w:name="_Toc312677507"/>
      <w:bookmarkStart w:id="1078" w:name="_Toc292559909"/>
      <w:r>
        <w:rPr>
          <w:rFonts w:hint="eastAsia" w:ascii="宋体" w:hAnsi="宋体"/>
          <w:color w:val="auto"/>
          <w:sz w:val="24"/>
          <w:szCs w:val="24"/>
          <w:highlight w:val="none"/>
        </w:rPr>
        <w:t>0.7 暂估价</w:t>
      </w:r>
      <w:bookmarkEnd w:id="1055"/>
      <w:bookmarkEnd w:id="1056"/>
      <w:bookmarkEnd w:id="1057"/>
      <w:bookmarkEnd w:id="1058"/>
      <w:bookmarkEnd w:id="1059"/>
      <w:bookmarkEnd w:id="1060"/>
      <w:bookmarkEnd w:id="1061"/>
    </w:p>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14:paraId="7DAF930E">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kern w:val="0"/>
          <w:sz w:val="24"/>
          <w:szCs w:val="24"/>
          <w:highlight w:val="none"/>
        </w:rPr>
        <w:t>暂</w:t>
      </w:r>
      <w:bookmarkStart w:id="1079" w:name="_Toc312677508"/>
      <w:bookmarkStart w:id="1080" w:name="_Toc312678034"/>
      <w:bookmarkStart w:id="1081" w:name="_Toc318581176"/>
      <w:r>
        <w:rPr>
          <w:rFonts w:hint="eastAsia" w:ascii="宋体" w:hAnsi="宋体"/>
          <w:color w:val="auto"/>
          <w:kern w:val="0"/>
          <w:sz w:val="24"/>
          <w:szCs w:val="24"/>
          <w:highlight w:val="none"/>
        </w:rPr>
        <w:t>估价材料和工程设备的明细详见附件11：《</w:t>
      </w:r>
      <w:r>
        <w:rPr>
          <w:rFonts w:hint="eastAsia" w:ascii="宋体" w:hAnsi="宋体"/>
          <w:color w:val="auto"/>
          <w:sz w:val="24"/>
          <w:szCs w:val="24"/>
          <w:highlight w:val="none"/>
        </w:rPr>
        <w:t>暂估价一览表》</w:t>
      </w:r>
      <w:r>
        <w:rPr>
          <w:rFonts w:hint="eastAsia" w:ascii="宋体" w:hAnsi="宋体"/>
          <w:color w:val="auto"/>
          <w:kern w:val="0"/>
          <w:sz w:val="24"/>
          <w:szCs w:val="24"/>
          <w:highlight w:val="none"/>
        </w:rPr>
        <w:t>。</w:t>
      </w:r>
    </w:p>
    <w:bookmarkEnd w:id="1079"/>
    <w:bookmarkEnd w:id="1080"/>
    <w:bookmarkEnd w:id="1081"/>
    <w:p w14:paraId="2DF5FAD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1082" w:name="_Toc312678035"/>
      <w:bookmarkStart w:id="1083" w:name="_Toc312677509"/>
      <w:bookmarkStart w:id="1084" w:name="_Toc318581177"/>
      <w:r>
        <w:rPr>
          <w:rFonts w:hint="eastAsia" w:ascii="宋体" w:hAnsi="宋体"/>
          <w:color w:val="auto"/>
          <w:sz w:val="24"/>
          <w:szCs w:val="24"/>
          <w:highlight w:val="none"/>
        </w:rPr>
        <w:t>0.7.1 依法必须招标的暂估价项目</w:t>
      </w:r>
    </w:p>
    <w:bookmarkEnd w:id="1082"/>
    <w:bookmarkEnd w:id="1083"/>
    <w:bookmarkEnd w:id="1084"/>
    <w:p w14:paraId="6EFD4C9D">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对于依法必须招标的暂估价项目的确认和批准采取第种方式确定。</w:t>
      </w:r>
    </w:p>
    <w:p w14:paraId="64C997BE">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10.7.2 不属于依法必须招标的暂估价项目</w:t>
      </w:r>
    </w:p>
    <w:p w14:paraId="59E8389E">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对于不属于依法必须招标的暂估价项目的确认和批准采取第 种方式确定。</w:t>
      </w:r>
    </w:p>
    <w:p w14:paraId="02E00EFF">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sz w:val="24"/>
          <w:szCs w:val="24"/>
          <w:highlight w:val="none"/>
        </w:rPr>
        <w:t>第3种方式：</w:t>
      </w:r>
      <w:r>
        <w:rPr>
          <w:rFonts w:hint="eastAsia" w:ascii="宋体" w:hAnsi="宋体"/>
          <w:color w:val="auto"/>
          <w:kern w:val="0"/>
          <w:sz w:val="24"/>
          <w:szCs w:val="24"/>
          <w:highlight w:val="none"/>
        </w:rPr>
        <w:t>承包人直接实施的暂估价项目</w:t>
      </w:r>
    </w:p>
    <w:p w14:paraId="1C7A5C4D">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承包人直接实施的暂估价项目的约定：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16E4E6AF">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10.8 暂列金额</w:t>
      </w:r>
    </w:p>
    <w:p w14:paraId="62DDA1FB">
      <w:pPr>
        <w:autoSpaceDE w:val="0"/>
        <w:autoSpaceDN w:val="0"/>
        <w:adjustRightInd w:val="0"/>
        <w:spacing w:line="380" w:lineRule="exact"/>
        <w:ind w:firstLine="482"/>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合同当事人关于暂列金额使用的约定：</w:t>
      </w:r>
      <w:r>
        <w:rPr>
          <w:rFonts w:hint="eastAsia" w:ascii="宋体" w:hAnsi="宋体"/>
          <w:color w:val="auto"/>
          <w:sz w:val="24"/>
          <w:szCs w:val="24"/>
          <w:highlight w:val="none"/>
          <w:u w:val="single"/>
        </w:rPr>
        <w:t>/</w:t>
      </w:r>
      <w:r>
        <w:rPr>
          <w:rFonts w:hint="eastAsia" w:ascii="宋体" w:hAnsi="宋体"/>
          <w:color w:val="auto"/>
          <w:kern w:val="0"/>
          <w:sz w:val="24"/>
          <w:szCs w:val="24"/>
          <w:highlight w:val="none"/>
        </w:rPr>
        <w:t>。</w:t>
      </w:r>
    </w:p>
    <w:p w14:paraId="051A9B34">
      <w:pPr>
        <w:keepNext/>
        <w:keepLines/>
        <w:spacing w:line="380" w:lineRule="exact"/>
        <w:ind w:firstLine="482"/>
        <w:outlineLvl w:val="3"/>
        <w:rPr>
          <w:rFonts w:hint="eastAsia" w:ascii="宋体" w:hAnsi="宋体"/>
          <w:bCs/>
          <w:color w:val="auto"/>
          <w:sz w:val="24"/>
          <w:szCs w:val="24"/>
          <w:highlight w:val="none"/>
        </w:rPr>
      </w:pPr>
      <w:bookmarkStart w:id="1085" w:name="_Toc351203643"/>
      <w:r>
        <w:rPr>
          <w:rFonts w:hint="eastAsia" w:ascii="宋体" w:hAnsi="宋体"/>
          <w:bCs/>
          <w:color w:val="auto"/>
          <w:sz w:val="24"/>
          <w:szCs w:val="24"/>
          <w:highlight w:val="none"/>
        </w:rPr>
        <w:t>11. 价格调整</w:t>
      </w:r>
      <w:bookmarkEnd w:id="1085"/>
    </w:p>
    <w:p w14:paraId="0657C257">
      <w:pPr>
        <w:spacing w:line="380" w:lineRule="exact"/>
        <w:ind w:firstLine="480" w:firstLineChars="200"/>
        <w:rPr>
          <w:rFonts w:hint="eastAsia" w:ascii="宋体" w:hAnsi="宋体"/>
          <w:color w:val="auto"/>
          <w:sz w:val="24"/>
          <w:szCs w:val="24"/>
          <w:highlight w:val="none"/>
        </w:rPr>
      </w:pPr>
      <w:bookmarkStart w:id="1086" w:name="_Toc304295577"/>
      <w:bookmarkStart w:id="1087" w:name="_Toc303539157"/>
      <w:bookmarkStart w:id="1088" w:name="_Toc296944540"/>
      <w:bookmarkStart w:id="1089" w:name="_Toc297123550"/>
      <w:bookmarkStart w:id="1090" w:name="_Toc296503201"/>
      <w:bookmarkStart w:id="1091" w:name="_Toc296347200"/>
      <w:bookmarkStart w:id="1092" w:name="_Toc296346702"/>
      <w:bookmarkStart w:id="1093" w:name="_Toc292559406"/>
      <w:bookmarkStart w:id="1094" w:name="_Toc292559911"/>
      <w:bookmarkStart w:id="1095" w:name="_Toc297120501"/>
      <w:bookmarkStart w:id="1096" w:name="_Toc297048387"/>
      <w:bookmarkStart w:id="1097" w:name="_Toc296891241"/>
      <w:bookmarkStart w:id="1098" w:name="_Toc297216209"/>
      <w:bookmarkStart w:id="1099" w:name="_Toc296891029"/>
      <w:bookmarkStart w:id="1100" w:name="_Toc300935000"/>
      <w:bookmarkStart w:id="1101" w:name="_Toc312678039"/>
      <w:r>
        <w:rPr>
          <w:rFonts w:hint="eastAsia" w:ascii="宋体" w:hAnsi="宋体"/>
          <w:color w:val="auto"/>
          <w:sz w:val="24"/>
          <w:szCs w:val="24"/>
          <w:highlight w:val="none"/>
        </w:rPr>
        <w:t>11.1 市场价格波动引起的调整</w:t>
      </w:r>
    </w:p>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14:paraId="49A8D730">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kern w:val="0"/>
          <w:sz w:val="24"/>
          <w:szCs w:val="24"/>
          <w:highlight w:val="none"/>
        </w:rPr>
        <w:t>市场价格波动是否调整合同价格的约定：</w:t>
      </w:r>
      <w:r>
        <w:rPr>
          <w:rFonts w:hint="eastAsia" w:ascii="宋体" w:hAnsi="宋体"/>
          <w:color w:val="auto"/>
          <w:sz w:val="24"/>
          <w:szCs w:val="24"/>
          <w:highlight w:val="none"/>
        </w:rPr>
        <w:t>。</w:t>
      </w:r>
    </w:p>
    <w:p w14:paraId="46DA43A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因市场价格波动调整合同价格，采用以下第</w:t>
      </w:r>
      <w:r>
        <w:rPr>
          <w:rFonts w:hint="eastAsia" w:ascii="宋体" w:hAnsi="宋体"/>
          <w:color w:val="auto"/>
          <w:sz w:val="24"/>
          <w:szCs w:val="24"/>
          <w:highlight w:val="none"/>
          <w:u w:val="single"/>
        </w:rPr>
        <w:t>2</w:t>
      </w:r>
      <w:r>
        <w:rPr>
          <w:rFonts w:hint="eastAsia" w:ascii="宋体" w:hAnsi="宋体"/>
          <w:color w:val="auto"/>
          <w:sz w:val="24"/>
          <w:szCs w:val="24"/>
          <w:highlight w:val="none"/>
        </w:rPr>
        <w:t>种方式对合同价格进行调整：</w:t>
      </w:r>
    </w:p>
    <w:p w14:paraId="78E668A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第1种方式：采用价格指数进行价格调整。</w:t>
      </w:r>
    </w:p>
    <w:p w14:paraId="5671DA81">
      <w:pPr>
        <w:spacing w:line="38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关于各可调因子、定值和变值权重，以及基本价格指数及其来源的约定：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 xml:space="preserve">；  </w:t>
      </w:r>
    </w:p>
    <w:p w14:paraId="54C233E7">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第2种方式：采用造价信息进行价格调整。</w:t>
      </w:r>
    </w:p>
    <w:p w14:paraId="5081514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（2）关于基准价格的约定：</w:t>
      </w:r>
      <w:r>
        <w:rPr>
          <w:rFonts w:hint="eastAsia" w:ascii="宋体" w:hAnsi="宋体" w:cs="宋体"/>
          <w:color w:val="auto"/>
          <w:sz w:val="24"/>
          <w:szCs w:val="24"/>
          <w:highlight w:val="none"/>
          <w:u w:val="single"/>
          <w:lang w:bidi="ar"/>
        </w:rPr>
        <w:t>以投标当月当地建设工程价格信息为基准价格</w:t>
      </w:r>
      <w:r>
        <w:rPr>
          <w:rFonts w:hint="eastAsia" w:ascii="宋体" w:hAnsi="宋体"/>
          <w:color w:val="auto"/>
          <w:sz w:val="24"/>
          <w:szCs w:val="24"/>
          <w:highlight w:val="none"/>
        </w:rPr>
        <w:t>。</w:t>
      </w:r>
    </w:p>
    <w:p w14:paraId="17F4C3DD">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专用合同草案</w:t>
      </w:r>
      <w:r>
        <w:rPr>
          <w:rFonts w:hint="eastAsia" w:ascii="宋体" w:hAnsi="宋体" w:cs="宋体"/>
          <w:color w:val="auto"/>
          <w:sz w:val="24"/>
          <w:szCs w:val="24"/>
          <w:highlight w:val="none"/>
        </w:rPr>
        <w:t>①</w:t>
      </w:r>
      <w:r>
        <w:rPr>
          <w:rFonts w:hint="eastAsia" w:ascii="宋体" w:hAnsi="宋体"/>
          <w:color w:val="auto"/>
          <w:sz w:val="24"/>
          <w:szCs w:val="24"/>
          <w:highlight w:val="none"/>
        </w:rPr>
        <w:t>承包人在已标价工程量清单或预算书中载明的材料单价低于基准价格的：专用合同草案合同履行期间材料单价涨幅以基准价格为基础超过10%时，或材料单价跌幅以已标价工程量清单或预算书中载明材料单价为基础超过10%时，其超过部分据实调整。</w:t>
      </w:r>
    </w:p>
    <w:p w14:paraId="2A25C0CF">
      <w:pPr>
        <w:spacing w:line="380" w:lineRule="exact"/>
        <w:ind w:firstLine="480" w:firstLineChars="200"/>
        <w:jc w:val="left"/>
        <w:rPr>
          <w:rFonts w:hint="eastAsia" w:ascii="宋体" w:hAnsi="宋体"/>
          <w:color w:val="auto"/>
          <w:sz w:val="24"/>
          <w:szCs w:val="24"/>
          <w:highlight w:val="none"/>
        </w:rPr>
      </w:pPr>
      <w:r>
        <w:rPr>
          <w:rFonts w:hint="eastAsia" w:ascii="宋体" w:hAnsi="宋体" w:cs="宋体"/>
          <w:color w:val="auto"/>
          <w:sz w:val="24"/>
          <w:szCs w:val="24"/>
          <w:highlight w:val="none"/>
        </w:rPr>
        <w:t>②</w:t>
      </w:r>
      <w:r>
        <w:rPr>
          <w:rFonts w:hint="eastAsia" w:ascii="宋体" w:hAnsi="宋体"/>
          <w:color w:val="auto"/>
          <w:sz w:val="24"/>
          <w:szCs w:val="24"/>
          <w:highlight w:val="none"/>
        </w:rPr>
        <w:t>承包人在已标价工程量清单或预算书中载明的材料单价高于基准价格的：专用合同草案合同履行期间材料单价跌幅以基准价格为基础超过10%时，材料单价涨幅以已标价工程量清单或预算书中载明材料单价为基础超过10%时，其超过部分据实调整。</w:t>
      </w:r>
    </w:p>
    <w:p w14:paraId="4D878181">
      <w:pPr>
        <w:spacing w:line="380" w:lineRule="exact"/>
        <w:ind w:firstLine="482"/>
        <w:jc w:val="left"/>
        <w:rPr>
          <w:rFonts w:hint="eastAsia" w:ascii="宋体" w:hAnsi="宋体"/>
          <w:color w:val="auto"/>
          <w:sz w:val="24"/>
          <w:szCs w:val="24"/>
          <w:highlight w:val="none"/>
        </w:rPr>
      </w:pPr>
      <w:r>
        <w:rPr>
          <w:rFonts w:hint="eastAsia" w:ascii="宋体" w:hAnsi="宋体" w:cs="宋体"/>
          <w:color w:val="auto"/>
          <w:sz w:val="24"/>
          <w:szCs w:val="24"/>
          <w:highlight w:val="none"/>
        </w:rPr>
        <w:t>③</w:t>
      </w:r>
      <w:r>
        <w:rPr>
          <w:rFonts w:hint="eastAsia" w:ascii="宋体" w:hAnsi="宋体"/>
          <w:color w:val="auto"/>
          <w:sz w:val="24"/>
          <w:szCs w:val="24"/>
          <w:highlight w:val="none"/>
        </w:rPr>
        <w:t>承包人在已标价工程量清单或预算书中载明的材料单价等于基准单价的：专用合同草案合同履行期间材料单价涨跌幅以基准单价为基础超过±</w:t>
      </w:r>
      <w:r>
        <w:rPr>
          <w:rFonts w:hint="eastAsia" w:ascii="宋体" w:hAnsi="宋体"/>
          <w:color w:val="auto"/>
          <w:sz w:val="24"/>
          <w:szCs w:val="24"/>
          <w:highlight w:val="none"/>
          <w:u w:val="single"/>
        </w:rPr>
        <w:t>10</w:t>
      </w:r>
      <w:r>
        <w:rPr>
          <w:rFonts w:hint="eastAsia" w:ascii="宋体" w:hAnsi="宋体"/>
          <w:color w:val="auto"/>
          <w:sz w:val="24"/>
          <w:szCs w:val="24"/>
          <w:highlight w:val="none"/>
        </w:rPr>
        <w:t>%时，其超过部分据实调整。</w:t>
      </w:r>
    </w:p>
    <w:p w14:paraId="39C920FD">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第3种方式：其他价格调整方式：</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975"/>
    <w:bookmarkEnd w:id="976"/>
    <w:bookmarkEnd w:id="977"/>
    <w:bookmarkEnd w:id="978"/>
    <w:bookmarkEnd w:id="979"/>
    <w:bookmarkEnd w:id="980"/>
    <w:p w14:paraId="021481B0">
      <w:pPr>
        <w:keepNext/>
        <w:keepLines/>
        <w:spacing w:line="380" w:lineRule="exact"/>
        <w:ind w:firstLine="482"/>
        <w:outlineLvl w:val="3"/>
        <w:rPr>
          <w:rFonts w:hint="eastAsia" w:ascii="宋体" w:hAnsi="宋体"/>
          <w:bCs/>
          <w:color w:val="auto"/>
          <w:sz w:val="24"/>
          <w:szCs w:val="24"/>
          <w:highlight w:val="none"/>
        </w:rPr>
      </w:pPr>
      <w:bookmarkStart w:id="1102" w:name="_Toc297120505"/>
      <w:bookmarkStart w:id="1103" w:name="_Toc296347204"/>
      <w:bookmarkStart w:id="1104" w:name="_Toc296944544"/>
      <w:bookmarkStart w:id="1105" w:name="_Toc297048391"/>
      <w:bookmarkStart w:id="1106" w:name="_Toc292559915"/>
      <w:bookmarkStart w:id="1107" w:name="_Toc296346706"/>
      <w:bookmarkStart w:id="1108" w:name="_Toc296891245"/>
      <w:bookmarkStart w:id="1109" w:name="_Toc296503205"/>
      <w:bookmarkStart w:id="1110" w:name="_Toc296891033"/>
      <w:bookmarkStart w:id="1111" w:name="_Toc292559410"/>
      <w:bookmarkStart w:id="1112" w:name="_Toc351203644"/>
      <w:bookmarkStart w:id="1113" w:name="_Toc303539159"/>
      <w:bookmarkStart w:id="1114" w:name="_Toc312678040"/>
      <w:bookmarkStart w:id="1115" w:name="_Toc297216211"/>
      <w:bookmarkStart w:id="1116" w:name="_Toc304295579"/>
      <w:bookmarkStart w:id="1117" w:name="_Toc297123552"/>
      <w:bookmarkStart w:id="1118" w:name="_Toc300935002"/>
      <w:r>
        <w:rPr>
          <w:rFonts w:hint="eastAsia" w:ascii="宋体" w:hAnsi="宋体"/>
          <w:bCs/>
          <w:color w:val="auto"/>
          <w:sz w:val="24"/>
          <w:szCs w:val="24"/>
          <w:highlight w:val="none"/>
        </w:rPr>
        <w:t xml:space="preserve">12. </w:t>
      </w:r>
      <w:bookmarkEnd w:id="1102"/>
      <w:bookmarkEnd w:id="1103"/>
      <w:bookmarkEnd w:id="1104"/>
      <w:bookmarkEnd w:id="1105"/>
      <w:bookmarkEnd w:id="1106"/>
      <w:bookmarkEnd w:id="1107"/>
      <w:bookmarkEnd w:id="1108"/>
      <w:bookmarkEnd w:id="1109"/>
      <w:bookmarkEnd w:id="1110"/>
      <w:bookmarkEnd w:id="1111"/>
      <w:r>
        <w:rPr>
          <w:rFonts w:hint="eastAsia" w:ascii="宋体" w:hAnsi="宋体"/>
          <w:bCs/>
          <w:color w:val="auto"/>
          <w:sz w:val="24"/>
          <w:szCs w:val="24"/>
          <w:highlight w:val="none"/>
        </w:rPr>
        <w:t>合同价格、计量与支付</w:t>
      </w:r>
      <w:bookmarkEnd w:id="1112"/>
    </w:p>
    <w:bookmarkEnd w:id="1113"/>
    <w:bookmarkEnd w:id="1114"/>
    <w:bookmarkEnd w:id="1115"/>
    <w:bookmarkEnd w:id="1116"/>
    <w:bookmarkEnd w:id="1117"/>
    <w:bookmarkEnd w:id="1118"/>
    <w:p w14:paraId="76C86DE5">
      <w:pPr>
        <w:spacing w:line="380" w:lineRule="exact"/>
        <w:ind w:firstLine="480" w:firstLineChars="200"/>
        <w:rPr>
          <w:rFonts w:hint="eastAsia" w:ascii="宋体" w:hAnsi="宋体"/>
          <w:color w:val="auto"/>
          <w:sz w:val="24"/>
          <w:szCs w:val="24"/>
          <w:highlight w:val="none"/>
        </w:rPr>
      </w:pPr>
      <w:bookmarkStart w:id="1119" w:name="_Toc292559411"/>
      <w:bookmarkStart w:id="1120" w:name="_Toc267251461"/>
      <w:bookmarkStart w:id="1121" w:name="_Toc292559916"/>
      <w:bookmarkStart w:id="1122" w:name="_Toc296503206"/>
      <w:bookmarkStart w:id="1123" w:name="_Toc296891034"/>
      <w:bookmarkStart w:id="1124" w:name="_Toc297048392"/>
      <w:bookmarkStart w:id="1125" w:name="_Toc296944545"/>
      <w:bookmarkStart w:id="1126" w:name="_Toc296891246"/>
      <w:bookmarkStart w:id="1127" w:name="_Toc296346707"/>
      <w:bookmarkStart w:id="1128" w:name="_Toc297120506"/>
      <w:bookmarkStart w:id="1129" w:name="_Toc296347205"/>
      <w:bookmarkStart w:id="1130" w:name="_Toc312678041"/>
      <w:bookmarkStart w:id="1131" w:name="_Toc297123553"/>
      <w:bookmarkStart w:id="1132" w:name="_Toc300935003"/>
      <w:bookmarkStart w:id="1133" w:name="_Toc303539160"/>
      <w:bookmarkStart w:id="1134" w:name="_Toc304295580"/>
      <w:bookmarkStart w:id="1135" w:name="_Toc297216212"/>
      <w:r>
        <w:rPr>
          <w:rFonts w:hint="eastAsia" w:ascii="宋体" w:hAnsi="宋体"/>
          <w:color w:val="auto"/>
          <w:sz w:val="24"/>
          <w:szCs w:val="24"/>
          <w:highlight w:val="none"/>
        </w:rPr>
        <w:t>12.1 合</w:t>
      </w:r>
      <w:bookmarkEnd w:id="1119"/>
      <w:bookmarkEnd w:id="1120"/>
      <w:bookmarkEnd w:id="1121"/>
      <w:r>
        <w:rPr>
          <w:rFonts w:hint="eastAsia" w:ascii="宋体" w:hAnsi="宋体"/>
          <w:color w:val="auto"/>
          <w:sz w:val="24"/>
          <w:szCs w:val="24"/>
          <w:highlight w:val="none"/>
        </w:rPr>
        <w:t>同价</w:t>
      </w:r>
      <w:bookmarkEnd w:id="1122"/>
      <w:bookmarkEnd w:id="1123"/>
      <w:bookmarkEnd w:id="1124"/>
      <w:bookmarkEnd w:id="1125"/>
      <w:bookmarkEnd w:id="1126"/>
      <w:bookmarkEnd w:id="1127"/>
      <w:bookmarkEnd w:id="1128"/>
      <w:bookmarkEnd w:id="1129"/>
      <w:r>
        <w:rPr>
          <w:rFonts w:hint="eastAsia" w:ascii="宋体" w:hAnsi="宋体"/>
          <w:color w:val="auto"/>
          <w:sz w:val="24"/>
          <w:szCs w:val="24"/>
          <w:highlight w:val="none"/>
        </w:rPr>
        <w:t>格形式</w:t>
      </w:r>
    </w:p>
    <w:bookmarkEnd w:id="1130"/>
    <w:bookmarkEnd w:id="1131"/>
    <w:bookmarkEnd w:id="1132"/>
    <w:bookmarkEnd w:id="1133"/>
    <w:bookmarkEnd w:id="1134"/>
    <w:bookmarkEnd w:id="1135"/>
    <w:p w14:paraId="7E74756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1、单价合同。</w:t>
      </w:r>
    </w:p>
    <w:p w14:paraId="15D77609">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综合单价包含的风险范围：</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0932317A">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风险费用的计算方法：</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6B768D8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风险范围以外合同价格的调整方法：</w:t>
      </w:r>
      <w:r>
        <w:rPr>
          <w:rFonts w:hint="eastAsia" w:ascii="宋体" w:hAnsi="宋体"/>
          <w:color w:val="auto"/>
          <w:sz w:val="24"/>
          <w:szCs w:val="24"/>
          <w:highlight w:val="none"/>
          <w:u w:val="single"/>
          <w:lang w:val="zh-TW" w:eastAsia="zh-TW"/>
        </w:rPr>
        <w:t>设计变更，工程签证，具实调整</w:t>
      </w:r>
      <w:r>
        <w:rPr>
          <w:rFonts w:hint="eastAsia" w:ascii="宋体" w:hAnsi="宋体"/>
          <w:color w:val="auto"/>
          <w:sz w:val="24"/>
          <w:szCs w:val="24"/>
          <w:highlight w:val="none"/>
        </w:rPr>
        <w:t>。</w:t>
      </w:r>
    </w:p>
    <w:p w14:paraId="06D534A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2、总价合同。</w:t>
      </w:r>
    </w:p>
    <w:p w14:paraId="11616D62">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总价包含的风险范围：</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3EDBD564">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风险费用的计算方法：</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49E5C8D4">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风险范围以外合同价格的调整方法：</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3E94AF39">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3、其他价格方式：</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1AF6D0E8">
      <w:pPr>
        <w:spacing w:line="380" w:lineRule="exact"/>
        <w:ind w:firstLine="480" w:firstLineChars="200"/>
        <w:rPr>
          <w:rFonts w:hint="eastAsia" w:ascii="宋体" w:hAnsi="宋体"/>
          <w:color w:val="auto"/>
          <w:sz w:val="24"/>
          <w:szCs w:val="24"/>
          <w:highlight w:val="none"/>
        </w:rPr>
      </w:pPr>
      <w:bookmarkStart w:id="1136" w:name="_Toc297216213"/>
      <w:bookmarkStart w:id="1137" w:name="_Toc303539161"/>
      <w:bookmarkStart w:id="1138" w:name="_Toc304295581"/>
      <w:bookmarkStart w:id="1139" w:name="_Toc312678042"/>
      <w:bookmarkStart w:id="1140" w:name="_Toc297123554"/>
      <w:bookmarkStart w:id="1141" w:name="_Toc300935004"/>
      <w:bookmarkStart w:id="1142" w:name="_Toc296891247"/>
      <w:bookmarkStart w:id="1143" w:name="_Toc296891035"/>
      <w:bookmarkStart w:id="1144" w:name="_Toc292559917"/>
      <w:bookmarkStart w:id="1145" w:name="_Toc297048393"/>
      <w:bookmarkStart w:id="1146" w:name="_Toc297120507"/>
      <w:bookmarkStart w:id="1147" w:name="_Toc296347206"/>
      <w:bookmarkStart w:id="1148" w:name="_Toc296503207"/>
      <w:bookmarkStart w:id="1149" w:name="_Toc296944546"/>
      <w:bookmarkStart w:id="1150" w:name="_Toc292559412"/>
      <w:bookmarkStart w:id="1151" w:name="_Toc296346708"/>
      <w:r>
        <w:rPr>
          <w:rFonts w:hint="eastAsia" w:ascii="宋体" w:hAnsi="宋体"/>
          <w:color w:val="auto"/>
          <w:sz w:val="24"/>
          <w:szCs w:val="24"/>
          <w:highlight w:val="none"/>
        </w:rPr>
        <w:t>12.2 预付款</w:t>
      </w:r>
    </w:p>
    <w:bookmarkEnd w:id="1136"/>
    <w:bookmarkEnd w:id="1137"/>
    <w:bookmarkEnd w:id="1138"/>
    <w:bookmarkEnd w:id="1139"/>
    <w:bookmarkEnd w:id="1140"/>
    <w:bookmarkEnd w:id="1141"/>
    <w:p w14:paraId="55D99140">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12.2.1 预付款的支付</w:t>
      </w:r>
    </w:p>
    <w:p w14:paraId="4D20028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预付款支付比例或金额：</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34C5F10E">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预付款支付期限：</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4E687467">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预付款扣回的方式：</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04BCB57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12.2.2 预付款担保</w:t>
      </w:r>
    </w:p>
    <w:p w14:paraId="2FEEF00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承包人提交预付款担保的期限：</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2B46EB4D">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预付款担保的形式为：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1142"/>
    <w:bookmarkEnd w:id="1143"/>
    <w:bookmarkEnd w:id="1144"/>
    <w:bookmarkEnd w:id="1145"/>
    <w:bookmarkEnd w:id="1146"/>
    <w:bookmarkEnd w:id="1147"/>
    <w:bookmarkEnd w:id="1148"/>
    <w:bookmarkEnd w:id="1149"/>
    <w:bookmarkEnd w:id="1150"/>
    <w:bookmarkEnd w:id="1151"/>
    <w:p w14:paraId="26F67E79">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12.3 计量</w:t>
      </w:r>
    </w:p>
    <w:p w14:paraId="7614594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12.3.1 计量原则</w:t>
      </w:r>
    </w:p>
    <w:p w14:paraId="6A70A306">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工程量计算规则：</w:t>
      </w:r>
      <w:r>
        <w:rPr>
          <w:rFonts w:hint="eastAsia" w:ascii="宋体" w:hAnsi="宋体"/>
          <w:color w:val="auto"/>
          <w:sz w:val="24"/>
          <w:szCs w:val="24"/>
          <w:highlight w:val="none"/>
          <w:u w:val="single"/>
          <w:lang w:val="zh-TW" w:eastAsia="zh-TW"/>
        </w:rPr>
        <w:t>按</w:t>
      </w:r>
      <w:r>
        <w:rPr>
          <w:rFonts w:hint="eastAsia" w:ascii="宋体" w:hAnsi="宋体"/>
          <w:color w:val="auto"/>
          <w:sz w:val="24"/>
          <w:szCs w:val="24"/>
          <w:highlight w:val="none"/>
          <w:u w:val="single"/>
          <w:lang w:val="zh-TW" w:eastAsia="zh-CN"/>
        </w:rPr>
        <w:t>《建设工程工程量清单计价标准》</w:t>
      </w:r>
      <w:r>
        <w:rPr>
          <w:rFonts w:hint="eastAsia" w:ascii="宋体" w:hAnsi="宋体"/>
          <w:color w:val="auto"/>
          <w:sz w:val="24"/>
          <w:szCs w:val="24"/>
          <w:highlight w:val="none"/>
          <w:u w:val="single"/>
          <w:lang w:val="zh-TW" w:eastAsia="zh-TW"/>
        </w:rPr>
        <w:t>（</w:t>
      </w:r>
      <w:r>
        <w:rPr>
          <w:rFonts w:hint="eastAsia" w:ascii="宋体" w:hAnsi="宋体"/>
          <w:color w:val="auto"/>
          <w:sz w:val="24"/>
          <w:szCs w:val="24"/>
          <w:highlight w:val="none"/>
          <w:u w:val="single"/>
          <w:lang w:eastAsia="zh-CN"/>
        </w:rPr>
        <w:t>GB/T50500-2024</w:t>
      </w:r>
      <w:r>
        <w:rPr>
          <w:rFonts w:hint="eastAsia" w:ascii="宋体" w:hAnsi="宋体"/>
          <w:color w:val="auto"/>
          <w:sz w:val="24"/>
          <w:szCs w:val="24"/>
          <w:highlight w:val="none"/>
          <w:u w:val="single"/>
          <w:lang w:val="zh-TW" w:eastAsia="zh-TW"/>
        </w:rPr>
        <w:t>）及配套计量规范计算</w:t>
      </w:r>
      <w:r>
        <w:rPr>
          <w:rFonts w:hint="eastAsia" w:ascii="宋体" w:hAnsi="宋体"/>
          <w:color w:val="auto"/>
          <w:sz w:val="24"/>
          <w:szCs w:val="24"/>
          <w:highlight w:val="none"/>
        </w:rPr>
        <w:t>。</w:t>
      </w:r>
    </w:p>
    <w:p w14:paraId="0D89B21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12.3.2 计量周期</w:t>
      </w:r>
    </w:p>
    <w:p w14:paraId="03088FD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关于计量周期的约定：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34A8531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12.3.3 单价合同的计量</w:t>
      </w:r>
    </w:p>
    <w:p w14:paraId="6A31C6E4">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关于单价合同计量的约定：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146EC7E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12.3.4 总价合同的计量</w:t>
      </w:r>
    </w:p>
    <w:p w14:paraId="0C46A04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关于总价合同计量的约定：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F43C510">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12.3.5总价合同采用支付分解表计量支付的，是否适用第</w:t>
      </w:r>
      <w:r>
        <w:rPr>
          <w:rFonts w:hint="eastAsia" w:ascii="宋体" w:hAnsi="宋体"/>
          <w:color w:val="auto"/>
          <w:kern w:val="0"/>
          <w:sz w:val="24"/>
          <w:szCs w:val="24"/>
          <w:highlight w:val="none"/>
        </w:rPr>
        <w:t xml:space="preserve">12.3.4 </w:t>
      </w:r>
      <w:r>
        <w:rPr>
          <w:rFonts w:hint="eastAsia" w:ascii="宋体" w:hAnsi="宋体"/>
          <w:color w:val="auto"/>
          <w:sz w:val="24"/>
          <w:szCs w:val="24"/>
          <w:highlight w:val="none"/>
        </w:rPr>
        <w:t>项</w:t>
      </w:r>
      <w:r>
        <w:rPr>
          <w:rFonts w:hint="eastAsia" w:ascii="宋体" w:hAnsi="宋体"/>
          <w:color w:val="auto"/>
          <w:kern w:val="0"/>
          <w:sz w:val="24"/>
          <w:szCs w:val="24"/>
          <w:highlight w:val="none"/>
        </w:rPr>
        <w:t>〔总价合同的计量〕</w:t>
      </w:r>
      <w:r>
        <w:rPr>
          <w:rFonts w:hint="eastAsia" w:ascii="宋体" w:hAnsi="宋体"/>
          <w:color w:val="auto"/>
          <w:sz w:val="24"/>
          <w:szCs w:val="24"/>
          <w:highlight w:val="none"/>
        </w:rPr>
        <w:t>约定进行计量：</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043792ED">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12.3.6 其他价格形式合同的计量</w:t>
      </w:r>
    </w:p>
    <w:p w14:paraId="50024A28">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其他价格形式的计量方式和程序：</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3E59B2C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12.4 工程进度款支付</w:t>
      </w:r>
    </w:p>
    <w:p w14:paraId="47AB4CBB">
      <w:pPr>
        <w:spacing w:line="380" w:lineRule="exact"/>
        <w:ind w:firstLine="480" w:firstLineChars="200"/>
        <w:jc w:val="left"/>
        <w:rPr>
          <w:rFonts w:hint="eastAsia" w:ascii="宋体" w:hAnsi="宋体"/>
          <w:color w:val="auto"/>
          <w:sz w:val="24"/>
          <w:szCs w:val="24"/>
          <w:highlight w:val="none"/>
        </w:rPr>
      </w:pPr>
      <w:bookmarkStart w:id="1152" w:name="_Toc297120511"/>
      <w:bookmarkStart w:id="1153" w:name="_Toc303539163"/>
      <w:bookmarkStart w:id="1154" w:name="_Toc300935006"/>
      <w:bookmarkStart w:id="1155" w:name="_Toc292559416"/>
      <w:bookmarkStart w:id="1156" w:name="_Toc296891251"/>
      <w:bookmarkStart w:id="1157" w:name="_Toc296503211"/>
      <w:bookmarkStart w:id="1158" w:name="_Toc292559921"/>
      <w:bookmarkStart w:id="1159" w:name="_Toc296891039"/>
      <w:bookmarkStart w:id="1160" w:name="_Toc297216215"/>
      <w:bookmarkStart w:id="1161" w:name="_Toc296944550"/>
      <w:bookmarkStart w:id="1162" w:name="_Toc297048397"/>
      <w:bookmarkStart w:id="1163" w:name="_Toc296347210"/>
      <w:bookmarkStart w:id="1164" w:name="_Toc296346712"/>
      <w:bookmarkStart w:id="1165" w:name="_Toc297123556"/>
      <w:r>
        <w:rPr>
          <w:rFonts w:hint="eastAsia" w:ascii="宋体" w:hAnsi="宋体"/>
          <w:color w:val="auto"/>
          <w:sz w:val="24"/>
          <w:szCs w:val="24"/>
          <w:highlight w:val="none"/>
        </w:rPr>
        <w:t>12.4.1 付款周期</w:t>
      </w:r>
    </w:p>
    <w:p w14:paraId="6AB1D125">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关于付款办法的约定：</w:t>
      </w:r>
      <w:r>
        <w:rPr>
          <w:rFonts w:hint="eastAsia" w:ascii="宋体" w:hAnsi="宋体"/>
          <w:color w:val="auto"/>
          <w:sz w:val="24"/>
          <w:szCs w:val="24"/>
          <w:highlight w:val="none"/>
          <w:u w:val="single"/>
        </w:rPr>
        <w:t>双方另行协商</w:t>
      </w:r>
    </w:p>
    <w:p w14:paraId="59335B5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12.4.2 进度付款申请单的编制</w:t>
      </w:r>
    </w:p>
    <w:p w14:paraId="1C3CB05C">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关于进度付款申请单编制的约定：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0D56B3D1">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r>
        <w:rPr>
          <w:rFonts w:hint="eastAsia" w:ascii="宋体" w:hAnsi="宋体"/>
          <w:color w:val="auto"/>
          <w:sz w:val="24"/>
          <w:szCs w:val="24"/>
          <w:highlight w:val="none"/>
        </w:rPr>
        <w:t>2.4.3 进度付款申请单的提交</w:t>
      </w:r>
    </w:p>
    <w:p w14:paraId="51A22160">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（1）单价合同进度付款申请单提交的约定：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201A536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（2）总价合同进度付款申请单提交的约定：</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0BBBB9F7">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（3）其他价格形式合同进度付款申请单提交的约定：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4BCA55B8">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12.4.4 进度款审核和支付</w:t>
      </w:r>
    </w:p>
    <w:p w14:paraId="6F8DFC40">
      <w:pPr>
        <w:spacing w:line="38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（1）监理人审查并报送发包人的期限：</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70060B69">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发包人完成审批并签发进度款支付证书的期限：</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6AA8C650">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（2）发包人支付进度款的期限：</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02953AF8">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发包人逾期支付进度款的违约金的计算方式：</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44069315">
      <w:pPr>
        <w:spacing w:line="380" w:lineRule="exact"/>
        <w:ind w:firstLine="600" w:firstLineChars="250"/>
        <w:jc w:val="left"/>
        <w:rPr>
          <w:rFonts w:hint="eastAsia" w:ascii="宋体" w:hAnsi="宋体"/>
          <w:color w:val="auto"/>
          <w:sz w:val="24"/>
          <w:szCs w:val="24"/>
          <w:highlight w:val="none"/>
        </w:rPr>
      </w:pPr>
      <w:r>
        <w:rPr>
          <w:rFonts w:hint="eastAsia" w:ascii="宋体" w:hAnsi="宋体"/>
          <w:color w:val="auto"/>
          <w:sz w:val="24"/>
          <w:szCs w:val="24"/>
          <w:highlight w:val="none"/>
        </w:rPr>
        <w:t>12.4.6 支付分解表的编制</w:t>
      </w:r>
    </w:p>
    <w:p w14:paraId="2EB768DC">
      <w:pPr>
        <w:spacing w:line="380" w:lineRule="exact"/>
        <w:ind w:left="4800" w:hanging="4800" w:hangingChars="2000"/>
        <w:jc w:val="left"/>
        <w:rPr>
          <w:rFonts w:hint="eastAsia" w:ascii="宋体" w:hAnsi="宋体"/>
          <w:color w:val="auto"/>
          <w:sz w:val="24"/>
          <w:szCs w:val="24"/>
          <w:highlight w:val="none"/>
        </w:rPr>
      </w:pPr>
      <w:r>
        <w:rPr>
          <w:rFonts w:hint="eastAsia" w:ascii="宋体" w:hAnsi="宋体"/>
          <w:color w:val="auto"/>
          <w:sz w:val="24"/>
          <w:szCs w:val="24"/>
          <w:highlight w:val="none"/>
        </w:rPr>
        <w:t>2、总价合同支付分解表的编制与审批：</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0AC9D69D">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3、单价合同的总价项目支付分解表的编制与审批：</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981"/>
    <w:p w14:paraId="1410606B">
      <w:pPr>
        <w:keepNext/>
        <w:keepLines/>
        <w:spacing w:line="380" w:lineRule="exact"/>
        <w:ind w:firstLine="482"/>
        <w:outlineLvl w:val="3"/>
        <w:rPr>
          <w:rFonts w:hint="eastAsia" w:ascii="宋体" w:hAnsi="宋体"/>
          <w:bCs/>
          <w:color w:val="auto"/>
          <w:sz w:val="24"/>
          <w:szCs w:val="24"/>
          <w:highlight w:val="none"/>
        </w:rPr>
      </w:pPr>
      <w:bookmarkStart w:id="1166" w:name="_Toc351203645"/>
      <w:bookmarkStart w:id="1167" w:name="_Toc303539172"/>
      <w:bookmarkStart w:id="1168" w:name="_Toc292559424"/>
      <w:bookmarkStart w:id="1169" w:name="_Toc296891259"/>
      <w:bookmarkStart w:id="1170" w:name="_Toc296503219"/>
      <w:bookmarkStart w:id="1171" w:name="_Toc296347218"/>
      <w:bookmarkStart w:id="1172" w:name="_Toc300935015"/>
      <w:bookmarkStart w:id="1173" w:name="_Toc292559929"/>
      <w:bookmarkStart w:id="1174" w:name="_Toc296944558"/>
      <w:bookmarkStart w:id="1175" w:name="_Toc304295593"/>
      <w:bookmarkStart w:id="1176" w:name="_Toc312678053"/>
      <w:bookmarkStart w:id="1177" w:name="_Toc297216223"/>
      <w:bookmarkStart w:id="1178" w:name="_Toc297123564"/>
      <w:bookmarkStart w:id="1179" w:name="_Toc296346720"/>
      <w:bookmarkStart w:id="1180" w:name="_Toc297048405"/>
      <w:bookmarkStart w:id="1181" w:name="_Toc296891047"/>
      <w:bookmarkStart w:id="1182" w:name="_Toc297120519"/>
      <w:r>
        <w:rPr>
          <w:rFonts w:hint="eastAsia" w:ascii="宋体" w:hAnsi="宋体"/>
          <w:bCs/>
          <w:color w:val="auto"/>
          <w:sz w:val="24"/>
          <w:szCs w:val="24"/>
          <w:highlight w:val="none"/>
        </w:rPr>
        <w:t>13.验收和工程试车</w:t>
      </w:r>
      <w:bookmarkEnd w:id="1166"/>
    </w:p>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14:paraId="7FC495FD">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13.1 分部分项工程验收</w:t>
      </w:r>
    </w:p>
    <w:p w14:paraId="775B511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13.1.2监理人不能按时进行验收时，应提前</w:t>
      </w:r>
      <w:r>
        <w:rPr>
          <w:rFonts w:hint="eastAsia" w:ascii="宋体" w:hAnsi="宋体"/>
          <w:color w:val="auto"/>
          <w:sz w:val="24"/>
          <w:szCs w:val="24"/>
          <w:highlight w:val="none"/>
          <w:u w:val="single"/>
        </w:rPr>
        <w:t>24</w:t>
      </w:r>
      <w:r>
        <w:rPr>
          <w:rFonts w:hint="eastAsia" w:ascii="宋体" w:hAnsi="宋体"/>
          <w:color w:val="auto"/>
          <w:sz w:val="24"/>
          <w:szCs w:val="24"/>
          <w:highlight w:val="none"/>
        </w:rPr>
        <w:t>小时提交书面延期要求。</w:t>
      </w:r>
    </w:p>
    <w:p w14:paraId="0DD1EB12">
      <w:pPr>
        <w:spacing w:line="380" w:lineRule="exact"/>
        <w:ind w:firstLine="480" w:firstLineChars="200"/>
        <w:jc w:val="left"/>
        <w:rPr>
          <w:rFonts w:hint="eastAsia" w:ascii="宋体" w:hAnsi="宋体"/>
          <w:b/>
          <w:color w:val="auto"/>
          <w:sz w:val="24"/>
          <w:szCs w:val="24"/>
          <w:highlight w:val="none"/>
        </w:rPr>
      </w:pPr>
      <w:r>
        <w:rPr>
          <w:rFonts w:hint="eastAsia" w:ascii="宋体" w:hAnsi="宋体"/>
          <w:color w:val="auto"/>
          <w:sz w:val="24"/>
          <w:szCs w:val="24"/>
          <w:highlight w:val="none"/>
        </w:rPr>
        <w:t>关于延期最长不得超过：</w:t>
      </w:r>
      <w:r>
        <w:rPr>
          <w:rFonts w:hint="eastAsia" w:ascii="宋体" w:hAnsi="宋体"/>
          <w:color w:val="auto"/>
          <w:sz w:val="24"/>
          <w:szCs w:val="24"/>
          <w:highlight w:val="none"/>
          <w:u w:val="single"/>
        </w:rPr>
        <w:t>48</w:t>
      </w:r>
      <w:r>
        <w:rPr>
          <w:rFonts w:hint="eastAsia" w:ascii="宋体" w:hAnsi="宋体"/>
          <w:color w:val="auto"/>
          <w:sz w:val="24"/>
          <w:szCs w:val="24"/>
          <w:highlight w:val="none"/>
        </w:rPr>
        <w:t>小时。</w:t>
      </w:r>
    </w:p>
    <w:p w14:paraId="3CDBC7EC">
      <w:pPr>
        <w:spacing w:line="380" w:lineRule="exact"/>
        <w:ind w:firstLine="480" w:firstLineChars="200"/>
        <w:rPr>
          <w:rFonts w:hint="eastAsia" w:ascii="宋体" w:hAnsi="宋体"/>
          <w:color w:val="auto"/>
          <w:sz w:val="24"/>
          <w:szCs w:val="24"/>
          <w:highlight w:val="none"/>
        </w:rPr>
      </w:pPr>
      <w:bookmarkStart w:id="1183" w:name="_Toc296891051"/>
      <w:bookmarkStart w:id="1184" w:name="_Toc312678056"/>
      <w:bookmarkStart w:id="1185" w:name="_Toc292559933"/>
      <w:bookmarkStart w:id="1186" w:name="_Toc297120523"/>
      <w:bookmarkStart w:id="1187" w:name="_Toc297216224"/>
      <w:bookmarkStart w:id="1188" w:name="_Toc292559428"/>
      <w:bookmarkStart w:id="1189" w:name="_Toc297048409"/>
      <w:bookmarkStart w:id="1190" w:name="_Toc304295596"/>
      <w:bookmarkStart w:id="1191" w:name="_Toc296891263"/>
      <w:bookmarkStart w:id="1192" w:name="_Toc296346724"/>
      <w:bookmarkStart w:id="1193" w:name="_Toc300935016"/>
      <w:bookmarkStart w:id="1194" w:name="_Toc303539173"/>
      <w:bookmarkStart w:id="1195" w:name="_Toc297123565"/>
      <w:bookmarkStart w:id="1196" w:name="_Toc296347222"/>
      <w:bookmarkStart w:id="1197" w:name="_Toc296944562"/>
      <w:bookmarkStart w:id="1198" w:name="_Toc296503223"/>
      <w:bookmarkStart w:id="1199" w:name="_Toc267251476"/>
      <w:bookmarkStart w:id="1200" w:name="_Toc267251475"/>
      <w:bookmarkStart w:id="1201" w:name="_Toc267251472"/>
      <w:bookmarkStart w:id="1202" w:name="_Toc267251471"/>
      <w:bookmarkStart w:id="1203" w:name="_Toc267251473"/>
      <w:bookmarkStart w:id="1204" w:name="_Toc267251474"/>
      <w:bookmarkStart w:id="1205" w:name="_Toc267251470"/>
      <w:r>
        <w:rPr>
          <w:rFonts w:hint="eastAsia" w:ascii="宋体" w:hAnsi="宋体"/>
          <w:color w:val="auto"/>
          <w:sz w:val="24"/>
          <w:szCs w:val="24"/>
          <w:highlight w:val="none"/>
        </w:rPr>
        <w:t>13.2 竣工验收</w:t>
      </w:r>
    </w:p>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14:paraId="2DB265E7">
      <w:pPr>
        <w:spacing w:line="380" w:lineRule="exact"/>
        <w:ind w:firstLine="480" w:firstLineChars="200"/>
        <w:jc w:val="left"/>
        <w:rPr>
          <w:rFonts w:hint="eastAsia" w:ascii="宋体" w:hAnsi="宋体"/>
          <w:color w:val="auto"/>
          <w:sz w:val="24"/>
          <w:szCs w:val="24"/>
          <w:highlight w:val="none"/>
        </w:rPr>
      </w:pPr>
      <w:bookmarkStart w:id="1206" w:name="_Toc280868704"/>
      <w:bookmarkStart w:id="1207" w:name="_Toc280868705"/>
      <w:bookmarkStart w:id="1208" w:name="_Toc280868706"/>
      <w:bookmarkStart w:id="1209" w:name="_Toc280868707"/>
      <w:bookmarkStart w:id="1210" w:name="_Toc280868708"/>
      <w:bookmarkStart w:id="1211" w:name="_Toc280868709"/>
      <w:r>
        <w:rPr>
          <w:rFonts w:hint="eastAsia" w:ascii="宋体" w:hAnsi="宋体"/>
          <w:color w:val="auto"/>
          <w:sz w:val="24"/>
          <w:szCs w:val="24"/>
          <w:highlight w:val="none"/>
        </w:rPr>
        <w:t>13.2.2竣工验收程序</w:t>
      </w:r>
    </w:p>
    <w:bookmarkEnd w:id="1206"/>
    <w:p w14:paraId="31F32698">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kern w:val="0"/>
          <w:sz w:val="24"/>
          <w:szCs w:val="24"/>
          <w:highlight w:val="none"/>
        </w:rPr>
        <w:t>关于竣工验收程序的约定：</w:t>
      </w:r>
      <w:r>
        <w:rPr>
          <w:rFonts w:hint="eastAsia" w:ascii="宋体" w:hAnsi="宋体" w:cs="宋体"/>
          <w:color w:val="auto"/>
          <w:sz w:val="24"/>
          <w:szCs w:val="24"/>
          <w:highlight w:val="none"/>
          <w:u w:val="single"/>
          <w:lang w:bidi="ar"/>
        </w:rPr>
        <w:t>按照现行</w:t>
      </w:r>
      <w:r>
        <w:rPr>
          <w:rFonts w:hint="eastAsia" w:ascii="宋体" w:hAnsi="宋体" w:cs="宋体"/>
          <w:color w:val="auto"/>
          <w:sz w:val="24"/>
          <w:szCs w:val="24"/>
          <w:highlight w:val="none"/>
          <w:u w:val="single"/>
          <w:lang w:eastAsia="zh-CN" w:bidi="ar"/>
        </w:rPr>
        <w:t>建筑工程</w:t>
      </w:r>
      <w:r>
        <w:rPr>
          <w:rFonts w:hint="eastAsia" w:ascii="宋体" w:hAnsi="宋体" w:cs="宋体"/>
          <w:color w:val="auto"/>
          <w:sz w:val="24"/>
          <w:szCs w:val="24"/>
          <w:highlight w:val="none"/>
          <w:u w:val="single"/>
          <w:lang w:bidi="ar"/>
        </w:rPr>
        <w:t>监理规范和地方质量监督部门的要求执行</w:t>
      </w:r>
      <w:r>
        <w:rPr>
          <w:rFonts w:hint="eastAsia" w:ascii="宋体" w:hAnsi="宋体"/>
          <w:color w:val="auto"/>
          <w:sz w:val="24"/>
          <w:szCs w:val="24"/>
          <w:highlight w:val="none"/>
        </w:rPr>
        <w:t>。</w:t>
      </w:r>
    </w:p>
    <w:p w14:paraId="715BD69A">
      <w:pPr>
        <w:spacing w:line="380" w:lineRule="exact"/>
        <w:ind w:firstLine="482"/>
        <w:jc w:val="left"/>
        <w:rPr>
          <w:rFonts w:hint="eastAsia" w:ascii="宋体" w:hAnsi="宋体"/>
          <w:color w:val="auto"/>
          <w:sz w:val="24"/>
          <w:szCs w:val="24"/>
          <w:highlight w:val="none"/>
        </w:rPr>
      </w:pPr>
      <w:r>
        <w:rPr>
          <w:rFonts w:hint="eastAsia" w:ascii="宋体" w:hAnsi="宋体"/>
          <w:color w:val="auto"/>
          <w:kern w:val="0"/>
          <w:sz w:val="24"/>
          <w:szCs w:val="24"/>
          <w:highlight w:val="none"/>
        </w:rPr>
        <w:t>发包人不按照本项约定组织竣工验收、颁发工程接收证书的违约金的计算方法：</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1207"/>
    <w:p w14:paraId="14E3257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13.2.5移交、接收全部与部分工程</w:t>
      </w:r>
    </w:p>
    <w:bookmarkEnd w:id="1208"/>
    <w:p w14:paraId="3031F4BF">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承包人向发包人移交工程的期限：</w:t>
      </w:r>
      <w:r>
        <w:rPr>
          <w:rFonts w:hint="eastAsia" w:ascii="宋体" w:hAnsi="宋体" w:cs="宋体"/>
          <w:color w:val="auto"/>
          <w:sz w:val="24"/>
          <w:szCs w:val="24"/>
          <w:highlight w:val="none"/>
          <w:u w:val="single"/>
          <w:lang w:bidi="ar"/>
        </w:rPr>
        <w:t>在颁发工程接收证书后7天内完成工程的移交</w:t>
      </w:r>
      <w:r>
        <w:rPr>
          <w:rFonts w:hint="eastAsia" w:ascii="宋体" w:hAnsi="宋体"/>
          <w:color w:val="auto"/>
          <w:sz w:val="24"/>
          <w:szCs w:val="24"/>
          <w:highlight w:val="none"/>
        </w:rPr>
        <w:t>。</w:t>
      </w:r>
    </w:p>
    <w:p w14:paraId="67AD996A">
      <w:pPr>
        <w:spacing w:line="380" w:lineRule="exact"/>
        <w:ind w:firstLine="480" w:firstLineChars="200"/>
        <w:jc w:val="left"/>
        <w:rPr>
          <w:rFonts w:hint="eastAsia" w:ascii="宋体" w:hAnsi="宋体"/>
          <w:color w:val="auto"/>
          <w:sz w:val="24"/>
          <w:szCs w:val="24"/>
          <w:highlight w:val="none"/>
          <w:u w:val="single"/>
        </w:rPr>
      </w:pPr>
      <w:r>
        <w:rPr>
          <w:rFonts w:hint="eastAsia" w:ascii="宋体" w:hAnsi="宋体"/>
          <w:color w:val="auto"/>
          <w:kern w:val="0"/>
          <w:sz w:val="24"/>
          <w:szCs w:val="24"/>
          <w:highlight w:val="none"/>
        </w:rPr>
        <w:t>发包人未按本合同约定接收全部或部分工程的，违约金的计算方法为：</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bookmarkEnd w:id="1209"/>
    <w:p w14:paraId="66CCBF3F">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承包人未按时移交工程的，违约金的计算方法为：</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2A62AE84">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13.3 工程试车</w:t>
      </w:r>
    </w:p>
    <w:bookmarkEnd w:id="1210"/>
    <w:p w14:paraId="352B2C01">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13.3.1 试车程序</w:t>
      </w:r>
    </w:p>
    <w:p w14:paraId="35BCFA04">
      <w:pPr>
        <w:spacing w:line="380" w:lineRule="exact"/>
        <w:ind w:firstLine="482"/>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工程试车内容：</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143E0FC4">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（1）单机无负荷试车费用由</w:t>
      </w:r>
      <w:r>
        <w:rPr>
          <w:rFonts w:hint="eastAsia" w:ascii="宋体" w:hAnsi="宋体"/>
          <w:color w:val="auto"/>
          <w:sz w:val="24"/>
          <w:szCs w:val="24"/>
          <w:highlight w:val="none"/>
          <w:u w:val="single"/>
        </w:rPr>
        <w:t>/</w:t>
      </w:r>
      <w:r>
        <w:rPr>
          <w:rFonts w:hint="eastAsia" w:ascii="宋体" w:hAnsi="宋体"/>
          <w:color w:val="auto"/>
          <w:kern w:val="0"/>
          <w:sz w:val="24"/>
          <w:szCs w:val="24"/>
          <w:highlight w:val="none"/>
        </w:rPr>
        <w:t>承担；</w:t>
      </w:r>
    </w:p>
    <w:p w14:paraId="36AC07F1">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（2）无负荷联动试车费用由</w:t>
      </w:r>
      <w:r>
        <w:rPr>
          <w:rFonts w:hint="eastAsia" w:ascii="宋体" w:hAnsi="宋体"/>
          <w:color w:val="auto"/>
          <w:sz w:val="24"/>
          <w:szCs w:val="24"/>
          <w:highlight w:val="none"/>
          <w:u w:val="single"/>
        </w:rPr>
        <w:t>/</w:t>
      </w:r>
      <w:r>
        <w:rPr>
          <w:rFonts w:hint="eastAsia" w:ascii="宋体" w:hAnsi="宋体"/>
          <w:color w:val="auto"/>
          <w:kern w:val="0"/>
          <w:sz w:val="24"/>
          <w:szCs w:val="24"/>
          <w:highlight w:val="none"/>
        </w:rPr>
        <w:t>承担。</w:t>
      </w:r>
    </w:p>
    <w:p w14:paraId="7A257B9E">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13.3.3 投料试车</w:t>
      </w:r>
    </w:p>
    <w:p w14:paraId="4F61DF9A">
      <w:pPr>
        <w:spacing w:line="380" w:lineRule="exact"/>
        <w:ind w:firstLine="482"/>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关于投料试车相关事项的约定：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w:t>
      </w:r>
    </w:p>
    <w:p w14:paraId="5A3B7066">
      <w:pPr>
        <w:spacing w:line="380" w:lineRule="exact"/>
        <w:ind w:firstLine="480" w:firstLineChars="200"/>
        <w:outlineLvl w:val="0"/>
        <w:rPr>
          <w:rFonts w:hint="eastAsia" w:ascii="宋体" w:hAnsi="宋体"/>
          <w:color w:val="auto"/>
          <w:sz w:val="24"/>
          <w:szCs w:val="24"/>
          <w:highlight w:val="none"/>
        </w:rPr>
      </w:pPr>
      <w:bookmarkStart w:id="1212" w:name="_Toc31517"/>
      <w:bookmarkStart w:id="1213" w:name="_Toc13191"/>
      <w:bookmarkStart w:id="1214" w:name="_Toc27034"/>
      <w:bookmarkStart w:id="1215" w:name="_Toc28494"/>
      <w:bookmarkStart w:id="1216" w:name="_Toc2300"/>
      <w:bookmarkStart w:id="1217" w:name="_Toc30445"/>
      <w:bookmarkStart w:id="1218" w:name="_Toc26696"/>
      <w:r>
        <w:rPr>
          <w:rFonts w:hint="eastAsia" w:ascii="宋体" w:hAnsi="宋体"/>
          <w:color w:val="auto"/>
          <w:sz w:val="24"/>
          <w:szCs w:val="24"/>
          <w:highlight w:val="none"/>
        </w:rPr>
        <w:t>13.6 竣工退场</w:t>
      </w:r>
      <w:bookmarkEnd w:id="1212"/>
      <w:bookmarkEnd w:id="1213"/>
      <w:bookmarkEnd w:id="1214"/>
      <w:bookmarkEnd w:id="1215"/>
      <w:bookmarkEnd w:id="1216"/>
      <w:bookmarkEnd w:id="1217"/>
      <w:bookmarkEnd w:id="1218"/>
    </w:p>
    <w:p w14:paraId="4ED95C6F">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13.6.1 竣工退场</w:t>
      </w:r>
    </w:p>
    <w:p w14:paraId="4E376747">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承包人完成竣工退场的期限：</w:t>
      </w:r>
      <w:r>
        <w:rPr>
          <w:rFonts w:hint="eastAsia" w:ascii="宋体" w:hAnsi="宋体" w:cs="宋体"/>
          <w:color w:val="auto"/>
          <w:sz w:val="24"/>
          <w:szCs w:val="24"/>
          <w:highlight w:val="none"/>
          <w:u w:val="single"/>
          <w:lang w:bidi="ar"/>
        </w:rPr>
        <w:t>执行通用条款</w:t>
      </w:r>
      <w:r>
        <w:rPr>
          <w:rFonts w:hint="eastAsia" w:ascii="宋体" w:hAnsi="宋体"/>
          <w:color w:val="auto"/>
          <w:kern w:val="0"/>
          <w:sz w:val="24"/>
          <w:szCs w:val="24"/>
          <w:highlight w:val="none"/>
        </w:rPr>
        <w:t>。</w:t>
      </w:r>
    </w:p>
    <w:p w14:paraId="4AEBECA7">
      <w:pPr>
        <w:keepNext/>
        <w:keepLines/>
        <w:spacing w:line="380" w:lineRule="exact"/>
        <w:ind w:firstLine="482"/>
        <w:outlineLvl w:val="3"/>
        <w:rPr>
          <w:rFonts w:hint="eastAsia" w:ascii="宋体" w:hAnsi="宋体"/>
          <w:bCs/>
          <w:color w:val="auto"/>
          <w:sz w:val="24"/>
          <w:szCs w:val="24"/>
          <w:highlight w:val="none"/>
        </w:rPr>
      </w:pPr>
      <w:bookmarkStart w:id="1219" w:name="_Toc351203646"/>
      <w:r>
        <w:rPr>
          <w:rFonts w:hint="eastAsia" w:ascii="宋体" w:hAnsi="宋体"/>
          <w:bCs/>
          <w:color w:val="auto"/>
          <w:sz w:val="24"/>
          <w:szCs w:val="24"/>
          <w:highlight w:val="none"/>
        </w:rPr>
        <w:t>14. 竣工结算</w:t>
      </w:r>
      <w:bookmarkEnd w:id="1219"/>
    </w:p>
    <w:p w14:paraId="0FC6DC69">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14.1 竣工结算申请</w:t>
      </w:r>
    </w:p>
    <w:p w14:paraId="2329F1A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承包人提交竣工结算申请单的期限：</w:t>
      </w:r>
      <w:r>
        <w:rPr>
          <w:rFonts w:hint="eastAsia" w:ascii="宋体" w:hAnsi="宋体" w:cs="宋体"/>
          <w:color w:val="auto"/>
          <w:sz w:val="24"/>
          <w:szCs w:val="24"/>
          <w:highlight w:val="none"/>
          <w:u w:val="single"/>
          <w:lang w:bidi="ar"/>
        </w:rPr>
        <w:t>竣工验收合格后28天内</w:t>
      </w:r>
      <w:r>
        <w:rPr>
          <w:rFonts w:hint="eastAsia" w:ascii="宋体" w:hAnsi="宋体"/>
          <w:color w:val="auto"/>
          <w:sz w:val="24"/>
          <w:szCs w:val="24"/>
          <w:highlight w:val="none"/>
        </w:rPr>
        <w:t>。</w:t>
      </w:r>
    </w:p>
    <w:p w14:paraId="3A2F459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竣工结算申请单应包括的内容：</w:t>
      </w:r>
      <w:r>
        <w:rPr>
          <w:rFonts w:hint="eastAsia" w:ascii="宋体" w:hAnsi="宋体" w:cs="宋体"/>
          <w:color w:val="auto"/>
          <w:sz w:val="24"/>
          <w:szCs w:val="24"/>
          <w:highlight w:val="none"/>
          <w:u w:val="single"/>
          <w:lang w:bidi="ar"/>
        </w:rPr>
        <w:t>（1）竣工结算报送价格；（2）发包人已支付承包人的款项；（3）发包人应支付承包人的合同价款</w:t>
      </w:r>
      <w:r>
        <w:rPr>
          <w:rFonts w:hint="eastAsia" w:ascii="宋体" w:hAnsi="宋体"/>
          <w:color w:val="auto"/>
          <w:sz w:val="24"/>
          <w:szCs w:val="24"/>
          <w:highlight w:val="none"/>
        </w:rPr>
        <w:t>。</w:t>
      </w:r>
    </w:p>
    <w:p w14:paraId="58419E30">
      <w:pPr>
        <w:spacing w:line="380" w:lineRule="exact"/>
        <w:ind w:firstLine="480" w:firstLineChars="200"/>
        <w:outlineLvl w:val="0"/>
        <w:rPr>
          <w:rFonts w:hint="eastAsia" w:ascii="宋体" w:hAnsi="宋体"/>
          <w:color w:val="auto"/>
          <w:sz w:val="24"/>
          <w:szCs w:val="24"/>
          <w:highlight w:val="none"/>
        </w:rPr>
      </w:pPr>
      <w:bookmarkStart w:id="1220" w:name="_Toc29886"/>
      <w:bookmarkStart w:id="1221" w:name="_Toc3374"/>
      <w:bookmarkStart w:id="1222" w:name="_Toc19211"/>
      <w:bookmarkStart w:id="1223" w:name="_Toc3259"/>
      <w:bookmarkStart w:id="1224" w:name="_Toc22215"/>
      <w:bookmarkStart w:id="1225" w:name="_Toc31660"/>
      <w:bookmarkStart w:id="1226" w:name="_Toc6269"/>
      <w:r>
        <w:rPr>
          <w:rFonts w:hint="eastAsia" w:ascii="宋体" w:hAnsi="宋体"/>
          <w:color w:val="auto"/>
          <w:sz w:val="24"/>
          <w:szCs w:val="24"/>
          <w:highlight w:val="none"/>
        </w:rPr>
        <w:t>14.2 竣工结算审核</w:t>
      </w:r>
      <w:bookmarkEnd w:id="1220"/>
      <w:bookmarkEnd w:id="1221"/>
      <w:bookmarkEnd w:id="1222"/>
      <w:bookmarkEnd w:id="1223"/>
      <w:bookmarkEnd w:id="1224"/>
      <w:bookmarkEnd w:id="1225"/>
      <w:bookmarkEnd w:id="1226"/>
    </w:p>
    <w:p w14:paraId="54DCF615">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发包人审批竣工付款申请单的期限：</w:t>
      </w:r>
      <w:r>
        <w:rPr>
          <w:rFonts w:hint="eastAsia" w:ascii="宋体" w:hAnsi="宋体" w:cs="宋体"/>
          <w:color w:val="auto"/>
          <w:sz w:val="24"/>
          <w:szCs w:val="24"/>
          <w:highlight w:val="none"/>
          <w:u w:val="single"/>
          <w:lang w:bidi="ar"/>
        </w:rPr>
        <w:t>30天内</w:t>
      </w:r>
      <w:r>
        <w:rPr>
          <w:rFonts w:hint="eastAsia" w:ascii="宋体" w:hAnsi="宋体"/>
          <w:color w:val="auto"/>
          <w:sz w:val="24"/>
          <w:szCs w:val="24"/>
          <w:highlight w:val="none"/>
        </w:rPr>
        <w:t>。</w:t>
      </w:r>
    </w:p>
    <w:p w14:paraId="7397FCA1">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发包人完成竣工付款的期限：</w:t>
      </w:r>
      <w:r>
        <w:rPr>
          <w:rFonts w:hint="eastAsia" w:ascii="宋体" w:hAnsi="宋体" w:cs="宋体"/>
          <w:color w:val="auto"/>
          <w:sz w:val="24"/>
          <w:szCs w:val="24"/>
          <w:highlight w:val="none"/>
          <w:u w:val="single"/>
          <w:lang w:bidi="ar"/>
        </w:rPr>
        <w:t>三方确认的审计结果出具后30天内</w:t>
      </w:r>
      <w:r>
        <w:rPr>
          <w:rFonts w:hint="eastAsia" w:ascii="宋体" w:hAnsi="宋体"/>
          <w:color w:val="auto"/>
          <w:sz w:val="24"/>
          <w:szCs w:val="24"/>
          <w:highlight w:val="none"/>
        </w:rPr>
        <w:t>。</w:t>
      </w:r>
    </w:p>
    <w:p w14:paraId="675FB42F">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关于竣工付款证书异议部分复核的方式和程序：</w:t>
      </w:r>
      <w:r>
        <w:rPr>
          <w:rFonts w:hint="eastAsia" w:ascii="宋体" w:hAnsi="宋体" w:cs="宋体"/>
          <w:color w:val="auto"/>
          <w:sz w:val="24"/>
          <w:szCs w:val="24"/>
          <w:highlight w:val="none"/>
          <w:u w:val="single"/>
          <w:lang w:bidi="ar"/>
        </w:rPr>
        <w:t>执行通用条款</w:t>
      </w:r>
      <w:r>
        <w:rPr>
          <w:rFonts w:hint="eastAsia" w:ascii="宋体" w:hAnsi="宋体"/>
          <w:color w:val="auto"/>
          <w:sz w:val="24"/>
          <w:szCs w:val="24"/>
          <w:highlight w:val="none"/>
        </w:rPr>
        <w:t>。</w:t>
      </w:r>
    </w:p>
    <w:p w14:paraId="542A928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14.4 最终结清</w:t>
      </w:r>
    </w:p>
    <w:p w14:paraId="731F0A75">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14.4.1 最终结清申请单</w:t>
      </w:r>
    </w:p>
    <w:p w14:paraId="70E58952">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承包人提交最终结清申请单的份数：</w:t>
      </w:r>
      <w:r>
        <w:rPr>
          <w:rFonts w:hint="eastAsia" w:ascii="宋体" w:hAnsi="宋体" w:cs="宋体"/>
          <w:color w:val="auto"/>
          <w:sz w:val="24"/>
          <w:szCs w:val="24"/>
          <w:highlight w:val="none"/>
          <w:u w:val="single"/>
          <w:lang w:bidi="ar"/>
        </w:rPr>
        <w:t>伍份</w:t>
      </w:r>
      <w:r>
        <w:rPr>
          <w:rFonts w:hint="eastAsia" w:ascii="宋体" w:hAnsi="宋体"/>
          <w:color w:val="auto"/>
          <w:sz w:val="24"/>
          <w:szCs w:val="24"/>
          <w:highlight w:val="none"/>
        </w:rPr>
        <w:t>。</w:t>
      </w:r>
    </w:p>
    <w:p w14:paraId="596AF3F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kern w:val="0"/>
          <w:sz w:val="24"/>
          <w:szCs w:val="24"/>
          <w:highlight w:val="none"/>
        </w:rPr>
        <w:t>承包人提交最终结算申请单的期限：</w:t>
      </w:r>
      <w:r>
        <w:rPr>
          <w:rFonts w:hint="eastAsia" w:ascii="宋体" w:hAnsi="宋体" w:cs="宋体"/>
          <w:color w:val="auto"/>
          <w:sz w:val="24"/>
          <w:szCs w:val="24"/>
          <w:highlight w:val="none"/>
          <w:u w:val="single"/>
          <w:lang w:bidi="ar"/>
        </w:rPr>
        <w:t>缺陷责任期终止后7天内</w:t>
      </w:r>
      <w:r>
        <w:rPr>
          <w:rFonts w:hint="eastAsia" w:ascii="宋体" w:hAnsi="宋体"/>
          <w:color w:val="auto"/>
          <w:sz w:val="24"/>
          <w:szCs w:val="24"/>
          <w:highlight w:val="none"/>
        </w:rPr>
        <w:t xml:space="preserve">。 </w:t>
      </w:r>
    </w:p>
    <w:p w14:paraId="59525B5A">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14.4.2 最终结清证书和支付</w:t>
      </w:r>
    </w:p>
    <w:p w14:paraId="7125D927">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（1）发包人完成最终结清申请单的审批并颁发最终结清证书的期限：</w:t>
      </w:r>
      <w:r>
        <w:rPr>
          <w:rFonts w:hint="eastAsia" w:ascii="宋体" w:hAnsi="宋体" w:cs="宋体"/>
          <w:color w:val="auto"/>
          <w:sz w:val="24"/>
          <w:szCs w:val="24"/>
          <w:highlight w:val="none"/>
          <w:u w:val="single"/>
          <w:lang w:bidi="ar"/>
        </w:rPr>
        <w:t>收到承包人提交的最终结清证书7天内</w:t>
      </w:r>
      <w:r>
        <w:rPr>
          <w:rFonts w:hint="eastAsia" w:ascii="宋体" w:hAnsi="宋体"/>
          <w:color w:val="auto"/>
          <w:sz w:val="24"/>
          <w:szCs w:val="24"/>
          <w:highlight w:val="none"/>
        </w:rPr>
        <w:t>。</w:t>
      </w:r>
    </w:p>
    <w:p w14:paraId="2C06BD34">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（2）发包人完成支付的期限：</w:t>
      </w:r>
      <w:r>
        <w:rPr>
          <w:rFonts w:hint="eastAsia" w:ascii="宋体" w:hAnsi="宋体" w:cs="宋体"/>
          <w:color w:val="auto"/>
          <w:sz w:val="24"/>
          <w:szCs w:val="24"/>
          <w:highlight w:val="none"/>
          <w:u w:val="single"/>
          <w:lang w:bidi="ar"/>
        </w:rPr>
        <w:t>7天内</w:t>
      </w:r>
      <w:r>
        <w:rPr>
          <w:rFonts w:hint="eastAsia" w:ascii="宋体" w:hAnsi="宋体"/>
          <w:color w:val="auto"/>
          <w:sz w:val="24"/>
          <w:szCs w:val="24"/>
          <w:highlight w:val="none"/>
        </w:rPr>
        <w:t>。</w:t>
      </w:r>
    </w:p>
    <w:bookmarkEnd w:id="1199"/>
    <w:bookmarkEnd w:id="1200"/>
    <w:bookmarkEnd w:id="1201"/>
    <w:bookmarkEnd w:id="1202"/>
    <w:bookmarkEnd w:id="1203"/>
    <w:bookmarkEnd w:id="1204"/>
    <w:bookmarkEnd w:id="1205"/>
    <w:bookmarkEnd w:id="1211"/>
    <w:p w14:paraId="64C8A31F">
      <w:pPr>
        <w:keepNext/>
        <w:keepLines/>
        <w:spacing w:line="380" w:lineRule="exact"/>
        <w:ind w:firstLine="482"/>
        <w:outlineLvl w:val="3"/>
        <w:rPr>
          <w:rFonts w:hint="eastAsia" w:ascii="宋体" w:hAnsi="宋体"/>
          <w:bCs/>
          <w:color w:val="auto"/>
          <w:sz w:val="24"/>
          <w:szCs w:val="24"/>
          <w:highlight w:val="none"/>
        </w:rPr>
      </w:pPr>
      <w:bookmarkStart w:id="1227" w:name="_Toc351203647"/>
      <w:bookmarkStart w:id="1228" w:name="_Toc267251483"/>
      <w:bookmarkStart w:id="1229" w:name="_Toc267251482"/>
      <w:bookmarkStart w:id="1230" w:name="_Toc267251484"/>
      <w:bookmarkStart w:id="1231" w:name="_Toc267251485"/>
      <w:bookmarkStart w:id="1232" w:name="_Toc267251486"/>
      <w:bookmarkStart w:id="1233" w:name="_Toc267251490"/>
      <w:bookmarkStart w:id="1234" w:name="_Toc267251489"/>
      <w:bookmarkStart w:id="1235" w:name="_Toc267251488"/>
      <w:bookmarkStart w:id="1236" w:name="_Toc267251496"/>
      <w:bookmarkStart w:id="1237" w:name="_Toc267251492"/>
      <w:bookmarkStart w:id="1238" w:name="_Toc267251502"/>
      <w:bookmarkStart w:id="1239" w:name="_Toc267251501"/>
      <w:bookmarkStart w:id="1240" w:name="_Toc267251503"/>
      <w:bookmarkStart w:id="1241" w:name="_Toc267251499"/>
      <w:bookmarkStart w:id="1242" w:name="_Toc267251493"/>
      <w:bookmarkStart w:id="1243" w:name="_Toc267251497"/>
      <w:bookmarkStart w:id="1244" w:name="_Toc267251491"/>
      <w:bookmarkStart w:id="1245" w:name="_Toc267251494"/>
      <w:bookmarkStart w:id="1246" w:name="_Toc267251498"/>
      <w:bookmarkStart w:id="1247" w:name="_Toc267251495"/>
      <w:bookmarkStart w:id="1248" w:name="_Toc267251504"/>
      <w:bookmarkStart w:id="1249" w:name="_Toc267251506"/>
      <w:bookmarkStart w:id="1250" w:name="_Toc267251507"/>
      <w:bookmarkStart w:id="1251" w:name="_Toc267251508"/>
      <w:bookmarkStart w:id="1252" w:name="_Toc267251515"/>
      <w:bookmarkStart w:id="1253" w:name="_Toc267251513"/>
      <w:bookmarkStart w:id="1254" w:name="_Toc267251514"/>
      <w:bookmarkStart w:id="1255" w:name="_Toc267251509"/>
      <w:bookmarkStart w:id="1256" w:name="_Toc267251510"/>
      <w:bookmarkStart w:id="1257" w:name="_Toc267251511"/>
      <w:r>
        <w:rPr>
          <w:rFonts w:hint="eastAsia" w:ascii="宋体" w:hAnsi="宋体"/>
          <w:bCs/>
          <w:color w:val="auto"/>
          <w:sz w:val="24"/>
          <w:szCs w:val="24"/>
          <w:highlight w:val="none"/>
        </w:rPr>
        <w:t>15. 缺陷责任期与保修</w:t>
      </w:r>
      <w:bookmarkEnd w:id="1227"/>
    </w:p>
    <w:p w14:paraId="01BAC77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15.2缺陷责任期</w:t>
      </w:r>
      <w:bookmarkEnd w:id="1228"/>
    </w:p>
    <w:p w14:paraId="116FC6E0">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缺陷责任期的具体期限：</w:t>
      </w:r>
      <w:r>
        <w:rPr>
          <w:rFonts w:hint="eastAsia" w:ascii="宋体" w:hAnsi="宋体"/>
          <w:color w:val="auto"/>
          <w:sz w:val="24"/>
          <w:szCs w:val="24"/>
          <w:highlight w:val="none"/>
          <w:u w:val="single"/>
          <w:lang w:val="zh-TW" w:eastAsia="zh-TW"/>
        </w:rPr>
        <w:t>按附件《工程质量保修书》执行</w:t>
      </w:r>
      <w:r>
        <w:rPr>
          <w:rFonts w:hint="eastAsia" w:ascii="宋体" w:hAnsi="宋体"/>
          <w:color w:val="auto"/>
          <w:sz w:val="24"/>
          <w:szCs w:val="24"/>
          <w:highlight w:val="none"/>
        </w:rPr>
        <w:t>。</w:t>
      </w:r>
    </w:p>
    <w:p w14:paraId="6AACAF45">
      <w:pPr>
        <w:spacing w:line="380" w:lineRule="exact"/>
        <w:ind w:firstLine="480" w:firstLineChars="200"/>
        <w:outlineLvl w:val="0"/>
        <w:rPr>
          <w:rFonts w:hint="eastAsia" w:ascii="宋体" w:hAnsi="宋体"/>
          <w:color w:val="auto"/>
          <w:sz w:val="24"/>
          <w:szCs w:val="24"/>
          <w:highlight w:val="none"/>
        </w:rPr>
      </w:pPr>
      <w:bookmarkStart w:id="1258" w:name="_Toc31755"/>
      <w:bookmarkStart w:id="1259" w:name="_Toc30258"/>
      <w:bookmarkStart w:id="1260" w:name="_Toc1466"/>
      <w:bookmarkStart w:id="1261" w:name="_Toc13030"/>
      <w:bookmarkStart w:id="1262" w:name="_Toc14625"/>
      <w:bookmarkStart w:id="1263" w:name="_Toc2594"/>
      <w:bookmarkStart w:id="1264" w:name="_Toc20177"/>
      <w:r>
        <w:rPr>
          <w:rFonts w:hint="eastAsia" w:ascii="宋体" w:hAnsi="宋体"/>
          <w:color w:val="auto"/>
          <w:sz w:val="24"/>
          <w:szCs w:val="24"/>
          <w:highlight w:val="none"/>
        </w:rPr>
        <w:t>15.3 质量保证金</w:t>
      </w:r>
      <w:bookmarkEnd w:id="1258"/>
      <w:bookmarkEnd w:id="1259"/>
      <w:bookmarkEnd w:id="1260"/>
      <w:bookmarkEnd w:id="1261"/>
      <w:bookmarkEnd w:id="1262"/>
      <w:bookmarkEnd w:id="1263"/>
      <w:bookmarkEnd w:id="1264"/>
    </w:p>
    <w:p w14:paraId="61FA487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关于是否扣留质量保证金的约定：</w:t>
      </w:r>
      <w:r>
        <w:rPr>
          <w:rFonts w:hint="eastAsia" w:ascii="宋体" w:hAnsi="宋体" w:cs="宋体"/>
          <w:color w:val="auto"/>
          <w:sz w:val="24"/>
          <w:szCs w:val="24"/>
          <w:highlight w:val="none"/>
          <w:u w:val="single"/>
          <w:lang w:bidi="ar"/>
        </w:rPr>
        <w:t>扣留最终审计结果的3%</w:t>
      </w:r>
      <w:r>
        <w:rPr>
          <w:rFonts w:hint="eastAsia" w:ascii="宋体" w:hAnsi="宋体"/>
          <w:color w:val="auto"/>
          <w:sz w:val="24"/>
          <w:szCs w:val="24"/>
          <w:highlight w:val="none"/>
        </w:rPr>
        <w:t>。在工程项目竣工前，承包人按专用合同草案第3.7条提供履约担保的，发包人不得同时预留工程质量保证金。</w:t>
      </w:r>
    </w:p>
    <w:p w14:paraId="69C2562B">
      <w:pPr>
        <w:spacing w:line="380" w:lineRule="exact"/>
        <w:ind w:firstLine="480" w:firstLineChars="200"/>
        <w:jc w:val="left"/>
        <w:outlineLvl w:val="0"/>
        <w:rPr>
          <w:rFonts w:hint="eastAsia" w:ascii="宋体" w:hAnsi="宋体"/>
          <w:color w:val="auto"/>
          <w:sz w:val="24"/>
          <w:szCs w:val="24"/>
          <w:highlight w:val="none"/>
        </w:rPr>
      </w:pPr>
      <w:bookmarkStart w:id="1265" w:name="_Toc3933"/>
      <w:bookmarkStart w:id="1266" w:name="_Toc21830"/>
      <w:bookmarkStart w:id="1267" w:name="_Toc17088"/>
      <w:bookmarkStart w:id="1268" w:name="_Toc29769"/>
      <w:bookmarkStart w:id="1269" w:name="_Toc11209"/>
      <w:bookmarkStart w:id="1270" w:name="_Toc10745"/>
      <w:bookmarkStart w:id="1271" w:name="_Toc28723"/>
      <w:r>
        <w:rPr>
          <w:rFonts w:hint="eastAsia" w:ascii="宋体" w:hAnsi="宋体"/>
          <w:color w:val="auto"/>
          <w:sz w:val="24"/>
          <w:szCs w:val="24"/>
          <w:highlight w:val="none"/>
        </w:rPr>
        <w:t>15.3.1 承包人提供质量保证金的方式</w:t>
      </w:r>
      <w:bookmarkEnd w:id="1265"/>
      <w:bookmarkEnd w:id="1266"/>
      <w:bookmarkEnd w:id="1267"/>
      <w:bookmarkEnd w:id="1268"/>
      <w:bookmarkEnd w:id="1269"/>
      <w:bookmarkEnd w:id="1270"/>
      <w:bookmarkEnd w:id="1271"/>
    </w:p>
    <w:p w14:paraId="57802C93">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质量保证金采用以下第</w:t>
      </w:r>
      <w:r>
        <w:rPr>
          <w:rFonts w:hint="eastAsia" w:ascii="宋体" w:hAnsi="宋体"/>
          <w:color w:val="auto"/>
          <w:sz w:val="24"/>
          <w:szCs w:val="24"/>
          <w:highlight w:val="none"/>
          <w:u w:val="single"/>
        </w:rPr>
        <w:t xml:space="preserve"> 2</w:t>
      </w:r>
      <w:r>
        <w:rPr>
          <w:rFonts w:hint="eastAsia" w:ascii="宋体" w:hAnsi="宋体"/>
          <w:color w:val="auto"/>
          <w:sz w:val="24"/>
          <w:szCs w:val="24"/>
          <w:highlight w:val="none"/>
        </w:rPr>
        <w:t>种方式：</w:t>
      </w:r>
    </w:p>
    <w:p w14:paraId="386E385C">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（1）质量保证金保函，保证金额为：</w:t>
      </w:r>
      <w:r>
        <w:rPr>
          <w:rFonts w:hint="eastAsia" w:ascii="宋体" w:hAnsi="宋体"/>
          <w:color w:val="auto"/>
          <w:kern w:val="0"/>
          <w:sz w:val="24"/>
          <w:szCs w:val="24"/>
          <w:highlight w:val="none"/>
          <w:u w:val="single"/>
        </w:rPr>
        <w:t xml:space="preserve">    /        </w:t>
      </w:r>
      <w:r>
        <w:rPr>
          <w:rFonts w:hint="eastAsia" w:ascii="宋体" w:hAnsi="宋体"/>
          <w:color w:val="auto"/>
          <w:kern w:val="0"/>
          <w:sz w:val="24"/>
          <w:szCs w:val="24"/>
          <w:highlight w:val="none"/>
        </w:rPr>
        <w:t xml:space="preserve">； </w:t>
      </w:r>
    </w:p>
    <w:p w14:paraId="3B477BB5">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（2）</w:t>
      </w:r>
      <w:r>
        <w:rPr>
          <w:rFonts w:hint="eastAsia" w:ascii="宋体" w:hAnsi="宋体"/>
          <w:color w:val="auto"/>
          <w:kern w:val="0"/>
          <w:sz w:val="24"/>
          <w:szCs w:val="24"/>
          <w:highlight w:val="none"/>
          <w:u w:val="single"/>
        </w:rPr>
        <w:t>3</w:t>
      </w:r>
      <w:r>
        <w:rPr>
          <w:rFonts w:hint="eastAsia" w:ascii="宋体" w:hAnsi="宋体"/>
          <w:color w:val="auto"/>
          <w:kern w:val="0"/>
          <w:sz w:val="24"/>
          <w:szCs w:val="24"/>
          <w:highlight w:val="none"/>
        </w:rPr>
        <w:t>%的工程款；</w:t>
      </w:r>
    </w:p>
    <w:p w14:paraId="4B82FD44">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（3）其他方式:</w:t>
      </w:r>
      <w:r>
        <w:rPr>
          <w:rFonts w:hint="eastAsia" w:ascii="宋体" w:hAnsi="宋体"/>
          <w:color w:val="auto"/>
          <w:kern w:val="0"/>
          <w:sz w:val="24"/>
          <w:szCs w:val="24"/>
          <w:highlight w:val="none"/>
          <w:u w:val="single"/>
        </w:rPr>
        <w:t xml:space="preserve">     /                  </w:t>
      </w:r>
      <w:r>
        <w:rPr>
          <w:rFonts w:hint="eastAsia" w:ascii="宋体" w:hAnsi="宋体"/>
          <w:color w:val="auto"/>
          <w:kern w:val="0"/>
          <w:sz w:val="24"/>
          <w:szCs w:val="24"/>
          <w:highlight w:val="none"/>
        </w:rPr>
        <w:t>。</w:t>
      </w:r>
    </w:p>
    <w:p w14:paraId="40A2DB21">
      <w:pPr>
        <w:spacing w:line="380" w:lineRule="exact"/>
        <w:ind w:firstLine="480" w:firstLineChars="200"/>
        <w:jc w:val="left"/>
        <w:outlineLvl w:val="0"/>
        <w:rPr>
          <w:rFonts w:hint="eastAsia" w:ascii="宋体" w:hAnsi="宋体"/>
          <w:color w:val="auto"/>
          <w:sz w:val="24"/>
          <w:szCs w:val="24"/>
          <w:highlight w:val="none"/>
        </w:rPr>
      </w:pPr>
      <w:bookmarkStart w:id="1272" w:name="_Toc29035"/>
      <w:bookmarkStart w:id="1273" w:name="_Toc18925"/>
      <w:bookmarkStart w:id="1274" w:name="_Toc28913"/>
      <w:bookmarkStart w:id="1275" w:name="_Toc16478"/>
      <w:bookmarkStart w:id="1276" w:name="_Toc13201"/>
      <w:bookmarkStart w:id="1277" w:name="_Toc12502"/>
      <w:bookmarkStart w:id="1278" w:name="_Toc25079"/>
      <w:r>
        <w:rPr>
          <w:rFonts w:hint="eastAsia" w:ascii="宋体" w:hAnsi="宋体"/>
          <w:color w:val="auto"/>
          <w:sz w:val="24"/>
          <w:szCs w:val="24"/>
          <w:highlight w:val="none"/>
        </w:rPr>
        <w:t>15.3.2 质量保证金的扣留</w:t>
      </w:r>
      <w:bookmarkEnd w:id="1272"/>
      <w:bookmarkEnd w:id="1273"/>
      <w:bookmarkEnd w:id="1274"/>
      <w:bookmarkEnd w:id="1275"/>
      <w:bookmarkEnd w:id="1276"/>
      <w:bookmarkEnd w:id="1277"/>
      <w:bookmarkEnd w:id="1278"/>
    </w:p>
    <w:p w14:paraId="2DACA62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质量保证金的扣留采取以下第</w:t>
      </w:r>
      <w:r>
        <w:rPr>
          <w:rFonts w:hint="eastAsia" w:ascii="宋体" w:hAnsi="宋体"/>
          <w:color w:val="auto"/>
          <w:sz w:val="24"/>
          <w:szCs w:val="24"/>
          <w:highlight w:val="none"/>
          <w:u w:val="single"/>
        </w:rPr>
        <w:t xml:space="preserve"> 2</w:t>
      </w:r>
      <w:r>
        <w:rPr>
          <w:rFonts w:hint="eastAsia" w:ascii="宋体" w:hAnsi="宋体"/>
          <w:color w:val="auto"/>
          <w:sz w:val="24"/>
          <w:szCs w:val="24"/>
          <w:highlight w:val="none"/>
        </w:rPr>
        <w:t>种方式：</w:t>
      </w:r>
    </w:p>
    <w:p w14:paraId="72639020">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（1）在支付工程进度款时逐次扣留，在此情形下，质量保证金的计算基数不包括预付款的支付、扣回以及价格调整的金额；</w:t>
      </w:r>
    </w:p>
    <w:p w14:paraId="7E732849">
      <w:pPr>
        <w:autoSpaceDE w:val="0"/>
        <w:autoSpaceDN w:val="0"/>
        <w:adjustRightInd w:val="0"/>
        <w:spacing w:line="380" w:lineRule="exact"/>
        <w:ind w:firstLine="480" w:firstLineChars="200"/>
        <w:jc w:val="left"/>
        <w:outlineLvl w:val="0"/>
        <w:rPr>
          <w:rFonts w:hint="eastAsia" w:ascii="宋体" w:hAnsi="宋体"/>
          <w:color w:val="auto"/>
          <w:kern w:val="0"/>
          <w:sz w:val="24"/>
          <w:szCs w:val="24"/>
          <w:highlight w:val="none"/>
        </w:rPr>
      </w:pPr>
      <w:bookmarkStart w:id="1279" w:name="_Toc15791"/>
      <w:bookmarkStart w:id="1280" w:name="_Toc11904"/>
      <w:bookmarkStart w:id="1281" w:name="_Toc23803"/>
      <w:bookmarkStart w:id="1282" w:name="_Toc1627"/>
      <w:bookmarkStart w:id="1283" w:name="_Toc5068"/>
      <w:bookmarkStart w:id="1284" w:name="_Toc4854"/>
      <w:bookmarkStart w:id="1285" w:name="_Toc4414"/>
      <w:r>
        <w:rPr>
          <w:rFonts w:hint="eastAsia" w:ascii="宋体" w:hAnsi="宋体"/>
          <w:color w:val="auto"/>
          <w:kern w:val="0"/>
          <w:sz w:val="24"/>
          <w:szCs w:val="24"/>
          <w:highlight w:val="none"/>
        </w:rPr>
        <w:t>（2）工程竣工结算时一次性扣留质量保证金；</w:t>
      </w:r>
      <w:bookmarkEnd w:id="1279"/>
      <w:bookmarkEnd w:id="1280"/>
      <w:bookmarkEnd w:id="1281"/>
      <w:bookmarkEnd w:id="1282"/>
      <w:bookmarkEnd w:id="1283"/>
      <w:bookmarkEnd w:id="1284"/>
      <w:bookmarkEnd w:id="1285"/>
    </w:p>
    <w:p w14:paraId="764987F9">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（3）其他扣留方式:</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p>
    <w:p w14:paraId="428560D0">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关于质量保证金的补充约定：</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p>
    <w:bookmarkEnd w:id="1229"/>
    <w:bookmarkEnd w:id="1230"/>
    <w:p w14:paraId="43F71C7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15.4保修</w:t>
      </w:r>
    </w:p>
    <w:bookmarkEnd w:id="1231"/>
    <w:p w14:paraId="6DD76D12">
      <w:pPr>
        <w:spacing w:line="380" w:lineRule="exact"/>
        <w:ind w:firstLine="468" w:firstLineChars="195"/>
        <w:jc w:val="left"/>
        <w:rPr>
          <w:rFonts w:hint="eastAsia" w:ascii="宋体" w:hAnsi="宋体"/>
          <w:color w:val="auto"/>
          <w:sz w:val="24"/>
          <w:szCs w:val="24"/>
          <w:highlight w:val="none"/>
        </w:rPr>
      </w:pPr>
      <w:r>
        <w:rPr>
          <w:rFonts w:hint="eastAsia" w:ascii="宋体" w:hAnsi="宋体"/>
          <w:color w:val="auto"/>
          <w:sz w:val="24"/>
          <w:szCs w:val="24"/>
          <w:highlight w:val="none"/>
        </w:rPr>
        <w:t>15.4.1 保修责任</w:t>
      </w:r>
    </w:p>
    <w:p w14:paraId="665E9293">
      <w:pPr>
        <w:spacing w:line="380" w:lineRule="exact"/>
        <w:ind w:firstLine="482"/>
        <w:jc w:val="left"/>
        <w:rPr>
          <w:rFonts w:hint="eastAsia" w:ascii="宋体" w:hAnsi="宋体"/>
          <w:color w:val="auto"/>
          <w:kern w:val="0"/>
          <w:sz w:val="24"/>
          <w:szCs w:val="24"/>
          <w:highlight w:val="none"/>
        </w:rPr>
      </w:pPr>
      <w:r>
        <w:rPr>
          <w:rFonts w:hint="eastAsia" w:ascii="宋体" w:hAnsi="宋体"/>
          <w:color w:val="auto"/>
          <w:sz w:val="24"/>
          <w:szCs w:val="24"/>
          <w:highlight w:val="none"/>
        </w:rPr>
        <w:t>工程保修期为：</w:t>
      </w:r>
      <w:r>
        <w:rPr>
          <w:rFonts w:hint="eastAsia" w:ascii="宋体" w:hAnsi="宋体" w:cs="宋体"/>
          <w:color w:val="auto"/>
          <w:kern w:val="0"/>
          <w:sz w:val="24"/>
          <w:szCs w:val="24"/>
          <w:highlight w:val="none"/>
          <w:u w:val="single"/>
          <w:lang w:bidi="ar"/>
        </w:rPr>
        <w:t>见《工程质量保修书》</w:t>
      </w:r>
      <w:r>
        <w:rPr>
          <w:rFonts w:hint="eastAsia" w:ascii="宋体" w:hAnsi="宋体"/>
          <w:color w:val="auto"/>
          <w:kern w:val="0"/>
          <w:sz w:val="24"/>
          <w:szCs w:val="24"/>
          <w:highlight w:val="none"/>
        </w:rPr>
        <w:t>。</w:t>
      </w:r>
    </w:p>
    <w:p w14:paraId="60A9350F">
      <w:pPr>
        <w:spacing w:line="380" w:lineRule="exact"/>
        <w:ind w:firstLine="468" w:firstLineChars="195"/>
        <w:jc w:val="left"/>
        <w:rPr>
          <w:rFonts w:hint="eastAsia" w:ascii="宋体" w:hAnsi="宋体"/>
          <w:color w:val="auto"/>
          <w:sz w:val="24"/>
          <w:szCs w:val="24"/>
          <w:highlight w:val="none"/>
        </w:rPr>
      </w:pPr>
      <w:r>
        <w:rPr>
          <w:rFonts w:hint="eastAsia" w:ascii="宋体" w:hAnsi="宋体"/>
          <w:color w:val="auto"/>
          <w:sz w:val="24"/>
          <w:szCs w:val="24"/>
          <w:highlight w:val="none"/>
        </w:rPr>
        <w:t>15.4.3 修复通知</w:t>
      </w:r>
    </w:p>
    <w:p w14:paraId="77BE6682">
      <w:pPr>
        <w:spacing w:line="380" w:lineRule="exact"/>
        <w:ind w:firstLine="482"/>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承包人收到保修通知并到达工程现场的合理时间：</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bookmarkEnd w:id="1232"/>
    <w:bookmarkEnd w:id="1233"/>
    <w:bookmarkEnd w:id="1234"/>
    <w:bookmarkEnd w:id="1235"/>
    <w:p w14:paraId="6A3AC2FC">
      <w:pPr>
        <w:keepNext/>
        <w:keepLines/>
        <w:spacing w:line="380" w:lineRule="exact"/>
        <w:ind w:firstLine="482"/>
        <w:outlineLvl w:val="3"/>
        <w:rPr>
          <w:rFonts w:hint="eastAsia" w:ascii="宋体" w:hAnsi="宋体"/>
          <w:bCs/>
          <w:color w:val="auto"/>
          <w:sz w:val="24"/>
          <w:szCs w:val="24"/>
          <w:highlight w:val="none"/>
        </w:rPr>
      </w:pPr>
      <w:bookmarkStart w:id="1286" w:name="_Toc351203648"/>
      <w:bookmarkStart w:id="1287" w:name="_Toc280868717"/>
      <w:bookmarkStart w:id="1288" w:name="_Toc280868718"/>
      <w:r>
        <w:rPr>
          <w:rFonts w:hint="eastAsia" w:ascii="宋体" w:hAnsi="宋体"/>
          <w:bCs/>
          <w:color w:val="auto"/>
          <w:sz w:val="24"/>
          <w:szCs w:val="24"/>
          <w:highlight w:val="none"/>
        </w:rPr>
        <w:t>16. 违约</w:t>
      </w:r>
      <w:bookmarkEnd w:id="1286"/>
    </w:p>
    <w:p w14:paraId="76A79430">
      <w:pPr>
        <w:spacing w:line="380" w:lineRule="exact"/>
        <w:ind w:firstLine="480" w:firstLineChars="200"/>
        <w:outlineLvl w:val="0"/>
        <w:rPr>
          <w:rFonts w:hint="eastAsia" w:ascii="宋体" w:hAnsi="宋体"/>
          <w:color w:val="auto"/>
          <w:sz w:val="24"/>
          <w:szCs w:val="24"/>
          <w:highlight w:val="none"/>
        </w:rPr>
      </w:pPr>
      <w:bookmarkStart w:id="1289" w:name="_Toc31188"/>
      <w:bookmarkStart w:id="1290" w:name="_Toc5760"/>
      <w:bookmarkStart w:id="1291" w:name="_Toc18879"/>
      <w:bookmarkStart w:id="1292" w:name="_Toc19168"/>
      <w:bookmarkStart w:id="1293" w:name="_Toc16401"/>
      <w:bookmarkStart w:id="1294" w:name="_Toc9051"/>
      <w:bookmarkStart w:id="1295" w:name="_Toc21104"/>
      <w:r>
        <w:rPr>
          <w:rFonts w:hint="eastAsia" w:ascii="宋体" w:hAnsi="宋体"/>
          <w:color w:val="auto"/>
          <w:sz w:val="24"/>
          <w:szCs w:val="24"/>
          <w:highlight w:val="none"/>
        </w:rPr>
        <w:t>16.1 发包人违约</w:t>
      </w:r>
      <w:bookmarkEnd w:id="1289"/>
      <w:bookmarkEnd w:id="1290"/>
      <w:bookmarkEnd w:id="1291"/>
      <w:bookmarkEnd w:id="1292"/>
      <w:bookmarkEnd w:id="1293"/>
      <w:bookmarkEnd w:id="1294"/>
      <w:bookmarkEnd w:id="1295"/>
    </w:p>
    <w:p w14:paraId="67EF0E3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16.1.1发包人违约的情形</w:t>
      </w:r>
    </w:p>
    <w:p w14:paraId="149435DF">
      <w:pPr>
        <w:spacing w:line="380" w:lineRule="exact"/>
        <w:ind w:left="1200" w:hanging="1200" w:hangingChars="5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发包人违约的其他情形：</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116BA007">
      <w:pPr>
        <w:spacing w:line="380" w:lineRule="exact"/>
        <w:ind w:left="1200" w:hanging="1200" w:hangingChars="5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16.1.2 发包人违约的责任</w:t>
      </w:r>
    </w:p>
    <w:p w14:paraId="1F035259">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发包人违约责任的承担方式和计算方法：</w:t>
      </w:r>
    </w:p>
    <w:p w14:paraId="0905ADBA">
      <w:pPr>
        <w:spacing w:line="380" w:lineRule="exact"/>
        <w:ind w:firstLine="480" w:firstLineChars="200"/>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（1）因发包人原因未能在计划开工日期前7天内下达开工通知的违约责任：</w:t>
      </w:r>
      <w:r>
        <w:rPr>
          <w:rFonts w:hint="eastAsia" w:ascii="宋体" w:hAnsi="宋体"/>
          <w:color w:val="auto"/>
          <w:kern w:val="0"/>
          <w:sz w:val="24"/>
          <w:szCs w:val="24"/>
          <w:highlight w:val="none"/>
          <w:u w:val="single"/>
        </w:rPr>
        <w:t xml:space="preserve"> /            </w:t>
      </w:r>
      <w:r>
        <w:rPr>
          <w:rFonts w:hint="eastAsia" w:ascii="宋体" w:hAnsi="宋体"/>
          <w:color w:val="auto"/>
          <w:kern w:val="0"/>
          <w:sz w:val="24"/>
          <w:szCs w:val="24"/>
          <w:highlight w:val="none"/>
        </w:rPr>
        <w:t>。</w:t>
      </w:r>
    </w:p>
    <w:p w14:paraId="45AE8997">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（2）因发包人原因未能按合同约定支付合同价款的违约责任：</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5946C3BC">
      <w:pPr>
        <w:spacing w:line="380" w:lineRule="exact"/>
        <w:ind w:firstLine="482"/>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（3）发包人违反第10.1款〔变更的范围〕第（2）项约定，自行实施被取消的工作或转由他人实施的违约责任：</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6F5A9FD8">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 w:val="24"/>
          <w:szCs w:val="24"/>
          <w:highlight w:val="none"/>
          <w:u w:val="single"/>
        </w:rPr>
        <w:t xml:space="preserve">/ </w:t>
      </w:r>
      <w:r>
        <w:rPr>
          <w:rFonts w:hint="eastAsia" w:ascii="宋体" w:hAnsi="宋体"/>
          <w:color w:val="auto"/>
          <w:kern w:val="0"/>
          <w:sz w:val="24"/>
          <w:szCs w:val="24"/>
          <w:highlight w:val="none"/>
        </w:rPr>
        <w:t>。</w:t>
      </w:r>
    </w:p>
    <w:p w14:paraId="5DB7A4CD">
      <w:pPr>
        <w:spacing w:line="380" w:lineRule="exact"/>
        <w:ind w:firstLine="482"/>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（5）因发包人违反合同约定造成暂停施工的违约责任：</w:t>
      </w:r>
      <w:r>
        <w:rPr>
          <w:rFonts w:hint="eastAsia" w:ascii="宋体" w:hAnsi="宋体"/>
          <w:color w:val="auto"/>
          <w:kern w:val="0"/>
          <w:sz w:val="24"/>
          <w:szCs w:val="24"/>
          <w:highlight w:val="none"/>
          <w:u w:val="single"/>
        </w:rPr>
        <w:t xml:space="preserve">  /     </w:t>
      </w:r>
      <w:r>
        <w:rPr>
          <w:rFonts w:hint="eastAsia" w:ascii="宋体" w:hAnsi="宋体"/>
          <w:color w:val="auto"/>
          <w:kern w:val="0"/>
          <w:sz w:val="24"/>
          <w:szCs w:val="24"/>
          <w:highlight w:val="none"/>
        </w:rPr>
        <w:t>。</w:t>
      </w:r>
    </w:p>
    <w:p w14:paraId="095E2342">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（6）发包人无正当理由没有在约定期限内发出复工指示，导致承包人无法复工的违约责任：</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1159DD54">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（7）其他：</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52B89870">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16.1.3 因发包人违约解除合同</w:t>
      </w:r>
    </w:p>
    <w:p w14:paraId="4B0F0085">
      <w:pPr>
        <w:autoSpaceDE w:val="0"/>
        <w:autoSpaceDN w:val="0"/>
        <w:adjustRightInd w:val="0"/>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承包人按16.1.1项〔发包人违约的情形〕约定暂停施工满</w:t>
      </w:r>
      <w:r>
        <w:rPr>
          <w:rFonts w:hint="eastAsia" w:ascii="宋体" w:hAnsi="宋体"/>
          <w:color w:val="auto"/>
          <w:kern w:val="0"/>
          <w:sz w:val="24"/>
          <w:szCs w:val="24"/>
          <w:highlight w:val="none"/>
          <w:u w:val="single"/>
        </w:rPr>
        <w:t>28</w:t>
      </w:r>
      <w:r>
        <w:rPr>
          <w:rFonts w:hint="eastAsia" w:ascii="宋体" w:hAnsi="宋体"/>
          <w:color w:val="auto"/>
          <w:kern w:val="0"/>
          <w:sz w:val="24"/>
          <w:szCs w:val="24"/>
          <w:highlight w:val="none"/>
        </w:rPr>
        <w:t>天后发包人仍不纠正其违约行为并致使合同目的不能实现的，承包人有权解除合同。</w:t>
      </w:r>
    </w:p>
    <w:p w14:paraId="430C3702">
      <w:pPr>
        <w:spacing w:line="380" w:lineRule="exact"/>
        <w:ind w:firstLine="480" w:firstLineChars="200"/>
        <w:outlineLvl w:val="0"/>
        <w:rPr>
          <w:rFonts w:hint="eastAsia" w:ascii="宋体" w:hAnsi="宋体"/>
          <w:color w:val="auto"/>
          <w:sz w:val="24"/>
          <w:szCs w:val="24"/>
          <w:highlight w:val="none"/>
        </w:rPr>
      </w:pPr>
      <w:bookmarkStart w:id="1296" w:name="_Toc28855"/>
      <w:bookmarkStart w:id="1297" w:name="_Toc5351"/>
      <w:bookmarkStart w:id="1298" w:name="_Toc2877"/>
      <w:bookmarkStart w:id="1299" w:name="_Toc7468"/>
      <w:bookmarkStart w:id="1300" w:name="_Toc29950"/>
      <w:bookmarkStart w:id="1301" w:name="_Toc27941"/>
      <w:bookmarkStart w:id="1302" w:name="_Toc7668"/>
      <w:r>
        <w:rPr>
          <w:rFonts w:hint="eastAsia" w:ascii="宋体" w:hAnsi="宋体"/>
          <w:color w:val="auto"/>
          <w:sz w:val="24"/>
          <w:szCs w:val="24"/>
          <w:highlight w:val="none"/>
        </w:rPr>
        <w:t>16.2 承包人违约</w:t>
      </w:r>
      <w:bookmarkEnd w:id="1296"/>
      <w:bookmarkEnd w:id="1297"/>
      <w:bookmarkEnd w:id="1298"/>
      <w:bookmarkEnd w:id="1299"/>
      <w:bookmarkEnd w:id="1300"/>
      <w:bookmarkEnd w:id="1301"/>
      <w:bookmarkEnd w:id="1302"/>
    </w:p>
    <w:p w14:paraId="623AA655">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16.2.1 承包人违约的情形</w:t>
      </w:r>
    </w:p>
    <w:p w14:paraId="057C01FD">
      <w:pPr>
        <w:spacing w:line="380" w:lineRule="exact"/>
        <w:ind w:firstLine="482"/>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承包人违约的其他情形：</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274AFB9D">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16.2.2承包人违约的责任</w:t>
      </w:r>
    </w:p>
    <w:p w14:paraId="5E5B14C2">
      <w:pPr>
        <w:spacing w:line="380" w:lineRule="exact"/>
        <w:ind w:left="1200" w:hanging="1200" w:hangingChars="500"/>
        <w:jc w:val="left"/>
        <w:rPr>
          <w:rFonts w:hint="eastAsia" w:ascii="宋体" w:hAnsi="宋体"/>
          <w:color w:val="auto"/>
          <w:kern w:val="0"/>
          <w:sz w:val="24"/>
          <w:szCs w:val="24"/>
          <w:highlight w:val="none"/>
          <w:u w:val="single"/>
        </w:rPr>
      </w:pPr>
      <w:r>
        <w:rPr>
          <w:rFonts w:hint="eastAsia" w:ascii="宋体" w:hAnsi="宋体"/>
          <w:color w:val="auto"/>
          <w:kern w:val="0"/>
          <w:sz w:val="24"/>
          <w:szCs w:val="24"/>
          <w:highlight w:val="none"/>
        </w:rPr>
        <w:t>承包人违约责任的承担方式和计算方法：</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78E51BB1">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16.2.3 因承包人违约解除合同</w:t>
      </w:r>
    </w:p>
    <w:p w14:paraId="54554C13">
      <w:pPr>
        <w:spacing w:line="380" w:lineRule="exact"/>
        <w:ind w:firstLine="482"/>
        <w:rPr>
          <w:rFonts w:hint="eastAsia" w:ascii="宋体" w:hAnsi="宋体"/>
          <w:color w:val="auto"/>
          <w:kern w:val="0"/>
          <w:sz w:val="24"/>
          <w:szCs w:val="24"/>
          <w:highlight w:val="none"/>
        </w:rPr>
      </w:pPr>
      <w:r>
        <w:rPr>
          <w:rFonts w:hint="eastAsia" w:ascii="宋体" w:hAnsi="宋体"/>
          <w:color w:val="auto"/>
          <w:kern w:val="0"/>
          <w:sz w:val="24"/>
          <w:szCs w:val="24"/>
          <w:highlight w:val="none"/>
        </w:rPr>
        <w:t>关于承包人违约解除合同的特别约定：</w:t>
      </w:r>
      <w:r>
        <w:rPr>
          <w:rFonts w:hint="eastAsia" w:ascii="宋体" w:hAnsi="宋体"/>
          <w:color w:val="auto"/>
          <w:kern w:val="0"/>
          <w:sz w:val="24"/>
          <w:szCs w:val="24"/>
          <w:highlight w:val="none"/>
          <w:u w:val="single"/>
        </w:rPr>
        <w:t xml:space="preserve">  /  </w:t>
      </w:r>
      <w:r>
        <w:rPr>
          <w:rFonts w:hint="eastAsia" w:ascii="宋体" w:hAnsi="宋体"/>
          <w:color w:val="auto"/>
          <w:kern w:val="0"/>
          <w:sz w:val="24"/>
          <w:szCs w:val="24"/>
          <w:highlight w:val="none"/>
        </w:rPr>
        <w:t>。</w:t>
      </w:r>
    </w:p>
    <w:p w14:paraId="56CBFE68">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宋体" w:hAnsi="宋体"/>
          <w:color w:val="auto"/>
          <w:kern w:val="0"/>
          <w:sz w:val="24"/>
          <w:szCs w:val="24"/>
          <w:highlight w:val="none"/>
          <w:u w:val="single"/>
        </w:rPr>
        <w:t xml:space="preserve">  /   </w:t>
      </w:r>
      <w:r>
        <w:rPr>
          <w:rFonts w:hint="eastAsia" w:ascii="宋体" w:hAnsi="宋体"/>
          <w:color w:val="auto"/>
          <w:kern w:val="0"/>
          <w:sz w:val="24"/>
          <w:szCs w:val="24"/>
          <w:highlight w:val="none"/>
        </w:rPr>
        <w:t>。</w:t>
      </w:r>
    </w:p>
    <w:p w14:paraId="3BDB3779">
      <w:pPr>
        <w:keepNext/>
        <w:keepLines/>
        <w:spacing w:line="380" w:lineRule="exact"/>
        <w:ind w:firstLine="482"/>
        <w:outlineLvl w:val="3"/>
        <w:rPr>
          <w:rFonts w:hint="eastAsia" w:ascii="宋体" w:hAnsi="宋体"/>
          <w:bCs/>
          <w:color w:val="auto"/>
          <w:sz w:val="24"/>
          <w:szCs w:val="24"/>
          <w:highlight w:val="none"/>
        </w:rPr>
      </w:pPr>
      <w:bookmarkStart w:id="1303" w:name="_Toc351203649"/>
      <w:r>
        <w:rPr>
          <w:rFonts w:hint="eastAsia" w:ascii="宋体" w:hAnsi="宋体"/>
          <w:bCs/>
          <w:color w:val="auto"/>
          <w:sz w:val="24"/>
          <w:szCs w:val="24"/>
          <w:highlight w:val="none"/>
        </w:rPr>
        <w:t>17. 不可抗力</w:t>
      </w:r>
      <w:bookmarkEnd w:id="1287"/>
      <w:bookmarkEnd w:id="1303"/>
    </w:p>
    <w:p w14:paraId="7763A9E1">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17.1 不可抗力的确认</w:t>
      </w:r>
    </w:p>
    <w:p w14:paraId="733BAEF6">
      <w:pPr>
        <w:spacing w:line="380" w:lineRule="exact"/>
        <w:ind w:firstLine="480" w:firstLineChars="200"/>
        <w:jc w:val="left"/>
        <w:rPr>
          <w:rFonts w:hint="eastAsia" w:ascii="宋体" w:hAnsi="宋体"/>
          <w:color w:val="auto"/>
          <w:kern w:val="0"/>
          <w:sz w:val="24"/>
          <w:szCs w:val="24"/>
          <w:highlight w:val="none"/>
          <w:u w:val="single"/>
        </w:rPr>
      </w:pPr>
      <w:r>
        <w:rPr>
          <w:rFonts w:hint="eastAsia" w:ascii="宋体" w:hAnsi="宋体"/>
          <w:color w:val="auto"/>
          <w:sz w:val="24"/>
          <w:szCs w:val="24"/>
          <w:highlight w:val="none"/>
        </w:rPr>
        <w:t xml:space="preserve">除通用合同草案约定的不可抗力事件之外，视为不可抗力的其他情形： </w:t>
      </w:r>
      <w:r>
        <w:rPr>
          <w:rFonts w:hint="eastAsia" w:ascii="宋体" w:hAnsi="宋体"/>
          <w:color w:val="auto"/>
          <w:kern w:val="0"/>
          <w:sz w:val="24"/>
          <w:szCs w:val="24"/>
          <w:highlight w:val="none"/>
          <w:u w:val="single"/>
        </w:rPr>
        <w:t>/</w:t>
      </w:r>
      <w:r>
        <w:rPr>
          <w:rFonts w:hint="eastAsia" w:ascii="宋体" w:hAnsi="宋体"/>
          <w:color w:val="auto"/>
          <w:kern w:val="0"/>
          <w:sz w:val="24"/>
          <w:szCs w:val="24"/>
          <w:highlight w:val="none"/>
        </w:rPr>
        <w:t>。</w:t>
      </w:r>
    </w:p>
    <w:p w14:paraId="103F5A5E">
      <w:pPr>
        <w:spacing w:line="380" w:lineRule="exact"/>
        <w:ind w:firstLine="480" w:firstLineChars="200"/>
        <w:outlineLvl w:val="0"/>
        <w:rPr>
          <w:rFonts w:hint="eastAsia" w:ascii="宋体" w:hAnsi="宋体"/>
          <w:color w:val="auto"/>
          <w:sz w:val="24"/>
          <w:szCs w:val="24"/>
          <w:highlight w:val="none"/>
        </w:rPr>
      </w:pPr>
      <w:bookmarkStart w:id="1304" w:name="_Toc29722"/>
      <w:bookmarkStart w:id="1305" w:name="_Toc17361"/>
      <w:bookmarkStart w:id="1306" w:name="_Toc13103"/>
      <w:bookmarkStart w:id="1307" w:name="_Toc12511"/>
      <w:bookmarkStart w:id="1308" w:name="_Toc6858"/>
      <w:bookmarkStart w:id="1309" w:name="_Toc5649"/>
      <w:bookmarkStart w:id="1310" w:name="_Toc288"/>
      <w:r>
        <w:rPr>
          <w:rFonts w:hint="eastAsia" w:ascii="宋体" w:hAnsi="宋体"/>
          <w:color w:val="auto"/>
          <w:sz w:val="24"/>
          <w:szCs w:val="24"/>
          <w:highlight w:val="none"/>
        </w:rPr>
        <w:t>17.4 因不可抗力解除合同</w:t>
      </w:r>
      <w:bookmarkEnd w:id="1304"/>
      <w:bookmarkEnd w:id="1305"/>
      <w:bookmarkEnd w:id="1306"/>
      <w:bookmarkEnd w:id="1307"/>
      <w:bookmarkEnd w:id="1308"/>
      <w:bookmarkEnd w:id="1309"/>
      <w:bookmarkEnd w:id="1310"/>
    </w:p>
    <w:p w14:paraId="2BFDDB19">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合同解除后，发包人应在商定或确定发包人应支付款项后</w:t>
      </w:r>
      <w:r>
        <w:rPr>
          <w:rFonts w:hint="eastAsia" w:ascii="宋体" w:hAnsi="宋体"/>
          <w:color w:val="auto"/>
          <w:sz w:val="24"/>
          <w:szCs w:val="24"/>
          <w:highlight w:val="none"/>
          <w:u w:val="single"/>
        </w:rPr>
        <w:t>28</w:t>
      </w:r>
      <w:r>
        <w:rPr>
          <w:rFonts w:hint="eastAsia" w:ascii="宋体" w:hAnsi="宋体"/>
          <w:color w:val="auto"/>
          <w:sz w:val="24"/>
          <w:szCs w:val="24"/>
          <w:highlight w:val="none"/>
        </w:rPr>
        <w:t>天内完成款项的支付。</w:t>
      </w:r>
    </w:p>
    <w:p w14:paraId="5104124A">
      <w:pPr>
        <w:keepNext/>
        <w:keepLines/>
        <w:spacing w:line="380" w:lineRule="exact"/>
        <w:ind w:firstLine="482"/>
        <w:outlineLvl w:val="3"/>
        <w:rPr>
          <w:rFonts w:hint="eastAsia" w:ascii="宋体" w:hAnsi="宋体"/>
          <w:bCs/>
          <w:color w:val="auto"/>
          <w:sz w:val="24"/>
          <w:szCs w:val="24"/>
          <w:highlight w:val="none"/>
        </w:rPr>
      </w:pPr>
      <w:bookmarkStart w:id="1311" w:name="_Toc351203650"/>
      <w:r>
        <w:rPr>
          <w:rFonts w:hint="eastAsia" w:ascii="宋体" w:hAnsi="宋体"/>
          <w:bCs/>
          <w:color w:val="auto"/>
          <w:sz w:val="24"/>
          <w:szCs w:val="24"/>
          <w:highlight w:val="none"/>
        </w:rPr>
        <w:t>18. 保险</w:t>
      </w:r>
      <w:bookmarkEnd w:id="1311"/>
    </w:p>
    <w:bookmarkEnd w:id="1288"/>
    <w:p w14:paraId="1F3A8890">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18.1 工程保险</w:t>
      </w:r>
    </w:p>
    <w:p w14:paraId="3389F5BE">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关于工程保险的特别约定：</w:t>
      </w:r>
      <w:r>
        <w:rPr>
          <w:rFonts w:hint="eastAsia" w:ascii="宋体" w:hAnsi="宋体"/>
          <w:color w:val="auto"/>
          <w:sz w:val="24"/>
          <w:szCs w:val="24"/>
          <w:highlight w:val="none"/>
          <w:u w:val="single"/>
          <w:lang w:val="zh-TW" w:eastAsia="zh-TW"/>
        </w:rPr>
        <w:t>承包人投保，保险费及其他费用已包含在投标报价中</w:t>
      </w:r>
      <w:r>
        <w:rPr>
          <w:rFonts w:hint="eastAsia" w:ascii="宋体" w:hAnsi="宋体"/>
          <w:color w:val="auto"/>
          <w:kern w:val="0"/>
          <w:sz w:val="24"/>
          <w:szCs w:val="24"/>
          <w:highlight w:val="none"/>
        </w:rPr>
        <w:t>。</w:t>
      </w:r>
    </w:p>
    <w:p w14:paraId="2D8B25B9">
      <w:pPr>
        <w:spacing w:line="380" w:lineRule="exact"/>
        <w:ind w:firstLine="480" w:firstLineChars="200"/>
        <w:outlineLvl w:val="0"/>
        <w:rPr>
          <w:rFonts w:hint="eastAsia" w:ascii="宋体" w:hAnsi="宋体"/>
          <w:color w:val="auto"/>
          <w:sz w:val="24"/>
          <w:szCs w:val="24"/>
          <w:highlight w:val="none"/>
        </w:rPr>
      </w:pPr>
      <w:bookmarkStart w:id="1312" w:name="_Toc2890"/>
      <w:bookmarkStart w:id="1313" w:name="_Toc18019"/>
      <w:bookmarkStart w:id="1314" w:name="_Toc15738"/>
      <w:bookmarkStart w:id="1315" w:name="_Toc2094"/>
      <w:bookmarkStart w:id="1316" w:name="_Toc22289"/>
      <w:bookmarkStart w:id="1317" w:name="_Toc15675"/>
      <w:bookmarkStart w:id="1318" w:name="_Toc12707"/>
      <w:r>
        <w:rPr>
          <w:rFonts w:hint="eastAsia" w:ascii="宋体" w:hAnsi="宋体"/>
          <w:color w:val="auto"/>
          <w:sz w:val="24"/>
          <w:szCs w:val="24"/>
          <w:highlight w:val="none"/>
        </w:rPr>
        <w:t>18.3 其他保险</w:t>
      </w:r>
      <w:bookmarkEnd w:id="1312"/>
      <w:bookmarkEnd w:id="1313"/>
      <w:bookmarkEnd w:id="1314"/>
      <w:bookmarkEnd w:id="1315"/>
      <w:bookmarkEnd w:id="1316"/>
      <w:bookmarkEnd w:id="1317"/>
      <w:bookmarkEnd w:id="1318"/>
    </w:p>
    <w:p w14:paraId="4475BE29">
      <w:pPr>
        <w:spacing w:line="380" w:lineRule="exact"/>
        <w:ind w:firstLine="480" w:firstLineChars="200"/>
        <w:jc w:val="left"/>
        <w:rPr>
          <w:rFonts w:hint="eastAsia" w:ascii="宋体" w:hAnsi="宋体"/>
          <w:color w:val="auto"/>
          <w:kern w:val="0"/>
          <w:sz w:val="24"/>
          <w:szCs w:val="24"/>
          <w:highlight w:val="none"/>
        </w:rPr>
      </w:pPr>
      <w:r>
        <w:rPr>
          <w:rFonts w:hint="eastAsia" w:ascii="宋体" w:hAnsi="宋体"/>
          <w:color w:val="auto"/>
          <w:sz w:val="24"/>
          <w:szCs w:val="24"/>
          <w:highlight w:val="none"/>
        </w:rPr>
        <w:t>关于其他保险的约定：</w:t>
      </w:r>
      <w:r>
        <w:rPr>
          <w:rFonts w:hint="eastAsia" w:ascii="宋体" w:hAnsi="宋体"/>
          <w:color w:val="auto"/>
          <w:sz w:val="24"/>
          <w:szCs w:val="24"/>
          <w:highlight w:val="none"/>
          <w:u w:val="single"/>
          <w:lang w:val="zh-TW" w:eastAsia="zh-TW"/>
        </w:rPr>
        <w:t>承包人负责其员工及为履行合同聘请的第三方的人员办理意外伤害保险并支付费用</w:t>
      </w:r>
      <w:r>
        <w:rPr>
          <w:rFonts w:hint="eastAsia" w:ascii="宋体" w:hAnsi="宋体"/>
          <w:color w:val="auto"/>
          <w:kern w:val="0"/>
          <w:sz w:val="24"/>
          <w:szCs w:val="24"/>
          <w:highlight w:val="none"/>
        </w:rPr>
        <w:t>。</w:t>
      </w:r>
    </w:p>
    <w:p w14:paraId="09FFAB28">
      <w:pPr>
        <w:spacing w:line="380" w:lineRule="exact"/>
        <w:ind w:firstLine="482"/>
        <w:jc w:val="left"/>
        <w:rPr>
          <w:rFonts w:hint="eastAsia" w:ascii="宋体" w:hAnsi="宋体"/>
          <w:color w:val="auto"/>
          <w:kern w:val="0"/>
          <w:sz w:val="24"/>
          <w:szCs w:val="24"/>
          <w:highlight w:val="none"/>
        </w:rPr>
      </w:pPr>
      <w:r>
        <w:rPr>
          <w:rFonts w:hint="eastAsia" w:ascii="宋体" w:hAnsi="宋体"/>
          <w:color w:val="auto"/>
          <w:sz w:val="24"/>
          <w:szCs w:val="24"/>
          <w:highlight w:val="none"/>
        </w:rPr>
        <w:t>承包人是否应为其施工设备等办理财产保险：</w:t>
      </w:r>
      <w:r>
        <w:rPr>
          <w:rFonts w:hint="eastAsia" w:ascii="宋体" w:hAnsi="宋体"/>
          <w:color w:val="auto"/>
          <w:sz w:val="24"/>
          <w:szCs w:val="24"/>
          <w:highlight w:val="none"/>
          <w:u w:val="single"/>
          <w:lang w:val="zh-TW" w:eastAsia="zh-TW"/>
        </w:rPr>
        <w:t>是</w:t>
      </w:r>
      <w:r>
        <w:rPr>
          <w:rFonts w:hint="eastAsia" w:ascii="宋体" w:hAnsi="宋体"/>
          <w:color w:val="auto"/>
          <w:sz w:val="24"/>
          <w:szCs w:val="24"/>
          <w:highlight w:val="none"/>
        </w:rPr>
        <w:t>。</w:t>
      </w:r>
    </w:p>
    <w:p w14:paraId="1EFAC5EA">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18.7 通知义务</w:t>
      </w:r>
    </w:p>
    <w:p w14:paraId="796B51C1">
      <w:pPr>
        <w:spacing w:line="380" w:lineRule="exact"/>
        <w:ind w:firstLine="482"/>
        <w:jc w:val="left"/>
        <w:rPr>
          <w:rFonts w:hint="eastAsia" w:ascii="宋体" w:hAnsi="宋体"/>
          <w:color w:val="auto"/>
          <w:sz w:val="24"/>
          <w:szCs w:val="24"/>
          <w:highlight w:val="none"/>
        </w:rPr>
      </w:pPr>
      <w:r>
        <w:rPr>
          <w:rFonts w:hint="eastAsia" w:ascii="宋体" w:hAnsi="宋体"/>
          <w:color w:val="auto"/>
          <w:kern w:val="0"/>
          <w:sz w:val="24"/>
          <w:szCs w:val="24"/>
          <w:highlight w:val="none"/>
        </w:rPr>
        <w:t>关于变更保险合同时的通知义务的约定：</w:t>
      </w:r>
      <w:r>
        <w:rPr>
          <w:rFonts w:hint="eastAsia" w:ascii="宋体" w:hAnsi="宋体"/>
          <w:color w:val="auto"/>
          <w:sz w:val="24"/>
          <w:szCs w:val="24"/>
          <w:highlight w:val="none"/>
          <w:u w:val="single"/>
          <w:lang w:val="zh-TW" w:eastAsia="zh-TW"/>
        </w:rPr>
        <w:t>按通用条款执行</w:t>
      </w:r>
      <w:r>
        <w:rPr>
          <w:rFonts w:hint="eastAsia" w:ascii="宋体" w:hAnsi="宋体"/>
          <w:color w:val="auto"/>
          <w:sz w:val="24"/>
          <w:szCs w:val="24"/>
          <w:highlight w:val="none"/>
        </w:rPr>
        <w:t>。</w:t>
      </w:r>
    </w:p>
    <w:bookmarkEnd w:id="1236"/>
    <w:bookmarkEnd w:id="1237"/>
    <w:bookmarkEnd w:id="1238"/>
    <w:bookmarkEnd w:id="1239"/>
    <w:bookmarkEnd w:id="1240"/>
    <w:bookmarkEnd w:id="1241"/>
    <w:bookmarkEnd w:id="1242"/>
    <w:bookmarkEnd w:id="1243"/>
    <w:bookmarkEnd w:id="1244"/>
    <w:bookmarkEnd w:id="1245"/>
    <w:bookmarkEnd w:id="1246"/>
    <w:bookmarkEnd w:id="1247"/>
    <w:p w14:paraId="605D84F3">
      <w:pPr>
        <w:keepNext/>
        <w:keepLines/>
        <w:spacing w:line="380" w:lineRule="exact"/>
        <w:ind w:firstLine="482"/>
        <w:outlineLvl w:val="3"/>
        <w:rPr>
          <w:rFonts w:hint="eastAsia" w:ascii="宋体" w:hAnsi="宋体"/>
          <w:bCs/>
          <w:color w:val="auto"/>
          <w:sz w:val="24"/>
          <w:szCs w:val="24"/>
          <w:highlight w:val="none"/>
        </w:rPr>
      </w:pPr>
      <w:bookmarkStart w:id="1319" w:name="_Toc351203651"/>
      <w:r>
        <w:rPr>
          <w:rFonts w:hint="eastAsia" w:ascii="宋体" w:hAnsi="宋体"/>
          <w:bCs/>
          <w:color w:val="auto"/>
          <w:sz w:val="24"/>
          <w:szCs w:val="24"/>
          <w:highlight w:val="none"/>
        </w:rPr>
        <w:t>20. 争议解决</w:t>
      </w:r>
      <w:bookmarkEnd w:id="1319"/>
    </w:p>
    <w:bookmarkEnd w:id="1248"/>
    <w:bookmarkEnd w:id="1249"/>
    <w:p w14:paraId="58CBBD45">
      <w:pPr>
        <w:spacing w:line="380" w:lineRule="exact"/>
        <w:ind w:firstLine="480" w:firstLineChars="200"/>
        <w:outlineLvl w:val="0"/>
        <w:rPr>
          <w:rFonts w:hint="eastAsia" w:ascii="宋体" w:hAnsi="宋体"/>
          <w:color w:val="auto"/>
          <w:sz w:val="24"/>
          <w:szCs w:val="24"/>
          <w:highlight w:val="none"/>
        </w:rPr>
      </w:pPr>
      <w:bookmarkStart w:id="1320" w:name="_Toc30132"/>
      <w:bookmarkStart w:id="1321" w:name="_Toc10322"/>
      <w:bookmarkStart w:id="1322" w:name="_Toc11284"/>
      <w:bookmarkStart w:id="1323" w:name="_Toc2528"/>
      <w:bookmarkStart w:id="1324" w:name="_Toc12806"/>
      <w:bookmarkStart w:id="1325" w:name="_Toc734"/>
      <w:bookmarkStart w:id="1326" w:name="_Toc26064"/>
      <w:r>
        <w:rPr>
          <w:rFonts w:hint="eastAsia" w:ascii="宋体" w:hAnsi="宋体"/>
          <w:color w:val="auto"/>
          <w:sz w:val="24"/>
          <w:szCs w:val="24"/>
          <w:highlight w:val="none"/>
        </w:rPr>
        <w:t>20.3 争</w:t>
      </w:r>
      <w:bookmarkEnd w:id="1250"/>
      <w:r>
        <w:rPr>
          <w:rFonts w:hint="eastAsia" w:ascii="宋体" w:hAnsi="宋体"/>
          <w:color w:val="auto"/>
          <w:sz w:val="24"/>
          <w:szCs w:val="24"/>
          <w:highlight w:val="none"/>
        </w:rPr>
        <w:t>议评审</w:t>
      </w:r>
      <w:bookmarkEnd w:id="1320"/>
      <w:bookmarkEnd w:id="1321"/>
      <w:bookmarkEnd w:id="1322"/>
      <w:bookmarkEnd w:id="1323"/>
      <w:bookmarkEnd w:id="1324"/>
      <w:bookmarkEnd w:id="1325"/>
      <w:bookmarkEnd w:id="1326"/>
    </w:p>
    <w:p w14:paraId="4B53A6E9">
      <w:pPr>
        <w:spacing w:line="380" w:lineRule="exact"/>
        <w:ind w:firstLine="482"/>
        <w:jc w:val="left"/>
        <w:rPr>
          <w:rFonts w:hint="eastAsia" w:ascii="宋体" w:hAnsi="宋体"/>
          <w:color w:val="auto"/>
          <w:sz w:val="24"/>
          <w:szCs w:val="24"/>
          <w:highlight w:val="none"/>
        </w:rPr>
      </w:pPr>
      <w:r>
        <w:rPr>
          <w:rFonts w:hint="eastAsia" w:ascii="宋体" w:hAnsi="宋体"/>
          <w:color w:val="auto"/>
          <w:sz w:val="24"/>
          <w:szCs w:val="24"/>
          <w:highlight w:val="none"/>
        </w:rPr>
        <w:t>合同当事人是否同意将工程争议提交争议评审小组决定：</w:t>
      </w:r>
      <w:r>
        <w:rPr>
          <w:rFonts w:hint="eastAsia" w:ascii="宋体" w:hAnsi="宋体"/>
          <w:color w:val="auto"/>
          <w:sz w:val="24"/>
          <w:szCs w:val="24"/>
          <w:highlight w:val="none"/>
          <w:u w:val="single"/>
        </w:rPr>
        <w:t xml:space="preserve">     /         </w:t>
      </w:r>
      <w:r>
        <w:rPr>
          <w:rFonts w:hint="eastAsia" w:ascii="宋体" w:hAnsi="宋体"/>
          <w:color w:val="auto"/>
          <w:sz w:val="24"/>
          <w:szCs w:val="24"/>
          <w:highlight w:val="none"/>
        </w:rPr>
        <w:t xml:space="preserve">。  </w:t>
      </w:r>
    </w:p>
    <w:p w14:paraId="1564B8D5">
      <w:pPr>
        <w:spacing w:line="380" w:lineRule="exact"/>
        <w:ind w:firstLine="480" w:firstLineChars="200"/>
        <w:jc w:val="left"/>
        <w:outlineLvl w:val="0"/>
        <w:rPr>
          <w:rFonts w:hint="eastAsia" w:ascii="宋体" w:hAnsi="宋体"/>
          <w:color w:val="auto"/>
          <w:sz w:val="24"/>
          <w:szCs w:val="24"/>
          <w:highlight w:val="none"/>
        </w:rPr>
      </w:pPr>
      <w:bookmarkStart w:id="1327" w:name="_Toc3412"/>
      <w:bookmarkStart w:id="1328" w:name="_Toc4797"/>
      <w:bookmarkStart w:id="1329" w:name="_Toc24250"/>
      <w:bookmarkStart w:id="1330" w:name="_Toc30551"/>
      <w:bookmarkStart w:id="1331" w:name="_Toc5873"/>
      <w:bookmarkStart w:id="1332" w:name="_Toc21197"/>
      <w:bookmarkStart w:id="1333" w:name="_Toc14604"/>
      <w:r>
        <w:rPr>
          <w:rFonts w:hint="eastAsia" w:ascii="宋体" w:hAnsi="宋体"/>
          <w:color w:val="auto"/>
          <w:sz w:val="24"/>
          <w:szCs w:val="24"/>
          <w:highlight w:val="none"/>
        </w:rPr>
        <w:t>20.3.1 争议评审小组的确定</w:t>
      </w:r>
      <w:bookmarkEnd w:id="1327"/>
      <w:bookmarkEnd w:id="1328"/>
      <w:bookmarkEnd w:id="1329"/>
      <w:bookmarkEnd w:id="1330"/>
      <w:bookmarkEnd w:id="1331"/>
      <w:bookmarkEnd w:id="1332"/>
      <w:bookmarkEnd w:id="1333"/>
    </w:p>
    <w:p w14:paraId="05DF9E87">
      <w:pPr>
        <w:spacing w:line="380" w:lineRule="exact"/>
        <w:ind w:firstLine="480" w:firstLineChars="200"/>
        <w:jc w:val="left"/>
        <w:rPr>
          <w:rFonts w:hint="eastAsia" w:ascii="宋体" w:hAnsi="宋体"/>
          <w:color w:val="auto"/>
          <w:sz w:val="24"/>
          <w:szCs w:val="24"/>
          <w:highlight w:val="none"/>
          <w:u w:val="single"/>
        </w:rPr>
      </w:pPr>
      <w:r>
        <w:rPr>
          <w:rFonts w:hint="eastAsia" w:ascii="宋体" w:hAnsi="宋体"/>
          <w:color w:val="auto"/>
          <w:sz w:val="24"/>
          <w:szCs w:val="24"/>
          <w:highlight w:val="none"/>
        </w:rPr>
        <w:t>争议评审小组成员的确定：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065B9292">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选定争议评审员的期限：</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11389E5D">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争议评审小组成员的报酬承担方式：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13108CC">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其他事项的约定：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47CEE922">
      <w:pPr>
        <w:autoSpaceDE w:val="0"/>
        <w:autoSpaceDN w:val="0"/>
        <w:adjustRightInd w:val="0"/>
        <w:spacing w:line="380" w:lineRule="exact"/>
        <w:ind w:firstLine="480" w:firstLineChars="200"/>
        <w:jc w:val="left"/>
        <w:outlineLvl w:val="0"/>
        <w:rPr>
          <w:rFonts w:hint="eastAsia" w:ascii="宋体" w:hAnsi="宋体"/>
          <w:color w:val="auto"/>
          <w:kern w:val="0"/>
          <w:sz w:val="24"/>
          <w:szCs w:val="24"/>
          <w:highlight w:val="none"/>
        </w:rPr>
      </w:pPr>
      <w:bookmarkStart w:id="1334" w:name="_Toc31498"/>
      <w:bookmarkStart w:id="1335" w:name="_Toc14038"/>
      <w:bookmarkStart w:id="1336" w:name="_Toc14020"/>
      <w:bookmarkStart w:id="1337" w:name="_Toc13982"/>
      <w:bookmarkStart w:id="1338" w:name="_Toc27411"/>
      <w:bookmarkStart w:id="1339" w:name="_Toc17117"/>
      <w:bookmarkStart w:id="1340" w:name="_Toc7152"/>
      <w:r>
        <w:rPr>
          <w:rFonts w:hint="eastAsia" w:ascii="宋体" w:hAnsi="宋体"/>
          <w:color w:val="auto"/>
          <w:kern w:val="0"/>
          <w:sz w:val="24"/>
          <w:szCs w:val="24"/>
          <w:highlight w:val="none"/>
        </w:rPr>
        <w:t>20.3.2 争议评审小组的决定</w:t>
      </w:r>
      <w:bookmarkEnd w:id="1334"/>
      <w:bookmarkEnd w:id="1335"/>
      <w:bookmarkEnd w:id="1336"/>
      <w:bookmarkEnd w:id="1337"/>
      <w:bookmarkEnd w:id="1338"/>
      <w:bookmarkEnd w:id="1339"/>
      <w:bookmarkEnd w:id="1340"/>
    </w:p>
    <w:p w14:paraId="0CF3DBC5">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合同当事人关于本项的约定：</w:t>
      </w:r>
      <w:r>
        <w:rPr>
          <w:rFonts w:hint="eastAsia" w:ascii="宋体" w:hAnsi="宋体"/>
          <w:color w:val="auto"/>
          <w:sz w:val="24"/>
          <w:szCs w:val="24"/>
          <w:highlight w:val="none"/>
          <w:u w:val="single"/>
        </w:rPr>
        <w:t>/</w:t>
      </w:r>
      <w:r>
        <w:rPr>
          <w:rFonts w:hint="eastAsia" w:ascii="宋体" w:hAnsi="宋体"/>
          <w:color w:val="auto"/>
          <w:sz w:val="24"/>
          <w:szCs w:val="24"/>
          <w:highlight w:val="none"/>
        </w:rPr>
        <w:t>。</w:t>
      </w:r>
    </w:p>
    <w:p w14:paraId="4C1E8CF4">
      <w:pPr>
        <w:spacing w:line="380" w:lineRule="exact"/>
        <w:ind w:firstLine="480" w:firstLineChars="200"/>
        <w:outlineLvl w:val="0"/>
        <w:rPr>
          <w:rFonts w:hint="eastAsia" w:ascii="宋体" w:hAnsi="宋体"/>
          <w:color w:val="auto"/>
          <w:sz w:val="24"/>
          <w:szCs w:val="24"/>
          <w:highlight w:val="none"/>
        </w:rPr>
      </w:pPr>
      <w:bookmarkStart w:id="1341" w:name="_Toc19006"/>
      <w:bookmarkStart w:id="1342" w:name="_Toc13460"/>
      <w:bookmarkStart w:id="1343" w:name="_Toc16335"/>
      <w:bookmarkStart w:id="1344" w:name="_Toc11441"/>
      <w:bookmarkStart w:id="1345" w:name="_Toc20728"/>
      <w:bookmarkStart w:id="1346" w:name="_Toc15108"/>
      <w:bookmarkStart w:id="1347" w:name="_Toc5500"/>
      <w:r>
        <w:rPr>
          <w:rFonts w:hint="eastAsia" w:ascii="宋体" w:hAnsi="宋体"/>
          <w:color w:val="auto"/>
          <w:sz w:val="24"/>
          <w:szCs w:val="24"/>
          <w:highlight w:val="none"/>
        </w:rPr>
        <w:t>20.4仲裁或诉讼</w:t>
      </w:r>
      <w:bookmarkEnd w:id="1251"/>
      <w:bookmarkEnd w:id="1341"/>
      <w:bookmarkEnd w:id="1342"/>
      <w:bookmarkEnd w:id="1343"/>
      <w:bookmarkEnd w:id="1344"/>
      <w:bookmarkEnd w:id="1345"/>
      <w:bookmarkEnd w:id="1346"/>
      <w:bookmarkEnd w:id="1347"/>
    </w:p>
    <w:p w14:paraId="576EE3F4">
      <w:pPr>
        <w:spacing w:line="3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因合同及合同有关事项发生的争议，按下列第</w:t>
      </w:r>
      <w:r>
        <w:rPr>
          <w:rFonts w:hint="eastAsia" w:ascii="宋体" w:hAnsi="宋体"/>
          <w:color w:val="auto"/>
          <w:sz w:val="24"/>
          <w:szCs w:val="24"/>
          <w:highlight w:val="none"/>
          <w:u w:val="single"/>
        </w:rPr>
        <w:t>2</w:t>
      </w:r>
      <w:r>
        <w:rPr>
          <w:rFonts w:hint="eastAsia" w:ascii="宋体" w:hAnsi="宋体"/>
          <w:color w:val="auto"/>
          <w:sz w:val="24"/>
          <w:szCs w:val="24"/>
          <w:highlight w:val="none"/>
        </w:rPr>
        <w:t>种方式解决：</w:t>
      </w:r>
    </w:p>
    <w:p w14:paraId="782BA1B7">
      <w:pPr>
        <w:spacing w:line="38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（1）向</w:t>
      </w:r>
      <w:r>
        <w:rPr>
          <w:rFonts w:hint="eastAsia" w:ascii="宋体" w:hAnsi="宋体"/>
          <w:color w:val="auto"/>
          <w:sz w:val="24"/>
          <w:szCs w:val="24"/>
          <w:highlight w:val="none"/>
          <w:u w:val="single"/>
        </w:rPr>
        <w:t>三门峡</w:t>
      </w:r>
      <w:r>
        <w:rPr>
          <w:rFonts w:hint="eastAsia" w:ascii="宋体" w:hAnsi="宋体"/>
          <w:color w:val="auto"/>
          <w:sz w:val="24"/>
          <w:szCs w:val="24"/>
          <w:highlight w:val="none"/>
        </w:rPr>
        <w:t>仲裁委员会申请仲裁；</w:t>
      </w:r>
    </w:p>
    <w:p w14:paraId="6B1B6F33">
      <w:pPr>
        <w:spacing w:line="380" w:lineRule="exact"/>
        <w:ind w:firstLine="480" w:firstLineChars="200"/>
        <w:rPr>
          <w:rFonts w:hint="eastAsia" w:ascii="宋体" w:hAnsi="宋体" w:cs="宋体"/>
          <w:bCs/>
          <w:color w:val="auto"/>
          <w:sz w:val="24"/>
          <w:szCs w:val="24"/>
          <w:highlight w:val="none"/>
        </w:rPr>
      </w:pPr>
      <w:r>
        <w:rPr>
          <w:rFonts w:hint="eastAsia" w:ascii="宋体" w:hAnsi="宋体"/>
          <w:color w:val="auto"/>
          <w:sz w:val="24"/>
          <w:szCs w:val="24"/>
          <w:highlight w:val="none"/>
        </w:rPr>
        <w:t>（2）向</w:t>
      </w:r>
      <w:r>
        <w:rPr>
          <w:rFonts w:hint="eastAsia" w:ascii="宋体" w:hAnsi="宋体"/>
          <w:color w:val="auto"/>
          <w:sz w:val="24"/>
          <w:szCs w:val="24"/>
          <w:highlight w:val="none"/>
          <w:u w:val="single"/>
        </w:rPr>
        <w:t xml:space="preserve">项目所在地       </w:t>
      </w:r>
      <w:r>
        <w:rPr>
          <w:rFonts w:hint="eastAsia" w:ascii="宋体" w:hAnsi="宋体"/>
          <w:color w:val="auto"/>
          <w:sz w:val="24"/>
          <w:szCs w:val="24"/>
          <w:highlight w:val="none"/>
        </w:rPr>
        <w:t>人民法院起诉。</w:t>
      </w:r>
      <w:bookmarkEnd w:id="1252"/>
      <w:bookmarkEnd w:id="1253"/>
      <w:bookmarkEnd w:id="1254"/>
      <w:bookmarkEnd w:id="1255"/>
      <w:bookmarkEnd w:id="1256"/>
      <w:bookmarkEnd w:id="1257"/>
    </w:p>
    <w:p w14:paraId="3AE7F616">
      <w:pPr>
        <w:pStyle w:val="14"/>
        <w:spacing w:line="500" w:lineRule="exact"/>
        <w:ind w:left="7913" w:leftChars="60" w:hanging="7787" w:hangingChars="2424"/>
        <w:jc w:val="center"/>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1348" w:name="_Toc22489"/>
      <w:r>
        <w:rPr>
          <w:rFonts w:hint="eastAsia" w:ascii="宋体" w:hAnsi="宋体" w:cs="宋体"/>
          <w:b/>
          <w:bCs/>
          <w:color w:val="auto"/>
          <w:sz w:val="32"/>
          <w:szCs w:val="32"/>
          <w:highlight w:val="none"/>
        </w:rPr>
        <w:t>第五章 工程量清单（另附）</w:t>
      </w:r>
      <w:bookmarkEnd w:id="1348"/>
    </w:p>
    <w:bookmarkEnd w:id="548"/>
    <w:bookmarkEnd w:id="549"/>
    <w:bookmarkEnd w:id="550"/>
    <w:bookmarkEnd w:id="551"/>
    <w:bookmarkEnd w:id="552"/>
    <w:bookmarkEnd w:id="553"/>
    <w:bookmarkEnd w:id="554"/>
    <w:bookmarkEnd w:id="555"/>
    <w:bookmarkEnd w:id="556"/>
    <w:p w14:paraId="514AE9FF">
      <w:pPr>
        <w:pStyle w:val="14"/>
        <w:spacing w:line="600" w:lineRule="exact"/>
        <w:ind w:leftChars="0" w:firstLine="640"/>
        <w:outlineLvl w:val="0"/>
        <w:rPr>
          <w:rFonts w:hint="eastAsia" w:ascii="宋体" w:hAnsi="宋体" w:cs="宋体"/>
          <w:b/>
          <w:bCs/>
          <w:color w:val="auto"/>
          <w:sz w:val="32"/>
          <w:szCs w:val="32"/>
          <w:highlight w:val="none"/>
        </w:rPr>
      </w:pPr>
      <w:bookmarkStart w:id="1349" w:name="_Toc247085870"/>
      <w:bookmarkStart w:id="1350" w:name="_Toc296602599"/>
      <w:bookmarkStart w:id="1351" w:name="_Toc179632804"/>
      <w:bookmarkStart w:id="1352" w:name="_Toc246996353"/>
      <w:bookmarkStart w:id="1353" w:name="_Toc152045785"/>
      <w:bookmarkStart w:id="1354" w:name="_Toc144974854"/>
      <w:bookmarkStart w:id="1355" w:name="_Toc246997096"/>
      <w:bookmarkStart w:id="1356" w:name="_Toc6878"/>
      <w:bookmarkStart w:id="1357" w:name="_Toc77586966"/>
      <w:bookmarkStart w:id="1358" w:name="_Toc152042574"/>
      <w:r>
        <w:rPr>
          <w:rFonts w:ascii="宋体" w:hAnsi="宋体" w:cs="宋体"/>
          <w:b/>
          <w:bCs/>
          <w:color w:val="auto"/>
          <w:sz w:val="32"/>
          <w:szCs w:val="32"/>
          <w:highlight w:val="none"/>
        </w:rPr>
        <w:br w:type="page"/>
      </w:r>
      <w:r>
        <w:rPr>
          <w:rFonts w:hint="eastAsia" w:ascii="宋体" w:hAnsi="宋体" w:cs="宋体"/>
          <w:b/>
          <w:bCs/>
          <w:color w:val="auto"/>
          <w:sz w:val="32"/>
          <w:szCs w:val="32"/>
          <w:highlight w:val="none"/>
        </w:rPr>
        <w:t>第六章 技术标准和要求</w:t>
      </w:r>
      <w:bookmarkEnd w:id="1349"/>
      <w:bookmarkEnd w:id="1350"/>
      <w:bookmarkEnd w:id="1351"/>
      <w:bookmarkEnd w:id="1352"/>
      <w:bookmarkEnd w:id="1353"/>
      <w:bookmarkEnd w:id="1354"/>
      <w:bookmarkEnd w:id="1355"/>
      <w:bookmarkEnd w:id="1356"/>
      <w:bookmarkEnd w:id="1357"/>
      <w:bookmarkEnd w:id="1358"/>
    </w:p>
    <w:p w14:paraId="1060393F">
      <w:pPr>
        <w:pStyle w:val="25"/>
        <w:ind w:firstLine="562"/>
        <w:rPr>
          <w:rFonts w:hint="eastAsia" w:ascii="宋体" w:hAnsi="宋体" w:eastAsia="宋体" w:cs="宋体"/>
          <w:color w:val="auto"/>
          <w:highlight w:val="none"/>
        </w:rPr>
      </w:pPr>
    </w:p>
    <w:p w14:paraId="6C3FCF51">
      <w:pPr>
        <w:spacing w:line="360" w:lineRule="auto"/>
        <w:ind w:firstLine="480" w:firstLineChars="200"/>
        <w:rPr>
          <w:rFonts w:hint="eastAsia" w:ascii="宋体" w:hAnsi="宋体"/>
          <w:color w:val="auto"/>
          <w:sz w:val="24"/>
          <w:szCs w:val="24"/>
          <w:highlight w:val="none"/>
        </w:rPr>
      </w:pPr>
      <w:bookmarkStart w:id="1359" w:name="_Toc144974855"/>
      <w:bookmarkStart w:id="1360" w:name="_Toc247085872"/>
      <w:bookmarkStart w:id="1361" w:name="_Toc152042575"/>
      <w:bookmarkStart w:id="1362" w:name="_Toc296602600"/>
      <w:bookmarkStart w:id="1363" w:name="_Toc246996354"/>
      <w:bookmarkStart w:id="1364" w:name="_Toc152045786"/>
      <w:bookmarkStart w:id="1365" w:name="_Toc246997097"/>
      <w:bookmarkStart w:id="1366" w:name="_Toc179632806"/>
      <w:r>
        <w:rPr>
          <w:rFonts w:hint="eastAsia" w:ascii="宋体" w:hAnsi="宋体"/>
          <w:color w:val="auto"/>
          <w:sz w:val="24"/>
          <w:szCs w:val="24"/>
          <w:highlight w:val="none"/>
        </w:rPr>
        <w:t>依据施工方案和技术文件要求，本项目的材料，设备、施工必须达到现行中华人民共和国及省市行业的一切有关法规、规范的要求。</w:t>
      </w:r>
    </w:p>
    <w:p w14:paraId="04A4FEF8">
      <w:pPr>
        <w:ind w:firstLine="482"/>
        <w:rPr>
          <w:rFonts w:hint="eastAsia" w:ascii="宋体" w:hAnsi="宋体" w:cs="宋体"/>
          <w:color w:val="auto"/>
          <w:highlight w:val="none"/>
        </w:rPr>
      </w:pPr>
    </w:p>
    <w:p w14:paraId="0085097F">
      <w:pPr>
        <w:ind w:firstLine="482"/>
        <w:rPr>
          <w:rFonts w:hint="eastAsia" w:ascii="宋体" w:hAnsi="宋体" w:cs="宋体"/>
          <w:color w:val="auto"/>
          <w:highlight w:val="none"/>
        </w:rPr>
      </w:pPr>
    </w:p>
    <w:p w14:paraId="38E5981F">
      <w:pPr>
        <w:ind w:firstLine="482"/>
        <w:rPr>
          <w:rFonts w:hint="eastAsia" w:ascii="宋体" w:hAnsi="宋体" w:cs="宋体"/>
          <w:color w:val="auto"/>
          <w:highlight w:val="none"/>
        </w:rPr>
      </w:pPr>
    </w:p>
    <w:p w14:paraId="1ACE5A0E">
      <w:pPr>
        <w:ind w:firstLine="482"/>
        <w:rPr>
          <w:rFonts w:hint="eastAsia" w:ascii="宋体" w:hAnsi="宋体" w:cs="宋体"/>
          <w:color w:val="auto"/>
          <w:highlight w:val="none"/>
        </w:rPr>
      </w:pPr>
    </w:p>
    <w:p w14:paraId="1367E219">
      <w:pPr>
        <w:pStyle w:val="14"/>
        <w:spacing w:line="600" w:lineRule="exact"/>
        <w:ind w:leftChars="0" w:firstLine="640"/>
        <w:jc w:val="left"/>
        <w:outlineLvl w:val="0"/>
        <w:rPr>
          <w:rFonts w:hint="eastAsia" w:ascii="宋体" w:hAnsi="宋体" w:cs="宋体"/>
          <w:color w:val="auto"/>
          <w:sz w:val="36"/>
          <w:szCs w:val="36"/>
          <w:highlight w:val="none"/>
        </w:rPr>
      </w:pPr>
      <w:r>
        <w:rPr>
          <w:rFonts w:hint="eastAsia" w:ascii="宋体" w:hAnsi="宋体" w:cs="宋体"/>
          <w:b/>
          <w:bCs/>
          <w:color w:val="auto"/>
          <w:sz w:val="32"/>
          <w:szCs w:val="32"/>
          <w:highlight w:val="none"/>
        </w:rPr>
        <w:br w:type="page"/>
      </w:r>
      <w:bookmarkStart w:id="1367" w:name="_Toc77586869"/>
      <w:bookmarkStart w:id="1368" w:name="_Toc13782"/>
      <w:r>
        <w:rPr>
          <w:rFonts w:hint="eastAsia" w:ascii="宋体" w:hAnsi="宋体" w:cs="宋体"/>
          <w:b/>
          <w:bCs/>
          <w:color w:val="auto"/>
          <w:sz w:val="32"/>
          <w:szCs w:val="32"/>
          <w:highlight w:val="none"/>
        </w:rPr>
        <w:t>第七章  响应文件格式</w:t>
      </w:r>
      <w:bookmarkEnd w:id="1359"/>
      <w:bookmarkEnd w:id="1360"/>
      <w:bookmarkEnd w:id="1361"/>
      <w:bookmarkEnd w:id="1362"/>
      <w:bookmarkEnd w:id="1363"/>
      <w:bookmarkEnd w:id="1364"/>
      <w:bookmarkEnd w:id="1365"/>
      <w:bookmarkEnd w:id="1366"/>
      <w:bookmarkEnd w:id="1367"/>
      <w:bookmarkEnd w:id="1368"/>
    </w:p>
    <w:p w14:paraId="09461DB7">
      <w:pPr>
        <w:ind w:firstLine="48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（此格式仅供参考）</w:t>
      </w:r>
    </w:p>
    <w:p w14:paraId="45D2F9AC">
      <w:pPr>
        <w:spacing w:line="400" w:lineRule="exact"/>
        <w:ind w:firstLine="482"/>
        <w:rPr>
          <w:rFonts w:hint="eastAsia" w:ascii="宋体" w:hAnsi="宋体" w:cs="宋体"/>
          <w:color w:val="auto"/>
          <w:highlight w:val="none"/>
        </w:rPr>
      </w:pPr>
    </w:p>
    <w:p w14:paraId="475FC861">
      <w:pPr>
        <w:ind w:firstLine="600"/>
        <w:jc w:val="center"/>
        <w:rPr>
          <w:rFonts w:hint="eastAsia" w:ascii="宋体" w:hAnsi="宋体" w:cs="宋体"/>
          <w:b/>
          <w:bCs/>
          <w:color w:val="auto"/>
          <w:sz w:val="44"/>
          <w:szCs w:val="36"/>
          <w:highlight w:val="none"/>
        </w:rPr>
      </w:pPr>
      <w:bookmarkStart w:id="1369" w:name="_Toc144974856"/>
      <w:bookmarkStart w:id="1370" w:name="_Toc152042576"/>
      <w:bookmarkStart w:id="1371" w:name="_Toc246997098"/>
      <w:bookmarkStart w:id="1372" w:name="_Toc179632807"/>
      <w:bookmarkStart w:id="1373" w:name="_Toc296602601"/>
      <w:bookmarkStart w:id="1374" w:name="_Toc152045787"/>
      <w:bookmarkStart w:id="1375" w:name="_Toc247085873"/>
      <w:bookmarkStart w:id="1376" w:name="_Toc246996355"/>
      <w:r>
        <w:rPr>
          <w:rFonts w:hint="eastAsia" w:ascii="宋体" w:hAnsi="宋体" w:cs="宋体"/>
          <w:b/>
          <w:color w:val="auto"/>
          <w:sz w:val="30"/>
          <w:szCs w:val="30"/>
          <w:highlight w:val="none"/>
        </w:rPr>
        <w:t>（项目名称）</w:t>
      </w:r>
    </w:p>
    <w:p w14:paraId="204BECA0">
      <w:pPr>
        <w:pStyle w:val="25"/>
        <w:ind w:firstLine="562"/>
        <w:rPr>
          <w:rFonts w:hint="eastAsia" w:ascii="宋体" w:hAnsi="宋体" w:eastAsia="宋体" w:cs="宋体"/>
          <w:color w:val="auto"/>
          <w:highlight w:val="none"/>
        </w:rPr>
      </w:pPr>
    </w:p>
    <w:p w14:paraId="2C87F160">
      <w:pPr>
        <w:ind w:firstLine="1440"/>
        <w:jc w:val="center"/>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5F251D15">
      <w:pPr>
        <w:ind w:firstLine="640"/>
        <w:jc w:val="center"/>
        <w:rPr>
          <w:rFonts w:hint="eastAsia" w:ascii="宋体" w:hAnsi="宋体" w:cs="宋体"/>
          <w:b/>
          <w:color w:val="auto"/>
          <w:sz w:val="32"/>
          <w:szCs w:val="32"/>
          <w:highlight w:val="none"/>
        </w:rPr>
      </w:pPr>
    </w:p>
    <w:p w14:paraId="03255EBE">
      <w:pPr>
        <w:spacing w:line="700" w:lineRule="exact"/>
        <w:ind w:left="3534" w:hanging="3534" w:hangingChars="110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项目编号：     </w:t>
      </w:r>
    </w:p>
    <w:p w14:paraId="71D3F737">
      <w:pPr>
        <w:pStyle w:val="5"/>
        <w:ind w:firstLine="600"/>
        <w:rPr>
          <w:rFonts w:hint="eastAsia"/>
          <w:color w:val="auto"/>
          <w:highlight w:val="none"/>
        </w:rPr>
      </w:pPr>
    </w:p>
    <w:p w14:paraId="50CDA26F">
      <w:pPr>
        <w:spacing w:line="700" w:lineRule="exact"/>
        <w:ind w:left="3534" w:hanging="3534" w:hangingChars="1100"/>
        <w:rPr>
          <w:rFonts w:ascii="宋体" w:hAnsi="宋体" w:cs="宋体"/>
          <w:b/>
          <w:color w:val="auto"/>
          <w:sz w:val="32"/>
          <w:szCs w:val="32"/>
          <w:highlight w:val="none"/>
        </w:rPr>
      </w:pPr>
    </w:p>
    <w:p w14:paraId="73441CE9">
      <w:pPr>
        <w:spacing w:line="700" w:lineRule="exact"/>
        <w:ind w:firstLine="640"/>
        <w:jc w:val="left"/>
        <w:rPr>
          <w:rFonts w:hint="eastAsia" w:ascii="宋体" w:hAnsi="宋体" w:cs="宋体"/>
          <w:b/>
          <w:color w:val="auto"/>
          <w:sz w:val="32"/>
          <w:szCs w:val="32"/>
          <w:highlight w:val="none"/>
        </w:rPr>
      </w:pPr>
    </w:p>
    <w:p w14:paraId="223D7230">
      <w:pPr>
        <w:spacing w:line="700" w:lineRule="exact"/>
        <w:ind w:firstLine="640"/>
        <w:jc w:val="left"/>
        <w:rPr>
          <w:rFonts w:hint="eastAsia" w:ascii="宋体" w:hAnsi="宋体" w:cs="宋体"/>
          <w:b/>
          <w:bCs/>
          <w:color w:val="auto"/>
          <w:sz w:val="32"/>
          <w:szCs w:val="32"/>
          <w:highlight w:val="none"/>
        </w:rPr>
      </w:pPr>
    </w:p>
    <w:p w14:paraId="261D5331">
      <w:pPr>
        <w:ind w:firstLine="640"/>
        <w:jc w:val="left"/>
        <w:rPr>
          <w:rFonts w:hint="eastAsia" w:ascii="宋体" w:hAnsi="宋体" w:cs="宋体"/>
          <w:b/>
          <w:color w:val="auto"/>
          <w:sz w:val="32"/>
          <w:szCs w:val="32"/>
          <w:highlight w:val="none"/>
        </w:rPr>
      </w:pPr>
    </w:p>
    <w:p w14:paraId="307C5B51">
      <w:pPr>
        <w:widowControl/>
        <w:adjustRightInd w:val="0"/>
        <w:spacing w:line="360" w:lineRule="auto"/>
        <w:ind w:firstLine="48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（盖单位章）</w:t>
      </w:r>
    </w:p>
    <w:p w14:paraId="1A72F7AA">
      <w:pPr>
        <w:widowControl/>
        <w:adjustRightInd w:val="0"/>
        <w:spacing w:line="360" w:lineRule="auto"/>
        <w:ind w:firstLine="482"/>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lang w:eastAsia="zh-CN"/>
        </w:rPr>
        <w:t>（签字或盖章）</w:t>
      </w:r>
    </w:p>
    <w:p w14:paraId="0B54CA2A">
      <w:pPr>
        <w:widowControl/>
        <w:adjustRightInd w:val="0"/>
        <w:spacing w:line="360" w:lineRule="auto"/>
        <w:ind w:firstLine="482"/>
        <w:jc w:val="center"/>
        <w:rPr>
          <w:rFonts w:hint="eastAsia" w:ascii="宋体" w:hAnsi="宋体" w:cs="宋体"/>
          <w:color w:val="auto"/>
          <w:kern w:val="0"/>
          <w:sz w:val="22"/>
          <w:szCs w:val="22"/>
          <w:highlight w:val="none"/>
        </w:rPr>
      </w:pPr>
      <w:r>
        <w:rPr>
          <w:rFonts w:hint="eastAsia" w:ascii="宋体" w:hAnsi="宋体" w:cs="宋体"/>
          <w:color w:val="auto"/>
          <w:kern w:val="0"/>
          <w:sz w:val="24"/>
          <w:szCs w:val="24"/>
          <w:highlight w:val="none"/>
        </w:rPr>
        <w:t>日期：  年  月  日</w:t>
      </w:r>
    </w:p>
    <w:p w14:paraId="419328FD">
      <w:pPr>
        <w:ind w:firstLine="643"/>
        <w:jc w:val="left"/>
        <w:rPr>
          <w:rFonts w:hint="eastAsia" w:ascii="宋体" w:hAnsi="宋体" w:cs="宋体"/>
          <w:color w:val="auto"/>
          <w:sz w:val="32"/>
          <w:szCs w:val="32"/>
          <w:highlight w:val="none"/>
        </w:rPr>
      </w:pPr>
    </w:p>
    <w:p w14:paraId="1E796E2F">
      <w:pPr>
        <w:ind w:firstLine="883"/>
        <w:jc w:val="center"/>
        <w:rPr>
          <w:rFonts w:hint="eastAsia" w:ascii="宋体" w:hAnsi="宋体" w:cs="宋体"/>
          <w:color w:val="auto"/>
          <w:sz w:val="44"/>
          <w:szCs w:val="44"/>
          <w:highlight w:val="none"/>
        </w:rPr>
      </w:pPr>
    </w:p>
    <w:p w14:paraId="19B2B9B2">
      <w:pPr>
        <w:ind w:firstLine="883"/>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目   录</w:t>
      </w:r>
      <w:bookmarkEnd w:id="1369"/>
      <w:bookmarkEnd w:id="1370"/>
      <w:bookmarkEnd w:id="1371"/>
      <w:bookmarkEnd w:id="1372"/>
      <w:bookmarkEnd w:id="1373"/>
      <w:bookmarkEnd w:id="1374"/>
      <w:bookmarkEnd w:id="1375"/>
      <w:bookmarkEnd w:id="1376"/>
    </w:p>
    <w:p w14:paraId="103F2ABF">
      <w:pPr>
        <w:spacing w:line="540" w:lineRule="exact"/>
        <w:ind w:firstLine="482"/>
        <w:jc w:val="center"/>
        <w:rPr>
          <w:rFonts w:hint="eastAsia" w:ascii="宋体" w:hAnsi="宋体" w:cs="宋体"/>
          <w:color w:val="auto"/>
          <w:highlight w:val="none"/>
        </w:rPr>
      </w:pPr>
    </w:p>
    <w:p w14:paraId="3D5D5E31">
      <w:pPr>
        <w:spacing w:line="540" w:lineRule="exact"/>
        <w:ind w:firstLine="1134" w:firstLineChars="405"/>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格式自拟</w:t>
      </w:r>
    </w:p>
    <w:p w14:paraId="6EBC5586">
      <w:pPr>
        <w:spacing w:line="540" w:lineRule="exact"/>
        <w:ind w:firstLine="402"/>
        <w:rPr>
          <w:rFonts w:hint="eastAsia" w:ascii="宋体" w:hAnsi="宋体" w:cs="宋体"/>
          <w:color w:val="auto"/>
          <w:sz w:val="20"/>
          <w:szCs w:val="20"/>
          <w:highlight w:val="none"/>
        </w:rPr>
      </w:pPr>
    </w:p>
    <w:p w14:paraId="45EE209B">
      <w:pPr>
        <w:spacing w:line="540" w:lineRule="exact"/>
        <w:ind w:firstLine="402"/>
        <w:rPr>
          <w:rFonts w:hint="eastAsia" w:ascii="宋体" w:hAnsi="宋体" w:cs="宋体"/>
          <w:color w:val="auto"/>
          <w:sz w:val="20"/>
          <w:szCs w:val="20"/>
          <w:highlight w:val="none"/>
        </w:rPr>
      </w:pPr>
    </w:p>
    <w:p w14:paraId="4FC4BB90">
      <w:pPr>
        <w:spacing w:line="540" w:lineRule="exact"/>
        <w:ind w:firstLine="402"/>
        <w:rPr>
          <w:rFonts w:hint="eastAsia" w:ascii="宋体" w:hAnsi="宋体" w:cs="宋体"/>
          <w:color w:val="auto"/>
          <w:sz w:val="20"/>
          <w:szCs w:val="20"/>
          <w:highlight w:val="none"/>
        </w:rPr>
      </w:pPr>
    </w:p>
    <w:p w14:paraId="5A7CCCF4">
      <w:pPr>
        <w:pStyle w:val="6"/>
        <w:ind w:firstLine="643"/>
        <w:jc w:val="center"/>
        <w:rPr>
          <w:rFonts w:hint="eastAsia" w:ascii="宋体" w:hAnsi="宋体" w:cs="宋体"/>
          <w:color w:val="auto"/>
          <w:highlight w:val="none"/>
        </w:rPr>
      </w:pPr>
      <w:r>
        <w:rPr>
          <w:rFonts w:hint="eastAsia" w:ascii="宋体" w:hAnsi="宋体" w:cs="宋体"/>
          <w:b w:val="0"/>
          <w:bCs w:val="0"/>
          <w:color w:val="auto"/>
          <w:highlight w:val="none"/>
        </w:rPr>
        <w:br w:type="page"/>
      </w:r>
      <w:bookmarkStart w:id="1377" w:name="_Toc144974858"/>
      <w:bookmarkStart w:id="1378" w:name="_Toc152045789"/>
      <w:bookmarkStart w:id="1379" w:name="_Toc247085875"/>
      <w:bookmarkStart w:id="1380" w:name="_Toc296602603"/>
      <w:bookmarkStart w:id="1381" w:name="_Toc77586870"/>
      <w:bookmarkStart w:id="1382" w:name="_Toc152042578"/>
      <w:bookmarkStart w:id="1383" w:name="_Toc246996357"/>
      <w:bookmarkStart w:id="1384" w:name="_Toc26756"/>
      <w:bookmarkStart w:id="1385" w:name="_Toc77586968"/>
      <w:bookmarkStart w:id="1386" w:name="_Toc179632809"/>
      <w:bookmarkStart w:id="1387" w:name="_Toc246997100"/>
      <w:r>
        <w:rPr>
          <w:rFonts w:hint="eastAsia" w:ascii="宋体" w:hAnsi="宋体" w:cs="宋体"/>
          <w:color w:val="auto"/>
          <w:highlight w:val="none"/>
        </w:rPr>
        <w:t>一、磋商响应函</w:t>
      </w:r>
      <w:bookmarkEnd w:id="1377"/>
      <w:bookmarkEnd w:id="1378"/>
      <w:bookmarkEnd w:id="1379"/>
      <w:bookmarkEnd w:id="1380"/>
      <w:bookmarkEnd w:id="1381"/>
      <w:bookmarkEnd w:id="1382"/>
      <w:bookmarkEnd w:id="1383"/>
      <w:bookmarkEnd w:id="1384"/>
      <w:bookmarkEnd w:id="1385"/>
      <w:bookmarkEnd w:id="1386"/>
      <w:bookmarkEnd w:id="1387"/>
    </w:p>
    <w:p w14:paraId="26D4E141">
      <w:pPr>
        <w:widowControl/>
        <w:adjustRightInd w:val="0"/>
        <w:spacing w:line="400" w:lineRule="exact"/>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采购</w:t>
      </w:r>
      <w:r>
        <w:rPr>
          <w:rFonts w:hint="eastAsia" w:ascii="宋体" w:hAnsi="宋体" w:cs="宋体"/>
          <w:color w:val="auto"/>
          <w:kern w:val="0"/>
          <w:sz w:val="24"/>
          <w:szCs w:val="24"/>
          <w:highlight w:val="none"/>
          <w:u w:val="single"/>
        </w:rPr>
        <w:t xml:space="preserve">人名称）      </w:t>
      </w:r>
    </w:p>
    <w:p w14:paraId="6C746214">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1．根据你方招标工程项目编号为</w:t>
      </w:r>
      <w:r>
        <w:rPr>
          <w:rFonts w:hint="eastAsia" w:ascii="宋体" w:hAnsi="宋体" w:cs="宋体"/>
          <w:color w:val="auto"/>
          <w:kern w:val="0"/>
          <w:sz w:val="24"/>
          <w:szCs w:val="24"/>
          <w:highlight w:val="none"/>
          <w:u w:val="single"/>
        </w:rPr>
        <w:t xml:space="preserve">   （项目编号）</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 xml:space="preserve">            （工程项目名称）</w:t>
      </w:r>
      <w:r>
        <w:rPr>
          <w:rFonts w:hint="eastAsia" w:ascii="宋体" w:hAnsi="宋体" w:cs="宋体"/>
          <w:color w:val="auto"/>
          <w:kern w:val="0"/>
          <w:sz w:val="24"/>
          <w:szCs w:val="24"/>
          <w:highlight w:val="none"/>
        </w:rPr>
        <w:t>竞争性磋商文件，遵照竞争性磋商文件的投标须知、合同条款、工程建设标准及其他有关文件后，我方愿以磋商总报价人民币（小写）：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的报价，工期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日历天，并按上述竞争性磋商文件及相关资料的条件要求承包上述工程的实施，并承担任何质量缺陷保修责任，工程质量达到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p>
    <w:p w14:paraId="4E30CE4C">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2．我方已详细审核全部竞争性磋商文件，包括修改文件（如有时）及有关附件，已充分理解并掌握了本工程磋商的全部有关情况，同意接受竞争性磋商文件的全部内容和条件。</w:t>
      </w:r>
    </w:p>
    <w:p w14:paraId="5630925E">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3．我方承诺在磋商有效期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日历天（从响应文件递交截止时间起）内不修改、撤销响应文件。</w:t>
      </w:r>
    </w:p>
    <w:p w14:paraId="430FF72B">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4．除非另达成协议并生效，你方的成交通知书和本磋商响应文件将成为约束双方的合同文件的组成部分。</w:t>
      </w:r>
    </w:p>
    <w:p w14:paraId="29997172">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5．如我方成交确定为成交人：</w:t>
      </w:r>
    </w:p>
    <w:p w14:paraId="0B8C87BA">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（1）我方承诺在收到成交通知书后，在成交通知书规定的期限内与你方签订合同。</w:t>
      </w:r>
    </w:p>
    <w:p w14:paraId="120AA07E">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（2）随同本磋商响应函递交的磋商响应函附录属于合同文件的组成部分。</w:t>
      </w:r>
    </w:p>
    <w:p w14:paraId="1E4DCC34">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（3）我方承诺按照磋商文件规定向你方递交履约担保，并按照磋商文件“合同条款及格式”规定的权利义务履行合同。</w:t>
      </w:r>
    </w:p>
    <w:p w14:paraId="68E8D14E">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（4）我方承诺响应竞争性磋商文件要求，严格按照竞争性磋商文件中“技术标准和要求”的规定进行施工、满足招标人进度要求并按时移交全部合同工程。</w:t>
      </w:r>
    </w:p>
    <w:p w14:paraId="20EE38B2">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6．我方在此声明，所递交的响应文件及有关资料内容完整、真实和准确。</w:t>
      </w:r>
    </w:p>
    <w:p w14:paraId="163AA08C">
      <w:pPr>
        <w:widowControl/>
        <w:adjustRightInd w:val="0"/>
        <w:spacing w:line="400" w:lineRule="exact"/>
        <w:ind w:firstLine="628" w:firstLineChars="26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7．（其他补充说明）。</w:t>
      </w:r>
    </w:p>
    <w:p w14:paraId="3286B997">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（盖单位章）</w:t>
      </w:r>
    </w:p>
    <w:p w14:paraId="5AB9AF7D">
      <w:pPr>
        <w:spacing w:line="360" w:lineRule="auto"/>
        <w:ind w:firstLine="720" w:firstLineChars="3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lang w:eastAsia="zh-CN"/>
        </w:rPr>
        <w:t>（签字或盖章）</w:t>
      </w:r>
    </w:p>
    <w:p w14:paraId="22210317">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p>
    <w:p w14:paraId="68D07786">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p>
    <w:p w14:paraId="3C4DE29C">
      <w:pPr>
        <w:widowControl/>
        <w:adjustRightInd w:val="0"/>
        <w:spacing w:line="360" w:lineRule="auto"/>
        <w:ind w:firstLine="789" w:firstLineChars="329"/>
        <w:jc w:val="left"/>
        <w:rPr>
          <w:rFonts w:hint="eastAsia" w:ascii="宋体" w:hAnsi="宋体" w:cs="宋体"/>
          <w:color w:val="auto"/>
          <w:kern w:val="0"/>
          <w:sz w:val="22"/>
          <w:szCs w:val="22"/>
          <w:highlight w:val="none"/>
        </w:rPr>
      </w:pPr>
      <w:r>
        <w:rPr>
          <w:rFonts w:hint="eastAsia" w:ascii="宋体" w:hAnsi="宋体" w:cs="宋体"/>
          <w:color w:val="auto"/>
          <w:kern w:val="0"/>
          <w:sz w:val="24"/>
          <w:szCs w:val="24"/>
          <w:highlight w:val="none"/>
        </w:rPr>
        <w:t>日期：  年  月  日</w:t>
      </w:r>
    </w:p>
    <w:p w14:paraId="400CCB29">
      <w:pPr>
        <w:pStyle w:val="6"/>
        <w:ind w:firstLine="442"/>
        <w:jc w:val="center"/>
        <w:rPr>
          <w:rFonts w:hint="eastAsia" w:ascii="宋体" w:hAnsi="宋体" w:cs="宋体"/>
          <w:color w:val="auto"/>
          <w:highlight w:val="none"/>
        </w:rPr>
      </w:pPr>
      <w:r>
        <w:rPr>
          <w:rFonts w:hint="eastAsia" w:ascii="宋体" w:hAnsi="宋体" w:cs="宋体"/>
          <w:b w:val="0"/>
          <w:bCs w:val="0"/>
          <w:color w:val="auto"/>
          <w:sz w:val="22"/>
          <w:szCs w:val="22"/>
          <w:highlight w:val="none"/>
        </w:rPr>
        <w:br w:type="page"/>
      </w:r>
      <w:bookmarkStart w:id="1388" w:name="_Toc77586871"/>
      <w:bookmarkStart w:id="1389" w:name="_Toc77586969"/>
      <w:bookmarkStart w:id="1390" w:name="_Toc30373"/>
      <w:r>
        <w:rPr>
          <w:rFonts w:hint="eastAsia" w:ascii="宋体" w:hAnsi="宋体" w:cs="宋体"/>
          <w:color w:val="auto"/>
          <w:highlight w:val="none"/>
        </w:rPr>
        <w:t>二、首次报价一览表</w:t>
      </w:r>
      <w:bookmarkEnd w:id="1388"/>
      <w:bookmarkEnd w:id="1389"/>
      <w:bookmarkEnd w:id="1390"/>
    </w:p>
    <w:tbl>
      <w:tblPr>
        <w:tblStyle w:val="27"/>
        <w:tblpPr w:leftFromText="181" w:rightFromText="181" w:vertAnchor="text" w:horzAnchor="margin" w:tblpXSpec="center" w:tblpY="128"/>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399"/>
        <w:gridCol w:w="1400"/>
        <w:gridCol w:w="1400"/>
        <w:gridCol w:w="1400"/>
        <w:gridCol w:w="1400"/>
      </w:tblGrid>
      <w:tr w14:paraId="4726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53953873">
            <w:pPr>
              <w:spacing w:line="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08499E7D">
            <w:pPr>
              <w:spacing w:line="0" w:lineRule="atLeast"/>
              <w:rPr>
                <w:rFonts w:hint="eastAsia" w:ascii="宋体" w:hAnsi="宋体" w:cs="宋体"/>
                <w:color w:val="auto"/>
                <w:sz w:val="24"/>
                <w:szCs w:val="24"/>
                <w:highlight w:val="none"/>
              </w:rPr>
            </w:pPr>
          </w:p>
        </w:tc>
      </w:tr>
      <w:tr w14:paraId="1AABD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0A5EA621">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481F76D0">
            <w:pPr>
              <w:spacing w:line="0" w:lineRule="atLeast"/>
              <w:rPr>
                <w:rFonts w:hint="eastAsia" w:ascii="宋体" w:hAnsi="宋体" w:cs="宋体"/>
                <w:color w:val="auto"/>
                <w:sz w:val="24"/>
                <w:szCs w:val="24"/>
                <w:highlight w:val="none"/>
              </w:rPr>
            </w:pPr>
          </w:p>
        </w:tc>
      </w:tr>
      <w:tr w14:paraId="36BC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3380960F">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统一社会信用代码</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FB0E489">
            <w:pPr>
              <w:spacing w:line="0" w:lineRule="atLeast"/>
              <w:rPr>
                <w:rFonts w:hint="eastAsia" w:ascii="宋体" w:hAnsi="宋体" w:cs="宋体"/>
                <w:color w:val="auto"/>
                <w:sz w:val="24"/>
                <w:szCs w:val="24"/>
                <w:highlight w:val="none"/>
              </w:rPr>
            </w:pPr>
          </w:p>
        </w:tc>
      </w:tr>
      <w:tr w14:paraId="4FEE0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60242E7C">
            <w:pPr>
              <w:spacing w:line="0" w:lineRule="atLeas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地址</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1E32E31A">
            <w:pPr>
              <w:spacing w:line="0" w:lineRule="atLeast"/>
              <w:rPr>
                <w:rFonts w:hint="eastAsia" w:ascii="宋体" w:hAnsi="宋体" w:cs="宋体"/>
                <w:color w:val="auto"/>
                <w:sz w:val="24"/>
                <w:szCs w:val="24"/>
                <w:highlight w:val="none"/>
              </w:rPr>
            </w:pPr>
          </w:p>
        </w:tc>
      </w:tr>
      <w:tr w14:paraId="6449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vMerge w:val="restart"/>
            <w:tcBorders>
              <w:top w:val="single" w:color="auto" w:sz="4" w:space="0"/>
              <w:left w:val="single" w:color="auto" w:sz="4" w:space="0"/>
              <w:right w:val="single" w:color="auto" w:sz="4" w:space="0"/>
            </w:tcBorders>
            <w:noWrap w:val="0"/>
            <w:vAlign w:val="center"/>
          </w:tcPr>
          <w:p w14:paraId="1D4C7BC6">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项目经理</w:t>
            </w:r>
          </w:p>
        </w:tc>
        <w:tc>
          <w:tcPr>
            <w:tcW w:w="1399" w:type="dxa"/>
            <w:vMerge w:val="restart"/>
            <w:tcBorders>
              <w:top w:val="single" w:color="auto" w:sz="4" w:space="0"/>
              <w:left w:val="single" w:color="auto" w:sz="4" w:space="0"/>
              <w:right w:val="single" w:color="auto" w:sz="4" w:space="0"/>
            </w:tcBorders>
            <w:noWrap w:val="0"/>
            <w:vAlign w:val="center"/>
          </w:tcPr>
          <w:p w14:paraId="143DF5EA">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A533EE1">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级别</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DDDDE2B">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56B22AB">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注册编号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93CC87B">
            <w:pPr>
              <w:spacing w:line="0" w:lineRule="atLeast"/>
              <w:rPr>
                <w:rFonts w:hint="eastAsia" w:ascii="宋体" w:hAnsi="宋体" w:cs="宋体"/>
                <w:color w:val="auto"/>
                <w:sz w:val="24"/>
                <w:szCs w:val="24"/>
                <w:highlight w:val="none"/>
              </w:rPr>
            </w:pPr>
          </w:p>
        </w:tc>
      </w:tr>
      <w:tr w14:paraId="7B7C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vMerge w:val="continue"/>
            <w:tcBorders>
              <w:left w:val="single" w:color="auto" w:sz="4" w:space="0"/>
              <w:bottom w:val="single" w:color="auto" w:sz="4" w:space="0"/>
              <w:right w:val="single" w:color="auto" w:sz="4" w:space="0"/>
            </w:tcBorders>
            <w:noWrap w:val="0"/>
            <w:vAlign w:val="center"/>
          </w:tcPr>
          <w:p w14:paraId="463BE326">
            <w:pPr>
              <w:spacing w:line="0" w:lineRule="atLeast"/>
              <w:rPr>
                <w:rFonts w:hint="eastAsia" w:ascii="宋体" w:hAnsi="宋体" w:cs="宋体"/>
                <w:color w:val="auto"/>
                <w:sz w:val="24"/>
                <w:szCs w:val="24"/>
                <w:highlight w:val="none"/>
              </w:rPr>
            </w:pPr>
          </w:p>
        </w:tc>
        <w:tc>
          <w:tcPr>
            <w:tcW w:w="1399" w:type="dxa"/>
            <w:vMerge w:val="continue"/>
            <w:tcBorders>
              <w:left w:val="single" w:color="auto" w:sz="4" w:space="0"/>
              <w:bottom w:val="single" w:color="auto" w:sz="4" w:space="0"/>
              <w:right w:val="single" w:color="auto" w:sz="4" w:space="0"/>
            </w:tcBorders>
            <w:noWrap w:val="0"/>
            <w:vAlign w:val="center"/>
          </w:tcPr>
          <w:p w14:paraId="37C00783">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118E6AB">
            <w:pPr>
              <w:spacing w:line="0" w:lineRule="atLeas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身份证号</w:t>
            </w:r>
          </w:p>
        </w:tc>
        <w:tc>
          <w:tcPr>
            <w:tcW w:w="4200" w:type="dxa"/>
            <w:gridSpan w:val="3"/>
            <w:tcBorders>
              <w:top w:val="single" w:color="auto" w:sz="4" w:space="0"/>
              <w:left w:val="single" w:color="auto" w:sz="4" w:space="0"/>
              <w:bottom w:val="single" w:color="auto" w:sz="4" w:space="0"/>
              <w:right w:val="single" w:color="auto" w:sz="4" w:space="0"/>
            </w:tcBorders>
            <w:noWrap w:val="0"/>
            <w:vAlign w:val="center"/>
          </w:tcPr>
          <w:p w14:paraId="54615E27">
            <w:pPr>
              <w:spacing w:line="0" w:lineRule="atLeast"/>
              <w:rPr>
                <w:rFonts w:hint="eastAsia" w:ascii="宋体" w:hAnsi="宋体" w:cs="宋体"/>
                <w:color w:val="auto"/>
                <w:sz w:val="24"/>
                <w:szCs w:val="24"/>
                <w:highlight w:val="none"/>
              </w:rPr>
            </w:pPr>
          </w:p>
        </w:tc>
      </w:tr>
      <w:tr w14:paraId="64E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09228604">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7FBCDD6A">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F6D22B4">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级别</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7119A96">
            <w:pPr>
              <w:spacing w:line="0" w:lineRule="atLeast"/>
              <w:rPr>
                <w:rFonts w:hint="eastAsia" w:ascii="宋体" w:hAnsi="宋体" w:cs="宋体"/>
                <w:color w:val="auto"/>
                <w:sz w:val="24"/>
                <w:szCs w:val="24"/>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A737C0F">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注册编号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305D871">
            <w:pPr>
              <w:spacing w:line="0" w:lineRule="atLeast"/>
              <w:rPr>
                <w:rFonts w:hint="eastAsia" w:ascii="宋体" w:hAnsi="宋体" w:cs="宋体"/>
                <w:color w:val="auto"/>
                <w:sz w:val="24"/>
                <w:szCs w:val="24"/>
                <w:highlight w:val="none"/>
              </w:rPr>
            </w:pPr>
          </w:p>
        </w:tc>
      </w:tr>
      <w:tr w14:paraId="1E10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42AEA670">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投标范围</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3B4227D2">
            <w:pPr>
              <w:spacing w:line="0" w:lineRule="atLeast"/>
              <w:rPr>
                <w:rFonts w:hint="eastAsia" w:ascii="宋体" w:hAnsi="宋体" w:cs="宋体"/>
                <w:color w:val="auto"/>
                <w:sz w:val="24"/>
                <w:szCs w:val="24"/>
                <w:highlight w:val="none"/>
              </w:rPr>
            </w:pPr>
          </w:p>
        </w:tc>
      </w:tr>
      <w:tr w14:paraId="0415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trPr>
        <w:tc>
          <w:tcPr>
            <w:tcW w:w="1641" w:type="dxa"/>
            <w:tcBorders>
              <w:top w:val="single" w:color="auto" w:sz="4" w:space="0"/>
              <w:left w:val="single" w:color="auto" w:sz="4" w:space="0"/>
              <w:bottom w:val="single" w:color="auto" w:sz="4" w:space="0"/>
              <w:right w:val="single" w:color="auto" w:sz="4" w:space="0"/>
            </w:tcBorders>
            <w:noWrap w:val="0"/>
            <w:vAlign w:val="center"/>
          </w:tcPr>
          <w:p w14:paraId="54A3E844">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磋商总报价（元）</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4735CF04">
            <w:pPr>
              <w:spacing w:line="0" w:lineRule="atLeast"/>
              <w:ind w:firstLine="482"/>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（大写）                   </w:t>
            </w:r>
          </w:p>
          <w:p w14:paraId="7AB4175E">
            <w:pPr>
              <w:spacing w:line="0" w:lineRule="atLeast"/>
              <w:ind w:firstLine="482"/>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（小写）                    </w:t>
            </w:r>
          </w:p>
        </w:tc>
      </w:tr>
      <w:tr w14:paraId="7E7B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063C3342">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质量要求  </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3CF8D32">
            <w:pPr>
              <w:spacing w:line="0" w:lineRule="atLeast"/>
              <w:ind w:firstLine="482"/>
              <w:jc w:val="center"/>
              <w:rPr>
                <w:rFonts w:ascii="宋体" w:hAnsi="宋体" w:cs="宋体"/>
                <w:color w:val="auto"/>
                <w:sz w:val="24"/>
                <w:szCs w:val="24"/>
                <w:highlight w:val="none"/>
              </w:rPr>
            </w:pPr>
          </w:p>
        </w:tc>
      </w:tr>
      <w:tr w14:paraId="6E25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2341EF4E">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工 期</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3CBFA64F">
            <w:pPr>
              <w:spacing w:line="0" w:lineRule="atLeast"/>
              <w:ind w:firstLine="482"/>
              <w:jc w:val="center"/>
              <w:rPr>
                <w:rFonts w:ascii="宋体" w:hAnsi="宋体" w:cs="宋体"/>
                <w:color w:val="auto"/>
                <w:sz w:val="24"/>
                <w:szCs w:val="24"/>
                <w:highlight w:val="none"/>
              </w:rPr>
            </w:pPr>
          </w:p>
        </w:tc>
      </w:tr>
      <w:tr w14:paraId="7114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09223409">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磋商有效期</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78DAAD9B">
            <w:pPr>
              <w:spacing w:line="0" w:lineRule="atLeast"/>
              <w:ind w:firstLine="482"/>
              <w:jc w:val="center"/>
              <w:rPr>
                <w:rFonts w:ascii="宋体" w:hAnsi="宋体" w:cs="宋体"/>
                <w:color w:val="auto"/>
                <w:sz w:val="24"/>
                <w:szCs w:val="24"/>
                <w:highlight w:val="none"/>
              </w:rPr>
            </w:pPr>
          </w:p>
        </w:tc>
      </w:tr>
      <w:tr w14:paraId="36B8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405D2C97">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联系人及电话</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0B567268">
            <w:pPr>
              <w:spacing w:line="0" w:lineRule="atLeast"/>
              <w:ind w:firstLine="482"/>
              <w:jc w:val="center"/>
              <w:rPr>
                <w:rFonts w:ascii="宋体" w:hAnsi="宋体" w:cs="宋体"/>
                <w:color w:val="auto"/>
                <w:sz w:val="24"/>
                <w:szCs w:val="24"/>
                <w:highlight w:val="none"/>
              </w:rPr>
            </w:pPr>
          </w:p>
        </w:tc>
      </w:tr>
      <w:tr w14:paraId="485E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1641" w:type="dxa"/>
            <w:tcBorders>
              <w:top w:val="single" w:color="auto" w:sz="4" w:space="0"/>
              <w:left w:val="single" w:color="auto" w:sz="4" w:space="0"/>
              <w:bottom w:val="single" w:color="auto" w:sz="4" w:space="0"/>
              <w:right w:val="single" w:color="auto" w:sz="4" w:space="0"/>
            </w:tcBorders>
            <w:noWrap w:val="0"/>
            <w:vAlign w:val="center"/>
          </w:tcPr>
          <w:p w14:paraId="3B584835">
            <w:pPr>
              <w:spacing w:line="0" w:lineRule="atLeast"/>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c>
          <w:tcPr>
            <w:tcW w:w="6999" w:type="dxa"/>
            <w:gridSpan w:val="5"/>
            <w:tcBorders>
              <w:top w:val="single" w:color="auto" w:sz="4" w:space="0"/>
              <w:left w:val="single" w:color="auto" w:sz="4" w:space="0"/>
              <w:bottom w:val="single" w:color="auto" w:sz="4" w:space="0"/>
              <w:right w:val="single" w:color="auto" w:sz="4" w:space="0"/>
            </w:tcBorders>
            <w:noWrap w:val="0"/>
            <w:vAlign w:val="center"/>
          </w:tcPr>
          <w:p w14:paraId="6BE9C6A4">
            <w:pPr>
              <w:spacing w:line="0" w:lineRule="atLeast"/>
              <w:ind w:firstLine="482"/>
              <w:rPr>
                <w:rFonts w:ascii="宋体" w:hAnsi="宋体" w:cs="宋体"/>
                <w:color w:val="auto"/>
                <w:sz w:val="24"/>
                <w:szCs w:val="24"/>
                <w:highlight w:val="none"/>
              </w:rPr>
            </w:pPr>
          </w:p>
        </w:tc>
      </w:tr>
    </w:tbl>
    <w:p w14:paraId="53F82447">
      <w:pPr>
        <w:widowControl/>
        <w:adjustRightInd w:val="0"/>
        <w:spacing w:line="165" w:lineRule="atLeast"/>
        <w:ind w:firstLine="482"/>
        <w:jc w:val="left"/>
        <w:rPr>
          <w:rFonts w:hint="eastAsia" w:ascii="宋体" w:hAnsi="宋体" w:cs="宋体"/>
          <w:color w:val="auto"/>
          <w:kern w:val="0"/>
          <w:sz w:val="24"/>
          <w:szCs w:val="24"/>
          <w:highlight w:val="none"/>
        </w:rPr>
      </w:pPr>
    </w:p>
    <w:p w14:paraId="39DA30AD">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（盖单位章）</w:t>
      </w:r>
    </w:p>
    <w:p w14:paraId="4C6F9A25">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lang w:eastAsia="zh-CN"/>
        </w:rPr>
        <w:t>（签字或盖章）</w:t>
      </w:r>
    </w:p>
    <w:p w14:paraId="31004E9B">
      <w:pPr>
        <w:widowControl/>
        <w:adjustRightInd w:val="0"/>
        <w:spacing w:line="360" w:lineRule="auto"/>
        <w:ind w:firstLine="482"/>
        <w:jc w:val="left"/>
        <w:rPr>
          <w:rFonts w:hint="eastAsia" w:ascii="宋体" w:hAnsi="宋体" w:cs="宋体"/>
          <w:color w:val="auto"/>
          <w:kern w:val="0"/>
          <w:sz w:val="22"/>
          <w:szCs w:val="22"/>
          <w:highlight w:val="none"/>
        </w:rPr>
      </w:pPr>
      <w:r>
        <w:rPr>
          <w:rFonts w:hint="eastAsia" w:ascii="宋体" w:hAnsi="宋体" w:cs="宋体"/>
          <w:color w:val="auto"/>
          <w:kern w:val="0"/>
          <w:sz w:val="24"/>
          <w:szCs w:val="24"/>
          <w:highlight w:val="none"/>
        </w:rPr>
        <w:t>日期：  年  月  日</w:t>
      </w:r>
      <w:bookmarkStart w:id="1391" w:name="_Toc246996359"/>
      <w:bookmarkStart w:id="1392" w:name="_Toc247085877"/>
      <w:bookmarkStart w:id="1393" w:name="_Toc296602605"/>
      <w:bookmarkStart w:id="1394" w:name="_Toc246997102"/>
      <w:bookmarkStart w:id="1395" w:name="_Toc179632811"/>
      <w:bookmarkStart w:id="1396" w:name="_Toc152045791"/>
      <w:bookmarkStart w:id="1397" w:name="_Toc152042580"/>
      <w:bookmarkStart w:id="1398" w:name="_Toc144974860"/>
    </w:p>
    <w:p w14:paraId="081F80DA">
      <w:pPr>
        <w:pStyle w:val="5"/>
        <w:jc w:val="both"/>
        <w:rPr>
          <w:rFonts w:hint="eastAsia" w:ascii="宋体" w:hAnsi="宋体" w:eastAsia="宋体" w:cs="宋体"/>
          <w:color w:val="auto"/>
          <w:highlight w:val="none"/>
        </w:rPr>
      </w:pPr>
      <w:r>
        <w:rPr>
          <w:rFonts w:hint="eastAsia" w:ascii="宋体" w:hAnsi="宋体" w:cs="宋体"/>
          <w:b w:val="0"/>
          <w:bCs w:val="0"/>
          <w:color w:val="auto"/>
          <w:highlight w:val="none"/>
        </w:rPr>
        <w:br w:type="page"/>
      </w:r>
      <w:bookmarkStart w:id="1399" w:name="_Toc77586872"/>
      <w:bookmarkStart w:id="1400" w:name="_Toc77586970"/>
      <w:bookmarkStart w:id="1401" w:name="_Toc1781"/>
      <w:r>
        <w:rPr>
          <w:rFonts w:hint="eastAsia" w:ascii="宋体" w:hAnsi="宋体" w:eastAsia="宋体" w:cs="宋体"/>
          <w:color w:val="auto"/>
          <w:highlight w:val="none"/>
        </w:rPr>
        <w:t>三、</w:t>
      </w:r>
      <w:bookmarkEnd w:id="1391"/>
      <w:bookmarkEnd w:id="1392"/>
      <w:bookmarkEnd w:id="1393"/>
      <w:bookmarkEnd w:id="1394"/>
      <w:bookmarkEnd w:id="1395"/>
      <w:bookmarkEnd w:id="1396"/>
      <w:bookmarkEnd w:id="1397"/>
      <w:bookmarkEnd w:id="1398"/>
      <w:bookmarkEnd w:id="1399"/>
      <w:bookmarkEnd w:id="1400"/>
      <w:r>
        <w:rPr>
          <w:rFonts w:hint="eastAsia" w:ascii="宋体" w:hAnsi="宋体" w:eastAsia="宋体" w:cs="宋体"/>
          <w:color w:val="auto"/>
          <w:highlight w:val="none"/>
        </w:rPr>
        <w:t>法定代表人身份证明及授权委托书</w:t>
      </w:r>
      <w:bookmarkEnd w:id="1401"/>
    </w:p>
    <w:p w14:paraId="77746242">
      <w:pPr>
        <w:spacing w:line="360" w:lineRule="auto"/>
        <w:ind w:firstLine="480"/>
        <w:rPr>
          <w:rFonts w:hint="eastAsia" w:ascii="宋体" w:cs="宋体"/>
          <w:b/>
          <w:color w:val="auto"/>
          <w:sz w:val="24"/>
          <w:szCs w:val="24"/>
          <w:highlight w:val="none"/>
        </w:rPr>
      </w:pPr>
      <w:r>
        <w:rPr>
          <w:rFonts w:hint="eastAsia" w:ascii="宋体" w:hAnsi="宋体" w:cs="宋体"/>
          <w:b/>
          <w:color w:val="auto"/>
          <w:sz w:val="24"/>
          <w:szCs w:val="24"/>
          <w:highlight w:val="none"/>
        </w:rPr>
        <w:t>（一）法定代表人身份证明</w:t>
      </w:r>
    </w:p>
    <w:p w14:paraId="01C83688">
      <w:pPr>
        <w:spacing w:line="440" w:lineRule="exact"/>
        <w:ind w:firstLine="482"/>
        <w:rPr>
          <w:rFonts w:hint="eastAsia" w:ascii="宋体" w:hAnsi="宋体" w:cs="宋体"/>
          <w:color w:val="auto"/>
          <w:sz w:val="24"/>
          <w:szCs w:val="24"/>
          <w:highlight w:val="none"/>
        </w:rPr>
      </w:pPr>
    </w:p>
    <w:p w14:paraId="5A9A6C29">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p w14:paraId="283A0BC3">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单位性质：</w:t>
      </w:r>
    </w:p>
    <w:p w14:paraId="422DFA52">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地址：</w:t>
      </w:r>
    </w:p>
    <w:p w14:paraId="08B8FAF3">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成立时间：   年   月  日</w:t>
      </w:r>
    </w:p>
    <w:p w14:paraId="6E1013D1">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经营期限：</w:t>
      </w:r>
    </w:p>
    <w:p w14:paraId="782839B8">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姓名： 性别：年龄：职务：</w:t>
      </w:r>
    </w:p>
    <w:p w14:paraId="18AA6CB4">
      <w:pPr>
        <w:spacing w:line="440" w:lineRule="exact"/>
        <w:ind w:left="424" w:leftChars="202"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系 （</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名称）的法定代表人。</w:t>
      </w:r>
    </w:p>
    <w:p w14:paraId="4EF5E540">
      <w:pPr>
        <w:spacing w:line="440" w:lineRule="exact"/>
        <w:ind w:left="424" w:leftChars="202" w:firstLine="480" w:firstLineChars="200"/>
        <w:rPr>
          <w:rFonts w:hint="eastAsia" w:ascii="宋体" w:hAnsi="宋体" w:cs="宋体"/>
          <w:color w:val="auto"/>
          <w:sz w:val="24"/>
          <w:szCs w:val="24"/>
          <w:highlight w:val="none"/>
        </w:rPr>
      </w:pPr>
    </w:p>
    <w:p w14:paraId="789256F9">
      <w:pPr>
        <w:spacing w:line="440" w:lineRule="exact"/>
        <w:ind w:left="424" w:leftChars="202"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特此证明。</w:t>
      </w:r>
    </w:p>
    <w:p w14:paraId="309E62E1">
      <w:pPr>
        <w:ind w:firstLine="482"/>
        <w:rPr>
          <w:rFonts w:hint="eastAsia"/>
          <w:color w:val="auto"/>
          <w:highlight w:val="none"/>
        </w:rPr>
      </w:pPr>
    </w:p>
    <w:p w14:paraId="1349D82C">
      <w:pPr>
        <w:snapToGrid w:val="0"/>
        <w:ind w:firstLine="480"/>
        <w:rPr>
          <w:rFonts w:ascii="宋体" w:hAnsi="宋体" w:cs="宋体"/>
          <w:b/>
          <w:color w:val="auto"/>
          <w:kern w:val="10"/>
          <w:sz w:val="24"/>
          <w:szCs w:val="24"/>
          <w:highlight w:val="none"/>
        </w:rPr>
      </w:pPr>
      <w:r>
        <w:rPr>
          <w:rFonts w:hint="eastAsia" w:ascii="宋体" w:hAnsi="宋体" w:cs="宋体"/>
          <w:b/>
          <w:color w:val="auto"/>
          <w:kern w:val="10"/>
          <w:sz w:val="24"/>
          <w:szCs w:val="24"/>
          <w:highlight w:val="none"/>
        </w:rPr>
        <w:t>附：（法定代表人身份证正反面原件扫描件）</w:t>
      </w:r>
    </w:p>
    <w:p w14:paraId="0FFEA1ED">
      <w:pPr>
        <w:spacing w:line="440" w:lineRule="exact"/>
        <w:ind w:firstLine="482"/>
        <w:rPr>
          <w:rFonts w:hint="eastAsia" w:ascii="宋体" w:hAnsi="宋体" w:cs="宋体"/>
          <w:color w:val="auto"/>
          <w:sz w:val="24"/>
          <w:szCs w:val="24"/>
          <w:highlight w:val="none"/>
        </w:rPr>
      </w:pPr>
    </w:p>
    <w:p w14:paraId="70E6751A">
      <w:pPr>
        <w:spacing w:line="440" w:lineRule="exact"/>
        <w:ind w:firstLine="482"/>
        <w:rPr>
          <w:rFonts w:hint="eastAsia" w:ascii="宋体" w:hAnsi="宋体" w:cs="宋体"/>
          <w:color w:val="auto"/>
          <w:sz w:val="24"/>
          <w:szCs w:val="24"/>
          <w:highlight w:val="none"/>
        </w:rPr>
      </w:pPr>
    </w:p>
    <w:p w14:paraId="765C953F">
      <w:pPr>
        <w:spacing w:line="480" w:lineRule="auto"/>
        <w:ind w:firstLine="48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供应商（盖章）：</w:t>
      </w:r>
    </w:p>
    <w:p w14:paraId="51F5BBFB">
      <w:pPr>
        <w:spacing w:line="480" w:lineRule="auto"/>
        <w:ind w:firstLine="482"/>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日  期：   年    月   日</w:t>
      </w:r>
    </w:p>
    <w:p w14:paraId="125B363A">
      <w:pPr>
        <w:spacing w:line="480" w:lineRule="auto"/>
        <w:ind w:firstLine="482"/>
        <w:rPr>
          <w:rFonts w:hint="eastAsia" w:ascii="宋体" w:hAnsi="宋体" w:cs="宋体"/>
          <w:color w:val="auto"/>
          <w:sz w:val="24"/>
          <w:szCs w:val="24"/>
          <w:highlight w:val="none"/>
        </w:rPr>
      </w:pPr>
    </w:p>
    <w:p w14:paraId="45A03B22">
      <w:pPr>
        <w:spacing w:line="440" w:lineRule="exact"/>
        <w:ind w:firstLine="482"/>
        <w:jc w:val="center"/>
        <w:rPr>
          <w:rFonts w:hint="eastAsia" w:ascii="宋体" w:hAnsi="宋体" w:cs="宋体"/>
          <w:color w:val="auto"/>
          <w:sz w:val="24"/>
          <w:szCs w:val="24"/>
          <w:highlight w:val="none"/>
        </w:rPr>
      </w:pPr>
    </w:p>
    <w:p w14:paraId="73DE3E44">
      <w:pPr>
        <w:spacing w:line="440" w:lineRule="exact"/>
        <w:ind w:firstLine="482"/>
        <w:jc w:val="center"/>
        <w:rPr>
          <w:rFonts w:hint="eastAsia" w:ascii="宋体" w:hAnsi="宋体" w:cs="宋体"/>
          <w:color w:val="auto"/>
          <w:sz w:val="24"/>
          <w:szCs w:val="24"/>
          <w:highlight w:val="none"/>
        </w:rPr>
      </w:pPr>
    </w:p>
    <w:p w14:paraId="3ABEC560">
      <w:pPr>
        <w:spacing w:line="360" w:lineRule="auto"/>
        <w:ind w:firstLine="640"/>
        <w:jc w:val="center"/>
        <w:rPr>
          <w:rFonts w:hint="eastAsia" w:ascii="宋体" w:cs="宋体"/>
          <w:color w:val="auto"/>
          <w:highlight w:val="none"/>
        </w:rPr>
      </w:pPr>
      <w:r>
        <w:rPr>
          <w:rFonts w:hint="eastAsia" w:ascii="宋体" w:hAnsi="宋体" w:cs="宋体"/>
          <w:b/>
          <w:color w:val="auto"/>
          <w:sz w:val="32"/>
          <w:highlight w:val="none"/>
        </w:rPr>
        <w:br w:type="page"/>
      </w:r>
      <w:bookmarkStart w:id="1402" w:name="_Toc179632814"/>
      <w:bookmarkStart w:id="1403" w:name="_Toc144974862"/>
      <w:bookmarkStart w:id="1404" w:name="_Toc247085880"/>
      <w:bookmarkStart w:id="1405" w:name="_Toc246997105"/>
      <w:bookmarkStart w:id="1406" w:name="_Toc246996362"/>
      <w:bookmarkStart w:id="1407" w:name="_Toc152042583"/>
      <w:bookmarkStart w:id="1408" w:name="_Toc152045794"/>
      <w:bookmarkStart w:id="1409" w:name="_Toc296602607"/>
      <w:r>
        <w:rPr>
          <w:rFonts w:hint="eastAsia" w:ascii="宋体" w:hAnsi="宋体" w:cs="宋体"/>
          <w:b/>
          <w:bCs/>
          <w:color w:val="auto"/>
          <w:kern w:val="44"/>
          <w:sz w:val="24"/>
          <w:szCs w:val="24"/>
          <w:highlight w:val="none"/>
        </w:rPr>
        <w:t>（二）授权委托书</w:t>
      </w:r>
    </w:p>
    <w:p w14:paraId="4B5F4E74">
      <w:pPr>
        <w:spacing w:line="500" w:lineRule="exact"/>
        <w:ind w:firstLine="480" w:firstLineChars="200"/>
        <w:rPr>
          <w:rFonts w:hint="eastAsia"/>
          <w:color w:val="auto"/>
          <w:sz w:val="24"/>
          <w:szCs w:val="24"/>
          <w:highlight w:val="none"/>
        </w:rPr>
      </w:pPr>
      <w:r>
        <w:rPr>
          <w:rFonts w:hint="eastAsia"/>
          <w:color w:val="auto"/>
          <w:sz w:val="24"/>
          <w:szCs w:val="24"/>
          <w:highlight w:val="none"/>
        </w:rPr>
        <w:t>本人</w:t>
      </w:r>
      <w:r>
        <w:rPr>
          <w:color w:val="auto"/>
          <w:sz w:val="24"/>
          <w:szCs w:val="24"/>
          <w:highlight w:val="none"/>
          <w:u w:val="single"/>
        </w:rPr>
        <w:t xml:space="preserve">         </w:t>
      </w:r>
      <w:r>
        <w:rPr>
          <w:rFonts w:hint="eastAsia"/>
          <w:color w:val="auto"/>
          <w:sz w:val="24"/>
          <w:szCs w:val="24"/>
          <w:highlight w:val="none"/>
        </w:rPr>
        <w:t>（姓名）系</w:t>
      </w:r>
      <w:r>
        <w:rPr>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lang w:val="en-US" w:eastAsia="zh-CN"/>
        </w:rPr>
        <w:t>供应商</w:t>
      </w:r>
      <w:r>
        <w:rPr>
          <w:rFonts w:hint="eastAsia"/>
          <w:color w:val="auto"/>
          <w:sz w:val="24"/>
          <w:szCs w:val="24"/>
          <w:highlight w:val="none"/>
        </w:rPr>
        <w:t>名称）的法定代表人，现委托</w:t>
      </w:r>
    </w:p>
    <w:p w14:paraId="480B5B55">
      <w:pPr>
        <w:spacing w:line="500" w:lineRule="exact"/>
        <w:rPr>
          <w:rFonts w:hint="eastAsia"/>
          <w:color w:val="auto"/>
          <w:sz w:val="24"/>
          <w:szCs w:val="24"/>
          <w:highlight w:val="none"/>
        </w:rPr>
      </w:pPr>
      <w:r>
        <w:rPr>
          <w:color w:val="auto"/>
          <w:sz w:val="24"/>
          <w:szCs w:val="24"/>
          <w:highlight w:val="none"/>
          <w:u w:val="single"/>
        </w:rPr>
        <w:t xml:space="preserve">         </w:t>
      </w:r>
      <w:r>
        <w:rPr>
          <w:rFonts w:hint="eastAsia"/>
          <w:color w:val="auto"/>
          <w:sz w:val="24"/>
          <w:szCs w:val="24"/>
          <w:highlight w:val="none"/>
        </w:rPr>
        <w:t>（姓名）为我方代理人。代理人根据授权，以我方名义签署、澄清、说明、补正、递交、撤回、修改</w:t>
      </w:r>
      <w:r>
        <w:rPr>
          <w:color w:val="auto"/>
          <w:sz w:val="24"/>
          <w:szCs w:val="24"/>
          <w:highlight w:val="none"/>
          <w:u w:val="single"/>
        </w:rPr>
        <w:t xml:space="preserve">         </w:t>
      </w:r>
      <w:r>
        <w:rPr>
          <w:rFonts w:hint="eastAsia"/>
          <w:color w:val="auto"/>
          <w:sz w:val="24"/>
          <w:szCs w:val="24"/>
          <w:highlight w:val="none"/>
        </w:rPr>
        <w:t>（项目名称）投标文件、签订合同和处理有关事宜，其法律后果由我方承担。</w:t>
      </w:r>
    </w:p>
    <w:p w14:paraId="797629A6">
      <w:pPr>
        <w:pStyle w:val="25"/>
        <w:ind w:firstLine="562"/>
        <w:rPr>
          <w:color w:val="auto"/>
          <w:highlight w:val="none"/>
        </w:rPr>
      </w:pPr>
    </w:p>
    <w:p w14:paraId="7F57E2D6">
      <w:pPr>
        <w:pStyle w:val="25"/>
        <w:ind w:firstLine="482"/>
        <w:rPr>
          <w:rFonts w:eastAsia="宋体"/>
          <w:color w:val="auto"/>
          <w:highlight w:val="none"/>
        </w:rPr>
      </w:pPr>
      <w:r>
        <w:rPr>
          <w:rFonts w:hint="eastAsia" w:eastAsia="宋体"/>
          <w:color w:val="auto"/>
          <w:sz w:val="24"/>
          <w:szCs w:val="24"/>
          <w:highlight w:val="none"/>
        </w:rPr>
        <w:t>委托期限：</w:t>
      </w:r>
      <w:r>
        <w:rPr>
          <w:color w:val="auto"/>
          <w:sz w:val="24"/>
          <w:szCs w:val="24"/>
          <w:highlight w:val="none"/>
          <w:u w:val="single"/>
        </w:rPr>
        <w:t xml:space="preserve">                       </w:t>
      </w:r>
      <w:r>
        <w:rPr>
          <w:rFonts w:hint="eastAsia" w:ascii="宋体" w:hAnsi="宋体" w:eastAsia="宋体" w:cs="宋体"/>
          <w:color w:val="auto"/>
          <w:sz w:val="24"/>
          <w:szCs w:val="24"/>
          <w:highlight w:val="none"/>
          <w:u w:val="single"/>
        </w:rPr>
        <w:t>。</w:t>
      </w:r>
    </w:p>
    <w:p w14:paraId="64657040">
      <w:pPr>
        <w:spacing w:before="312" w:beforeLines="100" w:after="312" w:afterLines="100" w:line="360" w:lineRule="auto"/>
        <w:ind w:firstLine="480" w:firstLineChars="200"/>
        <w:rPr>
          <w:color w:val="auto"/>
          <w:sz w:val="24"/>
          <w:szCs w:val="24"/>
          <w:highlight w:val="none"/>
        </w:rPr>
      </w:pPr>
      <w:r>
        <w:rPr>
          <w:rFonts w:hint="eastAsia"/>
          <w:color w:val="auto"/>
          <w:sz w:val="24"/>
          <w:szCs w:val="24"/>
          <w:highlight w:val="none"/>
        </w:rPr>
        <w:t>代理人无转委托权。</w:t>
      </w:r>
    </w:p>
    <w:p w14:paraId="03DE43D9">
      <w:pPr>
        <w:spacing w:after="312" w:afterLines="100" w:line="360" w:lineRule="auto"/>
        <w:ind w:firstLine="480" w:firstLineChars="200"/>
        <w:rPr>
          <w:color w:val="auto"/>
          <w:sz w:val="24"/>
          <w:szCs w:val="24"/>
          <w:highlight w:val="none"/>
        </w:rPr>
      </w:pPr>
      <w:r>
        <w:rPr>
          <w:rFonts w:hint="eastAsia"/>
          <w:color w:val="auto"/>
          <w:sz w:val="24"/>
          <w:szCs w:val="24"/>
          <w:highlight w:val="none"/>
        </w:rPr>
        <w:t>附：</w:t>
      </w:r>
      <w:r>
        <w:rPr>
          <w:rFonts w:hint="eastAsia" w:ascii="宋体" w:hAnsi="宋体" w:cs="宋体"/>
          <w:color w:val="auto"/>
          <w:sz w:val="24"/>
          <w:szCs w:val="24"/>
          <w:highlight w:val="none"/>
        </w:rPr>
        <w:t>法定代表人身份证及授权委托代理人身份证正反面原件扫描件</w:t>
      </w:r>
    </w:p>
    <w:p w14:paraId="36DDC64E">
      <w:pPr>
        <w:spacing w:line="480" w:lineRule="auto"/>
        <w:ind w:firstLine="482"/>
        <w:rPr>
          <w:color w:val="auto"/>
          <w:sz w:val="24"/>
          <w:szCs w:val="24"/>
          <w:highlight w:val="none"/>
        </w:rPr>
      </w:pPr>
    </w:p>
    <w:p w14:paraId="4F17D6F0">
      <w:pPr>
        <w:spacing w:line="440" w:lineRule="exact"/>
        <w:ind w:firstLine="2700" w:firstLineChars="1125"/>
        <w:rPr>
          <w:rFonts w:hint="eastAsia"/>
          <w:color w:val="auto"/>
          <w:sz w:val="24"/>
          <w:szCs w:val="24"/>
          <w:highlight w:val="none"/>
          <w:lang w:eastAsia="zh-CN"/>
        </w:rPr>
      </w:pPr>
      <w:r>
        <w:rPr>
          <w:rFonts w:hint="eastAsia"/>
          <w:color w:val="auto"/>
          <w:sz w:val="24"/>
          <w:szCs w:val="24"/>
          <w:highlight w:val="none"/>
          <w:lang w:eastAsia="zh-CN"/>
        </w:rPr>
        <w:t>响  应 人：（盖单位章）</w:t>
      </w:r>
    </w:p>
    <w:p w14:paraId="0F163E08">
      <w:pPr>
        <w:spacing w:line="440" w:lineRule="exact"/>
        <w:ind w:firstLine="2700" w:firstLineChars="1125"/>
        <w:rPr>
          <w:rFonts w:hint="eastAsia"/>
          <w:color w:val="auto"/>
          <w:sz w:val="24"/>
          <w:szCs w:val="24"/>
          <w:highlight w:val="none"/>
          <w:lang w:eastAsia="zh-CN"/>
        </w:rPr>
      </w:pPr>
    </w:p>
    <w:p w14:paraId="23CAA046">
      <w:pPr>
        <w:spacing w:line="440" w:lineRule="exact"/>
        <w:ind w:firstLine="2700" w:firstLineChars="1125"/>
        <w:rPr>
          <w:rFonts w:hint="eastAsia"/>
          <w:color w:val="auto"/>
          <w:sz w:val="24"/>
          <w:szCs w:val="24"/>
          <w:highlight w:val="none"/>
          <w:lang w:eastAsia="zh-CN"/>
        </w:rPr>
      </w:pPr>
      <w:r>
        <w:rPr>
          <w:rFonts w:hint="eastAsia"/>
          <w:color w:val="auto"/>
          <w:sz w:val="24"/>
          <w:szCs w:val="24"/>
          <w:highlight w:val="none"/>
          <w:lang w:eastAsia="zh-CN"/>
        </w:rPr>
        <w:t>法定代表人：（签字或盖章）</w:t>
      </w:r>
    </w:p>
    <w:p w14:paraId="146C4539">
      <w:pPr>
        <w:spacing w:line="440" w:lineRule="exact"/>
        <w:ind w:firstLine="2700" w:firstLineChars="1125"/>
        <w:rPr>
          <w:rFonts w:hint="eastAsia"/>
          <w:color w:val="auto"/>
          <w:sz w:val="24"/>
          <w:szCs w:val="24"/>
          <w:highlight w:val="none"/>
        </w:rPr>
      </w:pPr>
    </w:p>
    <w:p w14:paraId="6E44E2B9">
      <w:pPr>
        <w:spacing w:line="440" w:lineRule="exact"/>
        <w:ind w:firstLine="2700" w:firstLineChars="1125"/>
        <w:rPr>
          <w:color w:val="auto"/>
          <w:sz w:val="24"/>
          <w:szCs w:val="24"/>
          <w:highlight w:val="none"/>
        </w:rPr>
      </w:pPr>
      <w:r>
        <w:rPr>
          <w:rFonts w:hint="eastAsia"/>
          <w:color w:val="auto"/>
          <w:sz w:val="24"/>
          <w:szCs w:val="24"/>
          <w:highlight w:val="none"/>
        </w:rPr>
        <w:t>身份证号码：</w:t>
      </w:r>
    </w:p>
    <w:p w14:paraId="3C8940A2">
      <w:pPr>
        <w:spacing w:line="440" w:lineRule="exact"/>
        <w:ind w:firstLine="2700" w:firstLineChars="1125"/>
        <w:rPr>
          <w:color w:val="auto"/>
          <w:sz w:val="24"/>
          <w:szCs w:val="24"/>
          <w:highlight w:val="none"/>
        </w:rPr>
      </w:pPr>
    </w:p>
    <w:p w14:paraId="35388E83">
      <w:pPr>
        <w:spacing w:line="440" w:lineRule="exact"/>
        <w:ind w:firstLine="2700" w:firstLineChars="1125"/>
        <w:rPr>
          <w:color w:val="auto"/>
          <w:sz w:val="24"/>
          <w:szCs w:val="24"/>
          <w:highlight w:val="none"/>
        </w:rPr>
      </w:pPr>
      <w:r>
        <w:rPr>
          <w:rFonts w:hint="eastAsia"/>
          <w:color w:val="auto"/>
          <w:sz w:val="24"/>
          <w:szCs w:val="24"/>
          <w:highlight w:val="none"/>
        </w:rPr>
        <w:t>委托代理人：</w:t>
      </w:r>
      <w:r>
        <w:rPr>
          <w:rFonts w:hint="eastAsia"/>
          <w:sz w:val="24"/>
          <w:szCs w:val="24"/>
          <w:lang w:eastAsia="zh-CN"/>
        </w:rPr>
        <w:t>（签字或法定代表人签章）</w:t>
      </w:r>
    </w:p>
    <w:p w14:paraId="6A51EE2C">
      <w:pPr>
        <w:spacing w:line="440" w:lineRule="exact"/>
        <w:ind w:firstLine="2700" w:firstLineChars="1125"/>
        <w:rPr>
          <w:color w:val="auto"/>
          <w:sz w:val="24"/>
          <w:szCs w:val="24"/>
          <w:highlight w:val="none"/>
        </w:rPr>
      </w:pPr>
      <w:r>
        <w:rPr>
          <w:rFonts w:hint="eastAsia"/>
          <w:color w:val="auto"/>
          <w:sz w:val="24"/>
          <w:szCs w:val="24"/>
          <w:highlight w:val="none"/>
        </w:rPr>
        <w:t>身份证号码：</w:t>
      </w:r>
    </w:p>
    <w:p w14:paraId="5448A23B">
      <w:pPr>
        <w:spacing w:line="440" w:lineRule="exact"/>
        <w:ind w:firstLine="2700" w:firstLineChars="1125"/>
        <w:rPr>
          <w:color w:val="auto"/>
          <w:sz w:val="24"/>
          <w:szCs w:val="24"/>
          <w:highlight w:val="none"/>
        </w:rPr>
      </w:pPr>
    </w:p>
    <w:p w14:paraId="0241B15E">
      <w:pPr>
        <w:spacing w:line="440" w:lineRule="exact"/>
        <w:ind w:firstLine="2700" w:firstLineChars="1125"/>
        <w:rPr>
          <w:color w:val="auto"/>
          <w:sz w:val="24"/>
          <w:szCs w:val="24"/>
          <w:highlight w:val="none"/>
        </w:rPr>
      </w:pPr>
      <w:r>
        <w:rPr>
          <w:rFonts w:hint="eastAsia"/>
          <w:color w:val="auto"/>
          <w:sz w:val="24"/>
          <w:szCs w:val="24"/>
          <w:highlight w:val="none"/>
        </w:rPr>
        <w:t>联系电话：</w:t>
      </w:r>
    </w:p>
    <w:p w14:paraId="58F037DA">
      <w:pPr>
        <w:spacing w:line="440" w:lineRule="exact"/>
        <w:ind w:firstLine="2700" w:firstLineChars="1125"/>
        <w:rPr>
          <w:color w:val="auto"/>
          <w:sz w:val="24"/>
          <w:szCs w:val="24"/>
          <w:highlight w:val="none"/>
        </w:rPr>
      </w:pPr>
    </w:p>
    <w:p w14:paraId="7CE598F3">
      <w:pPr>
        <w:spacing w:line="440" w:lineRule="exact"/>
        <w:ind w:firstLine="2700" w:firstLineChars="1125"/>
        <w:rPr>
          <w:color w:val="auto"/>
          <w:sz w:val="24"/>
          <w:szCs w:val="24"/>
          <w:highlight w:val="none"/>
        </w:rPr>
      </w:pPr>
      <w:r>
        <w:rPr>
          <w:rFonts w:hint="eastAsia"/>
          <w:color w:val="auto"/>
          <w:sz w:val="24"/>
          <w:szCs w:val="24"/>
          <w:highlight w:val="none"/>
        </w:rPr>
        <w:t>日期：  年  月  日</w:t>
      </w:r>
    </w:p>
    <w:p w14:paraId="525D8B01">
      <w:pPr>
        <w:spacing w:line="480" w:lineRule="auto"/>
        <w:ind w:firstLine="480"/>
        <w:rPr>
          <w:b/>
          <w:bCs/>
          <w:color w:val="auto"/>
          <w:sz w:val="24"/>
          <w:szCs w:val="24"/>
          <w:highlight w:val="none"/>
        </w:rPr>
      </w:pPr>
      <w:r>
        <w:rPr>
          <w:rFonts w:hint="eastAsia"/>
          <w:b/>
          <w:bCs/>
          <w:color w:val="auto"/>
          <w:sz w:val="24"/>
          <w:szCs w:val="24"/>
          <w:highlight w:val="none"/>
        </w:rPr>
        <w:t>注：因投标文件中授权委托书授权代理人无法手写签字及盖章，可以以印刷体代替（印刷体为电脑打出的字体）。</w:t>
      </w:r>
    </w:p>
    <w:p w14:paraId="0BB3DA4F">
      <w:pPr>
        <w:ind w:firstLine="482"/>
        <w:rPr>
          <w:color w:val="auto"/>
          <w:sz w:val="24"/>
          <w:szCs w:val="24"/>
          <w:highlight w:val="none"/>
        </w:rPr>
      </w:pPr>
    </w:p>
    <w:p w14:paraId="674DB027">
      <w:pPr>
        <w:spacing w:line="360" w:lineRule="auto"/>
        <w:ind w:firstLine="640"/>
        <w:jc w:val="center"/>
        <w:rPr>
          <w:rFonts w:ascii="宋体" w:hAnsi="宋体" w:cs="宋体"/>
          <w:b/>
          <w:bCs/>
          <w:color w:val="auto"/>
          <w:sz w:val="32"/>
          <w:szCs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四、</w:t>
      </w:r>
      <w:bookmarkEnd w:id="1402"/>
      <w:bookmarkEnd w:id="1403"/>
      <w:bookmarkEnd w:id="1404"/>
      <w:bookmarkEnd w:id="1405"/>
      <w:bookmarkEnd w:id="1406"/>
      <w:bookmarkEnd w:id="1407"/>
      <w:bookmarkEnd w:id="1408"/>
      <w:bookmarkEnd w:id="1409"/>
      <w:r>
        <w:rPr>
          <w:rFonts w:hint="eastAsia" w:ascii="宋体" w:hAnsi="宋体" w:cs="宋体"/>
          <w:b/>
          <w:bCs/>
          <w:color w:val="auto"/>
          <w:sz w:val="32"/>
          <w:szCs w:val="32"/>
          <w:highlight w:val="none"/>
        </w:rPr>
        <w:t>投标承诺函</w:t>
      </w:r>
    </w:p>
    <w:p w14:paraId="78B6E16B">
      <w:pPr>
        <w:spacing w:line="480" w:lineRule="auto"/>
        <w:ind w:firstLine="480" w:firstLineChars="200"/>
        <w:rPr>
          <w:rFonts w:hint="eastAsia" w:ascii="宋体" w:cs="宋体"/>
          <w:b/>
          <w:bCs/>
          <w:color w:val="auto"/>
          <w:sz w:val="32"/>
          <w:szCs w:val="32"/>
          <w:highlight w:val="none"/>
        </w:rPr>
      </w:pPr>
      <w:r>
        <w:rPr>
          <w:rFonts w:hint="eastAsia" w:ascii="宋体" w:hAnsi="宋体" w:cs="宋体"/>
          <w:color w:val="auto"/>
          <w:sz w:val="24"/>
          <w:szCs w:val="24"/>
          <w:highlight w:val="none"/>
        </w:rPr>
        <w:t>我公司在参加</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项目的磋商活动中，郑重承诺如下：</w:t>
      </w:r>
    </w:p>
    <w:p w14:paraId="6A4460BA">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1.我方同意承担磋商所发生的一切费用；</w:t>
      </w:r>
    </w:p>
    <w:p w14:paraId="5FDFF745">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2.我方在此声明，本次采购活动中申报的所有资料都是真实、准确完整的，如发现虚假资料，或与事实不符而导致磋商无效，甚至造成任何法律和经济责任，完全由我方负责；</w:t>
      </w:r>
    </w:p>
    <w:p w14:paraId="78E9A48D">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3.我方在本次磋商活动中绝无资质挂靠、串标、围标情形，若经贵方查出，立即取消我方磋商资格并承担相应的法律责任；</w:t>
      </w:r>
    </w:p>
    <w:p w14:paraId="29F04BB9">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4.我方一旦成交，将按规定及时与采购单位签订合同，并严格按照投标文件中所承诺的报价、质量、工期、投标方案、项目经理等资料组织实施；</w:t>
      </w:r>
    </w:p>
    <w:p w14:paraId="2CECA2ED">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5.我方保证对相关法律法规及上述磋商文件中规定需要保密的内容严格履行保密义务。</w:t>
      </w:r>
    </w:p>
    <w:p w14:paraId="410F3D96">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我方有上述情形之一的，贵单位有权将上述情况上报财政部门，建议财政部门将我公司列入政府采购不良行为纪录名单，在一至三年内禁止参加政府采购活动，并予以通报；给贵单位造成经济损失的，依照有关民事法律规定向贵单位承担民事责任。</w:t>
      </w:r>
    </w:p>
    <w:p w14:paraId="2E6A3BAA">
      <w:pPr>
        <w:shd w:val="clear" w:color="auto" w:fill="FFFFFF"/>
        <w:tabs>
          <w:tab w:val="right" w:pos="6077"/>
        </w:tabs>
        <w:autoSpaceDE w:val="0"/>
        <w:autoSpaceDN w:val="0"/>
        <w:spacing w:line="480" w:lineRule="auto"/>
        <w:ind w:firstLine="480" w:firstLineChars="200"/>
        <w:rPr>
          <w:rFonts w:hint="eastAsia" w:ascii="宋体" w:cs="宋体"/>
          <w:color w:val="auto"/>
          <w:sz w:val="24"/>
          <w:szCs w:val="24"/>
          <w:highlight w:val="none"/>
        </w:rPr>
      </w:pPr>
      <w:r>
        <w:rPr>
          <w:rFonts w:hint="eastAsia" w:ascii="宋体" w:hAnsi="宋体" w:cs="宋体"/>
          <w:color w:val="auto"/>
          <w:sz w:val="24"/>
          <w:szCs w:val="24"/>
          <w:highlight w:val="none"/>
        </w:rPr>
        <w:t>我方已明确理解了上述条款的含义并确保履行。</w:t>
      </w:r>
    </w:p>
    <w:p w14:paraId="06EDF081">
      <w:pPr>
        <w:spacing w:line="460" w:lineRule="exact"/>
        <w:ind w:firstLine="482"/>
        <w:rPr>
          <w:rFonts w:hint="eastAsia" w:ascii="宋体" w:hAnsi="宋体"/>
          <w:color w:val="auto"/>
          <w:sz w:val="24"/>
          <w:szCs w:val="24"/>
          <w:highlight w:val="none"/>
        </w:rPr>
      </w:pPr>
    </w:p>
    <w:p w14:paraId="68410588">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（盖单位章）</w:t>
      </w:r>
    </w:p>
    <w:p w14:paraId="55E5F81B">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lang w:eastAsia="zh-CN"/>
        </w:rPr>
        <w:t>（签字或盖章）</w:t>
      </w:r>
    </w:p>
    <w:p w14:paraId="61D9EAAE">
      <w:pPr>
        <w:widowControl/>
        <w:adjustRightInd w:val="0"/>
        <w:spacing w:line="360" w:lineRule="auto"/>
        <w:ind w:firstLine="482"/>
        <w:jc w:val="left"/>
        <w:rPr>
          <w:rFonts w:hint="eastAsia" w:ascii="宋体" w:hAnsi="宋体" w:cs="宋体"/>
          <w:color w:val="auto"/>
          <w:kern w:val="0"/>
          <w:sz w:val="22"/>
          <w:szCs w:val="22"/>
          <w:highlight w:val="none"/>
        </w:rPr>
      </w:pPr>
      <w:r>
        <w:rPr>
          <w:rFonts w:hint="eastAsia" w:ascii="宋体" w:hAnsi="宋体" w:cs="宋体"/>
          <w:color w:val="auto"/>
          <w:kern w:val="0"/>
          <w:sz w:val="24"/>
          <w:szCs w:val="24"/>
          <w:highlight w:val="none"/>
        </w:rPr>
        <w:t>日期：  年  月  日</w:t>
      </w:r>
    </w:p>
    <w:p w14:paraId="49268D6A">
      <w:pPr>
        <w:widowControl/>
        <w:adjustRightInd w:val="0"/>
        <w:spacing w:line="360" w:lineRule="auto"/>
        <w:ind w:firstLine="482"/>
        <w:jc w:val="left"/>
        <w:rPr>
          <w:rFonts w:hint="eastAsia" w:ascii="宋体" w:hAnsi="宋体" w:cs="宋体"/>
          <w:color w:val="auto"/>
          <w:kern w:val="0"/>
          <w:sz w:val="22"/>
          <w:szCs w:val="22"/>
          <w:highlight w:val="none"/>
        </w:rPr>
      </w:pPr>
    </w:p>
    <w:p w14:paraId="3644C967">
      <w:pPr>
        <w:pStyle w:val="5"/>
        <w:ind w:firstLine="482"/>
        <w:jc w:val="both"/>
        <w:rPr>
          <w:rFonts w:hint="eastAsia" w:ascii="宋体" w:hAnsi="宋体" w:eastAsia="宋体" w:cs="宋体"/>
          <w:color w:val="auto"/>
          <w:highlight w:val="none"/>
        </w:rPr>
      </w:pPr>
      <w:r>
        <w:rPr>
          <w:rFonts w:hint="eastAsia" w:ascii="宋体" w:hAnsi="宋体"/>
          <w:b w:val="0"/>
          <w:bCs w:val="0"/>
          <w:color w:val="auto"/>
          <w:sz w:val="24"/>
          <w:highlight w:val="none"/>
        </w:rPr>
        <w:br w:type="page"/>
      </w:r>
      <w:bookmarkStart w:id="1410" w:name="_Toc246997106"/>
      <w:bookmarkStart w:id="1411" w:name="_Toc152042584"/>
      <w:bookmarkStart w:id="1412" w:name="_Toc144974863"/>
      <w:bookmarkStart w:id="1413" w:name="_Toc246996363"/>
      <w:bookmarkStart w:id="1414" w:name="_Toc247085881"/>
      <w:bookmarkStart w:id="1415" w:name="_Toc296602608"/>
      <w:bookmarkStart w:id="1416" w:name="_Toc77586971"/>
      <w:bookmarkStart w:id="1417" w:name="_Toc179632815"/>
      <w:bookmarkStart w:id="1418" w:name="_Toc152045795"/>
      <w:bookmarkStart w:id="1419" w:name="_Toc24154"/>
      <w:bookmarkStart w:id="1420" w:name="_Toc77586873"/>
      <w:bookmarkStart w:id="1421" w:name="_Toc247085882"/>
      <w:bookmarkStart w:id="1422" w:name="_Toc152045796"/>
      <w:bookmarkStart w:id="1423" w:name="_Toc152042585"/>
      <w:bookmarkStart w:id="1424" w:name="_Toc246996364"/>
      <w:bookmarkStart w:id="1425" w:name="_Toc296602609"/>
      <w:bookmarkStart w:id="1426" w:name="_Toc144974864"/>
      <w:bookmarkStart w:id="1427" w:name="_Toc179632816"/>
      <w:bookmarkStart w:id="1428" w:name="_Toc246997107"/>
      <w:r>
        <w:rPr>
          <w:rFonts w:hint="eastAsia" w:ascii="宋体" w:hAnsi="宋体"/>
          <w:b w:val="0"/>
          <w:bCs w:val="0"/>
          <w:color w:val="auto"/>
          <w:sz w:val="24"/>
          <w:highlight w:val="none"/>
          <w:lang w:val="en-US" w:eastAsia="zh-CN"/>
        </w:rPr>
        <w:t xml:space="preserve"> </w:t>
      </w:r>
      <w:r>
        <w:rPr>
          <w:rFonts w:hint="eastAsia" w:ascii="宋体" w:hAnsi="宋体" w:eastAsia="宋体" w:cs="宋体"/>
          <w:color w:val="auto"/>
          <w:highlight w:val="none"/>
        </w:rPr>
        <w:t>五、已标价工程量清单</w:t>
      </w:r>
      <w:bookmarkEnd w:id="1410"/>
      <w:bookmarkEnd w:id="1411"/>
      <w:bookmarkEnd w:id="1412"/>
      <w:bookmarkEnd w:id="1413"/>
      <w:bookmarkEnd w:id="1414"/>
      <w:bookmarkEnd w:id="1415"/>
      <w:bookmarkEnd w:id="1416"/>
      <w:bookmarkEnd w:id="1417"/>
      <w:bookmarkEnd w:id="1418"/>
      <w:bookmarkEnd w:id="1419"/>
      <w:bookmarkEnd w:id="1420"/>
    </w:p>
    <w:p w14:paraId="7CD2C0BF">
      <w:pPr>
        <w:spacing w:line="440" w:lineRule="exact"/>
        <w:ind w:firstLine="640"/>
        <w:jc w:val="center"/>
        <w:rPr>
          <w:rFonts w:hint="eastAsia" w:ascii="宋体" w:hAnsi="宋体" w:cs="宋体"/>
          <w:b/>
          <w:color w:val="auto"/>
          <w:sz w:val="32"/>
          <w:szCs w:val="32"/>
          <w:highlight w:val="none"/>
        </w:rPr>
      </w:pPr>
    </w:p>
    <w:p w14:paraId="6BA25221">
      <w:pPr>
        <w:spacing w:line="440" w:lineRule="exact"/>
        <w:ind w:firstLine="640"/>
        <w:jc w:val="center"/>
        <w:rPr>
          <w:rFonts w:hint="eastAsia" w:ascii="宋体" w:hAnsi="宋体" w:cs="宋体"/>
          <w:b/>
          <w:color w:val="auto"/>
          <w:sz w:val="32"/>
          <w:szCs w:val="32"/>
          <w:highlight w:val="none"/>
        </w:rPr>
      </w:pPr>
    </w:p>
    <w:p w14:paraId="0684AE2A">
      <w:pPr>
        <w:spacing w:line="440" w:lineRule="exact"/>
        <w:ind w:firstLine="640"/>
        <w:jc w:val="center"/>
        <w:rPr>
          <w:rFonts w:hint="eastAsia" w:ascii="宋体" w:hAnsi="宋体" w:cs="宋体"/>
          <w:b/>
          <w:color w:val="auto"/>
          <w:sz w:val="32"/>
          <w:szCs w:val="32"/>
          <w:highlight w:val="none"/>
        </w:rPr>
      </w:pPr>
    </w:p>
    <w:p w14:paraId="2F9BE202">
      <w:pPr>
        <w:spacing w:line="440" w:lineRule="exact"/>
        <w:ind w:firstLine="640"/>
        <w:jc w:val="center"/>
        <w:rPr>
          <w:rFonts w:hint="eastAsia" w:ascii="宋体" w:hAnsi="宋体" w:cs="宋体"/>
          <w:b/>
          <w:color w:val="auto"/>
          <w:sz w:val="32"/>
          <w:szCs w:val="32"/>
          <w:highlight w:val="none"/>
        </w:rPr>
      </w:pPr>
    </w:p>
    <w:p w14:paraId="68AB0F98">
      <w:pPr>
        <w:spacing w:line="440" w:lineRule="exact"/>
        <w:ind w:firstLine="640"/>
        <w:jc w:val="center"/>
        <w:rPr>
          <w:rFonts w:hint="eastAsia" w:ascii="宋体" w:hAnsi="宋体" w:cs="宋体"/>
          <w:b/>
          <w:color w:val="auto"/>
          <w:sz w:val="32"/>
          <w:szCs w:val="32"/>
          <w:highlight w:val="none"/>
        </w:rPr>
      </w:pPr>
    </w:p>
    <w:p w14:paraId="5555D0EF">
      <w:pPr>
        <w:spacing w:line="440" w:lineRule="exact"/>
        <w:ind w:firstLine="640"/>
        <w:jc w:val="center"/>
        <w:rPr>
          <w:rFonts w:hint="eastAsia" w:ascii="宋体" w:hAnsi="宋体" w:cs="宋体"/>
          <w:b/>
          <w:color w:val="auto"/>
          <w:sz w:val="32"/>
          <w:szCs w:val="32"/>
          <w:highlight w:val="none"/>
        </w:rPr>
      </w:pPr>
    </w:p>
    <w:p w14:paraId="0BBD0BDA">
      <w:pPr>
        <w:spacing w:line="440" w:lineRule="exact"/>
        <w:ind w:firstLine="640"/>
        <w:jc w:val="center"/>
        <w:rPr>
          <w:rFonts w:hint="eastAsia" w:ascii="宋体" w:hAnsi="宋体" w:cs="宋体"/>
          <w:b/>
          <w:color w:val="auto"/>
          <w:sz w:val="32"/>
          <w:szCs w:val="32"/>
          <w:highlight w:val="none"/>
        </w:rPr>
      </w:pPr>
    </w:p>
    <w:p w14:paraId="57EC1FB7">
      <w:pPr>
        <w:spacing w:line="440" w:lineRule="exact"/>
        <w:ind w:firstLine="640"/>
        <w:jc w:val="center"/>
        <w:rPr>
          <w:rFonts w:hint="eastAsia" w:ascii="宋体" w:hAnsi="宋体" w:cs="宋体"/>
          <w:b/>
          <w:color w:val="auto"/>
          <w:sz w:val="32"/>
          <w:szCs w:val="32"/>
          <w:highlight w:val="none"/>
        </w:rPr>
      </w:pPr>
    </w:p>
    <w:p w14:paraId="77E13311">
      <w:pPr>
        <w:spacing w:line="440" w:lineRule="exact"/>
        <w:ind w:firstLine="640"/>
        <w:jc w:val="center"/>
        <w:rPr>
          <w:rFonts w:hint="eastAsia" w:ascii="宋体" w:hAnsi="宋体" w:cs="宋体"/>
          <w:b/>
          <w:color w:val="auto"/>
          <w:sz w:val="32"/>
          <w:szCs w:val="32"/>
          <w:highlight w:val="none"/>
        </w:rPr>
      </w:pPr>
    </w:p>
    <w:p w14:paraId="779A5922">
      <w:pPr>
        <w:spacing w:line="440" w:lineRule="exact"/>
        <w:ind w:firstLine="640"/>
        <w:jc w:val="center"/>
        <w:rPr>
          <w:rFonts w:hint="eastAsia" w:ascii="宋体" w:hAnsi="宋体" w:cs="宋体"/>
          <w:b/>
          <w:color w:val="auto"/>
          <w:sz w:val="32"/>
          <w:szCs w:val="32"/>
          <w:highlight w:val="none"/>
        </w:rPr>
      </w:pPr>
    </w:p>
    <w:p w14:paraId="29FD17FF">
      <w:pPr>
        <w:spacing w:line="440" w:lineRule="exact"/>
        <w:ind w:firstLine="640"/>
        <w:jc w:val="center"/>
        <w:rPr>
          <w:rFonts w:hint="eastAsia" w:ascii="宋体" w:hAnsi="宋体" w:cs="宋体"/>
          <w:b/>
          <w:color w:val="auto"/>
          <w:sz w:val="32"/>
          <w:szCs w:val="32"/>
          <w:highlight w:val="none"/>
        </w:rPr>
      </w:pPr>
    </w:p>
    <w:p w14:paraId="224FB20D">
      <w:pPr>
        <w:spacing w:line="440" w:lineRule="exact"/>
        <w:ind w:firstLine="640"/>
        <w:jc w:val="center"/>
        <w:rPr>
          <w:rFonts w:hint="eastAsia" w:ascii="宋体" w:hAnsi="宋体" w:cs="宋体"/>
          <w:b/>
          <w:color w:val="auto"/>
          <w:sz w:val="32"/>
          <w:szCs w:val="32"/>
          <w:highlight w:val="none"/>
        </w:rPr>
      </w:pPr>
    </w:p>
    <w:p w14:paraId="2B7477B4">
      <w:pPr>
        <w:spacing w:line="440" w:lineRule="exact"/>
        <w:ind w:firstLine="6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六、施工组织设计</w:t>
      </w:r>
      <w:bookmarkEnd w:id="1421"/>
      <w:bookmarkEnd w:id="1422"/>
      <w:bookmarkEnd w:id="1423"/>
      <w:bookmarkEnd w:id="1424"/>
      <w:bookmarkEnd w:id="1425"/>
      <w:bookmarkEnd w:id="1426"/>
      <w:bookmarkEnd w:id="1427"/>
      <w:bookmarkEnd w:id="1428"/>
    </w:p>
    <w:p w14:paraId="2F4E11C0">
      <w:pPr>
        <w:spacing w:line="440" w:lineRule="exact"/>
        <w:ind w:firstLine="482"/>
        <w:rPr>
          <w:rFonts w:hint="eastAsia" w:ascii="宋体" w:hAnsi="宋体" w:cs="宋体"/>
          <w:color w:val="auto"/>
          <w:highlight w:val="none"/>
        </w:rPr>
      </w:pPr>
    </w:p>
    <w:p w14:paraId="786A2426">
      <w:pPr>
        <w:tabs>
          <w:tab w:val="left" w:pos="720"/>
        </w:tabs>
        <w:spacing w:line="440" w:lineRule="exact"/>
        <w:ind w:firstLine="480" w:firstLineChars="200"/>
        <w:rPr>
          <w:rFonts w:hint="eastAsia" w:ascii="宋体" w:hAnsi="宋体"/>
          <w:color w:val="auto"/>
          <w:sz w:val="24"/>
          <w:highlight w:val="none"/>
        </w:rPr>
      </w:pPr>
      <w:bookmarkStart w:id="1429" w:name="_Toc144974871"/>
      <w:bookmarkStart w:id="1430" w:name="_Toc179632823"/>
      <w:bookmarkStart w:id="1431" w:name="_Toc296602614"/>
      <w:bookmarkStart w:id="1432" w:name="_Toc246996369"/>
      <w:bookmarkStart w:id="1433" w:name="_Toc246997112"/>
      <w:bookmarkStart w:id="1434" w:name="_Toc152042592"/>
      <w:bookmarkStart w:id="1435" w:name="_Toc152045803"/>
      <w:bookmarkStart w:id="1436" w:name="_Toc247085887"/>
      <w:r>
        <w:rPr>
          <w:rFonts w:hint="eastAsia" w:ascii="宋体" w:hAnsi="宋体"/>
          <w:color w:val="auto"/>
          <w:sz w:val="24"/>
          <w:highlight w:val="none"/>
        </w:rPr>
        <w:t>1.投标人编制施工组织设计的要求：编制时应简明扼要地说明施工方法，工程质量、安全生产、文明施工、环境保护、工程进度、技术组织等主要措施。用图表形式阐明本项目的施工进度计划以及拟投入主要施工设备、劳动力、项目管理机构等。</w:t>
      </w:r>
    </w:p>
    <w:p w14:paraId="302B697A">
      <w:pPr>
        <w:tabs>
          <w:tab w:val="left" w:pos="720"/>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2.图表及格式要求：</w:t>
      </w:r>
    </w:p>
    <w:p w14:paraId="65000CCE">
      <w:pPr>
        <w:tabs>
          <w:tab w:val="left" w:pos="720"/>
        </w:tabs>
        <w:spacing w:line="440" w:lineRule="exact"/>
        <w:ind w:firstLine="864" w:firstLineChars="360"/>
        <w:rPr>
          <w:rFonts w:hint="eastAsia" w:ascii="宋体" w:hAnsi="宋体"/>
          <w:color w:val="auto"/>
          <w:sz w:val="24"/>
          <w:highlight w:val="none"/>
        </w:rPr>
      </w:pPr>
      <w:r>
        <w:rPr>
          <w:rFonts w:hint="eastAsia" w:ascii="宋体" w:hAnsi="宋体"/>
          <w:color w:val="auto"/>
          <w:sz w:val="24"/>
          <w:highlight w:val="none"/>
        </w:rPr>
        <w:t>附表一  拟投入的主要施工设备表</w:t>
      </w:r>
    </w:p>
    <w:p w14:paraId="19B08012">
      <w:pPr>
        <w:tabs>
          <w:tab w:val="left" w:pos="720"/>
        </w:tabs>
        <w:spacing w:line="440" w:lineRule="exact"/>
        <w:ind w:firstLine="864" w:firstLineChars="360"/>
        <w:rPr>
          <w:rFonts w:hint="eastAsia" w:ascii="宋体" w:hAnsi="宋体"/>
          <w:color w:val="auto"/>
          <w:sz w:val="24"/>
          <w:highlight w:val="none"/>
        </w:rPr>
      </w:pPr>
      <w:r>
        <w:rPr>
          <w:rFonts w:hint="eastAsia" w:ascii="宋体" w:hAnsi="宋体"/>
          <w:color w:val="auto"/>
          <w:sz w:val="24"/>
          <w:highlight w:val="none"/>
        </w:rPr>
        <w:t>附表二  劳动力计划表</w:t>
      </w:r>
    </w:p>
    <w:p w14:paraId="788B4827">
      <w:pPr>
        <w:tabs>
          <w:tab w:val="left" w:pos="720"/>
        </w:tabs>
        <w:spacing w:line="440" w:lineRule="exact"/>
        <w:ind w:firstLine="864" w:firstLineChars="360"/>
        <w:rPr>
          <w:rFonts w:hint="eastAsia" w:ascii="宋体" w:hAnsi="宋体"/>
          <w:color w:val="auto"/>
          <w:sz w:val="24"/>
          <w:highlight w:val="none"/>
        </w:rPr>
      </w:pPr>
      <w:r>
        <w:rPr>
          <w:rFonts w:hint="eastAsia" w:ascii="宋体" w:hAnsi="宋体"/>
          <w:color w:val="auto"/>
          <w:sz w:val="24"/>
          <w:highlight w:val="none"/>
        </w:rPr>
        <w:t>附表三  进度计划</w:t>
      </w:r>
    </w:p>
    <w:p w14:paraId="5B65143D">
      <w:pPr>
        <w:spacing w:line="440" w:lineRule="exact"/>
        <w:ind w:firstLine="402"/>
        <w:rPr>
          <w:rFonts w:hint="eastAsia" w:ascii="宋体" w:hAnsi="宋体"/>
          <w:color w:val="auto"/>
          <w:sz w:val="20"/>
          <w:szCs w:val="20"/>
          <w:highlight w:val="none"/>
        </w:rPr>
      </w:pPr>
    </w:p>
    <w:p w14:paraId="34E94F67">
      <w:pPr>
        <w:spacing w:line="440" w:lineRule="exact"/>
        <w:ind w:firstLine="402"/>
        <w:rPr>
          <w:rFonts w:hint="eastAsia" w:ascii="宋体" w:hAnsi="宋体"/>
          <w:color w:val="auto"/>
          <w:sz w:val="20"/>
          <w:szCs w:val="20"/>
          <w:highlight w:val="none"/>
        </w:rPr>
      </w:pPr>
    </w:p>
    <w:p w14:paraId="7217BAEE">
      <w:pPr>
        <w:spacing w:line="440" w:lineRule="exact"/>
        <w:ind w:firstLine="402"/>
        <w:rPr>
          <w:rFonts w:hint="eastAsia" w:ascii="宋体" w:hAnsi="宋体"/>
          <w:color w:val="auto"/>
          <w:sz w:val="20"/>
          <w:szCs w:val="20"/>
          <w:highlight w:val="none"/>
        </w:rPr>
      </w:pPr>
    </w:p>
    <w:p w14:paraId="5AFA835A">
      <w:pPr>
        <w:spacing w:line="440" w:lineRule="exact"/>
        <w:ind w:firstLine="402"/>
        <w:rPr>
          <w:rFonts w:hint="eastAsia" w:ascii="宋体" w:hAnsi="宋体"/>
          <w:color w:val="auto"/>
          <w:sz w:val="20"/>
          <w:szCs w:val="20"/>
          <w:highlight w:val="none"/>
        </w:rPr>
      </w:pPr>
    </w:p>
    <w:p w14:paraId="2DC46DB9">
      <w:pPr>
        <w:spacing w:line="440" w:lineRule="exact"/>
        <w:ind w:firstLine="402"/>
        <w:rPr>
          <w:rFonts w:hint="eastAsia" w:ascii="宋体" w:hAnsi="宋体"/>
          <w:color w:val="auto"/>
          <w:sz w:val="20"/>
          <w:szCs w:val="20"/>
          <w:highlight w:val="none"/>
        </w:rPr>
      </w:pPr>
    </w:p>
    <w:p w14:paraId="0E8ACEF8">
      <w:pPr>
        <w:spacing w:line="440" w:lineRule="exact"/>
        <w:ind w:firstLine="402"/>
        <w:rPr>
          <w:rFonts w:hint="eastAsia" w:ascii="宋体" w:hAnsi="宋体"/>
          <w:color w:val="auto"/>
          <w:sz w:val="20"/>
          <w:szCs w:val="20"/>
          <w:highlight w:val="none"/>
        </w:rPr>
      </w:pPr>
    </w:p>
    <w:p w14:paraId="0FEF26BB">
      <w:pPr>
        <w:spacing w:line="440" w:lineRule="exact"/>
        <w:ind w:firstLine="402"/>
        <w:rPr>
          <w:rFonts w:hint="eastAsia" w:ascii="宋体" w:hAnsi="宋体"/>
          <w:color w:val="auto"/>
          <w:sz w:val="20"/>
          <w:szCs w:val="20"/>
          <w:highlight w:val="none"/>
        </w:rPr>
      </w:pPr>
    </w:p>
    <w:p w14:paraId="7F761529">
      <w:pPr>
        <w:spacing w:line="440" w:lineRule="exact"/>
        <w:ind w:firstLine="402"/>
        <w:rPr>
          <w:rFonts w:hint="eastAsia" w:ascii="宋体" w:hAnsi="宋体"/>
          <w:color w:val="auto"/>
          <w:sz w:val="20"/>
          <w:szCs w:val="20"/>
          <w:highlight w:val="none"/>
        </w:rPr>
      </w:pPr>
    </w:p>
    <w:p w14:paraId="3B170686">
      <w:pPr>
        <w:spacing w:line="440" w:lineRule="exact"/>
        <w:ind w:firstLine="402"/>
        <w:rPr>
          <w:rFonts w:hint="eastAsia" w:ascii="宋体" w:hAnsi="宋体"/>
          <w:color w:val="auto"/>
          <w:sz w:val="20"/>
          <w:szCs w:val="20"/>
          <w:highlight w:val="none"/>
        </w:rPr>
      </w:pPr>
    </w:p>
    <w:p w14:paraId="08C99371">
      <w:pPr>
        <w:spacing w:line="440" w:lineRule="exact"/>
        <w:ind w:firstLine="402"/>
        <w:rPr>
          <w:rFonts w:hint="eastAsia" w:ascii="宋体" w:hAnsi="宋体"/>
          <w:color w:val="auto"/>
          <w:sz w:val="20"/>
          <w:szCs w:val="20"/>
          <w:highlight w:val="none"/>
        </w:rPr>
      </w:pPr>
    </w:p>
    <w:p w14:paraId="4C908585">
      <w:pPr>
        <w:spacing w:line="440" w:lineRule="exact"/>
        <w:ind w:firstLine="402"/>
        <w:rPr>
          <w:rFonts w:hint="eastAsia" w:ascii="宋体" w:hAnsi="宋体"/>
          <w:color w:val="auto"/>
          <w:sz w:val="20"/>
          <w:szCs w:val="20"/>
          <w:highlight w:val="none"/>
        </w:rPr>
      </w:pPr>
    </w:p>
    <w:p w14:paraId="7CA30490">
      <w:pPr>
        <w:spacing w:line="440" w:lineRule="exact"/>
        <w:ind w:firstLine="402"/>
        <w:rPr>
          <w:rFonts w:hint="eastAsia" w:ascii="宋体" w:hAnsi="宋体"/>
          <w:color w:val="auto"/>
          <w:sz w:val="20"/>
          <w:szCs w:val="20"/>
          <w:highlight w:val="none"/>
        </w:rPr>
      </w:pPr>
    </w:p>
    <w:p w14:paraId="457E6A95">
      <w:pPr>
        <w:spacing w:line="440" w:lineRule="exact"/>
        <w:ind w:firstLine="402"/>
        <w:rPr>
          <w:rFonts w:hint="eastAsia" w:ascii="宋体" w:hAnsi="宋体"/>
          <w:color w:val="auto"/>
          <w:sz w:val="20"/>
          <w:szCs w:val="20"/>
          <w:highlight w:val="none"/>
        </w:rPr>
      </w:pPr>
    </w:p>
    <w:p w14:paraId="5700AFC4">
      <w:pPr>
        <w:spacing w:line="440" w:lineRule="exact"/>
        <w:ind w:firstLine="402"/>
        <w:rPr>
          <w:rFonts w:hint="eastAsia" w:ascii="宋体" w:hAnsi="宋体"/>
          <w:color w:val="auto"/>
          <w:sz w:val="20"/>
          <w:szCs w:val="20"/>
          <w:highlight w:val="none"/>
        </w:rPr>
      </w:pPr>
    </w:p>
    <w:p w14:paraId="6CF4D7E9">
      <w:pPr>
        <w:spacing w:line="440" w:lineRule="exact"/>
        <w:ind w:firstLine="402"/>
        <w:rPr>
          <w:rFonts w:hint="eastAsia" w:ascii="宋体" w:hAnsi="宋体"/>
          <w:color w:val="auto"/>
          <w:sz w:val="20"/>
          <w:szCs w:val="20"/>
          <w:highlight w:val="none"/>
        </w:rPr>
      </w:pPr>
    </w:p>
    <w:p w14:paraId="41C71DC2">
      <w:pPr>
        <w:spacing w:line="440" w:lineRule="exact"/>
        <w:ind w:firstLine="402"/>
        <w:rPr>
          <w:rFonts w:hint="eastAsia" w:ascii="宋体" w:hAnsi="宋体"/>
          <w:color w:val="auto"/>
          <w:sz w:val="20"/>
          <w:szCs w:val="20"/>
          <w:highlight w:val="none"/>
        </w:rPr>
      </w:pPr>
    </w:p>
    <w:p w14:paraId="7484E718">
      <w:pPr>
        <w:spacing w:line="440" w:lineRule="exact"/>
        <w:ind w:firstLine="402"/>
        <w:rPr>
          <w:rFonts w:hint="eastAsia" w:ascii="宋体" w:hAnsi="宋体"/>
          <w:color w:val="auto"/>
          <w:sz w:val="20"/>
          <w:szCs w:val="20"/>
          <w:highlight w:val="none"/>
        </w:rPr>
      </w:pPr>
    </w:p>
    <w:p w14:paraId="7971C64F">
      <w:pPr>
        <w:spacing w:line="440" w:lineRule="exact"/>
        <w:ind w:firstLine="402"/>
        <w:rPr>
          <w:rFonts w:hint="eastAsia" w:ascii="宋体" w:hAnsi="宋体"/>
          <w:color w:val="auto"/>
          <w:sz w:val="20"/>
          <w:szCs w:val="20"/>
          <w:highlight w:val="none"/>
        </w:rPr>
      </w:pPr>
    </w:p>
    <w:p w14:paraId="13DE34C5">
      <w:pPr>
        <w:spacing w:line="440" w:lineRule="exact"/>
        <w:ind w:firstLine="402"/>
        <w:rPr>
          <w:rFonts w:hint="eastAsia" w:ascii="宋体" w:hAnsi="宋体"/>
          <w:color w:val="auto"/>
          <w:sz w:val="20"/>
          <w:szCs w:val="20"/>
          <w:highlight w:val="none"/>
        </w:rPr>
      </w:pPr>
    </w:p>
    <w:p w14:paraId="39C1AAA5">
      <w:pPr>
        <w:spacing w:line="440" w:lineRule="exact"/>
        <w:ind w:firstLine="402"/>
        <w:rPr>
          <w:rFonts w:hint="eastAsia" w:ascii="宋体" w:hAnsi="宋体"/>
          <w:color w:val="auto"/>
          <w:sz w:val="20"/>
          <w:szCs w:val="20"/>
          <w:highlight w:val="none"/>
        </w:rPr>
      </w:pPr>
    </w:p>
    <w:p w14:paraId="2590A8FD">
      <w:pPr>
        <w:pStyle w:val="6"/>
        <w:ind w:firstLine="640"/>
        <w:rPr>
          <w:rFonts w:hint="eastAsia" w:ascii="宋体" w:hAnsi="宋体"/>
          <w:color w:val="auto"/>
          <w:highlight w:val="none"/>
        </w:rPr>
      </w:pPr>
      <w:bookmarkStart w:id="1437" w:name="_Toc144974865"/>
      <w:bookmarkStart w:id="1438" w:name="_Toc247085883"/>
      <w:bookmarkStart w:id="1439" w:name="_Toc29247"/>
      <w:bookmarkStart w:id="1440" w:name="_Toc77586875"/>
      <w:bookmarkStart w:id="1441" w:name="_Toc152042586"/>
      <w:bookmarkStart w:id="1442" w:name="_Toc246997108"/>
      <w:bookmarkStart w:id="1443" w:name="_Toc77586973"/>
      <w:bookmarkStart w:id="1444" w:name="_Toc246996365"/>
      <w:bookmarkStart w:id="1445" w:name="_Toc179632817"/>
      <w:bookmarkStart w:id="1446" w:name="_Toc152045797"/>
      <w:bookmarkStart w:id="1447" w:name="_Toc296602610"/>
      <w:r>
        <w:rPr>
          <w:rFonts w:hint="eastAsia" w:ascii="宋体" w:hAnsi="宋体"/>
          <w:color w:val="auto"/>
          <w:highlight w:val="none"/>
        </w:rPr>
        <w:t>附表一：拟投入本项目的主要施工设备表</w:t>
      </w:r>
      <w:bookmarkEnd w:id="1437"/>
      <w:bookmarkEnd w:id="1438"/>
      <w:bookmarkEnd w:id="1439"/>
      <w:bookmarkEnd w:id="1440"/>
      <w:bookmarkEnd w:id="1441"/>
      <w:bookmarkEnd w:id="1442"/>
      <w:bookmarkEnd w:id="1443"/>
      <w:bookmarkEnd w:id="1444"/>
      <w:bookmarkEnd w:id="1445"/>
      <w:bookmarkEnd w:id="1446"/>
      <w:bookmarkEnd w:id="1447"/>
    </w:p>
    <w:tbl>
      <w:tblPr>
        <w:tblStyle w:val="2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0"/>
        <w:gridCol w:w="851"/>
        <w:gridCol w:w="850"/>
        <w:gridCol w:w="1028"/>
        <w:gridCol w:w="865"/>
        <w:gridCol w:w="1085"/>
        <w:gridCol w:w="874"/>
        <w:gridCol w:w="1055"/>
        <w:gridCol w:w="691"/>
      </w:tblGrid>
      <w:tr w14:paraId="2BC7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1228C90C">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687FA3B7">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设备名称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71F73375">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型号</w:t>
            </w:r>
          </w:p>
          <w:p w14:paraId="35CD266D">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规格</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1FEB447">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数量</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2AEE69AF">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国别</w:t>
            </w:r>
          </w:p>
          <w:p w14:paraId="68EC4155">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产地</w:t>
            </w:r>
          </w:p>
        </w:tc>
        <w:tc>
          <w:tcPr>
            <w:tcW w:w="865" w:type="dxa"/>
            <w:tcBorders>
              <w:top w:val="single" w:color="auto" w:sz="4" w:space="0"/>
              <w:left w:val="single" w:color="auto" w:sz="4" w:space="0"/>
              <w:bottom w:val="single" w:color="auto" w:sz="4" w:space="0"/>
              <w:right w:val="single" w:color="auto" w:sz="4" w:space="0"/>
            </w:tcBorders>
            <w:noWrap w:val="0"/>
            <w:vAlign w:val="center"/>
          </w:tcPr>
          <w:p w14:paraId="2BFD525E">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制造</w:t>
            </w:r>
          </w:p>
          <w:p w14:paraId="4D57EC11">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年份</w:t>
            </w: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3850088">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额定功率（kW）</w:t>
            </w:r>
          </w:p>
        </w:tc>
        <w:tc>
          <w:tcPr>
            <w:tcW w:w="874" w:type="dxa"/>
            <w:tcBorders>
              <w:top w:val="single" w:color="auto" w:sz="4" w:space="0"/>
              <w:left w:val="single" w:color="auto" w:sz="4" w:space="0"/>
              <w:bottom w:val="single" w:color="auto" w:sz="4" w:space="0"/>
              <w:right w:val="single" w:color="auto" w:sz="4" w:space="0"/>
            </w:tcBorders>
            <w:noWrap w:val="0"/>
            <w:vAlign w:val="center"/>
          </w:tcPr>
          <w:p w14:paraId="17E7889F">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生产</w:t>
            </w:r>
          </w:p>
          <w:p w14:paraId="03E91D51">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能力</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931F30E">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用于施工部位</w:t>
            </w:r>
          </w:p>
        </w:tc>
        <w:tc>
          <w:tcPr>
            <w:tcW w:w="691" w:type="dxa"/>
            <w:tcBorders>
              <w:top w:val="single" w:color="auto" w:sz="4" w:space="0"/>
              <w:left w:val="single" w:color="auto" w:sz="4" w:space="0"/>
              <w:bottom w:val="single" w:color="auto" w:sz="4" w:space="0"/>
              <w:right w:val="single" w:color="auto" w:sz="4" w:space="0"/>
            </w:tcBorders>
            <w:noWrap w:val="0"/>
            <w:vAlign w:val="center"/>
          </w:tcPr>
          <w:p w14:paraId="59E9B7B7">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备注</w:t>
            </w:r>
          </w:p>
        </w:tc>
      </w:tr>
      <w:tr w14:paraId="42C4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306D1FE1">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BEA2E11">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ECCC4A4">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CECCD4B">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5A60AC61">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02B087AC">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0B1DBEA3">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6F59F488">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79E8F844">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31CF8911">
            <w:pPr>
              <w:spacing w:line="440" w:lineRule="exact"/>
              <w:ind w:firstLine="482"/>
              <w:jc w:val="center"/>
              <w:rPr>
                <w:rFonts w:ascii="宋体" w:hAnsi="宋体"/>
                <w:color w:val="auto"/>
                <w:sz w:val="24"/>
                <w:szCs w:val="24"/>
                <w:highlight w:val="none"/>
              </w:rPr>
            </w:pPr>
          </w:p>
        </w:tc>
      </w:tr>
      <w:tr w14:paraId="66D7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center"/>
          </w:tcPr>
          <w:p w14:paraId="1C268195">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76574B5E">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C7F50A3">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284571F">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14:paraId="48A37CA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center"/>
          </w:tcPr>
          <w:p w14:paraId="6CB38EE8">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4612AF7">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center"/>
          </w:tcPr>
          <w:p w14:paraId="05270C1A">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3BA5BFD">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center"/>
          </w:tcPr>
          <w:p w14:paraId="670FAB8F">
            <w:pPr>
              <w:spacing w:line="440" w:lineRule="exact"/>
              <w:ind w:firstLine="482"/>
              <w:jc w:val="center"/>
              <w:rPr>
                <w:rFonts w:ascii="宋体" w:hAnsi="宋体"/>
                <w:color w:val="auto"/>
                <w:sz w:val="24"/>
                <w:szCs w:val="24"/>
                <w:highlight w:val="none"/>
              </w:rPr>
            </w:pPr>
          </w:p>
        </w:tc>
      </w:tr>
      <w:tr w14:paraId="23EA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54A5A53">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0765DA1">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1782504">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002649A">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AB439E3">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343D8A2">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E4BAF88">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5E46FF8">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3753507">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689A605">
            <w:pPr>
              <w:spacing w:line="440" w:lineRule="exact"/>
              <w:ind w:firstLine="482"/>
              <w:jc w:val="center"/>
              <w:rPr>
                <w:rFonts w:ascii="宋体" w:hAnsi="宋体"/>
                <w:color w:val="auto"/>
                <w:sz w:val="24"/>
                <w:szCs w:val="24"/>
                <w:highlight w:val="none"/>
              </w:rPr>
            </w:pPr>
          </w:p>
        </w:tc>
      </w:tr>
      <w:tr w14:paraId="568D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27B2293">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0D5AD55">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492E282">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F70EEB8">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F5A6D86">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24C1C8C">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FBE9A46">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E6DB714">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718F3D6">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0FB1575">
            <w:pPr>
              <w:spacing w:line="440" w:lineRule="exact"/>
              <w:ind w:firstLine="482"/>
              <w:jc w:val="center"/>
              <w:rPr>
                <w:rFonts w:ascii="宋体" w:hAnsi="宋体"/>
                <w:color w:val="auto"/>
                <w:sz w:val="24"/>
                <w:szCs w:val="24"/>
                <w:highlight w:val="none"/>
              </w:rPr>
            </w:pPr>
          </w:p>
        </w:tc>
      </w:tr>
      <w:tr w14:paraId="6ED9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C79BFEE">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4FBE4EC">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5CFA2BD">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F7B790A">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6809F07">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04599FFB">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08032D2">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A5B65EA">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085CC52">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1C33BD6">
            <w:pPr>
              <w:spacing w:line="440" w:lineRule="exact"/>
              <w:ind w:firstLine="482"/>
              <w:jc w:val="center"/>
              <w:rPr>
                <w:rFonts w:ascii="宋体" w:hAnsi="宋体"/>
                <w:color w:val="auto"/>
                <w:sz w:val="24"/>
                <w:szCs w:val="24"/>
                <w:highlight w:val="none"/>
              </w:rPr>
            </w:pPr>
          </w:p>
        </w:tc>
      </w:tr>
      <w:tr w14:paraId="6320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FD83006">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86A5630">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44E685F">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4B0D5FC">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66595FBC">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ED35887">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51392D6">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71AB3ED">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8D82866">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188E0D4">
            <w:pPr>
              <w:spacing w:line="440" w:lineRule="exact"/>
              <w:ind w:firstLine="482"/>
              <w:jc w:val="center"/>
              <w:rPr>
                <w:rFonts w:ascii="宋体" w:hAnsi="宋体"/>
                <w:color w:val="auto"/>
                <w:sz w:val="24"/>
                <w:szCs w:val="24"/>
                <w:highlight w:val="none"/>
              </w:rPr>
            </w:pPr>
          </w:p>
        </w:tc>
      </w:tr>
      <w:tr w14:paraId="25FA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F393CA8">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7157295">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85C136F">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7512B46">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8AD7BB6">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1E5790B4">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3413576">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898237E">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18E319D">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278DD23">
            <w:pPr>
              <w:spacing w:line="440" w:lineRule="exact"/>
              <w:ind w:firstLine="482"/>
              <w:jc w:val="center"/>
              <w:rPr>
                <w:rFonts w:ascii="宋体" w:hAnsi="宋体"/>
                <w:color w:val="auto"/>
                <w:sz w:val="24"/>
                <w:szCs w:val="24"/>
                <w:highlight w:val="none"/>
              </w:rPr>
            </w:pPr>
          </w:p>
        </w:tc>
      </w:tr>
      <w:tr w14:paraId="32DC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A00F06A">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A96F572">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7981E1E">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61EDAF3">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2B2006C">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E7C5485">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3B752A48">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93B490E">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4920C6F">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B9A2E93">
            <w:pPr>
              <w:spacing w:line="440" w:lineRule="exact"/>
              <w:ind w:firstLine="482"/>
              <w:jc w:val="center"/>
              <w:rPr>
                <w:rFonts w:ascii="宋体" w:hAnsi="宋体"/>
                <w:color w:val="auto"/>
                <w:sz w:val="24"/>
                <w:szCs w:val="24"/>
                <w:highlight w:val="none"/>
              </w:rPr>
            </w:pPr>
          </w:p>
        </w:tc>
      </w:tr>
      <w:tr w14:paraId="4F21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7D445544">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A5CB599">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F94A0AD">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C7C88FC">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56448767">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4BFD1A5">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DE5D278">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7C1E8686">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5DC2BAB">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14FE44C">
            <w:pPr>
              <w:spacing w:line="440" w:lineRule="exact"/>
              <w:ind w:firstLine="482"/>
              <w:jc w:val="center"/>
              <w:rPr>
                <w:rFonts w:ascii="宋体" w:hAnsi="宋体"/>
                <w:color w:val="auto"/>
                <w:sz w:val="24"/>
                <w:szCs w:val="24"/>
                <w:highlight w:val="none"/>
              </w:rPr>
            </w:pPr>
          </w:p>
        </w:tc>
      </w:tr>
      <w:tr w14:paraId="3A89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5B8CECD">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FAD5B68">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434D48C">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10C11CB">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656EDCD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249D20A">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E48A8F3">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8207C2C">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4B77325C">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37EB39B">
            <w:pPr>
              <w:spacing w:line="440" w:lineRule="exact"/>
              <w:ind w:firstLine="482"/>
              <w:jc w:val="center"/>
              <w:rPr>
                <w:rFonts w:ascii="宋体" w:hAnsi="宋体"/>
                <w:color w:val="auto"/>
                <w:sz w:val="24"/>
                <w:szCs w:val="24"/>
                <w:highlight w:val="none"/>
              </w:rPr>
            </w:pPr>
          </w:p>
        </w:tc>
      </w:tr>
      <w:tr w14:paraId="3BDA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450959CD">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482E57E4">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1240067">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10218DA">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189F2EFF">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4E6C80F4">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70FF0849">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5A773EE">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2305B0D">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6CB4F7B">
            <w:pPr>
              <w:spacing w:line="440" w:lineRule="exact"/>
              <w:ind w:firstLine="482"/>
              <w:jc w:val="center"/>
              <w:rPr>
                <w:rFonts w:ascii="宋体" w:hAnsi="宋体"/>
                <w:color w:val="auto"/>
                <w:sz w:val="24"/>
                <w:szCs w:val="24"/>
                <w:highlight w:val="none"/>
              </w:rPr>
            </w:pPr>
          </w:p>
        </w:tc>
      </w:tr>
      <w:tr w14:paraId="2889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35E1284E">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809B2D3">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B3DE44A">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E54D0A5">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49B685C1">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129755D">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153B85C2">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3F48D24C">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7F28F9E9">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F05B55F">
            <w:pPr>
              <w:spacing w:line="440" w:lineRule="exact"/>
              <w:ind w:firstLine="482"/>
              <w:jc w:val="center"/>
              <w:rPr>
                <w:rFonts w:ascii="宋体" w:hAnsi="宋体"/>
                <w:color w:val="auto"/>
                <w:sz w:val="24"/>
                <w:szCs w:val="24"/>
                <w:highlight w:val="none"/>
              </w:rPr>
            </w:pPr>
          </w:p>
        </w:tc>
      </w:tr>
      <w:tr w14:paraId="2289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B265C8B">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0638BA3">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423BCC8E">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520D20F">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9EB6324">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3A3E455D">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235E797F">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46FB945B">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A620EE8">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FEC7088">
            <w:pPr>
              <w:spacing w:line="440" w:lineRule="exact"/>
              <w:ind w:firstLine="482"/>
              <w:jc w:val="center"/>
              <w:rPr>
                <w:rFonts w:ascii="宋体" w:hAnsi="宋体"/>
                <w:color w:val="auto"/>
                <w:sz w:val="24"/>
                <w:szCs w:val="24"/>
                <w:highlight w:val="none"/>
              </w:rPr>
            </w:pPr>
          </w:p>
        </w:tc>
      </w:tr>
      <w:tr w14:paraId="0485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ED27B4F">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2331CE4">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0E3B204F">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BEF59C8">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469C4AB">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39C84BBA">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2BA28DE">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22667C5">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0036673">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27D3908">
            <w:pPr>
              <w:spacing w:line="440" w:lineRule="exact"/>
              <w:ind w:firstLine="482"/>
              <w:jc w:val="center"/>
              <w:rPr>
                <w:rFonts w:ascii="宋体" w:hAnsi="宋体"/>
                <w:color w:val="auto"/>
                <w:sz w:val="24"/>
                <w:szCs w:val="24"/>
                <w:highlight w:val="none"/>
              </w:rPr>
            </w:pPr>
          </w:p>
        </w:tc>
      </w:tr>
      <w:tr w14:paraId="5EE6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5281E45">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AE1AD24">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5FB900B">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A3EE03E">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2029136">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B6E3150">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6E64B30D">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4CF9557">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23AA616F">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744E76B">
            <w:pPr>
              <w:spacing w:line="440" w:lineRule="exact"/>
              <w:ind w:firstLine="482"/>
              <w:jc w:val="center"/>
              <w:rPr>
                <w:rFonts w:ascii="宋体" w:hAnsi="宋体"/>
                <w:color w:val="auto"/>
                <w:sz w:val="24"/>
                <w:szCs w:val="24"/>
                <w:highlight w:val="none"/>
              </w:rPr>
            </w:pPr>
          </w:p>
        </w:tc>
      </w:tr>
      <w:tr w14:paraId="1449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A6DF2AF">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07A0090">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933B878">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E0275DE">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E7EBC3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6C7704AA">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55285F25">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6CB38F4F">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6FE941C">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276BD079">
            <w:pPr>
              <w:spacing w:line="440" w:lineRule="exact"/>
              <w:ind w:firstLine="482"/>
              <w:jc w:val="center"/>
              <w:rPr>
                <w:rFonts w:ascii="宋体" w:hAnsi="宋体"/>
                <w:color w:val="auto"/>
                <w:sz w:val="24"/>
                <w:szCs w:val="24"/>
                <w:highlight w:val="none"/>
              </w:rPr>
            </w:pPr>
          </w:p>
        </w:tc>
      </w:tr>
      <w:tr w14:paraId="15FC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09C1380C">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7E5A62E">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F50C01">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C60004F">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AF60F94">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055BEF45">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2A15E7A9">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20B3242A">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67366110">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7111960A">
            <w:pPr>
              <w:spacing w:line="440" w:lineRule="exact"/>
              <w:ind w:firstLine="482"/>
              <w:jc w:val="center"/>
              <w:rPr>
                <w:rFonts w:ascii="宋体" w:hAnsi="宋体"/>
                <w:color w:val="auto"/>
                <w:sz w:val="24"/>
                <w:szCs w:val="24"/>
                <w:highlight w:val="none"/>
              </w:rPr>
            </w:pPr>
          </w:p>
        </w:tc>
      </w:tr>
      <w:tr w14:paraId="7753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B91F329">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D6C710D">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5FB80B93">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8338C3D">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6BBEDCF3">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7B7BCE01">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307A2186">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954AE7F">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6E33002">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1A38E364">
            <w:pPr>
              <w:spacing w:line="440" w:lineRule="exact"/>
              <w:ind w:firstLine="482"/>
              <w:jc w:val="center"/>
              <w:rPr>
                <w:rFonts w:ascii="宋体" w:hAnsi="宋体"/>
                <w:color w:val="auto"/>
                <w:sz w:val="24"/>
                <w:szCs w:val="24"/>
                <w:highlight w:val="none"/>
              </w:rPr>
            </w:pPr>
          </w:p>
        </w:tc>
      </w:tr>
      <w:tr w14:paraId="5B5A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10AE7D64">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870974E">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30E1C8D6">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3E787E9">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77565B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4430E2D">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15C760FA">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95B3399">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0319D3E">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B84A501">
            <w:pPr>
              <w:spacing w:line="440" w:lineRule="exact"/>
              <w:ind w:firstLine="482"/>
              <w:jc w:val="center"/>
              <w:rPr>
                <w:rFonts w:ascii="宋体" w:hAnsi="宋体"/>
                <w:color w:val="auto"/>
                <w:sz w:val="24"/>
                <w:szCs w:val="24"/>
                <w:highlight w:val="none"/>
              </w:rPr>
            </w:pPr>
          </w:p>
        </w:tc>
      </w:tr>
      <w:tr w14:paraId="13DFE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21FD0EB">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EC9EEF0">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C5139DB">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074F5BE6">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3BCB6E1A">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668C794">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3104108">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05D8869">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D651694">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6892714C">
            <w:pPr>
              <w:spacing w:line="440" w:lineRule="exact"/>
              <w:ind w:firstLine="482"/>
              <w:jc w:val="center"/>
              <w:rPr>
                <w:rFonts w:ascii="宋体" w:hAnsi="宋体"/>
                <w:color w:val="auto"/>
                <w:sz w:val="24"/>
                <w:szCs w:val="24"/>
                <w:highlight w:val="none"/>
              </w:rPr>
            </w:pPr>
          </w:p>
        </w:tc>
      </w:tr>
      <w:tr w14:paraId="63C1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8C36E94">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16A50D3">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F5763A">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B40970E">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A94B226">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04E51663">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D6CC231">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08564EE0">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12680B04">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4A0EFADB">
            <w:pPr>
              <w:spacing w:line="440" w:lineRule="exact"/>
              <w:ind w:firstLine="482"/>
              <w:jc w:val="center"/>
              <w:rPr>
                <w:rFonts w:ascii="宋体" w:hAnsi="宋体"/>
                <w:color w:val="auto"/>
                <w:sz w:val="24"/>
                <w:szCs w:val="24"/>
                <w:highlight w:val="none"/>
              </w:rPr>
            </w:pPr>
          </w:p>
        </w:tc>
      </w:tr>
      <w:tr w14:paraId="472D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24258D0B">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BDD3A06">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2B027EBE">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97764E3">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C01CB5E">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2083D874">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4BF1F955">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9906E41">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333A79DE">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3C0FBC0">
            <w:pPr>
              <w:spacing w:line="440" w:lineRule="exact"/>
              <w:ind w:firstLine="482"/>
              <w:jc w:val="center"/>
              <w:rPr>
                <w:rFonts w:ascii="宋体" w:hAnsi="宋体"/>
                <w:color w:val="auto"/>
                <w:sz w:val="24"/>
                <w:szCs w:val="24"/>
                <w:highlight w:val="none"/>
              </w:rPr>
            </w:pPr>
          </w:p>
        </w:tc>
      </w:tr>
      <w:tr w14:paraId="18FE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5320048F">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265FCD8">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A235BA2">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1884076">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2AFA37D8">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167D6D6B">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D8F9904">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158EF9A0">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5DFD7176">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35DA8099">
            <w:pPr>
              <w:spacing w:line="440" w:lineRule="exact"/>
              <w:ind w:firstLine="482"/>
              <w:jc w:val="center"/>
              <w:rPr>
                <w:rFonts w:ascii="宋体" w:hAnsi="宋体"/>
                <w:color w:val="auto"/>
                <w:sz w:val="24"/>
                <w:szCs w:val="24"/>
                <w:highlight w:val="none"/>
              </w:rPr>
            </w:pPr>
          </w:p>
        </w:tc>
      </w:tr>
      <w:tr w14:paraId="43F1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tcBorders>
              <w:top w:val="single" w:color="auto" w:sz="4" w:space="0"/>
              <w:left w:val="single" w:color="auto" w:sz="4" w:space="0"/>
              <w:bottom w:val="single" w:color="auto" w:sz="4" w:space="0"/>
              <w:right w:val="single" w:color="auto" w:sz="4" w:space="0"/>
            </w:tcBorders>
            <w:noWrap w:val="0"/>
            <w:vAlign w:val="top"/>
          </w:tcPr>
          <w:p w14:paraId="6833C9A1">
            <w:pPr>
              <w:spacing w:line="440" w:lineRule="exact"/>
              <w:ind w:firstLine="482"/>
              <w:jc w:val="center"/>
              <w:rPr>
                <w:rFonts w:ascii="宋体" w:hAnsi="宋体"/>
                <w:color w:val="auto"/>
                <w:sz w:val="24"/>
                <w:szCs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82443E3">
            <w:pPr>
              <w:spacing w:line="440" w:lineRule="exact"/>
              <w:ind w:firstLine="482"/>
              <w:jc w:val="center"/>
              <w:rPr>
                <w:rFonts w:ascii="宋体" w:hAnsi="宋体"/>
                <w:color w:val="auto"/>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C8F360D">
            <w:pPr>
              <w:spacing w:line="440" w:lineRule="exact"/>
              <w:ind w:firstLine="482"/>
              <w:jc w:val="center"/>
              <w:rPr>
                <w:rFonts w:ascii="宋体" w:hAnsi="宋体"/>
                <w:color w:val="auto"/>
                <w:sz w:val="24"/>
                <w:szCs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07F41E9">
            <w:pPr>
              <w:spacing w:line="440" w:lineRule="exact"/>
              <w:ind w:firstLine="482"/>
              <w:jc w:val="center"/>
              <w:rPr>
                <w:rFonts w:ascii="宋体" w:hAnsi="宋体"/>
                <w:color w:val="auto"/>
                <w:sz w:val="24"/>
                <w:szCs w:val="24"/>
                <w:highlight w:val="none"/>
              </w:rPr>
            </w:pPr>
          </w:p>
        </w:tc>
        <w:tc>
          <w:tcPr>
            <w:tcW w:w="1028" w:type="dxa"/>
            <w:tcBorders>
              <w:top w:val="single" w:color="auto" w:sz="4" w:space="0"/>
              <w:left w:val="single" w:color="auto" w:sz="4" w:space="0"/>
              <w:bottom w:val="single" w:color="auto" w:sz="4" w:space="0"/>
              <w:right w:val="single" w:color="auto" w:sz="4" w:space="0"/>
            </w:tcBorders>
            <w:noWrap w:val="0"/>
            <w:vAlign w:val="top"/>
          </w:tcPr>
          <w:p w14:paraId="07052FAD">
            <w:pPr>
              <w:spacing w:line="440" w:lineRule="exact"/>
              <w:ind w:firstLine="482"/>
              <w:jc w:val="center"/>
              <w:rPr>
                <w:rFonts w:ascii="宋体" w:hAnsi="宋体"/>
                <w:color w:val="auto"/>
                <w:sz w:val="24"/>
                <w:szCs w:val="24"/>
                <w:highlight w:val="none"/>
              </w:rPr>
            </w:pPr>
          </w:p>
        </w:tc>
        <w:tc>
          <w:tcPr>
            <w:tcW w:w="865" w:type="dxa"/>
            <w:tcBorders>
              <w:top w:val="single" w:color="auto" w:sz="4" w:space="0"/>
              <w:left w:val="single" w:color="auto" w:sz="4" w:space="0"/>
              <w:bottom w:val="single" w:color="auto" w:sz="4" w:space="0"/>
              <w:right w:val="single" w:color="auto" w:sz="4" w:space="0"/>
            </w:tcBorders>
            <w:noWrap w:val="0"/>
            <w:vAlign w:val="top"/>
          </w:tcPr>
          <w:p w14:paraId="5DA9CB07">
            <w:pPr>
              <w:spacing w:line="440" w:lineRule="exact"/>
              <w:ind w:firstLine="482"/>
              <w:jc w:val="center"/>
              <w:rPr>
                <w:rFonts w:ascii="宋体" w:hAnsi="宋体"/>
                <w:color w:val="auto"/>
                <w:sz w:val="24"/>
                <w:szCs w:val="24"/>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top"/>
          </w:tcPr>
          <w:p w14:paraId="09C38A21">
            <w:pPr>
              <w:spacing w:line="440" w:lineRule="exact"/>
              <w:ind w:firstLine="482"/>
              <w:jc w:val="center"/>
              <w:rPr>
                <w:rFonts w:ascii="宋体" w:hAnsi="宋体"/>
                <w:color w:val="auto"/>
                <w:sz w:val="24"/>
                <w:szCs w:val="24"/>
                <w:highlight w:val="none"/>
              </w:rPr>
            </w:pPr>
          </w:p>
        </w:tc>
        <w:tc>
          <w:tcPr>
            <w:tcW w:w="874" w:type="dxa"/>
            <w:tcBorders>
              <w:top w:val="single" w:color="auto" w:sz="4" w:space="0"/>
              <w:left w:val="single" w:color="auto" w:sz="4" w:space="0"/>
              <w:bottom w:val="single" w:color="auto" w:sz="4" w:space="0"/>
              <w:right w:val="single" w:color="auto" w:sz="4" w:space="0"/>
            </w:tcBorders>
            <w:noWrap w:val="0"/>
            <w:vAlign w:val="top"/>
          </w:tcPr>
          <w:p w14:paraId="52DD72A0">
            <w:pPr>
              <w:spacing w:line="440" w:lineRule="exact"/>
              <w:ind w:firstLine="482"/>
              <w:jc w:val="center"/>
              <w:rPr>
                <w:rFonts w:ascii="宋体" w:hAnsi="宋体"/>
                <w:color w:val="auto"/>
                <w:sz w:val="24"/>
                <w:szCs w:val="24"/>
                <w:highlight w:val="none"/>
              </w:rPr>
            </w:pPr>
          </w:p>
        </w:tc>
        <w:tc>
          <w:tcPr>
            <w:tcW w:w="1055" w:type="dxa"/>
            <w:tcBorders>
              <w:top w:val="single" w:color="auto" w:sz="4" w:space="0"/>
              <w:left w:val="single" w:color="auto" w:sz="4" w:space="0"/>
              <w:bottom w:val="single" w:color="auto" w:sz="4" w:space="0"/>
              <w:right w:val="single" w:color="auto" w:sz="4" w:space="0"/>
            </w:tcBorders>
            <w:noWrap w:val="0"/>
            <w:vAlign w:val="top"/>
          </w:tcPr>
          <w:p w14:paraId="0B65D6D0">
            <w:pPr>
              <w:spacing w:line="440" w:lineRule="exact"/>
              <w:ind w:firstLine="482"/>
              <w:jc w:val="center"/>
              <w:rPr>
                <w:rFonts w:ascii="宋体" w:hAnsi="宋体"/>
                <w:color w:val="auto"/>
                <w:sz w:val="24"/>
                <w:szCs w:val="24"/>
                <w:highlight w:val="none"/>
              </w:rPr>
            </w:pPr>
          </w:p>
        </w:tc>
        <w:tc>
          <w:tcPr>
            <w:tcW w:w="691" w:type="dxa"/>
            <w:tcBorders>
              <w:top w:val="single" w:color="auto" w:sz="4" w:space="0"/>
              <w:left w:val="single" w:color="auto" w:sz="4" w:space="0"/>
              <w:bottom w:val="single" w:color="auto" w:sz="4" w:space="0"/>
              <w:right w:val="single" w:color="auto" w:sz="4" w:space="0"/>
            </w:tcBorders>
            <w:noWrap w:val="0"/>
            <w:vAlign w:val="top"/>
          </w:tcPr>
          <w:p w14:paraId="5B321106">
            <w:pPr>
              <w:spacing w:line="440" w:lineRule="exact"/>
              <w:ind w:firstLine="482"/>
              <w:jc w:val="center"/>
              <w:rPr>
                <w:rFonts w:ascii="宋体" w:hAnsi="宋体"/>
                <w:color w:val="auto"/>
                <w:sz w:val="24"/>
                <w:szCs w:val="24"/>
                <w:highlight w:val="none"/>
              </w:rPr>
            </w:pPr>
          </w:p>
        </w:tc>
      </w:tr>
    </w:tbl>
    <w:p w14:paraId="317FD13E">
      <w:pPr>
        <w:spacing w:line="440" w:lineRule="exact"/>
        <w:ind w:firstLine="402"/>
        <w:rPr>
          <w:rFonts w:hint="eastAsia" w:ascii="宋体" w:hAnsi="宋体"/>
          <w:color w:val="auto"/>
          <w:sz w:val="20"/>
          <w:szCs w:val="20"/>
          <w:highlight w:val="none"/>
        </w:rPr>
      </w:pPr>
    </w:p>
    <w:p w14:paraId="01B96B8C">
      <w:pPr>
        <w:spacing w:line="440" w:lineRule="exact"/>
        <w:ind w:firstLine="402"/>
        <w:rPr>
          <w:rFonts w:hint="eastAsia" w:ascii="宋体" w:hAnsi="宋体"/>
          <w:color w:val="auto"/>
          <w:sz w:val="20"/>
          <w:szCs w:val="20"/>
          <w:highlight w:val="none"/>
        </w:rPr>
      </w:pPr>
    </w:p>
    <w:p w14:paraId="0CEC0A38">
      <w:pPr>
        <w:pStyle w:val="6"/>
        <w:ind w:firstLine="640"/>
        <w:rPr>
          <w:rFonts w:hint="eastAsia" w:ascii="宋体" w:hAnsi="宋体"/>
          <w:color w:val="auto"/>
          <w:highlight w:val="none"/>
        </w:rPr>
      </w:pPr>
      <w:bookmarkStart w:id="1448" w:name="_Toc246997109"/>
      <w:bookmarkStart w:id="1449" w:name="_Toc247085884"/>
      <w:bookmarkStart w:id="1450" w:name="_Toc246996366"/>
      <w:bookmarkStart w:id="1451" w:name="_Toc77586974"/>
      <w:bookmarkStart w:id="1452" w:name="_Toc152045799"/>
      <w:bookmarkStart w:id="1453" w:name="_Toc296602611"/>
      <w:bookmarkStart w:id="1454" w:name="_Toc24720"/>
      <w:bookmarkStart w:id="1455" w:name="_Toc144974867"/>
      <w:bookmarkStart w:id="1456" w:name="_Toc152042588"/>
      <w:bookmarkStart w:id="1457" w:name="_Toc179632819"/>
      <w:bookmarkStart w:id="1458" w:name="_Toc77586876"/>
      <w:r>
        <w:rPr>
          <w:rFonts w:hint="eastAsia" w:ascii="宋体" w:hAnsi="宋体"/>
          <w:color w:val="auto"/>
          <w:highlight w:val="none"/>
        </w:rPr>
        <w:t>附表二：劳动力计划表</w:t>
      </w:r>
      <w:bookmarkEnd w:id="1448"/>
      <w:bookmarkEnd w:id="1449"/>
      <w:bookmarkEnd w:id="1450"/>
      <w:bookmarkEnd w:id="1451"/>
      <w:bookmarkEnd w:id="1452"/>
      <w:bookmarkEnd w:id="1453"/>
      <w:bookmarkEnd w:id="1454"/>
      <w:bookmarkEnd w:id="1455"/>
      <w:bookmarkEnd w:id="1456"/>
      <w:bookmarkEnd w:id="1457"/>
      <w:bookmarkEnd w:id="1458"/>
    </w:p>
    <w:p w14:paraId="5CC43CE7">
      <w:pPr>
        <w:spacing w:line="440" w:lineRule="exact"/>
        <w:ind w:right="200" w:firstLine="482"/>
        <w:jc w:val="right"/>
        <w:rPr>
          <w:rFonts w:hint="eastAsia" w:ascii="宋体" w:hAnsi="宋体"/>
          <w:color w:val="auto"/>
          <w:sz w:val="24"/>
          <w:highlight w:val="none"/>
        </w:rPr>
      </w:pPr>
      <w:r>
        <w:rPr>
          <w:rFonts w:hint="eastAsia" w:ascii="宋体" w:hAnsi="宋体"/>
          <w:color w:val="auto"/>
          <w:sz w:val="24"/>
          <w:highlight w:val="none"/>
        </w:rPr>
        <w:t>单位：人</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595E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4F4D82A4">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工种</w:t>
            </w:r>
          </w:p>
        </w:tc>
        <w:tc>
          <w:tcPr>
            <w:tcW w:w="7693" w:type="dxa"/>
            <w:gridSpan w:val="7"/>
            <w:tcBorders>
              <w:top w:val="single" w:color="auto" w:sz="4" w:space="0"/>
              <w:left w:val="single" w:color="auto" w:sz="4" w:space="0"/>
              <w:bottom w:val="single" w:color="auto" w:sz="4" w:space="0"/>
              <w:right w:val="single" w:color="auto" w:sz="4" w:space="0"/>
            </w:tcBorders>
            <w:noWrap w:val="0"/>
            <w:vAlign w:val="center"/>
          </w:tcPr>
          <w:p w14:paraId="4D31DBDD">
            <w:pPr>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按工程施工阶段投入劳动力情况</w:t>
            </w:r>
          </w:p>
        </w:tc>
      </w:tr>
      <w:tr w14:paraId="08E6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7D990D30">
            <w:pPr>
              <w:spacing w:line="440" w:lineRule="exact"/>
              <w:ind w:firstLine="482"/>
              <w:jc w:val="center"/>
              <w:rPr>
                <w:rFonts w:ascii="宋体" w:hAnsi="宋体"/>
                <w:color w:val="auto"/>
                <w:sz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E9ABA59">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6D104D5">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69F3966">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2E0785">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721FFED">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F2BFE0">
            <w:pPr>
              <w:spacing w:line="440" w:lineRule="exact"/>
              <w:ind w:firstLine="482"/>
              <w:jc w:val="center"/>
              <w:rPr>
                <w:rFonts w:ascii="宋体" w:hAnsi="宋体"/>
                <w:color w:val="auto"/>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3D06725D">
            <w:pPr>
              <w:spacing w:line="440" w:lineRule="exact"/>
              <w:ind w:firstLine="482"/>
              <w:jc w:val="center"/>
              <w:rPr>
                <w:rFonts w:ascii="宋体" w:hAnsi="宋体"/>
                <w:color w:val="auto"/>
                <w:sz w:val="24"/>
                <w:highlight w:val="none"/>
              </w:rPr>
            </w:pPr>
          </w:p>
        </w:tc>
      </w:tr>
      <w:tr w14:paraId="47618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3957BBE9">
            <w:pPr>
              <w:spacing w:line="440" w:lineRule="exact"/>
              <w:ind w:firstLine="482"/>
              <w:jc w:val="center"/>
              <w:rPr>
                <w:rFonts w:ascii="宋体" w:hAnsi="宋体"/>
                <w:color w:val="auto"/>
                <w:sz w:val="24"/>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8EED8BE">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3A4E8CD">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8E7A4D6">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E5BC3DC">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2666362">
            <w:pPr>
              <w:spacing w:line="440" w:lineRule="exact"/>
              <w:ind w:firstLine="482"/>
              <w:jc w:val="center"/>
              <w:rPr>
                <w:rFonts w:ascii="宋体" w:hAnsi="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2E1D2490">
            <w:pPr>
              <w:spacing w:line="440" w:lineRule="exact"/>
              <w:ind w:firstLine="482"/>
              <w:jc w:val="center"/>
              <w:rPr>
                <w:rFonts w:ascii="宋体" w:hAnsi="宋体"/>
                <w:color w:val="auto"/>
                <w:sz w:val="24"/>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7EA0386">
            <w:pPr>
              <w:spacing w:line="440" w:lineRule="exact"/>
              <w:ind w:firstLine="482"/>
              <w:jc w:val="center"/>
              <w:rPr>
                <w:rFonts w:ascii="宋体" w:hAnsi="宋体"/>
                <w:color w:val="auto"/>
                <w:sz w:val="24"/>
                <w:highlight w:val="none"/>
              </w:rPr>
            </w:pPr>
          </w:p>
        </w:tc>
      </w:tr>
      <w:tr w14:paraId="00C2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472219F">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B71486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0FAA5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AE4F1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C52B00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015C1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4DAEF8E">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C2F9E36">
            <w:pPr>
              <w:spacing w:line="440" w:lineRule="exact"/>
              <w:ind w:firstLine="482"/>
              <w:jc w:val="center"/>
              <w:rPr>
                <w:rFonts w:ascii="宋体" w:hAnsi="宋体"/>
                <w:color w:val="auto"/>
                <w:highlight w:val="none"/>
              </w:rPr>
            </w:pPr>
          </w:p>
        </w:tc>
      </w:tr>
      <w:tr w14:paraId="51AE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76715F9">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523124C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726D5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CA969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F7E02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DE33D9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E52B1C8">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18E974D">
            <w:pPr>
              <w:spacing w:line="440" w:lineRule="exact"/>
              <w:ind w:firstLine="482"/>
              <w:jc w:val="center"/>
              <w:rPr>
                <w:rFonts w:ascii="宋体" w:hAnsi="宋体"/>
                <w:color w:val="auto"/>
                <w:highlight w:val="none"/>
              </w:rPr>
            </w:pPr>
          </w:p>
        </w:tc>
      </w:tr>
      <w:tr w14:paraId="0CF5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46C72D4">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8B1650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096A1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246202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5A8C8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7C9F85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27489FA">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E97E020">
            <w:pPr>
              <w:spacing w:line="440" w:lineRule="exact"/>
              <w:ind w:firstLine="482"/>
              <w:jc w:val="center"/>
              <w:rPr>
                <w:rFonts w:ascii="宋体" w:hAnsi="宋体"/>
                <w:color w:val="auto"/>
                <w:highlight w:val="none"/>
              </w:rPr>
            </w:pPr>
          </w:p>
        </w:tc>
      </w:tr>
      <w:tr w14:paraId="194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BBFEE5">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85999B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BAB12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14286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71909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93A150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467A5C3">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2731EDE">
            <w:pPr>
              <w:spacing w:line="440" w:lineRule="exact"/>
              <w:ind w:firstLine="482"/>
              <w:jc w:val="center"/>
              <w:rPr>
                <w:rFonts w:ascii="宋体" w:hAnsi="宋体"/>
                <w:color w:val="auto"/>
                <w:highlight w:val="none"/>
              </w:rPr>
            </w:pPr>
          </w:p>
        </w:tc>
      </w:tr>
      <w:tr w14:paraId="41A6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361026">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3D399B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7A1966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A96835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868D11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7A7CA2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943E2DB">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72E2CD7">
            <w:pPr>
              <w:spacing w:line="440" w:lineRule="exact"/>
              <w:ind w:firstLine="482"/>
              <w:jc w:val="center"/>
              <w:rPr>
                <w:rFonts w:ascii="宋体" w:hAnsi="宋体"/>
                <w:color w:val="auto"/>
                <w:highlight w:val="none"/>
              </w:rPr>
            </w:pPr>
          </w:p>
        </w:tc>
      </w:tr>
      <w:tr w14:paraId="09E8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662DCF">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1847A7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D49C6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3514F1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795194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A3D76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4F4259D">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3023E90">
            <w:pPr>
              <w:spacing w:line="440" w:lineRule="exact"/>
              <w:ind w:firstLine="482"/>
              <w:jc w:val="center"/>
              <w:rPr>
                <w:rFonts w:ascii="宋体" w:hAnsi="宋体"/>
                <w:color w:val="auto"/>
                <w:highlight w:val="none"/>
              </w:rPr>
            </w:pPr>
          </w:p>
        </w:tc>
      </w:tr>
      <w:tr w14:paraId="10DD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1133E0">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19CF1C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25A6E9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50CE87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27B6E9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FF6C9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F118E1">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F15E4F2">
            <w:pPr>
              <w:spacing w:line="440" w:lineRule="exact"/>
              <w:ind w:firstLine="482"/>
              <w:jc w:val="center"/>
              <w:rPr>
                <w:rFonts w:ascii="宋体" w:hAnsi="宋体"/>
                <w:color w:val="auto"/>
                <w:highlight w:val="none"/>
              </w:rPr>
            </w:pPr>
          </w:p>
        </w:tc>
      </w:tr>
      <w:tr w14:paraId="48E7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8DFD6A8">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7079D4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C26344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EDE3E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4EC5A8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9E4B80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784092">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9F93BFB">
            <w:pPr>
              <w:spacing w:line="440" w:lineRule="exact"/>
              <w:ind w:firstLine="482"/>
              <w:jc w:val="center"/>
              <w:rPr>
                <w:rFonts w:ascii="宋体" w:hAnsi="宋体"/>
                <w:color w:val="auto"/>
                <w:highlight w:val="none"/>
              </w:rPr>
            </w:pPr>
          </w:p>
        </w:tc>
      </w:tr>
      <w:tr w14:paraId="04C4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2C7DD1A">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15991F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DC41FB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C8F86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0ED5E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15E543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36ACD67">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B133634">
            <w:pPr>
              <w:spacing w:line="440" w:lineRule="exact"/>
              <w:ind w:firstLine="482"/>
              <w:jc w:val="center"/>
              <w:rPr>
                <w:rFonts w:ascii="宋体" w:hAnsi="宋体"/>
                <w:color w:val="auto"/>
                <w:highlight w:val="none"/>
              </w:rPr>
            </w:pPr>
          </w:p>
        </w:tc>
      </w:tr>
      <w:tr w14:paraId="6A0E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921057">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169286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692404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3FC44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6101E3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A913C9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A553B1A">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1E93B8C7">
            <w:pPr>
              <w:spacing w:line="440" w:lineRule="exact"/>
              <w:ind w:firstLine="482"/>
              <w:jc w:val="center"/>
              <w:rPr>
                <w:rFonts w:ascii="宋体" w:hAnsi="宋体"/>
                <w:color w:val="auto"/>
                <w:highlight w:val="none"/>
              </w:rPr>
            </w:pPr>
          </w:p>
        </w:tc>
      </w:tr>
      <w:tr w14:paraId="3CAA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66E734F">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4EADA6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51150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A88A5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A9D5C5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62752E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B3A8B74">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C43F1B6">
            <w:pPr>
              <w:spacing w:line="440" w:lineRule="exact"/>
              <w:ind w:firstLine="482"/>
              <w:jc w:val="center"/>
              <w:rPr>
                <w:rFonts w:ascii="宋体" w:hAnsi="宋体"/>
                <w:color w:val="auto"/>
                <w:highlight w:val="none"/>
              </w:rPr>
            </w:pPr>
          </w:p>
        </w:tc>
      </w:tr>
      <w:tr w14:paraId="70CF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07FFA9">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7ECABA4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82CBE2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48F765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095307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DE4283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15CB842">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DB4C9B4">
            <w:pPr>
              <w:spacing w:line="440" w:lineRule="exact"/>
              <w:ind w:firstLine="482"/>
              <w:jc w:val="center"/>
              <w:rPr>
                <w:rFonts w:ascii="宋体" w:hAnsi="宋体"/>
                <w:color w:val="auto"/>
                <w:highlight w:val="none"/>
              </w:rPr>
            </w:pPr>
          </w:p>
        </w:tc>
      </w:tr>
      <w:tr w14:paraId="2385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247F05">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B42EF0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C6A13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5D8BE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43EA22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F59CC9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E59222">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20ACC6EE">
            <w:pPr>
              <w:spacing w:line="440" w:lineRule="exact"/>
              <w:ind w:firstLine="482"/>
              <w:jc w:val="center"/>
              <w:rPr>
                <w:rFonts w:ascii="宋体" w:hAnsi="宋体"/>
                <w:color w:val="auto"/>
                <w:highlight w:val="none"/>
              </w:rPr>
            </w:pPr>
          </w:p>
        </w:tc>
      </w:tr>
      <w:tr w14:paraId="3656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84CBD3D">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2D21EB2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235152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FDECF5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86DF1C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14E522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DD09D7">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B311EB3">
            <w:pPr>
              <w:spacing w:line="440" w:lineRule="exact"/>
              <w:ind w:firstLine="482"/>
              <w:jc w:val="center"/>
              <w:rPr>
                <w:rFonts w:ascii="宋体" w:hAnsi="宋体"/>
                <w:color w:val="auto"/>
                <w:highlight w:val="none"/>
              </w:rPr>
            </w:pPr>
          </w:p>
        </w:tc>
      </w:tr>
      <w:tr w14:paraId="45FC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4572C8C">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597FE5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C31AFA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1BF9C0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8379F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E9332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72A4DD2">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05EC94B">
            <w:pPr>
              <w:spacing w:line="440" w:lineRule="exact"/>
              <w:ind w:firstLine="482"/>
              <w:jc w:val="center"/>
              <w:rPr>
                <w:rFonts w:ascii="宋体" w:hAnsi="宋体"/>
                <w:color w:val="auto"/>
                <w:highlight w:val="none"/>
              </w:rPr>
            </w:pPr>
          </w:p>
        </w:tc>
      </w:tr>
      <w:tr w14:paraId="3292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F6F2513">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6D37D61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E0B93EB">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0B4C22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6E61B6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F60667D">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39ABE4">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9E0B75C">
            <w:pPr>
              <w:spacing w:line="440" w:lineRule="exact"/>
              <w:ind w:firstLine="482"/>
              <w:jc w:val="center"/>
              <w:rPr>
                <w:rFonts w:ascii="宋体" w:hAnsi="宋体"/>
                <w:color w:val="auto"/>
                <w:highlight w:val="none"/>
              </w:rPr>
            </w:pPr>
          </w:p>
        </w:tc>
      </w:tr>
      <w:tr w14:paraId="64E0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273B900">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36D57F3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4A5330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F1B06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BA3DCD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024D14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1D2FCD4">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658C4D0A">
            <w:pPr>
              <w:spacing w:line="440" w:lineRule="exact"/>
              <w:ind w:firstLine="482"/>
              <w:jc w:val="center"/>
              <w:rPr>
                <w:rFonts w:ascii="宋体" w:hAnsi="宋体"/>
                <w:color w:val="auto"/>
                <w:highlight w:val="none"/>
              </w:rPr>
            </w:pPr>
          </w:p>
        </w:tc>
      </w:tr>
      <w:tr w14:paraId="12F7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CE862B">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433BE21">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3388CE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E911397">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A47DAE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8628732">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6F542EB">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0D8BC1DE">
            <w:pPr>
              <w:spacing w:line="440" w:lineRule="exact"/>
              <w:ind w:firstLine="482"/>
              <w:jc w:val="center"/>
              <w:rPr>
                <w:rFonts w:ascii="宋体" w:hAnsi="宋体"/>
                <w:color w:val="auto"/>
                <w:highlight w:val="none"/>
              </w:rPr>
            </w:pPr>
          </w:p>
        </w:tc>
      </w:tr>
      <w:tr w14:paraId="487C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7307C79">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B6D54C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B6724D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8D35E70">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B37123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161805A">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183C28F">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496D26B">
            <w:pPr>
              <w:spacing w:line="440" w:lineRule="exact"/>
              <w:ind w:firstLine="482"/>
              <w:jc w:val="center"/>
              <w:rPr>
                <w:rFonts w:ascii="宋体" w:hAnsi="宋体"/>
                <w:color w:val="auto"/>
                <w:highlight w:val="none"/>
              </w:rPr>
            </w:pPr>
          </w:p>
        </w:tc>
      </w:tr>
      <w:tr w14:paraId="639E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8F08472">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487450B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FDD08FE">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532B3C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CA0EAC3">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3F418B24">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59BA54A">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3C054C87">
            <w:pPr>
              <w:spacing w:line="440" w:lineRule="exact"/>
              <w:ind w:firstLine="482"/>
              <w:jc w:val="center"/>
              <w:rPr>
                <w:rFonts w:ascii="宋体" w:hAnsi="宋体"/>
                <w:color w:val="auto"/>
                <w:highlight w:val="none"/>
              </w:rPr>
            </w:pPr>
          </w:p>
        </w:tc>
      </w:tr>
      <w:tr w14:paraId="748C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83B4B5A">
            <w:pPr>
              <w:spacing w:line="440" w:lineRule="exact"/>
              <w:ind w:firstLine="482"/>
              <w:jc w:val="center"/>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0FFE136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C556346">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2A454529">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87EA2F1">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97E81BF">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7E6510B0">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7D1BE5BE">
            <w:pPr>
              <w:spacing w:line="440" w:lineRule="exact"/>
              <w:ind w:firstLine="482"/>
              <w:jc w:val="center"/>
              <w:rPr>
                <w:rFonts w:ascii="宋体" w:hAnsi="宋体"/>
                <w:color w:val="auto"/>
                <w:highlight w:val="none"/>
              </w:rPr>
            </w:pPr>
          </w:p>
        </w:tc>
      </w:tr>
      <w:tr w14:paraId="11C1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589CD5E">
            <w:pPr>
              <w:spacing w:line="440" w:lineRule="exact"/>
              <w:ind w:firstLine="482"/>
              <w:rPr>
                <w:rFonts w:ascii="宋体" w:hAnsi="宋体"/>
                <w:color w:val="auto"/>
                <w:highlight w:val="none"/>
              </w:rPr>
            </w:pPr>
          </w:p>
        </w:tc>
        <w:tc>
          <w:tcPr>
            <w:tcW w:w="1304" w:type="dxa"/>
            <w:tcBorders>
              <w:top w:val="single" w:color="auto" w:sz="4" w:space="0"/>
              <w:left w:val="single" w:color="auto" w:sz="4" w:space="0"/>
              <w:bottom w:val="single" w:color="auto" w:sz="4" w:space="0"/>
              <w:right w:val="single" w:color="auto" w:sz="4" w:space="0"/>
            </w:tcBorders>
            <w:noWrap w:val="0"/>
            <w:vAlign w:val="top"/>
          </w:tcPr>
          <w:p w14:paraId="1ED2DB4C">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9DE1985">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DB2459A">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BCB8EEA">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6282C48">
            <w:pPr>
              <w:spacing w:line="440" w:lineRule="exact"/>
              <w:ind w:firstLine="482"/>
              <w:jc w:val="center"/>
              <w:rPr>
                <w:rFonts w:ascii="宋体" w:hAnsi="宋体"/>
                <w:color w:val="auto"/>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01B5AF7">
            <w:pPr>
              <w:spacing w:line="440" w:lineRule="exact"/>
              <w:ind w:firstLine="482"/>
              <w:jc w:val="center"/>
              <w:rPr>
                <w:rFonts w:ascii="宋体" w:hAnsi="宋体"/>
                <w:color w:val="auto"/>
                <w:highlight w:val="none"/>
              </w:rPr>
            </w:pPr>
          </w:p>
        </w:tc>
        <w:tc>
          <w:tcPr>
            <w:tcW w:w="1064" w:type="dxa"/>
            <w:tcBorders>
              <w:top w:val="single" w:color="auto" w:sz="4" w:space="0"/>
              <w:left w:val="single" w:color="auto" w:sz="4" w:space="0"/>
              <w:bottom w:val="single" w:color="auto" w:sz="4" w:space="0"/>
              <w:right w:val="single" w:color="auto" w:sz="4" w:space="0"/>
            </w:tcBorders>
            <w:noWrap w:val="0"/>
            <w:vAlign w:val="top"/>
          </w:tcPr>
          <w:p w14:paraId="43A89A32">
            <w:pPr>
              <w:spacing w:line="440" w:lineRule="exact"/>
              <w:ind w:firstLine="482"/>
              <w:jc w:val="center"/>
              <w:rPr>
                <w:rFonts w:ascii="宋体" w:hAnsi="宋体"/>
                <w:color w:val="auto"/>
                <w:highlight w:val="none"/>
              </w:rPr>
            </w:pPr>
          </w:p>
        </w:tc>
      </w:tr>
    </w:tbl>
    <w:p w14:paraId="563CFE4D">
      <w:pPr>
        <w:pStyle w:val="12"/>
        <w:ind w:firstLine="402"/>
        <w:rPr>
          <w:rFonts w:hint="eastAsia" w:ascii="宋体" w:hAnsi="宋体"/>
          <w:b/>
          <w:color w:val="auto"/>
          <w:sz w:val="32"/>
          <w:szCs w:val="32"/>
          <w:highlight w:val="none"/>
        </w:rPr>
      </w:pPr>
      <w:bookmarkStart w:id="1459" w:name="_Toc144974868"/>
      <w:bookmarkStart w:id="1460" w:name="_Toc152045800"/>
      <w:bookmarkStart w:id="1461" w:name="_Toc246997110"/>
      <w:bookmarkStart w:id="1462" w:name="_Toc179632820"/>
      <w:bookmarkStart w:id="1463" w:name="_Toc247085885"/>
      <w:bookmarkStart w:id="1464" w:name="_Toc296602612"/>
      <w:bookmarkStart w:id="1465" w:name="_Toc152042589"/>
      <w:bookmarkStart w:id="1466" w:name="_Toc246996367"/>
      <w:r>
        <w:rPr>
          <w:rFonts w:hint="eastAsia" w:ascii="宋体" w:hAnsi="宋体"/>
          <w:b/>
          <w:color w:val="auto"/>
          <w:sz w:val="32"/>
          <w:szCs w:val="32"/>
          <w:highlight w:val="none"/>
        </w:rPr>
        <w:br w:type="page"/>
      </w:r>
      <w:r>
        <w:rPr>
          <w:rFonts w:hint="eastAsia" w:ascii="宋体" w:hAnsi="宋体"/>
          <w:b/>
          <w:color w:val="auto"/>
          <w:sz w:val="32"/>
          <w:szCs w:val="32"/>
          <w:highlight w:val="none"/>
        </w:rPr>
        <w:t>附表三：进度计划</w:t>
      </w:r>
      <w:bookmarkEnd w:id="1459"/>
      <w:bookmarkEnd w:id="1460"/>
      <w:bookmarkEnd w:id="1461"/>
      <w:bookmarkEnd w:id="1462"/>
      <w:bookmarkEnd w:id="1463"/>
      <w:bookmarkEnd w:id="1464"/>
      <w:bookmarkEnd w:id="1465"/>
      <w:bookmarkEnd w:id="1466"/>
    </w:p>
    <w:p w14:paraId="22FB6F0E">
      <w:pPr>
        <w:spacing w:line="440" w:lineRule="exact"/>
        <w:ind w:firstLine="402"/>
        <w:rPr>
          <w:rFonts w:hint="eastAsia" w:ascii="宋体" w:hAnsi="宋体"/>
          <w:color w:val="auto"/>
          <w:sz w:val="20"/>
          <w:szCs w:val="20"/>
          <w:highlight w:val="none"/>
        </w:rPr>
      </w:pPr>
    </w:p>
    <w:p w14:paraId="765D5554">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 投标人应递交施工进度网络图或施工进度表，说明按竞争性磋商文件要求的计划工期进行施工的各个关键日期。</w:t>
      </w:r>
    </w:p>
    <w:p w14:paraId="4CA114C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 施工进度表可采用网络图或横道图表示。</w:t>
      </w:r>
    </w:p>
    <w:p w14:paraId="11ACEC33">
      <w:pPr>
        <w:spacing w:line="440" w:lineRule="exact"/>
        <w:ind w:firstLine="402"/>
        <w:rPr>
          <w:rFonts w:hint="eastAsia" w:ascii="宋体" w:hAnsi="宋体"/>
          <w:color w:val="auto"/>
          <w:sz w:val="20"/>
          <w:szCs w:val="20"/>
          <w:highlight w:val="none"/>
        </w:rPr>
      </w:pPr>
    </w:p>
    <w:p w14:paraId="1C44E847">
      <w:pPr>
        <w:spacing w:line="440" w:lineRule="exact"/>
        <w:ind w:firstLine="640"/>
        <w:jc w:val="center"/>
        <w:rPr>
          <w:rFonts w:hint="eastAsia" w:ascii="宋体" w:hAnsi="宋体" w:cs="宋体"/>
          <w:b/>
          <w:color w:val="auto"/>
          <w:sz w:val="32"/>
          <w:szCs w:val="32"/>
          <w:highlight w:val="none"/>
        </w:rPr>
      </w:pPr>
    </w:p>
    <w:p w14:paraId="2122F1C9">
      <w:pPr>
        <w:pStyle w:val="25"/>
        <w:ind w:firstLine="562"/>
        <w:rPr>
          <w:rFonts w:hint="eastAsia" w:ascii="宋体" w:hAnsi="宋体" w:eastAsia="宋体"/>
          <w:color w:val="auto"/>
          <w:highlight w:val="none"/>
        </w:rPr>
      </w:pPr>
    </w:p>
    <w:p w14:paraId="08007387">
      <w:pPr>
        <w:pStyle w:val="26"/>
        <w:ind w:firstLine="402"/>
        <w:rPr>
          <w:rFonts w:hint="eastAsia" w:ascii="宋体" w:hAnsi="宋体" w:eastAsia="宋体"/>
          <w:color w:val="auto"/>
          <w:highlight w:val="none"/>
        </w:rPr>
      </w:pPr>
    </w:p>
    <w:p w14:paraId="231E2471">
      <w:pPr>
        <w:pStyle w:val="26"/>
        <w:ind w:firstLine="402"/>
        <w:rPr>
          <w:rFonts w:hint="eastAsia" w:ascii="宋体" w:hAnsi="宋体" w:eastAsia="宋体"/>
          <w:color w:val="auto"/>
          <w:highlight w:val="none"/>
        </w:rPr>
      </w:pPr>
    </w:p>
    <w:p w14:paraId="08500489">
      <w:pPr>
        <w:pStyle w:val="26"/>
        <w:ind w:firstLine="402"/>
        <w:rPr>
          <w:rFonts w:hint="eastAsia" w:ascii="宋体" w:hAnsi="宋体" w:eastAsia="宋体"/>
          <w:color w:val="auto"/>
          <w:highlight w:val="none"/>
        </w:rPr>
      </w:pPr>
    </w:p>
    <w:p w14:paraId="23BC15C2">
      <w:pPr>
        <w:pStyle w:val="26"/>
        <w:ind w:firstLine="402"/>
        <w:rPr>
          <w:rFonts w:hint="eastAsia" w:ascii="宋体" w:hAnsi="宋体" w:eastAsia="宋体"/>
          <w:color w:val="auto"/>
          <w:highlight w:val="none"/>
        </w:rPr>
      </w:pPr>
    </w:p>
    <w:p w14:paraId="2E0CE14A">
      <w:pPr>
        <w:pStyle w:val="26"/>
        <w:ind w:firstLine="402"/>
        <w:rPr>
          <w:rFonts w:hint="eastAsia" w:ascii="宋体" w:hAnsi="宋体" w:eastAsia="宋体"/>
          <w:color w:val="auto"/>
          <w:highlight w:val="none"/>
        </w:rPr>
      </w:pPr>
    </w:p>
    <w:p w14:paraId="32ADC573">
      <w:pPr>
        <w:pStyle w:val="26"/>
        <w:ind w:firstLine="402"/>
        <w:rPr>
          <w:rFonts w:hint="eastAsia" w:ascii="宋体" w:hAnsi="宋体" w:eastAsia="宋体"/>
          <w:color w:val="auto"/>
          <w:highlight w:val="none"/>
        </w:rPr>
      </w:pPr>
    </w:p>
    <w:p w14:paraId="041FAF9B">
      <w:pPr>
        <w:spacing w:line="440" w:lineRule="exact"/>
        <w:ind w:firstLine="64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七、项目管理机构</w:t>
      </w:r>
      <w:bookmarkEnd w:id="1429"/>
      <w:bookmarkEnd w:id="1430"/>
      <w:bookmarkEnd w:id="1431"/>
      <w:bookmarkEnd w:id="1432"/>
      <w:bookmarkEnd w:id="1433"/>
      <w:bookmarkEnd w:id="1434"/>
      <w:bookmarkEnd w:id="1435"/>
      <w:bookmarkEnd w:id="1436"/>
    </w:p>
    <w:p w14:paraId="18365CC7">
      <w:pPr>
        <w:pStyle w:val="6"/>
        <w:ind w:firstLine="640"/>
        <w:jc w:val="center"/>
        <w:rPr>
          <w:rFonts w:hint="eastAsia" w:ascii="宋体" w:hAnsi="宋体" w:cs="宋体"/>
          <w:color w:val="auto"/>
          <w:highlight w:val="none"/>
        </w:rPr>
      </w:pPr>
      <w:bookmarkStart w:id="1467" w:name="_Toc246996370"/>
      <w:bookmarkStart w:id="1468" w:name="_Toc296602615"/>
      <w:bookmarkStart w:id="1469" w:name="_Toc247085888"/>
      <w:bookmarkStart w:id="1470" w:name="_Toc9871"/>
      <w:bookmarkStart w:id="1471" w:name="_Toc179632824"/>
      <w:bookmarkStart w:id="1472" w:name="_Toc77586975"/>
      <w:bookmarkStart w:id="1473" w:name="_Toc152045804"/>
      <w:bookmarkStart w:id="1474" w:name="_Toc77586877"/>
      <w:bookmarkStart w:id="1475" w:name="_Toc246997113"/>
      <w:bookmarkStart w:id="1476" w:name="_Toc144974872"/>
      <w:bookmarkStart w:id="1477" w:name="_Toc152042593"/>
      <w:r>
        <w:rPr>
          <w:rFonts w:hint="eastAsia" w:ascii="宋体" w:hAnsi="宋体" w:cs="宋体"/>
          <w:color w:val="auto"/>
          <w:highlight w:val="none"/>
        </w:rPr>
        <w:t>（一）项目管理机构组成表</w:t>
      </w:r>
      <w:bookmarkEnd w:id="1467"/>
      <w:bookmarkEnd w:id="1468"/>
      <w:bookmarkEnd w:id="1469"/>
      <w:bookmarkEnd w:id="1470"/>
      <w:bookmarkEnd w:id="1471"/>
      <w:bookmarkEnd w:id="1472"/>
      <w:bookmarkEnd w:id="1473"/>
      <w:bookmarkEnd w:id="1474"/>
      <w:bookmarkEnd w:id="1475"/>
      <w:bookmarkEnd w:id="1476"/>
      <w:bookmarkEnd w:id="1477"/>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21"/>
        <w:gridCol w:w="719"/>
        <w:gridCol w:w="1232"/>
        <w:gridCol w:w="1042"/>
        <w:gridCol w:w="992"/>
        <w:gridCol w:w="1276"/>
        <w:gridCol w:w="1221"/>
        <w:gridCol w:w="672"/>
      </w:tblGrid>
      <w:tr w14:paraId="4325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33297A4B">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职务</w:t>
            </w:r>
          </w:p>
        </w:tc>
        <w:tc>
          <w:tcPr>
            <w:tcW w:w="721" w:type="dxa"/>
            <w:vMerge w:val="restart"/>
            <w:tcBorders>
              <w:top w:val="single" w:color="auto" w:sz="4" w:space="0"/>
              <w:left w:val="single" w:color="auto" w:sz="4" w:space="0"/>
              <w:bottom w:val="single" w:color="auto" w:sz="4" w:space="0"/>
              <w:right w:val="single" w:color="auto" w:sz="4" w:space="0"/>
            </w:tcBorders>
            <w:noWrap w:val="0"/>
            <w:vAlign w:val="center"/>
          </w:tcPr>
          <w:p w14:paraId="45CFFBFE">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14:paraId="670905E6">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职称</w:t>
            </w:r>
          </w:p>
        </w:tc>
        <w:tc>
          <w:tcPr>
            <w:tcW w:w="5763" w:type="dxa"/>
            <w:gridSpan w:val="5"/>
            <w:tcBorders>
              <w:top w:val="single" w:color="auto" w:sz="4" w:space="0"/>
              <w:left w:val="single" w:color="auto" w:sz="4" w:space="0"/>
              <w:bottom w:val="single" w:color="auto" w:sz="4" w:space="0"/>
              <w:right w:val="single" w:color="auto" w:sz="4" w:space="0"/>
            </w:tcBorders>
            <w:noWrap w:val="0"/>
            <w:vAlign w:val="center"/>
          </w:tcPr>
          <w:p w14:paraId="0E9318FD">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672" w:type="dxa"/>
            <w:vMerge w:val="restart"/>
            <w:tcBorders>
              <w:top w:val="single" w:color="auto" w:sz="4" w:space="0"/>
              <w:left w:val="single" w:color="auto" w:sz="4" w:space="0"/>
              <w:bottom w:val="single" w:color="auto" w:sz="4" w:space="0"/>
              <w:right w:val="single" w:color="auto" w:sz="4" w:space="0"/>
            </w:tcBorders>
            <w:noWrap w:val="0"/>
            <w:vAlign w:val="center"/>
          </w:tcPr>
          <w:p w14:paraId="0CE1E7DD">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备注</w:t>
            </w:r>
          </w:p>
        </w:tc>
      </w:tr>
      <w:tr w14:paraId="573A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0A2F3106">
            <w:pPr>
              <w:widowControl/>
              <w:ind w:firstLine="482"/>
              <w:jc w:val="left"/>
              <w:rPr>
                <w:rFonts w:ascii="宋体" w:hAnsi="宋体" w:cs="宋体"/>
                <w:color w:val="auto"/>
                <w:sz w:val="24"/>
                <w:szCs w:val="24"/>
                <w:highlight w:val="none"/>
              </w:rPr>
            </w:pPr>
          </w:p>
        </w:tc>
        <w:tc>
          <w:tcPr>
            <w:tcW w:w="721" w:type="dxa"/>
            <w:vMerge w:val="continue"/>
            <w:tcBorders>
              <w:top w:val="single" w:color="auto" w:sz="4" w:space="0"/>
              <w:left w:val="single" w:color="auto" w:sz="4" w:space="0"/>
              <w:bottom w:val="single" w:color="auto" w:sz="4" w:space="0"/>
              <w:right w:val="single" w:color="auto" w:sz="4" w:space="0"/>
            </w:tcBorders>
            <w:noWrap w:val="0"/>
            <w:vAlign w:val="center"/>
          </w:tcPr>
          <w:p w14:paraId="6301C88E">
            <w:pPr>
              <w:widowControl/>
              <w:ind w:firstLine="482"/>
              <w:jc w:val="left"/>
              <w:rPr>
                <w:rFonts w:ascii="宋体" w:hAnsi="宋体" w:cs="宋体"/>
                <w:color w:val="auto"/>
                <w:sz w:val="24"/>
                <w:szCs w:val="24"/>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57776ED5">
            <w:pPr>
              <w:widowControl/>
              <w:ind w:firstLine="482"/>
              <w:jc w:val="left"/>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CD2BC4D">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1042" w:type="dxa"/>
            <w:tcBorders>
              <w:top w:val="single" w:color="auto" w:sz="4" w:space="0"/>
              <w:left w:val="single" w:color="auto" w:sz="4" w:space="0"/>
              <w:bottom w:val="single" w:color="auto" w:sz="4" w:space="0"/>
              <w:right w:val="single" w:color="auto" w:sz="4" w:space="0"/>
            </w:tcBorders>
            <w:noWrap w:val="0"/>
            <w:vAlign w:val="center"/>
          </w:tcPr>
          <w:p w14:paraId="2DAA6781">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级别</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D84E8F">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证号</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78105F3">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专业</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DF9028F">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养老保险</w:t>
            </w:r>
          </w:p>
        </w:tc>
        <w:tc>
          <w:tcPr>
            <w:tcW w:w="672" w:type="dxa"/>
            <w:vMerge w:val="continue"/>
            <w:tcBorders>
              <w:top w:val="single" w:color="auto" w:sz="4" w:space="0"/>
              <w:left w:val="single" w:color="auto" w:sz="4" w:space="0"/>
              <w:bottom w:val="single" w:color="auto" w:sz="4" w:space="0"/>
              <w:right w:val="single" w:color="auto" w:sz="4" w:space="0"/>
            </w:tcBorders>
            <w:noWrap w:val="0"/>
            <w:vAlign w:val="center"/>
          </w:tcPr>
          <w:p w14:paraId="5CCB1F65">
            <w:pPr>
              <w:widowControl/>
              <w:ind w:firstLine="482"/>
              <w:jc w:val="left"/>
              <w:rPr>
                <w:rFonts w:ascii="宋体" w:hAnsi="宋体" w:cs="宋体"/>
                <w:color w:val="auto"/>
                <w:sz w:val="24"/>
                <w:szCs w:val="24"/>
                <w:highlight w:val="none"/>
              </w:rPr>
            </w:pPr>
          </w:p>
        </w:tc>
      </w:tr>
      <w:tr w14:paraId="3AB5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3598EBA0">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center"/>
          </w:tcPr>
          <w:p w14:paraId="6C6EBEDB">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1655F84A">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161328F">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center"/>
          </w:tcPr>
          <w:p w14:paraId="4014EF09">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DEEEEB8">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754F441">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04A8D8B">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center"/>
          </w:tcPr>
          <w:p w14:paraId="626688EF">
            <w:pPr>
              <w:spacing w:line="440" w:lineRule="exact"/>
              <w:ind w:firstLine="482"/>
              <w:jc w:val="center"/>
              <w:rPr>
                <w:rFonts w:ascii="宋体" w:hAnsi="宋体" w:cs="宋体"/>
                <w:color w:val="auto"/>
                <w:sz w:val="24"/>
                <w:szCs w:val="24"/>
                <w:highlight w:val="none"/>
              </w:rPr>
            </w:pPr>
          </w:p>
        </w:tc>
      </w:tr>
      <w:tr w14:paraId="6A47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1068C59F">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99A9EC5">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3675C51">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5826BD9">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CC77E43">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4006EAF">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14F79C0">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6C09C56">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14EA3E">
            <w:pPr>
              <w:spacing w:line="440" w:lineRule="exact"/>
              <w:ind w:firstLine="482"/>
              <w:jc w:val="center"/>
              <w:rPr>
                <w:rFonts w:ascii="宋体" w:hAnsi="宋体" w:cs="宋体"/>
                <w:color w:val="auto"/>
                <w:sz w:val="24"/>
                <w:szCs w:val="24"/>
                <w:highlight w:val="none"/>
              </w:rPr>
            </w:pPr>
          </w:p>
        </w:tc>
      </w:tr>
      <w:tr w14:paraId="6C85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71B85081">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B063340">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5680309">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8358117">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4B011D7">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30F26C3">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2EF21E">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64631BC4">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D6D3F44">
            <w:pPr>
              <w:spacing w:line="440" w:lineRule="exact"/>
              <w:ind w:firstLine="482"/>
              <w:jc w:val="center"/>
              <w:rPr>
                <w:rFonts w:ascii="宋体" w:hAnsi="宋体" w:cs="宋体"/>
                <w:color w:val="auto"/>
                <w:sz w:val="24"/>
                <w:szCs w:val="24"/>
                <w:highlight w:val="none"/>
              </w:rPr>
            </w:pPr>
          </w:p>
        </w:tc>
      </w:tr>
      <w:tr w14:paraId="3760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833DC07">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A80A67F">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342">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794833F">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7E1C7E7">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8038F71">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005510">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4B182F9">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3F58B25">
            <w:pPr>
              <w:spacing w:line="440" w:lineRule="exact"/>
              <w:ind w:firstLine="482"/>
              <w:jc w:val="center"/>
              <w:rPr>
                <w:rFonts w:ascii="宋体" w:hAnsi="宋体" w:cs="宋体"/>
                <w:color w:val="auto"/>
                <w:sz w:val="24"/>
                <w:szCs w:val="24"/>
                <w:highlight w:val="none"/>
              </w:rPr>
            </w:pPr>
          </w:p>
        </w:tc>
      </w:tr>
      <w:tr w14:paraId="2195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1583B509">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C986D8E">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6C7DBFE">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AFA6B9C">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450384C">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2B1B370">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22D7BE">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470E1B4">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DAE115E">
            <w:pPr>
              <w:spacing w:line="440" w:lineRule="exact"/>
              <w:ind w:firstLine="482"/>
              <w:jc w:val="center"/>
              <w:rPr>
                <w:rFonts w:ascii="宋体" w:hAnsi="宋体" w:cs="宋体"/>
                <w:color w:val="auto"/>
                <w:sz w:val="24"/>
                <w:szCs w:val="24"/>
                <w:highlight w:val="none"/>
              </w:rPr>
            </w:pPr>
          </w:p>
        </w:tc>
      </w:tr>
      <w:tr w14:paraId="16E7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31617F14">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061733C">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AE97970">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EAC872D">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6F75F7E">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E91CADC">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AF111D">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A8C5B8F">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181B834">
            <w:pPr>
              <w:spacing w:line="440" w:lineRule="exact"/>
              <w:ind w:firstLine="482"/>
              <w:jc w:val="center"/>
              <w:rPr>
                <w:rFonts w:ascii="宋体" w:hAnsi="宋体" w:cs="宋体"/>
                <w:color w:val="auto"/>
                <w:sz w:val="24"/>
                <w:szCs w:val="24"/>
                <w:highlight w:val="none"/>
              </w:rPr>
            </w:pPr>
          </w:p>
        </w:tc>
      </w:tr>
      <w:tr w14:paraId="1D8B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2BB09A88">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2C349E0">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5FDF0A">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640186C">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99F03A9">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5862AEA">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308AF6C">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1F2212D7">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4B4D44B9">
            <w:pPr>
              <w:spacing w:line="440" w:lineRule="exact"/>
              <w:ind w:firstLine="482"/>
              <w:jc w:val="center"/>
              <w:rPr>
                <w:rFonts w:ascii="宋体" w:hAnsi="宋体" w:cs="宋体"/>
                <w:color w:val="auto"/>
                <w:sz w:val="24"/>
                <w:szCs w:val="24"/>
                <w:highlight w:val="none"/>
              </w:rPr>
            </w:pPr>
          </w:p>
        </w:tc>
      </w:tr>
      <w:tr w14:paraId="7D46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3A6B87CB">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22DC3DF">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14A9C51">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D8C55DE">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0408761">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5DED8F6">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B5402E">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884ECF2">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E5125B">
            <w:pPr>
              <w:spacing w:line="440" w:lineRule="exact"/>
              <w:ind w:firstLine="482"/>
              <w:jc w:val="center"/>
              <w:rPr>
                <w:rFonts w:ascii="宋体" w:hAnsi="宋体" w:cs="宋体"/>
                <w:color w:val="auto"/>
                <w:sz w:val="24"/>
                <w:szCs w:val="24"/>
                <w:highlight w:val="none"/>
              </w:rPr>
            </w:pPr>
          </w:p>
        </w:tc>
      </w:tr>
      <w:tr w14:paraId="4FD3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47DC17A6">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E34B10C">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0B47B62">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43C9103C">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1B4A0BFD">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1E818F16">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8ABB">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C9F8221">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2DE64C">
            <w:pPr>
              <w:spacing w:line="440" w:lineRule="exact"/>
              <w:ind w:firstLine="482"/>
              <w:jc w:val="center"/>
              <w:rPr>
                <w:rFonts w:ascii="宋体" w:hAnsi="宋体" w:cs="宋体"/>
                <w:color w:val="auto"/>
                <w:sz w:val="24"/>
                <w:szCs w:val="24"/>
                <w:highlight w:val="none"/>
              </w:rPr>
            </w:pPr>
          </w:p>
        </w:tc>
      </w:tr>
      <w:tr w14:paraId="27E7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6C134B7">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6EF922B">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DF26CA4">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7F64493">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6B255382">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A16F053">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019A5D">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B03E2AC">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9522E20">
            <w:pPr>
              <w:spacing w:line="440" w:lineRule="exact"/>
              <w:ind w:firstLine="482"/>
              <w:jc w:val="center"/>
              <w:rPr>
                <w:rFonts w:ascii="宋体" w:hAnsi="宋体" w:cs="宋体"/>
                <w:color w:val="auto"/>
                <w:sz w:val="24"/>
                <w:szCs w:val="24"/>
                <w:highlight w:val="none"/>
              </w:rPr>
            </w:pPr>
          </w:p>
        </w:tc>
      </w:tr>
      <w:tr w14:paraId="0FC8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6E0DE3EE">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FED080D">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F3F1995">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7BF45C76">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C3B0648">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CACADD0">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E5AA2E">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163A9709">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B081DB2">
            <w:pPr>
              <w:spacing w:line="440" w:lineRule="exact"/>
              <w:ind w:firstLine="482"/>
              <w:jc w:val="center"/>
              <w:rPr>
                <w:rFonts w:ascii="宋体" w:hAnsi="宋体" w:cs="宋体"/>
                <w:color w:val="auto"/>
                <w:sz w:val="24"/>
                <w:szCs w:val="24"/>
                <w:highlight w:val="none"/>
              </w:rPr>
            </w:pPr>
          </w:p>
        </w:tc>
      </w:tr>
      <w:tr w14:paraId="10BE3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DB2F668">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F02DE6F">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5D36869">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C32E53D">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64A6752">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5B859C75">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3A4B09">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2C5E6541">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197E031">
            <w:pPr>
              <w:spacing w:line="440" w:lineRule="exact"/>
              <w:ind w:firstLine="482"/>
              <w:jc w:val="center"/>
              <w:rPr>
                <w:rFonts w:ascii="宋体" w:hAnsi="宋体" w:cs="宋体"/>
                <w:color w:val="auto"/>
                <w:sz w:val="24"/>
                <w:szCs w:val="24"/>
                <w:highlight w:val="none"/>
              </w:rPr>
            </w:pPr>
          </w:p>
        </w:tc>
      </w:tr>
      <w:tr w14:paraId="5E22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51EBAF1">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DC4A863">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C022864">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3C5DBC6">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830E146">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64EE50B0">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CDD877">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197CE37D">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58A1556">
            <w:pPr>
              <w:spacing w:line="440" w:lineRule="exact"/>
              <w:ind w:firstLine="482"/>
              <w:jc w:val="center"/>
              <w:rPr>
                <w:rFonts w:ascii="宋体" w:hAnsi="宋体" w:cs="宋体"/>
                <w:color w:val="auto"/>
                <w:sz w:val="24"/>
                <w:szCs w:val="24"/>
                <w:highlight w:val="none"/>
              </w:rPr>
            </w:pPr>
          </w:p>
        </w:tc>
      </w:tr>
      <w:tr w14:paraId="5812E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601701A3">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FC9C207">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F56E290">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55959025">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5C921FCC">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8F28F05">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CA1069">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4AD6697D">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368398D">
            <w:pPr>
              <w:spacing w:line="440" w:lineRule="exact"/>
              <w:ind w:firstLine="482"/>
              <w:jc w:val="center"/>
              <w:rPr>
                <w:rFonts w:ascii="宋体" w:hAnsi="宋体" w:cs="宋体"/>
                <w:color w:val="auto"/>
                <w:sz w:val="24"/>
                <w:szCs w:val="24"/>
                <w:highlight w:val="none"/>
              </w:rPr>
            </w:pPr>
          </w:p>
        </w:tc>
      </w:tr>
      <w:tr w14:paraId="06A0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22A683B5">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C8D03F4">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24FF842">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394D8C32">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C1CEB08">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B8858A4">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DDC08F0">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0F0CA34">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EC9AD4C">
            <w:pPr>
              <w:spacing w:line="440" w:lineRule="exact"/>
              <w:ind w:firstLine="482"/>
              <w:jc w:val="center"/>
              <w:rPr>
                <w:rFonts w:ascii="宋体" w:hAnsi="宋体" w:cs="宋体"/>
                <w:color w:val="auto"/>
                <w:sz w:val="24"/>
                <w:szCs w:val="24"/>
                <w:highlight w:val="none"/>
              </w:rPr>
            </w:pPr>
          </w:p>
        </w:tc>
      </w:tr>
      <w:tr w14:paraId="23FF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8D25C0F">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DFF484E">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D87E055">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1699077A">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4C72B511">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AC08B7C">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9EDAD2B">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3DEA9E14">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5126B15">
            <w:pPr>
              <w:spacing w:line="440" w:lineRule="exact"/>
              <w:ind w:firstLine="482"/>
              <w:jc w:val="center"/>
              <w:rPr>
                <w:rFonts w:ascii="宋体" w:hAnsi="宋体" w:cs="宋体"/>
                <w:color w:val="auto"/>
                <w:sz w:val="24"/>
                <w:szCs w:val="24"/>
                <w:highlight w:val="none"/>
              </w:rPr>
            </w:pPr>
          </w:p>
        </w:tc>
      </w:tr>
      <w:tr w14:paraId="3F5A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3797CFC">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A61B45C">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BE9CEE9">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265A386A">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7E2D02F3">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20BED018">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1B5608">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7CC1A206">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C884925">
            <w:pPr>
              <w:spacing w:line="440" w:lineRule="exact"/>
              <w:ind w:firstLine="482"/>
              <w:jc w:val="center"/>
              <w:rPr>
                <w:rFonts w:ascii="宋体" w:hAnsi="宋体" w:cs="宋体"/>
                <w:color w:val="auto"/>
                <w:sz w:val="24"/>
                <w:szCs w:val="24"/>
                <w:highlight w:val="none"/>
              </w:rPr>
            </w:pPr>
          </w:p>
        </w:tc>
      </w:tr>
      <w:tr w14:paraId="691A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54CA8BAD">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0C68D3C">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B98A58">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0A3032A4">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FBB8054">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4CC3E4DB">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FEB3D6">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0B473052">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B79F8BA">
            <w:pPr>
              <w:spacing w:line="440" w:lineRule="exact"/>
              <w:ind w:firstLine="482"/>
              <w:jc w:val="center"/>
              <w:rPr>
                <w:rFonts w:ascii="宋体" w:hAnsi="宋体" w:cs="宋体"/>
                <w:color w:val="auto"/>
                <w:sz w:val="24"/>
                <w:szCs w:val="24"/>
                <w:highlight w:val="none"/>
              </w:rPr>
            </w:pPr>
          </w:p>
        </w:tc>
      </w:tr>
      <w:tr w14:paraId="3A4D1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val="0"/>
            <w:vAlign w:val="top"/>
          </w:tcPr>
          <w:p w14:paraId="0254E4C2">
            <w:pPr>
              <w:spacing w:line="440" w:lineRule="exact"/>
              <w:ind w:firstLine="482"/>
              <w:jc w:val="center"/>
              <w:rPr>
                <w:rFonts w:ascii="宋体" w:hAnsi="宋体" w:cs="宋体"/>
                <w:color w:val="auto"/>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5ADFDD2">
            <w:pPr>
              <w:spacing w:line="440" w:lineRule="exact"/>
              <w:ind w:firstLine="482"/>
              <w:jc w:val="center"/>
              <w:rPr>
                <w:rFonts w:ascii="宋体" w:hAnsi="宋体" w:cs="宋体"/>
                <w:color w:val="auto"/>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1066D16B">
            <w:pPr>
              <w:spacing w:line="440" w:lineRule="exact"/>
              <w:ind w:firstLine="482"/>
              <w:jc w:val="center"/>
              <w:rPr>
                <w:rFonts w:ascii="宋体" w:hAnsi="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top"/>
          </w:tcPr>
          <w:p w14:paraId="67EF74A5">
            <w:pPr>
              <w:spacing w:line="440" w:lineRule="exact"/>
              <w:ind w:firstLine="482"/>
              <w:jc w:val="center"/>
              <w:rPr>
                <w:rFonts w:ascii="宋体" w:hAnsi="宋体" w:cs="宋体"/>
                <w:color w:val="auto"/>
                <w:sz w:val="24"/>
                <w:szCs w:val="24"/>
                <w:highlight w:val="none"/>
              </w:rPr>
            </w:pPr>
          </w:p>
        </w:tc>
        <w:tc>
          <w:tcPr>
            <w:tcW w:w="1042" w:type="dxa"/>
            <w:tcBorders>
              <w:top w:val="single" w:color="auto" w:sz="4" w:space="0"/>
              <w:left w:val="single" w:color="auto" w:sz="4" w:space="0"/>
              <w:bottom w:val="single" w:color="auto" w:sz="4" w:space="0"/>
              <w:right w:val="single" w:color="auto" w:sz="4" w:space="0"/>
            </w:tcBorders>
            <w:noWrap w:val="0"/>
            <w:vAlign w:val="top"/>
          </w:tcPr>
          <w:p w14:paraId="3EE3D07A">
            <w:pPr>
              <w:spacing w:line="440" w:lineRule="exact"/>
              <w:ind w:firstLine="482"/>
              <w:jc w:val="center"/>
              <w:rPr>
                <w:rFonts w:ascii="宋体" w:hAnsi="宋体" w:cs="宋体"/>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14:paraId="747431BA">
            <w:pPr>
              <w:spacing w:line="440" w:lineRule="exact"/>
              <w:ind w:firstLine="482"/>
              <w:jc w:val="center"/>
              <w:rPr>
                <w:rFonts w:ascii="宋体" w:hAnsi="宋体" w:cs="宋体"/>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C01578E">
            <w:pPr>
              <w:spacing w:line="440" w:lineRule="exact"/>
              <w:ind w:firstLine="482"/>
              <w:jc w:val="center"/>
              <w:rPr>
                <w:rFonts w:ascii="宋体" w:hAnsi="宋体" w:cs="宋体"/>
                <w:color w:val="auto"/>
                <w:sz w:val="24"/>
                <w:szCs w:val="24"/>
                <w:highlight w:val="none"/>
              </w:rPr>
            </w:pPr>
          </w:p>
        </w:tc>
        <w:tc>
          <w:tcPr>
            <w:tcW w:w="1221" w:type="dxa"/>
            <w:tcBorders>
              <w:top w:val="single" w:color="auto" w:sz="4" w:space="0"/>
              <w:left w:val="single" w:color="auto" w:sz="4" w:space="0"/>
              <w:bottom w:val="single" w:color="auto" w:sz="4" w:space="0"/>
              <w:right w:val="single" w:color="auto" w:sz="4" w:space="0"/>
            </w:tcBorders>
            <w:noWrap w:val="0"/>
            <w:vAlign w:val="top"/>
          </w:tcPr>
          <w:p w14:paraId="5C01C7A4">
            <w:pPr>
              <w:spacing w:line="440" w:lineRule="exact"/>
              <w:ind w:firstLine="482"/>
              <w:jc w:val="center"/>
              <w:rPr>
                <w:rFonts w:ascii="宋体" w:hAnsi="宋体" w:cs="宋体"/>
                <w:color w:val="auto"/>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95FD997">
            <w:pPr>
              <w:spacing w:line="440" w:lineRule="exact"/>
              <w:ind w:firstLine="482"/>
              <w:jc w:val="center"/>
              <w:rPr>
                <w:rFonts w:ascii="宋体" w:hAnsi="宋体" w:cs="宋体"/>
                <w:color w:val="auto"/>
                <w:sz w:val="24"/>
                <w:szCs w:val="24"/>
                <w:highlight w:val="none"/>
              </w:rPr>
            </w:pPr>
          </w:p>
        </w:tc>
      </w:tr>
    </w:tbl>
    <w:p w14:paraId="2A341D31">
      <w:pPr>
        <w:pStyle w:val="6"/>
        <w:ind w:firstLine="640"/>
        <w:jc w:val="center"/>
        <w:rPr>
          <w:rFonts w:hint="eastAsia" w:ascii="宋体" w:hAnsi="宋体" w:cs="宋体"/>
          <w:color w:val="auto"/>
          <w:highlight w:val="none"/>
        </w:rPr>
      </w:pPr>
      <w:bookmarkStart w:id="1478" w:name="_Toc246996371"/>
      <w:bookmarkStart w:id="1479" w:name="_Toc152042594"/>
      <w:bookmarkStart w:id="1480" w:name="_Toc179632825"/>
      <w:bookmarkStart w:id="1481" w:name="_Toc152045805"/>
      <w:bookmarkStart w:id="1482" w:name="_Toc144974873"/>
      <w:bookmarkStart w:id="1483" w:name="_Toc247085889"/>
      <w:bookmarkStart w:id="1484" w:name="_Toc246997114"/>
      <w:bookmarkStart w:id="1485" w:name="_Toc296602616"/>
    </w:p>
    <w:p w14:paraId="256936CF">
      <w:pPr>
        <w:ind w:firstLine="482"/>
        <w:rPr>
          <w:rFonts w:hint="eastAsia" w:ascii="宋体" w:hAnsi="宋体" w:cs="宋体"/>
          <w:color w:val="auto"/>
          <w:highlight w:val="none"/>
        </w:rPr>
      </w:pPr>
    </w:p>
    <w:p w14:paraId="07C6FD60">
      <w:pPr>
        <w:ind w:firstLine="482"/>
        <w:rPr>
          <w:rFonts w:hint="eastAsia" w:ascii="宋体" w:hAnsi="宋体" w:cs="宋体"/>
          <w:color w:val="auto"/>
          <w:highlight w:val="none"/>
        </w:rPr>
      </w:pPr>
    </w:p>
    <w:p w14:paraId="760B028E">
      <w:pPr>
        <w:pStyle w:val="6"/>
        <w:ind w:firstLine="2525" w:firstLineChars="902"/>
        <w:jc w:val="both"/>
        <w:rPr>
          <w:rFonts w:hint="eastAsia" w:ascii="宋体" w:hAnsi="宋体" w:cs="宋体"/>
          <w:color w:val="auto"/>
          <w:highlight w:val="none"/>
        </w:rPr>
      </w:pPr>
      <w:bookmarkStart w:id="1486" w:name="_Toc77586976"/>
      <w:bookmarkStart w:id="1487" w:name="_Toc77586878"/>
      <w:bookmarkStart w:id="1488" w:name="_Toc20339"/>
      <w:r>
        <w:rPr>
          <w:rFonts w:hint="eastAsia" w:ascii="宋体" w:hAnsi="宋体" w:cs="宋体"/>
          <w:color w:val="auto"/>
          <w:highlight w:val="none"/>
        </w:rPr>
        <w:t>（二）项目经理简历表</w:t>
      </w:r>
      <w:bookmarkEnd w:id="1478"/>
      <w:bookmarkEnd w:id="1479"/>
      <w:bookmarkEnd w:id="1480"/>
      <w:bookmarkEnd w:id="1481"/>
      <w:bookmarkEnd w:id="1482"/>
      <w:bookmarkEnd w:id="1483"/>
      <w:bookmarkEnd w:id="1484"/>
      <w:bookmarkEnd w:id="1485"/>
      <w:bookmarkEnd w:id="1486"/>
      <w:bookmarkEnd w:id="1487"/>
      <w:bookmarkEnd w:id="1488"/>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60D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27C90269">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596092F0">
            <w:pPr>
              <w:spacing w:line="440" w:lineRule="exact"/>
              <w:rPr>
                <w:rFonts w:hint="eastAsia" w:ascii="宋体" w:hAnsi="宋体" w:cs="宋体"/>
                <w:color w:val="auto"/>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18056A16">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19C0663">
            <w:pPr>
              <w:spacing w:line="440" w:lineRule="exact"/>
              <w:rPr>
                <w:rFonts w:hint="eastAsia" w:ascii="宋体" w:hAnsi="宋体" w:cs="宋体"/>
                <w:color w:val="auto"/>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2FAA5C3B">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93AC0C8">
            <w:pPr>
              <w:spacing w:line="440" w:lineRule="exact"/>
              <w:rPr>
                <w:rFonts w:hint="eastAsia" w:ascii="宋体" w:hAnsi="宋体" w:cs="宋体"/>
                <w:color w:val="auto"/>
                <w:sz w:val="24"/>
                <w:szCs w:val="24"/>
                <w:highlight w:val="none"/>
              </w:rPr>
            </w:pPr>
          </w:p>
        </w:tc>
      </w:tr>
      <w:tr w14:paraId="04AD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A009425">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2692C408">
            <w:pPr>
              <w:spacing w:line="440" w:lineRule="exact"/>
              <w:rPr>
                <w:rFonts w:hint="eastAsia" w:ascii="宋体" w:hAnsi="宋体" w:cs="宋体"/>
                <w:color w:val="auto"/>
                <w:sz w:val="24"/>
                <w:szCs w:val="24"/>
                <w:highlight w:val="none"/>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56B52B5A">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270B90D">
            <w:pPr>
              <w:spacing w:line="440" w:lineRule="exact"/>
              <w:rPr>
                <w:rFonts w:hint="eastAsia" w:ascii="宋体" w:hAnsi="宋体" w:cs="宋体"/>
                <w:color w:val="auto"/>
                <w:sz w:val="24"/>
                <w:szCs w:val="24"/>
                <w:highlight w:val="none"/>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4F0692D4">
            <w:pPr>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33FF29D0">
            <w:pPr>
              <w:spacing w:line="440" w:lineRule="exact"/>
              <w:rPr>
                <w:rFonts w:hint="eastAsia" w:ascii="宋体" w:hAnsi="宋体" w:cs="宋体"/>
                <w:color w:val="auto"/>
                <w:sz w:val="24"/>
                <w:szCs w:val="24"/>
                <w:highlight w:val="none"/>
              </w:rPr>
            </w:pPr>
          </w:p>
        </w:tc>
      </w:tr>
      <w:tr w14:paraId="0A1F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4A87F676">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1F745810">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 xml:space="preserve">      年毕业于            学校        专业</w:t>
            </w:r>
          </w:p>
        </w:tc>
      </w:tr>
      <w:tr w14:paraId="7227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63127876">
            <w:pPr>
              <w:spacing w:line="440" w:lineRule="exact"/>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6793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6BF03954">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59DB1B9F">
            <w:pPr>
              <w:spacing w:line="440" w:lineRule="exact"/>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1D45669">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07B01B80">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63A6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42130B07">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8965255">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30D87BB">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D358E3D">
            <w:pPr>
              <w:spacing w:line="440" w:lineRule="exact"/>
              <w:ind w:firstLine="482"/>
              <w:rPr>
                <w:rFonts w:ascii="宋体" w:hAnsi="宋体" w:cs="宋体"/>
                <w:color w:val="auto"/>
                <w:sz w:val="24"/>
                <w:szCs w:val="24"/>
                <w:highlight w:val="none"/>
              </w:rPr>
            </w:pPr>
          </w:p>
        </w:tc>
      </w:tr>
      <w:tr w14:paraId="0933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AC4077B">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09C1408">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2223548">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B3FC008">
            <w:pPr>
              <w:spacing w:line="440" w:lineRule="exact"/>
              <w:ind w:firstLine="482"/>
              <w:rPr>
                <w:rFonts w:ascii="宋体" w:hAnsi="宋体" w:cs="宋体"/>
                <w:color w:val="auto"/>
                <w:sz w:val="24"/>
                <w:szCs w:val="24"/>
                <w:highlight w:val="none"/>
              </w:rPr>
            </w:pPr>
          </w:p>
        </w:tc>
      </w:tr>
      <w:tr w14:paraId="2F6A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7E55F269">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2821BF4F">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69D29A2">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3EE9F80A">
            <w:pPr>
              <w:spacing w:line="440" w:lineRule="exact"/>
              <w:ind w:firstLine="482"/>
              <w:rPr>
                <w:rFonts w:ascii="宋体" w:hAnsi="宋体" w:cs="宋体"/>
                <w:color w:val="auto"/>
                <w:sz w:val="24"/>
                <w:szCs w:val="24"/>
                <w:highlight w:val="none"/>
              </w:rPr>
            </w:pPr>
          </w:p>
        </w:tc>
      </w:tr>
      <w:tr w14:paraId="47F5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4FCC7BD0">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451D800">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4AD73B5">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98BAAAE">
            <w:pPr>
              <w:spacing w:line="440" w:lineRule="exact"/>
              <w:ind w:firstLine="482"/>
              <w:rPr>
                <w:rFonts w:ascii="宋体" w:hAnsi="宋体" w:cs="宋体"/>
                <w:color w:val="auto"/>
                <w:sz w:val="24"/>
                <w:szCs w:val="24"/>
                <w:highlight w:val="none"/>
              </w:rPr>
            </w:pPr>
          </w:p>
        </w:tc>
      </w:tr>
      <w:tr w14:paraId="7F81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07145CF">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D8223AA">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018246D">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AC92743">
            <w:pPr>
              <w:spacing w:line="440" w:lineRule="exact"/>
              <w:ind w:firstLine="482"/>
              <w:rPr>
                <w:rFonts w:ascii="宋体" w:hAnsi="宋体" w:cs="宋体"/>
                <w:color w:val="auto"/>
                <w:sz w:val="24"/>
                <w:szCs w:val="24"/>
                <w:highlight w:val="none"/>
              </w:rPr>
            </w:pPr>
          </w:p>
        </w:tc>
      </w:tr>
      <w:tr w14:paraId="1644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BCCCE30">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DE25E73">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0BAED6F3">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1BC3FB3A">
            <w:pPr>
              <w:spacing w:line="440" w:lineRule="exact"/>
              <w:ind w:firstLine="482"/>
              <w:rPr>
                <w:rFonts w:ascii="宋体" w:hAnsi="宋体" w:cs="宋体"/>
                <w:color w:val="auto"/>
                <w:sz w:val="24"/>
                <w:szCs w:val="24"/>
                <w:highlight w:val="none"/>
              </w:rPr>
            </w:pPr>
          </w:p>
        </w:tc>
      </w:tr>
      <w:tr w14:paraId="29B0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7DCEE73">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62F40F11">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3E393F3">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AB8906B">
            <w:pPr>
              <w:spacing w:line="440" w:lineRule="exact"/>
              <w:ind w:firstLine="482"/>
              <w:rPr>
                <w:rFonts w:ascii="宋体" w:hAnsi="宋体" w:cs="宋体"/>
                <w:color w:val="auto"/>
                <w:sz w:val="24"/>
                <w:szCs w:val="24"/>
                <w:highlight w:val="none"/>
              </w:rPr>
            </w:pPr>
          </w:p>
        </w:tc>
      </w:tr>
      <w:tr w14:paraId="78EE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4653705">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099BAC0F">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EED02B2">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07F8CFA1">
            <w:pPr>
              <w:spacing w:line="440" w:lineRule="exact"/>
              <w:ind w:firstLine="482"/>
              <w:rPr>
                <w:rFonts w:ascii="宋体" w:hAnsi="宋体" w:cs="宋体"/>
                <w:color w:val="auto"/>
                <w:sz w:val="24"/>
                <w:szCs w:val="24"/>
                <w:highlight w:val="none"/>
              </w:rPr>
            </w:pPr>
          </w:p>
        </w:tc>
      </w:tr>
      <w:tr w14:paraId="61FC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2CD9CF30">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A6C48DF">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78B13022">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64D36693">
            <w:pPr>
              <w:spacing w:line="440" w:lineRule="exact"/>
              <w:ind w:firstLine="482"/>
              <w:rPr>
                <w:rFonts w:ascii="宋体" w:hAnsi="宋体" w:cs="宋体"/>
                <w:color w:val="auto"/>
                <w:sz w:val="24"/>
                <w:szCs w:val="24"/>
                <w:highlight w:val="none"/>
              </w:rPr>
            </w:pPr>
          </w:p>
        </w:tc>
      </w:tr>
      <w:tr w14:paraId="7AAA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10E1EDD2">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5AEAB7FE">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9A90A7F">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2C83623E">
            <w:pPr>
              <w:spacing w:line="440" w:lineRule="exact"/>
              <w:ind w:firstLine="482"/>
              <w:rPr>
                <w:rFonts w:ascii="宋体" w:hAnsi="宋体" w:cs="宋体"/>
                <w:color w:val="auto"/>
                <w:sz w:val="24"/>
                <w:szCs w:val="24"/>
                <w:highlight w:val="none"/>
              </w:rPr>
            </w:pPr>
          </w:p>
        </w:tc>
      </w:tr>
      <w:tr w14:paraId="5FB3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11382DE">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17AEB387">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48F8A112">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1E21AFD">
            <w:pPr>
              <w:spacing w:line="440" w:lineRule="exact"/>
              <w:ind w:firstLine="482"/>
              <w:rPr>
                <w:rFonts w:ascii="宋体" w:hAnsi="宋体" w:cs="宋体"/>
                <w:color w:val="auto"/>
                <w:sz w:val="24"/>
                <w:szCs w:val="24"/>
                <w:highlight w:val="none"/>
              </w:rPr>
            </w:pPr>
          </w:p>
        </w:tc>
      </w:tr>
      <w:tr w14:paraId="6F88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73CCD73">
            <w:pPr>
              <w:spacing w:line="440" w:lineRule="exact"/>
              <w:ind w:firstLine="482"/>
              <w:rPr>
                <w:rFonts w:ascii="宋体" w:hAnsi="宋体" w:cs="宋体"/>
                <w:color w:val="auto"/>
                <w:sz w:val="24"/>
                <w:szCs w:val="24"/>
                <w:highlight w:val="none"/>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1932751">
            <w:pPr>
              <w:spacing w:line="440" w:lineRule="exact"/>
              <w:ind w:firstLine="482"/>
              <w:rPr>
                <w:rFonts w:ascii="宋体" w:hAnsi="宋体" w:cs="宋体"/>
                <w:color w:val="auto"/>
                <w:sz w:val="24"/>
                <w:szCs w:val="24"/>
                <w:highlight w:val="none"/>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A00CAAB">
            <w:pPr>
              <w:spacing w:line="440" w:lineRule="exact"/>
              <w:ind w:firstLine="482"/>
              <w:rPr>
                <w:rFonts w:ascii="宋体" w:hAnsi="宋体" w:cs="宋体"/>
                <w:color w:val="auto"/>
                <w:sz w:val="24"/>
                <w:szCs w:val="24"/>
                <w:highlight w:val="none"/>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6327453">
            <w:pPr>
              <w:spacing w:line="440" w:lineRule="exact"/>
              <w:ind w:firstLine="482"/>
              <w:rPr>
                <w:rFonts w:ascii="宋体" w:hAnsi="宋体" w:cs="宋体"/>
                <w:color w:val="auto"/>
                <w:sz w:val="24"/>
                <w:szCs w:val="24"/>
                <w:highlight w:val="none"/>
              </w:rPr>
            </w:pPr>
          </w:p>
        </w:tc>
      </w:tr>
    </w:tbl>
    <w:p w14:paraId="48459C03">
      <w:pPr>
        <w:spacing w:line="360" w:lineRule="auto"/>
        <w:ind w:firstLine="542"/>
        <w:rPr>
          <w:rFonts w:hint="eastAsia" w:ascii="宋体" w:hAnsi="宋体" w:cs="宋体"/>
          <w:color w:val="auto"/>
          <w:sz w:val="27"/>
          <w:szCs w:val="27"/>
          <w:highlight w:val="none"/>
        </w:rPr>
      </w:pPr>
    </w:p>
    <w:p w14:paraId="5A93E095">
      <w:pPr>
        <w:pStyle w:val="5"/>
        <w:ind w:firstLine="602"/>
        <w:jc w:val="both"/>
        <w:rPr>
          <w:rFonts w:hint="eastAsia" w:ascii="宋体" w:hAnsi="宋体" w:eastAsia="宋体" w:cs="宋体"/>
          <w:color w:val="auto"/>
          <w:highlight w:val="none"/>
        </w:rPr>
      </w:pPr>
      <w:r>
        <w:rPr>
          <w:rFonts w:hint="eastAsia" w:ascii="宋体" w:hAnsi="宋体" w:cs="宋体"/>
          <w:b w:val="0"/>
          <w:bCs w:val="0"/>
          <w:color w:val="auto"/>
          <w:highlight w:val="none"/>
        </w:rPr>
        <w:br w:type="page"/>
      </w:r>
      <w:bookmarkStart w:id="1489" w:name="_Toc152045807"/>
      <w:bookmarkStart w:id="1490" w:name="_Toc246996372"/>
      <w:bookmarkStart w:id="1491" w:name="_Toc296602617"/>
      <w:bookmarkStart w:id="1492" w:name="_Toc179632827"/>
      <w:bookmarkStart w:id="1493" w:name="_Toc144974875"/>
      <w:bookmarkStart w:id="1494" w:name="_Toc247085890"/>
      <w:bookmarkStart w:id="1495" w:name="_Toc152042596"/>
      <w:bookmarkStart w:id="1496" w:name="_Toc246997115"/>
      <w:bookmarkStart w:id="1497" w:name="_Toc6931"/>
      <w:bookmarkStart w:id="1498" w:name="_Toc77586977"/>
      <w:bookmarkStart w:id="1499" w:name="_Toc77586879"/>
      <w:r>
        <w:rPr>
          <w:rFonts w:hint="eastAsia" w:ascii="宋体" w:hAnsi="宋体" w:cs="宋体"/>
          <w:b w:val="0"/>
          <w:bCs w:val="0"/>
          <w:color w:val="auto"/>
          <w:highlight w:val="none"/>
          <w:lang w:val="en-US" w:eastAsia="zh-CN"/>
        </w:rPr>
        <w:t xml:space="preserve"> </w:t>
      </w:r>
      <w:r>
        <w:rPr>
          <w:rFonts w:hint="eastAsia" w:ascii="宋体" w:hAnsi="宋体" w:eastAsia="宋体" w:cs="宋体"/>
          <w:color w:val="auto"/>
          <w:highlight w:val="none"/>
        </w:rPr>
        <w:t>八、</w:t>
      </w:r>
      <w:bookmarkEnd w:id="1489"/>
      <w:bookmarkEnd w:id="1490"/>
      <w:bookmarkEnd w:id="1491"/>
      <w:bookmarkEnd w:id="1492"/>
      <w:bookmarkEnd w:id="1493"/>
      <w:bookmarkEnd w:id="1494"/>
      <w:bookmarkEnd w:id="1495"/>
      <w:bookmarkEnd w:id="1496"/>
      <w:r>
        <w:rPr>
          <w:rFonts w:hint="eastAsia" w:ascii="宋体" w:hAnsi="宋体" w:eastAsia="宋体" w:cs="宋体"/>
          <w:color w:val="auto"/>
          <w:highlight w:val="none"/>
        </w:rPr>
        <w:t>投标人基本情况</w:t>
      </w:r>
      <w:bookmarkEnd w:id="1497"/>
      <w:bookmarkEnd w:id="1498"/>
      <w:bookmarkEnd w:id="1499"/>
    </w:p>
    <w:p w14:paraId="56026E39">
      <w:pPr>
        <w:pStyle w:val="6"/>
        <w:ind w:firstLine="640"/>
        <w:jc w:val="left"/>
        <w:rPr>
          <w:rFonts w:hint="eastAsia" w:ascii="宋体" w:hAnsi="宋体" w:cs="宋体"/>
          <w:color w:val="auto"/>
          <w:highlight w:val="none"/>
        </w:rPr>
      </w:pPr>
      <w:bookmarkStart w:id="1500" w:name="_Toc246997116"/>
      <w:bookmarkStart w:id="1501" w:name="_Toc246996373"/>
      <w:bookmarkStart w:id="1502" w:name="_Toc144974876"/>
      <w:bookmarkStart w:id="1503" w:name="_Toc77586880"/>
      <w:bookmarkStart w:id="1504" w:name="_Toc77586978"/>
      <w:bookmarkStart w:id="1505" w:name="_Toc152042597"/>
      <w:bookmarkStart w:id="1506" w:name="_Toc247085891"/>
      <w:bookmarkStart w:id="1507" w:name="_Toc152045808"/>
      <w:bookmarkStart w:id="1508" w:name="_Toc123"/>
      <w:bookmarkStart w:id="1509" w:name="_Toc179632828"/>
      <w:bookmarkStart w:id="1510" w:name="_Toc296602618"/>
      <w:r>
        <w:rPr>
          <w:rFonts w:hint="eastAsia" w:ascii="宋体" w:hAnsi="宋体" w:cs="宋体"/>
          <w:color w:val="auto"/>
          <w:highlight w:val="none"/>
        </w:rPr>
        <w:t>（一）供应商基本情况表</w:t>
      </w:r>
      <w:bookmarkEnd w:id="1500"/>
      <w:bookmarkEnd w:id="1501"/>
      <w:bookmarkEnd w:id="1502"/>
      <w:bookmarkEnd w:id="1503"/>
      <w:bookmarkEnd w:id="1504"/>
      <w:bookmarkEnd w:id="1505"/>
      <w:bookmarkEnd w:id="1506"/>
      <w:bookmarkEnd w:id="1507"/>
      <w:bookmarkEnd w:id="1508"/>
      <w:bookmarkEnd w:id="1509"/>
      <w:bookmarkEnd w:id="1510"/>
    </w:p>
    <w:tbl>
      <w:tblPr>
        <w:tblStyle w:val="27"/>
        <w:tblW w:w="8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1187"/>
        <w:gridCol w:w="661"/>
        <w:gridCol w:w="840"/>
        <w:gridCol w:w="420"/>
        <w:gridCol w:w="311"/>
        <w:gridCol w:w="1179"/>
        <w:gridCol w:w="389"/>
        <w:gridCol w:w="860"/>
        <w:gridCol w:w="992"/>
      </w:tblGrid>
      <w:tr w14:paraId="43DC5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D2214E1">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2E7201F">
            <w:pPr>
              <w:topLinePunct/>
              <w:spacing w:line="440" w:lineRule="exact"/>
              <w:ind w:firstLine="482"/>
              <w:jc w:val="center"/>
              <w:rPr>
                <w:rFonts w:ascii="宋体" w:hAnsi="宋体" w:cs="宋体"/>
                <w:color w:val="auto"/>
                <w:sz w:val="24"/>
                <w:szCs w:val="24"/>
                <w:highlight w:val="none"/>
              </w:rPr>
            </w:pPr>
          </w:p>
        </w:tc>
      </w:tr>
      <w:tr w14:paraId="6502F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50B7F9D">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7C81B61A">
            <w:pPr>
              <w:topLinePunct/>
              <w:spacing w:line="440" w:lineRule="exact"/>
              <w:rPr>
                <w:rFonts w:hint="eastAsia" w:ascii="宋体" w:hAnsi="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0F2B43D">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19142B82">
            <w:pPr>
              <w:topLinePunct/>
              <w:spacing w:line="440" w:lineRule="exact"/>
              <w:rPr>
                <w:rFonts w:hint="eastAsia" w:ascii="宋体" w:hAnsi="宋体" w:cs="宋体"/>
                <w:color w:val="auto"/>
                <w:sz w:val="24"/>
                <w:szCs w:val="24"/>
                <w:highlight w:val="none"/>
              </w:rPr>
            </w:pPr>
          </w:p>
        </w:tc>
      </w:tr>
      <w:tr w14:paraId="244E0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7713F80A">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52FA955C">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232" w:type="dxa"/>
            <w:gridSpan w:val="4"/>
            <w:tcBorders>
              <w:top w:val="single" w:color="auto" w:sz="4" w:space="0"/>
              <w:left w:val="single" w:color="auto" w:sz="4" w:space="0"/>
              <w:bottom w:val="single" w:color="auto" w:sz="4" w:space="0"/>
              <w:right w:val="single" w:color="auto" w:sz="4" w:space="0"/>
            </w:tcBorders>
            <w:noWrap w:val="0"/>
            <w:vAlign w:val="center"/>
          </w:tcPr>
          <w:p w14:paraId="12FA6738">
            <w:pPr>
              <w:topLinePunct/>
              <w:spacing w:line="440" w:lineRule="exact"/>
              <w:rPr>
                <w:rFonts w:hint="eastAsia" w:ascii="宋体" w:hAnsi="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58E960E">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 话</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508C9A1D">
            <w:pPr>
              <w:topLinePunct/>
              <w:spacing w:line="440" w:lineRule="exact"/>
              <w:rPr>
                <w:rFonts w:hint="eastAsia" w:ascii="宋体" w:hAnsi="宋体" w:cs="宋体"/>
                <w:color w:val="auto"/>
                <w:sz w:val="24"/>
                <w:szCs w:val="24"/>
                <w:highlight w:val="none"/>
              </w:rPr>
            </w:pPr>
          </w:p>
        </w:tc>
      </w:tr>
      <w:tr w14:paraId="283BA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5686C638">
            <w:pPr>
              <w:topLinePunct/>
              <w:spacing w:line="440" w:lineRule="exact"/>
              <w:rPr>
                <w:rFonts w:hint="eastAsia" w:ascii="宋体" w:hAnsi="宋体" w:cs="宋体"/>
                <w:color w:val="auto"/>
                <w:sz w:val="24"/>
                <w:szCs w:val="24"/>
                <w:highlight w:val="none"/>
              </w:rPr>
            </w:pPr>
          </w:p>
        </w:tc>
        <w:tc>
          <w:tcPr>
            <w:tcW w:w="1188" w:type="dxa"/>
            <w:tcBorders>
              <w:top w:val="single" w:color="auto" w:sz="4" w:space="0"/>
              <w:left w:val="single" w:color="auto" w:sz="4" w:space="0"/>
              <w:bottom w:val="single" w:color="auto" w:sz="4" w:space="0"/>
              <w:right w:val="single" w:color="auto" w:sz="4" w:space="0"/>
            </w:tcBorders>
            <w:noWrap w:val="0"/>
            <w:vAlign w:val="center"/>
          </w:tcPr>
          <w:p w14:paraId="7D886D3B">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传  真</w:t>
            </w:r>
          </w:p>
        </w:tc>
        <w:tc>
          <w:tcPr>
            <w:tcW w:w="2232" w:type="dxa"/>
            <w:gridSpan w:val="4"/>
            <w:tcBorders>
              <w:top w:val="single" w:color="auto" w:sz="4" w:space="0"/>
              <w:left w:val="single" w:color="auto" w:sz="4" w:space="0"/>
              <w:bottom w:val="single" w:color="auto" w:sz="4" w:space="0"/>
              <w:right w:val="single" w:color="auto" w:sz="4" w:space="0"/>
            </w:tcBorders>
            <w:noWrap w:val="0"/>
            <w:vAlign w:val="center"/>
          </w:tcPr>
          <w:p w14:paraId="0A258C1C">
            <w:pPr>
              <w:topLinePunct/>
              <w:spacing w:line="440" w:lineRule="exact"/>
              <w:rPr>
                <w:rFonts w:hint="eastAsia" w:ascii="宋体" w:hAnsi="宋体" w:cs="宋体"/>
                <w:color w:val="auto"/>
                <w:sz w:val="24"/>
                <w:szCs w:val="24"/>
                <w:highlight w:val="none"/>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F73FE3D">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网 址</w:t>
            </w:r>
          </w:p>
        </w:tc>
        <w:tc>
          <w:tcPr>
            <w:tcW w:w="2241" w:type="dxa"/>
            <w:gridSpan w:val="3"/>
            <w:tcBorders>
              <w:top w:val="single" w:color="auto" w:sz="4" w:space="0"/>
              <w:left w:val="single" w:color="auto" w:sz="4" w:space="0"/>
              <w:bottom w:val="single" w:color="auto" w:sz="4" w:space="0"/>
              <w:right w:val="single" w:color="auto" w:sz="4" w:space="0"/>
            </w:tcBorders>
            <w:noWrap w:val="0"/>
            <w:vAlign w:val="center"/>
          </w:tcPr>
          <w:p w14:paraId="48E368F0">
            <w:pPr>
              <w:topLinePunct/>
              <w:spacing w:line="440" w:lineRule="exact"/>
              <w:rPr>
                <w:rFonts w:hint="eastAsia" w:ascii="宋体" w:hAnsi="宋体" w:cs="宋体"/>
                <w:color w:val="auto"/>
                <w:sz w:val="24"/>
                <w:szCs w:val="24"/>
                <w:highlight w:val="none"/>
              </w:rPr>
            </w:pPr>
          </w:p>
        </w:tc>
      </w:tr>
      <w:tr w14:paraId="6F0A74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383AE25">
            <w:pPr>
              <w:topLinePunct/>
              <w:spacing w:line="440" w:lineRule="exact"/>
              <w:jc w:val="both"/>
              <w:rPr>
                <w:rFonts w:ascii="宋体" w:hAnsi="宋体" w:cs="宋体"/>
                <w:color w:val="auto"/>
                <w:sz w:val="24"/>
                <w:szCs w:val="24"/>
                <w:highlight w:val="none"/>
              </w:rPr>
            </w:pPr>
            <w:r>
              <w:rPr>
                <w:rFonts w:hint="eastAsia" w:ascii="宋体" w:hAnsi="宋体" w:cs="宋体"/>
                <w:color w:val="auto"/>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338CC447">
            <w:pPr>
              <w:topLinePunct/>
              <w:spacing w:line="440" w:lineRule="exact"/>
              <w:ind w:firstLine="482"/>
              <w:jc w:val="center"/>
              <w:rPr>
                <w:rFonts w:ascii="宋体" w:hAnsi="宋体" w:cs="宋体"/>
                <w:color w:val="auto"/>
                <w:sz w:val="24"/>
                <w:szCs w:val="24"/>
                <w:highlight w:val="none"/>
              </w:rPr>
            </w:pPr>
          </w:p>
        </w:tc>
      </w:tr>
      <w:tr w14:paraId="5E61B1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1691BA2">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3413C0BC">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396F040E">
            <w:pPr>
              <w:topLinePunct/>
              <w:spacing w:line="440" w:lineRule="exact"/>
              <w:rPr>
                <w:rFonts w:hint="eastAsia" w:ascii="宋体" w:hAnsi="宋体" w:cs="宋体"/>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6A527747">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0881614">
            <w:pPr>
              <w:topLinePunct/>
              <w:spacing w:line="440" w:lineRule="exact"/>
              <w:rPr>
                <w:rFonts w:hint="eastAsia" w:ascii="宋体" w:hAnsi="宋体" w:cs="宋体"/>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565F9EF7">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ECF9556">
            <w:pPr>
              <w:topLinePunct/>
              <w:spacing w:line="440" w:lineRule="exact"/>
              <w:rPr>
                <w:rFonts w:hint="eastAsia" w:ascii="宋体" w:hAnsi="宋体" w:cs="宋体"/>
                <w:color w:val="auto"/>
                <w:sz w:val="24"/>
                <w:szCs w:val="24"/>
                <w:highlight w:val="none"/>
              </w:rPr>
            </w:pPr>
          </w:p>
        </w:tc>
      </w:tr>
      <w:tr w14:paraId="17A230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14C79628">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188" w:type="dxa"/>
            <w:tcBorders>
              <w:top w:val="single" w:color="auto" w:sz="4" w:space="0"/>
              <w:left w:val="single" w:color="auto" w:sz="4" w:space="0"/>
              <w:bottom w:val="single" w:color="auto" w:sz="4" w:space="0"/>
              <w:right w:val="single" w:color="auto" w:sz="4" w:space="0"/>
            </w:tcBorders>
            <w:noWrap w:val="0"/>
            <w:vAlign w:val="center"/>
          </w:tcPr>
          <w:p w14:paraId="4B5A427D">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姓名</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74F882D9">
            <w:pPr>
              <w:topLinePunct/>
              <w:spacing w:line="440" w:lineRule="exact"/>
              <w:rPr>
                <w:rFonts w:hint="eastAsia" w:ascii="宋体" w:hAnsi="宋体" w:cs="宋体"/>
                <w:color w:val="auto"/>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78F8EFDB">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264EB02A">
            <w:pPr>
              <w:topLinePunct/>
              <w:spacing w:line="440" w:lineRule="exact"/>
              <w:rPr>
                <w:rFonts w:hint="eastAsia" w:ascii="宋体" w:hAnsi="宋体" w:cs="宋体"/>
                <w:color w:val="auto"/>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0370BDF9">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467EA1E">
            <w:pPr>
              <w:topLinePunct/>
              <w:spacing w:line="440" w:lineRule="exact"/>
              <w:rPr>
                <w:rFonts w:hint="eastAsia" w:ascii="宋体" w:hAnsi="宋体" w:cs="宋体"/>
                <w:color w:val="auto"/>
                <w:sz w:val="24"/>
                <w:szCs w:val="24"/>
                <w:highlight w:val="none"/>
              </w:rPr>
            </w:pPr>
          </w:p>
        </w:tc>
      </w:tr>
      <w:tr w14:paraId="1E20F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B8D031D">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59D6B34">
            <w:pPr>
              <w:topLinePunct/>
              <w:spacing w:line="440" w:lineRule="exact"/>
              <w:ind w:firstLine="482"/>
              <w:jc w:val="center"/>
              <w:rPr>
                <w:rFonts w:ascii="宋体" w:hAnsi="宋体" w:cs="宋体"/>
                <w:color w:val="auto"/>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6995BD01">
            <w:pPr>
              <w:topLinePunct/>
              <w:spacing w:line="440" w:lineRule="exact"/>
              <w:ind w:firstLine="120" w:firstLineChars="50"/>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14:paraId="4A30F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9712997">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04902AB">
            <w:pPr>
              <w:topLinePunct/>
              <w:spacing w:line="440" w:lineRule="exact"/>
              <w:ind w:firstLine="482"/>
              <w:jc w:val="center"/>
              <w:rPr>
                <w:rFonts w:ascii="宋体" w:hAnsi="宋体" w:cs="宋体"/>
                <w:color w:val="auto"/>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3AF2B184">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8594C2">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63C25275">
            <w:pPr>
              <w:topLinePunct/>
              <w:spacing w:line="440" w:lineRule="exact"/>
              <w:ind w:firstLine="482"/>
              <w:jc w:val="center"/>
              <w:rPr>
                <w:rFonts w:ascii="宋体" w:hAnsi="宋体" w:cs="宋体"/>
                <w:color w:val="auto"/>
                <w:sz w:val="24"/>
                <w:szCs w:val="24"/>
                <w:highlight w:val="none"/>
              </w:rPr>
            </w:pPr>
          </w:p>
        </w:tc>
      </w:tr>
      <w:tr w14:paraId="77E2B1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32D3C907">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6132C41B">
            <w:pPr>
              <w:topLinePunct/>
              <w:spacing w:line="440" w:lineRule="exact"/>
              <w:ind w:firstLine="482"/>
              <w:jc w:val="center"/>
              <w:rPr>
                <w:rFonts w:ascii="宋体" w:hAnsi="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5643E4BB">
            <w:pPr>
              <w:widowControl/>
              <w:ind w:firstLine="482"/>
              <w:jc w:val="left"/>
              <w:rPr>
                <w:rFonts w:ascii="宋体" w:hAnsi="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7D9F98D4">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0BD09EC">
            <w:pPr>
              <w:topLinePunct/>
              <w:spacing w:line="440" w:lineRule="exact"/>
              <w:ind w:firstLine="482"/>
              <w:jc w:val="center"/>
              <w:rPr>
                <w:rFonts w:ascii="宋体" w:hAnsi="宋体" w:cs="宋体"/>
                <w:color w:val="auto"/>
                <w:sz w:val="24"/>
                <w:szCs w:val="24"/>
                <w:highlight w:val="none"/>
              </w:rPr>
            </w:pPr>
          </w:p>
        </w:tc>
      </w:tr>
      <w:tr w14:paraId="7783B1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2C4D7C3A">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3563C35E">
            <w:pPr>
              <w:topLinePunct/>
              <w:spacing w:line="440" w:lineRule="exact"/>
              <w:ind w:firstLine="482"/>
              <w:jc w:val="center"/>
              <w:rPr>
                <w:rFonts w:ascii="宋体" w:hAnsi="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4D0BCC9A">
            <w:pPr>
              <w:widowControl/>
              <w:ind w:firstLine="482"/>
              <w:jc w:val="left"/>
              <w:rPr>
                <w:rFonts w:ascii="宋体" w:hAnsi="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F412234">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757DE62">
            <w:pPr>
              <w:topLinePunct/>
              <w:spacing w:line="440" w:lineRule="exact"/>
              <w:ind w:firstLine="482"/>
              <w:jc w:val="center"/>
              <w:rPr>
                <w:rFonts w:ascii="宋体" w:hAnsi="宋体" w:cs="宋体"/>
                <w:color w:val="auto"/>
                <w:sz w:val="24"/>
                <w:szCs w:val="24"/>
                <w:highlight w:val="none"/>
              </w:rPr>
            </w:pPr>
          </w:p>
        </w:tc>
      </w:tr>
      <w:tr w14:paraId="22E6C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053F5ED0">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17CBFDD8">
            <w:pPr>
              <w:topLinePunct/>
              <w:spacing w:line="440" w:lineRule="exact"/>
              <w:ind w:firstLine="482"/>
              <w:jc w:val="center"/>
              <w:rPr>
                <w:rFonts w:ascii="宋体" w:hAnsi="宋体" w:cs="宋体"/>
                <w:color w:val="auto"/>
                <w:sz w:val="24"/>
                <w:szCs w:val="24"/>
                <w:highlight w:val="none"/>
              </w:rPr>
            </w:pPr>
          </w:p>
        </w:tc>
        <w:tc>
          <w:tcPr>
            <w:tcW w:w="4991" w:type="dxa"/>
            <w:vMerge w:val="continue"/>
            <w:tcBorders>
              <w:top w:val="single" w:color="auto" w:sz="4" w:space="0"/>
              <w:left w:val="single" w:color="auto" w:sz="4" w:space="0"/>
              <w:bottom w:val="single" w:color="auto" w:sz="4" w:space="0"/>
              <w:right w:val="single" w:color="auto" w:sz="4" w:space="0"/>
            </w:tcBorders>
            <w:noWrap w:val="0"/>
            <w:vAlign w:val="center"/>
          </w:tcPr>
          <w:p w14:paraId="29AB7BD0">
            <w:pPr>
              <w:widowControl/>
              <w:ind w:firstLine="482"/>
              <w:jc w:val="left"/>
              <w:rPr>
                <w:rFonts w:ascii="宋体" w:hAnsi="宋体" w:cs="宋体"/>
                <w:color w:val="auto"/>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6E21184">
            <w:pPr>
              <w:topLinePunct/>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73636659">
            <w:pPr>
              <w:topLinePunct/>
              <w:spacing w:line="440" w:lineRule="exact"/>
              <w:ind w:firstLine="482"/>
              <w:jc w:val="center"/>
              <w:rPr>
                <w:rFonts w:ascii="宋体" w:hAnsi="宋体" w:cs="宋体"/>
                <w:color w:val="auto"/>
                <w:sz w:val="24"/>
                <w:szCs w:val="24"/>
                <w:highlight w:val="none"/>
              </w:rPr>
            </w:pPr>
          </w:p>
        </w:tc>
      </w:tr>
      <w:tr w14:paraId="35409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bottom w:val="nil"/>
              <w:right w:val="single" w:color="auto" w:sz="4" w:space="0"/>
            </w:tcBorders>
            <w:noWrap w:val="0"/>
            <w:vAlign w:val="center"/>
          </w:tcPr>
          <w:p w14:paraId="668CD3AA">
            <w:pPr>
              <w:topLinePunct/>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840" w:type="dxa"/>
            <w:gridSpan w:val="9"/>
            <w:tcBorders>
              <w:top w:val="single" w:color="auto" w:sz="4" w:space="0"/>
              <w:left w:val="single" w:color="auto" w:sz="4" w:space="0"/>
              <w:bottom w:val="nil"/>
              <w:right w:val="single" w:color="auto" w:sz="4" w:space="0"/>
            </w:tcBorders>
            <w:noWrap w:val="0"/>
            <w:vAlign w:val="center"/>
          </w:tcPr>
          <w:p w14:paraId="7B96B1D6">
            <w:pPr>
              <w:topLinePunct/>
              <w:spacing w:line="440" w:lineRule="exact"/>
              <w:ind w:firstLine="482"/>
              <w:jc w:val="center"/>
              <w:rPr>
                <w:rFonts w:ascii="宋体" w:hAnsi="宋体" w:cs="宋体"/>
                <w:color w:val="auto"/>
                <w:sz w:val="24"/>
                <w:szCs w:val="24"/>
                <w:highlight w:val="none"/>
              </w:rPr>
            </w:pPr>
          </w:p>
        </w:tc>
      </w:tr>
      <w:tr w14:paraId="38BFC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14:paraId="5CC8448C">
            <w:pPr>
              <w:topLinePunct/>
              <w:spacing w:line="440" w:lineRule="exact"/>
              <w:ind w:firstLine="482"/>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ABCC4B4">
            <w:pPr>
              <w:topLinePunct/>
              <w:spacing w:line="440" w:lineRule="exact"/>
              <w:ind w:firstLine="480"/>
              <w:rPr>
                <w:rFonts w:ascii="宋体" w:hAnsi="宋体" w:cs="宋体"/>
                <w:b/>
                <w:color w:val="auto"/>
                <w:sz w:val="24"/>
                <w:szCs w:val="24"/>
                <w:highlight w:val="none"/>
              </w:rPr>
            </w:pPr>
          </w:p>
        </w:tc>
      </w:tr>
    </w:tbl>
    <w:p w14:paraId="2B1F834B">
      <w:pPr>
        <w:spacing w:line="440" w:lineRule="exact"/>
        <w:ind w:firstLine="402"/>
        <w:jc w:val="left"/>
        <w:rPr>
          <w:rFonts w:hint="eastAsia" w:ascii="宋体" w:hAnsi="宋体" w:cs="宋体"/>
          <w:b/>
          <w:bCs/>
          <w:color w:val="auto"/>
          <w:sz w:val="32"/>
          <w:szCs w:val="32"/>
          <w:highlight w:val="none"/>
        </w:rPr>
      </w:pPr>
      <w:bookmarkStart w:id="1511" w:name="_Toc247527850"/>
      <w:bookmarkStart w:id="1512" w:name="_Toc152045810"/>
      <w:bookmarkStart w:id="1513" w:name="_Toc296602620"/>
      <w:bookmarkStart w:id="1514" w:name="_Toc247514302"/>
      <w:bookmarkStart w:id="1515" w:name="_Toc265953296"/>
      <w:bookmarkStart w:id="1516" w:name="_Toc152042599"/>
      <w:bookmarkStart w:id="1517" w:name="_Toc144974878"/>
      <w:bookmarkStart w:id="1518" w:name="_Toc152042602"/>
      <w:bookmarkStart w:id="1519" w:name="_Toc144974881"/>
      <w:bookmarkStart w:id="1520" w:name="_Toc152045813"/>
      <w:bookmarkStart w:id="1521" w:name="_Toc179632833"/>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（二）近年财务状况表</w:t>
      </w:r>
    </w:p>
    <w:p w14:paraId="08FDD248">
      <w:pPr>
        <w:spacing w:line="440" w:lineRule="exact"/>
        <w:ind w:firstLine="600" w:firstLineChars="250"/>
        <w:jc w:val="left"/>
        <w:rPr>
          <w:rFonts w:hint="eastAsia" w:ascii="宋体" w:hAnsi="宋体" w:cs="宋体"/>
          <w:bCs/>
          <w:color w:val="auto"/>
          <w:sz w:val="24"/>
          <w:szCs w:val="32"/>
          <w:highlight w:val="none"/>
        </w:rPr>
      </w:pPr>
    </w:p>
    <w:p w14:paraId="55C4C570">
      <w:pPr>
        <w:spacing w:line="440" w:lineRule="exact"/>
        <w:ind w:firstLine="640"/>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（三）近年完成的类似项目情况表</w:t>
      </w:r>
      <w:bookmarkEnd w:id="1511"/>
      <w:bookmarkEnd w:id="1512"/>
      <w:bookmarkEnd w:id="1513"/>
      <w:bookmarkEnd w:id="1514"/>
      <w:bookmarkEnd w:id="1515"/>
      <w:bookmarkEnd w:id="1516"/>
      <w:bookmarkEnd w:id="1517"/>
    </w:p>
    <w:p w14:paraId="1FC49089">
      <w:pPr>
        <w:spacing w:line="440" w:lineRule="exact"/>
        <w:ind w:firstLine="462"/>
        <w:jc w:val="center"/>
        <w:rPr>
          <w:rFonts w:hint="eastAsia" w:ascii="宋体" w:hAnsi="宋体" w:cs="宋体"/>
          <w:color w:val="auto"/>
          <w:sz w:val="23"/>
          <w:szCs w:val="23"/>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B0DF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FE65A4E">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BAE2FA3">
            <w:pPr>
              <w:topLinePunct/>
              <w:spacing w:line="440" w:lineRule="exact"/>
              <w:ind w:firstLine="482"/>
              <w:rPr>
                <w:rFonts w:ascii="宋体" w:hAnsi="宋体" w:cs="宋体"/>
                <w:color w:val="auto"/>
                <w:sz w:val="24"/>
                <w:highlight w:val="none"/>
              </w:rPr>
            </w:pPr>
          </w:p>
        </w:tc>
      </w:tr>
      <w:tr w14:paraId="0E3C3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C7D443C">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11652B95">
            <w:pPr>
              <w:topLinePunct/>
              <w:spacing w:line="440" w:lineRule="exact"/>
              <w:ind w:firstLine="482"/>
              <w:rPr>
                <w:rFonts w:ascii="宋体" w:hAnsi="宋体" w:cs="宋体"/>
                <w:color w:val="auto"/>
                <w:sz w:val="24"/>
                <w:highlight w:val="none"/>
              </w:rPr>
            </w:pPr>
          </w:p>
        </w:tc>
      </w:tr>
      <w:tr w14:paraId="0351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AA0EDF4">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F02C6E0">
            <w:pPr>
              <w:topLinePunct/>
              <w:spacing w:line="440" w:lineRule="exact"/>
              <w:ind w:firstLine="482"/>
              <w:rPr>
                <w:rFonts w:ascii="宋体" w:hAnsi="宋体" w:cs="宋体"/>
                <w:color w:val="auto"/>
                <w:sz w:val="24"/>
                <w:highlight w:val="none"/>
              </w:rPr>
            </w:pPr>
          </w:p>
        </w:tc>
      </w:tr>
      <w:tr w14:paraId="6FE6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276AAA3">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E360084">
            <w:pPr>
              <w:topLinePunct/>
              <w:spacing w:line="440" w:lineRule="exact"/>
              <w:ind w:firstLine="482"/>
              <w:rPr>
                <w:rFonts w:ascii="宋体" w:hAnsi="宋体" w:cs="宋体"/>
                <w:color w:val="auto"/>
                <w:sz w:val="24"/>
                <w:highlight w:val="none"/>
              </w:rPr>
            </w:pPr>
          </w:p>
        </w:tc>
      </w:tr>
      <w:tr w14:paraId="534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2E50F35">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2FC79F1">
            <w:pPr>
              <w:topLinePunct/>
              <w:spacing w:line="440" w:lineRule="exact"/>
              <w:ind w:firstLine="482"/>
              <w:rPr>
                <w:rFonts w:ascii="宋体" w:hAnsi="宋体" w:cs="宋体"/>
                <w:color w:val="auto"/>
                <w:sz w:val="24"/>
                <w:highlight w:val="none"/>
              </w:rPr>
            </w:pPr>
          </w:p>
        </w:tc>
      </w:tr>
      <w:tr w14:paraId="6C05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7C5A8D5">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合同价格</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EA5444A">
            <w:pPr>
              <w:topLinePunct/>
              <w:spacing w:line="440" w:lineRule="exact"/>
              <w:ind w:firstLine="482"/>
              <w:rPr>
                <w:rFonts w:ascii="宋体" w:hAnsi="宋体" w:cs="宋体"/>
                <w:color w:val="auto"/>
                <w:sz w:val="24"/>
                <w:highlight w:val="none"/>
              </w:rPr>
            </w:pPr>
          </w:p>
        </w:tc>
      </w:tr>
      <w:tr w14:paraId="4A6A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12D5C372">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62252AC">
            <w:pPr>
              <w:topLinePunct/>
              <w:spacing w:line="440" w:lineRule="exact"/>
              <w:ind w:firstLine="482"/>
              <w:rPr>
                <w:rFonts w:ascii="宋体" w:hAnsi="宋体" w:cs="宋体"/>
                <w:color w:val="auto"/>
                <w:sz w:val="24"/>
                <w:highlight w:val="none"/>
              </w:rPr>
            </w:pPr>
          </w:p>
        </w:tc>
      </w:tr>
      <w:tr w14:paraId="18C7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67F22F4">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竣工日期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0AA63CA">
            <w:pPr>
              <w:topLinePunct/>
              <w:spacing w:line="440" w:lineRule="exact"/>
              <w:ind w:firstLine="482"/>
              <w:rPr>
                <w:rFonts w:ascii="宋体" w:hAnsi="宋体" w:cs="宋体"/>
                <w:color w:val="auto"/>
                <w:sz w:val="24"/>
                <w:highlight w:val="none"/>
              </w:rPr>
            </w:pPr>
          </w:p>
        </w:tc>
      </w:tr>
      <w:tr w14:paraId="187F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F5FCA99">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02BD033">
            <w:pPr>
              <w:topLinePunct/>
              <w:spacing w:line="440" w:lineRule="exact"/>
              <w:ind w:firstLine="482"/>
              <w:rPr>
                <w:rFonts w:ascii="宋体" w:hAnsi="宋体" w:cs="宋体"/>
                <w:color w:val="auto"/>
                <w:sz w:val="24"/>
                <w:highlight w:val="none"/>
              </w:rPr>
            </w:pPr>
          </w:p>
        </w:tc>
      </w:tr>
      <w:tr w14:paraId="3BC7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26CF8012">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FA0D378">
            <w:pPr>
              <w:topLinePunct/>
              <w:spacing w:line="440" w:lineRule="exact"/>
              <w:ind w:firstLine="482"/>
              <w:rPr>
                <w:rFonts w:ascii="宋体" w:hAnsi="宋体" w:cs="宋体"/>
                <w:color w:val="auto"/>
                <w:sz w:val="24"/>
                <w:highlight w:val="none"/>
              </w:rPr>
            </w:pPr>
          </w:p>
        </w:tc>
      </w:tr>
      <w:tr w14:paraId="00B1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924ED37">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FD1D53B">
            <w:pPr>
              <w:topLinePunct/>
              <w:spacing w:line="440" w:lineRule="exact"/>
              <w:ind w:firstLine="482"/>
              <w:rPr>
                <w:rFonts w:ascii="宋体" w:hAnsi="宋体" w:cs="宋体"/>
                <w:color w:val="auto"/>
                <w:sz w:val="24"/>
                <w:highlight w:val="none"/>
              </w:rPr>
            </w:pPr>
          </w:p>
        </w:tc>
      </w:tr>
      <w:tr w14:paraId="37BA4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FDEDD42">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3266586">
            <w:pPr>
              <w:topLinePunct/>
              <w:spacing w:line="440" w:lineRule="exact"/>
              <w:ind w:firstLine="482"/>
              <w:rPr>
                <w:rFonts w:ascii="宋体" w:hAnsi="宋体" w:cs="宋体"/>
                <w:color w:val="auto"/>
                <w:sz w:val="24"/>
                <w:highlight w:val="none"/>
              </w:rPr>
            </w:pPr>
          </w:p>
        </w:tc>
      </w:tr>
      <w:tr w14:paraId="33D7C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0D9F998">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1042D5E">
            <w:pPr>
              <w:topLinePunct/>
              <w:spacing w:line="440" w:lineRule="exact"/>
              <w:ind w:firstLine="482"/>
              <w:rPr>
                <w:rFonts w:ascii="宋体" w:hAnsi="宋体" w:cs="宋体"/>
                <w:color w:val="auto"/>
                <w:sz w:val="24"/>
                <w:highlight w:val="none"/>
              </w:rPr>
            </w:pPr>
          </w:p>
          <w:p w14:paraId="604A9729">
            <w:pPr>
              <w:topLinePunct/>
              <w:spacing w:line="440" w:lineRule="exact"/>
              <w:ind w:firstLine="482"/>
              <w:rPr>
                <w:rFonts w:hint="eastAsia" w:ascii="宋体" w:hAnsi="宋体" w:cs="宋体"/>
                <w:color w:val="auto"/>
                <w:sz w:val="24"/>
                <w:highlight w:val="none"/>
              </w:rPr>
            </w:pPr>
          </w:p>
          <w:p w14:paraId="5F2405A8">
            <w:pPr>
              <w:topLinePunct/>
              <w:spacing w:line="440" w:lineRule="exact"/>
              <w:ind w:firstLine="482"/>
              <w:rPr>
                <w:rFonts w:hint="eastAsia" w:ascii="宋体" w:hAnsi="宋体" w:cs="宋体"/>
                <w:color w:val="auto"/>
                <w:sz w:val="24"/>
                <w:highlight w:val="none"/>
              </w:rPr>
            </w:pPr>
          </w:p>
          <w:p w14:paraId="683085E5">
            <w:pPr>
              <w:topLinePunct/>
              <w:spacing w:line="440" w:lineRule="exact"/>
              <w:ind w:firstLine="482"/>
              <w:rPr>
                <w:rFonts w:hint="eastAsia" w:ascii="宋体" w:hAnsi="宋体" w:cs="宋体"/>
                <w:color w:val="auto"/>
                <w:sz w:val="24"/>
                <w:highlight w:val="none"/>
              </w:rPr>
            </w:pPr>
          </w:p>
          <w:p w14:paraId="1A073764">
            <w:pPr>
              <w:topLinePunct/>
              <w:spacing w:line="440" w:lineRule="exact"/>
              <w:ind w:firstLine="482"/>
              <w:rPr>
                <w:rFonts w:hint="eastAsia" w:ascii="宋体" w:hAnsi="宋体" w:cs="宋体"/>
                <w:color w:val="auto"/>
                <w:sz w:val="24"/>
                <w:highlight w:val="none"/>
              </w:rPr>
            </w:pPr>
          </w:p>
          <w:p w14:paraId="3019B7E6">
            <w:pPr>
              <w:topLinePunct/>
              <w:spacing w:line="440" w:lineRule="exact"/>
              <w:ind w:firstLine="482"/>
              <w:rPr>
                <w:rFonts w:hint="eastAsia" w:ascii="宋体" w:hAnsi="宋体" w:cs="宋体"/>
                <w:color w:val="auto"/>
                <w:sz w:val="24"/>
                <w:highlight w:val="none"/>
              </w:rPr>
            </w:pPr>
          </w:p>
          <w:p w14:paraId="511253C6">
            <w:pPr>
              <w:topLinePunct/>
              <w:spacing w:line="440" w:lineRule="exact"/>
              <w:ind w:firstLine="482"/>
              <w:rPr>
                <w:rFonts w:ascii="宋体" w:hAnsi="宋体" w:cs="宋体"/>
                <w:color w:val="auto"/>
                <w:sz w:val="24"/>
                <w:highlight w:val="none"/>
              </w:rPr>
            </w:pPr>
          </w:p>
        </w:tc>
      </w:tr>
      <w:tr w14:paraId="0F48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DBA87BC">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38D7065">
            <w:pPr>
              <w:topLinePunct/>
              <w:spacing w:line="440" w:lineRule="exact"/>
              <w:ind w:firstLine="482"/>
              <w:rPr>
                <w:rFonts w:ascii="宋体" w:hAnsi="宋体" w:cs="宋体"/>
                <w:color w:val="auto"/>
                <w:sz w:val="24"/>
                <w:highlight w:val="none"/>
              </w:rPr>
            </w:pPr>
          </w:p>
        </w:tc>
      </w:tr>
    </w:tbl>
    <w:p w14:paraId="30563893">
      <w:pPr>
        <w:pStyle w:val="6"/>
        <w:ind w:firstLine="643"/>
        <w:rPr>
          <w:rFonts w:hint="eastAsia" w:ascii="宋体" w:hAnsi="宋体" w:cs="宋体"/>
          <w:color w:val="auto"/>
          <w:sz w:val="20"/>
          <w:szCs w:val="20"/>
          <w:highlight w:val="none"/>
        </w:rPr>
      </w:pPr>
      <w:r>
        <w:rPr>
          <w:rFonts w:hint="eastAsia" w:ascii="宋体" w:hAnsi="宋体" w:cs="宋体"/>
          <w:b w:val="0"/>
          <w:bCs w:val="0"/>
          <w:color w:val="auto"/>
          <w:highlight w:val="none"/>
        </w:rPr>
        <w:br w:type="page"/>
      </w:r>
      <w:bookmarkStart w:id="1522" w:name="_Toc296602621"/>
      <w:bookmarkStart w:id="1523" w:name="_Toc247527851"/>
      <w:bookmarkStart w:id="1524" w:name="_Toc152045811"/>
      <w:bookmarkStart w:id="1525" w:name="_Toc77586979"/>
      <w:bookmarkStart w:id="1526" w:name="_Toc26073"/>
      <w:bookmarkStart w:id="1527" w:name="_Toc144974879"/>
      <w:bookmarkStart w:id="1528" w:name="_Toc152042600"/>
      <w:bookmarkStart w:id="1529" w:name="_Toc247514303"/>
      <w:bookmarkStart w:id="1530" w:name="_Toc77586881"/>
      <w:bookmarkStart w:id="1531" w:name="_Toc265953297"/>
      <w:r>
        <w:rPr>
          <w:rFonts w:hint="eastAsia" w:ascii="宋体" w:hAnsi="宋体" w:cs="宋体"/>
          <w:color w:val="auto"/>
          <w:highlight w:val="none"/>
        </w:rPr>
        <w:t>（四）正在实施的和新承接的项目情况表</w:t>
      </w:r>
      <w:bookmarkEnd w:id="1522"/>
      <w:bookmarkEnd w:id="1523"/>
      <w:bookmarkEnd w:id="1524"/>
      <w:bookmarkEnd w:id="1525"/>
      <w:bookmarkEnd w:id="1526"/>
      <w:bookmarkEnd w:id="1527"/>
      <w:bookmarkEnd w:id="1528"/>
      <w:bookmarkEnd w:id="1529"/>
      <w:bookmarkEnd w:id="1530"/>
      <w:bookmarkEnd w:id="153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755C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6191155">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3855CEEE">
            <w:pPr>
              <w:topLinePunct/>
              <w:spacing w:line="440" w:lineRule="exact"/>
              <w:ind w:firstLine="482"/>
              <w:rPr>
                <w:rFonts w:ascii="宋体" w:hAnsi="宋体" w:cs="宋体"/>
                <w:color w:val="auto"/>
                <w:sz w:val="24"/>
                <w:highlight w:val="none"/>
              </w:rPr>
            </w:pPr>
          </w:p>
        </w:tc>
      </w:tr>
      <w:tr w14:paraId="6DCD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D37AB73">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项目所在地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B9C2596">
            <w:pPr>
              <w:topLinePunct/>
              <w:spacing w:line="440" w:lineRule="exact"/>
              <w:ind w:firstLine="482"/>
              <w:rPr>
                <w:rFonts w:ascii="宋体" w:hAnsi="宋体" w:cs="宋体"/>
                <w:color w:val="auto"/>
                <w:sz w:val="24"/>
                <w:highlight w:val="none"/>
              </w:rPr>
            </w:pPr>
          </w:p>
        </w:tc>
      </w:tr>
      <w:tr w14:paraId="3E0F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68DBFA3">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发包人名称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F19EBDA">
            <w:pPr>
              <w:topLinePunct/>
              <w:spacing w:line="440" w:lineRule="exact"/>
              <w:ind w:firstLine="482"/>
              <w:rPr>
                <w:rFonts w:ascii="宋体" w:hAnsi="宋体" w:cs="宋体"/>
                <w:color w:val="auto"/>
                <w:sz w:val="24"/>
                <w:highlight w:val="none"/>
              </w:rPr>
            </w:pPr>
          </w:p>
        </w:tc>
      </w:tr>
      <w:tr w14:paraId="443D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50A1EFB">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发包人地址</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00559AA">
            <w:pPr>
              <w:topLinePunct/>
              <w:spacing w:line="440" w:lineRule="exact"/>
              <w:ind w:firstLine="482"/>
              <w:rPr>
                <w:rFonts w:ascii="宋体" w:hAnsi="宋体" w:cs="宋体"/>
                <w:color w:val="auto"/>
                <w:sz w:val="24"/>
                <w:highlight w:val="none"/>
              </w:rPr>
            </w:pPr>
          </w:p>
        </w:tc>
      </w:tr>
      <w:tr w14:paraId="52D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6592656">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发包人电话</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7575446A">
            <w:pPr>
              <w:topLinePunct/>
              <w:spacing w:line="440" w:lineRule="exact"/>
              <w:ind w:firstLine="482"/>
              <w:rPr>
                <w:rFonts w:ascii="宋体" w:hAnsi="宋体" w:cs="宋体"/>
                <w:color w:val="auto"/>
                <w:sz w:val="24"/>
                <w:highlight w:val="none"/>
              </w:rPr>
            </w:pPr>
          </w:p>
        </w:tc>
      </w:tr>
      <w:tr w14:paraId="045D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F9F2A30">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签约合同价</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0AE0867A">
            <w:pPr>
              <w:topLinePunct/>
              <w:spacing w:line="440" w:lineRule="exact"/>
              <w:ind w:firstLine="482"/>
              <w:rPr>
                <w:rFonts w:ascii="宋体" w:hAnsi="宋体" w:cs="宋体"/>
                <w:color w:val="auto"/>
                <w:sz w:val="24"/>
                <w:highlight w:val="none"/>
              </w:rPr>
            </w:pPr>
          </w:p>
        </w:tc>
      </w:tr>
      <w:tr w14:paraId="1EAC0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061DFD1">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开工日期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79BED22">
            <w:pPr>
              <w:topLinePunct/>
              <w:spacing w:line="440" w:lineRule="exact"/>
              <w:ind w:firstLine="482"/>
              <w:rPr>
                <w:rFonts w:ascii="宋体" w:hAnsi="宋体" w:cs="宋体"/>
                <w:color w:val="auto"/>
                <w:sz w:val="24"/>
                <w:highlight w:val="none"/>
              </w:rPr>
            </w:pPr>
          </w:p>
        </w:tc>
      </w:tr>
      <w:tr w14:paraId="1C53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73304200">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计划竣工日期</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BEA7951">
            <w:pPr>
              <w:topLinePunct/>
              <w:spacing w:line="440" w:lineRule="exact"/>
              <w:ind w:firstLine="482"/>
              <w:rPr>
                <w:rFonts w:ascii="宋体" w:hAnsi="宋体" w:cs="宋体"/>
                <w:color w:val="auto"/>
                <w:sz w:val="24"/>
                <w:highlight w:val="none"/>
              </w:rPr>
            </w:pPr>
          </w:p>
        </w:tc>
      </w:tr>
      <w:tr w14:paraId="7F44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5416177A">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承担的工作</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FFD64D4">
            <w:pPr>
              <w:topLinePunct/>
              <w:spacing w:line="440" w:lineRule="exact"/>
              <w:ind w:firstLine="482"/>
              <w:rPr>
                <w:rFonts w:ascii="宋体" w:hAnsi="宋体" w:cs="宋体"/>
                <w:color w:val="auto"/>
                <w:sz w:val="24"/>
                <w:highlight w:val="none"/>
              </w:rPr>
            </w:pPr>
          </w:p>
        </w:tc>
      </w:tr>
      <w:tr w14:paraId="6AAA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35DBBC16">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工程质量</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3411629">
            <w:pPr>
              <w:topLinePunct/>
              <w:spacing w:line="440" w:lineRule="exact"/>
              <w:ind w:firstLine="482"/>
              <w:rPr>
                <w:rFonts w:ascii="宋体" w:hAnsi="宋体" w:cs="宋体"/>
                <w:color w:val="auto"/>
                <w:sz w:val="24"/>
                <w:highlight w:val="none"/>
              </w:rPr>
            </w:pPr>
          </w:p>
        </w:tc>
      </w:tr>
      <w:tr w14:paraId="2D7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4EED6F7D">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项目经理</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5F04E7B3">
            <w:pPr>
              <w:topLinePunct/>
              <w:spacing w:line="440" w:lineRule="exact"/>
              <w:ind w:firstLine="482"/>
              <w:rPr>
                <w:rFonts w:ascii="宋体" w:hAnsi="宋体" w:cs="宋体"/>
                <w:color w:val="auto"/>
                <w:sz w:val="24"/>
                <w:highlight w:val="none"/>
              </w:rPr>
            </w:pPr>
          </w:p>
        </w:tc>
      </w:tr>
      <w:tr w14:paraId="46DB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A67B4FB">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技术负责人</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24FF6F9F">
            <w:pPr>
              <w:topLinePunct/>
              <w:spacing w:line="440" w:lineRule="exact"/>
              <w:ind w:firstLine="482"/>
              <w:rPr>
                <w:rFonts w:ascii="宋体" w:hAnsi="宋体" w:cs="宋体"/>
                <w:color w:val="auto"/>
                <w:sz w:val="24"/>
                <w:highlight w:val="none"/>
              </w:rPr>
            </w:pPr>
          </w:p>
        </w:tc>
      </w:tr>
      <w:tr w14:paraId="45CD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0E63C41E">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项目描述</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4A8379E7">
            <w:pPr>
              <w:topLinePunct/>
              <w:spacing w:line="440" w:lineRule="exact"/>
              <w:ind w:firstLine="482"/>
              <w:rPr>
                <w:rFonts w:ascii="宋体" w:hAnsi="宋体" w:cs="宋体"/>
                <w:color w:val="auto"/>
                <w:sz w:val="24"/>
                <w:highlight w:val="none"/>
              </w:rPr>
            </w:pPr>
          </w:p>
          <w:p w14:paraId="1BB23BDD">
            <w:pPr>
              <w:topLinePunct/>
              <w:spacing w:line="440" w:lineRule="exact"/>
              <w:ind w:firstLine="482"/>
              <w:rPr>
                <w:rFonts w:hint="eastAsia" w:ascii="宋体" w:hAnsi="宋体" w:cs="宋体"/>
                <w:color w:val="auto"/>
                <w:sz w:val="24"/>
                <w:highlight w:val="none"/>
              </w:rPr>
            </w:pPr>
          </w:p>
          <w:p w14:paraId="400BBE19">
            <w:pPr>
              <w:topLinePunct/>
              <w:spacing w:line="440" w:lineRule="exact"/>
              <w:ind w:firstLine="482"/>
              <w:rPr>
                <w:rFonts w:hint="eastAsia" w:ascii="宋体" w:hAnsi="宋体" w:cs="宋体"/>
                <w:color w:val="auto"/>
                <w:sz w:val="24"/>
                <w:highlight w:val="none"/>
              </w:rPr>
            </w:pPr>
          </w:p>
          <w:p w14:paraId="08CAA29B">
            <w:pPr>
              <w:topLinePunct/>
              <w:spacing w:line="440" w:lineRule="exact"/>
              <w:ind w:firstLine="482"/>
              <w:rPr>
                <w:rFonts w:hint="eastAsia" w:ascii="宋体" w:hAnsi="宋体" w:cs="宋体"/>
                <w:color w:val="auto"/>
                <w:sz w:val="24"/>
                <w:highlight w:val="none"/>
              </w:rPr>
            </w:pPr>
          </w:p>
          <w:p w14:paraId="42AB4135">
            <w:pPr>
              <w:topLinePunct/>
              <w:spacing w:line="440" w:lineRule="exact"/>
              <w:ind w:firstLine="482"/>
              <w:rPr>
                <w:rFonts w:hint="eastAsia" w:ascii="宋体" w:hAnsi="宋体" w:cs="宋体"/>
                <w:color w:val="auto"/>
                <w:sz w:val="24"/>
                <w:highlight w:val="none"/>
              </w:rPr>
            </w:pPr>
          </w:p>
          <w:p w14:paraId="07C77A7E">
            <w:pPr>
              <w:topLinePunct/>
              <w:spacing w:line="440" w:lineRule="exact"/>
              <w:ind w:firstLine="482"/>
              <w:rPr>
                <w:rFonts w:hint="eastAsia" w:ascii="宋体" w:hAnsi="宋体" w:cs="宋体"/>
                <w:color w:val="auto"/>
                <w:sz w:val="24"/>
                <w:highlight w:val="none"/>
              </w:rPr>
            </w:pPr>
          </w:p>
          <w:p w14:paraId="66E655D8">
            <w:pPr>
              <w:topLinePunct/>
              <w:spacing w:line="440" w:lineRule="exact"/>
              <w:ind w:firstLine="482"/>
              <w:rPr>
                <w:rFonts w:ascii="宋体" w:hAnsi="宋体" w:cs="宋体"/>
                <w:color w:val="auto"/>
                <w:sz w:val="24"/>
                <w:highlight w:val="none"/>
              </w:rPr>
            </w:pPr>
          </w:p>
        </w:tc>
      </w:tr>
      <w:tr w14:paraId="53D7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311" w:type="dxa"/>
            <w:tcBorders>
              <w:top w:val="single" w:color="auto" w:sz="4" w:space="0"/>
              <w:left w:val="single" w:color="auto" w:sz="4" w:space="0"/>
              <w:bottom w:val="single" w:color="auto" w:sz="4" w:space="0"/>
              <w:right w:val="single" w:color="auto" w:sz="4" w:space="0"/>
            </w:tcBorders>
            <w:noWrap w:val="0"/>
            <w:vAlign w:val="center"/>
          </w:tcPr>
          <w:p w14:paraId="6E616695">
            <w:pPr>
              <w:topLinePunct/>
              <w:spacing w:line="440" w:lineRule="exact"/>
              <w:ind w:firstLine="482"/>
              <w:jc w:val="center"/>
              <w:rPr>
                <w:rFonts w:ascii="宋体" w:hAnsi="宋体" w:cs="宋体"/>
                <w:color w:val="auto"/>
                <w:sz w:val="24"/>
                <w:highlight w:val="none"/>
              </w:rPr>
            </w:pPr>
            <w:r>
              <w:rPr>
                <w:rFonts w:hint="eastAsia" w:ascii="宋体" w:hAnsi="宋体" w:cs="宋体"/>
                <w:color w:val="auto"/>
                <w:sz w:val="24"/>
                <w:highlight w:val="none"/>
              </w:rPr>
              <w:t>备注</w:t>
            </w:r>
          </w:p>
        </w:tc>
        <w:tc>
          <w:tcPr>
            <w:tcW w:w="6211" w:type="dxa"/>
            <w:tcBorders>
              <w:top w:val="single" w:color="auto" w:sz="4" w:space="0"/>
              <w:left w:val="single" w:color="auto" w:sz="4" w:space="0"/>
              <w:bottom w:val="single" w:color="auto" w:sz="4" w:space="0"/>
              <w:right w:val="single" w:color="auto" w:sz="4" w:space="0"/>
            </w:tcBorders>
            <w:noWrap w:val="0"/>
            <w:vAlign w:val="top"/>
          </w:tcPr>
          <w:p w14:paraId="602330DD">
            <w:pPr>
              <w:topLinePunct/>
              <w:spacing w:line="440" w:lineRule="exact"/>
              <w:ind w:firstLine="482"/>
              <w:rPr>
                <w:rFonts w:ascii="宋体" w:hAnsi="宋体" w:cs="宋体"/>
                <w:color w:val="auto"/>
                <w:sz w:val="24"/>
                <w:highlight w:val="none"/>
              </w:rPr>
            </w:pPr>
          </w:p>
        </w:tc>
      </w:tr>
    </w:tbl>
    <w:p w14:paraId="07E7316A">
      <w:pPr>
        <w:spacing w:line="440" w:lineRule="exact"/>
        <w:ind w:firstLine="402"/>
        <w:rPr>
          <w:rFonts w:hint="eastAsia" w:ascii="宋体" w:hAnsi="宋体" w:cs="宋体"/>
          <w:color w:val="auto"/>
          <w:sz w:val="20"/>
          <w:szCs w:val="20"/>
          <w:highlight w:val="none"/>
        </w:rPr>
      </w:pPr>
    </w:p>
    <w:p w14:paraId="5F0BB3EC">
      <w:pPr>
        <w:spacing w:line="440" w:lineRule="exact"/>
        <w:ind w:firstLine="64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454E5D34">
      <w:pPr>
        <w:spacing w:line="440" w:lineRule="exact"/>
        <w:ind w:firstLine="640"/>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（五）近年发生的诉讼和仲裁情况</w:t>
      </w:r>
    </w:p>
    <w:p w14:paraId="04BDDAA5">
      <w:pPr>
        <w:spacing w:line="440" w:lineRule="exact"/>
        <w:ind w:firstLine="803" w:firstLineChars="250"/>
        <w:jc w:val="center"/>
        <w:rPr>
          <w:rFonts w:hint="eastAsia" w:ascii="宋体" w:hAnsi="宋体" w:cs="宋体"/>
          <w:b/>
          <w:bCs/>
          <w:color w:val="auto"/>
          <w:sz w:val="32"/>
          <w:szCs w:val="32"/>
          <w:highlight w:val="none"/>
        </w:rPr>
      </w:pPr>
    </w:p>
    <w:p w14:paraId="33312B38">
      <w:pPr>
        <w:spacing w:line="440" w:lineRule="exact"/>
        <w:ind w:firstLine="600" w:firstLineChars="250"/>
        <w:jc w:val="left"/>
        <w:rPr>
          <w:rFonts w:hint="eastAsia" w:ascii="宋体" w:hAnsi="宋体" w:cs="宋体"/>
          <w:bCs/>
          <w:color w:val="auto"/>
          <w:sz w:val="24"/>
          <w:szCs w:val="32"/>
          <w:highlight w:val="none"/>
        </w:rPr>
      </w:pPr>
      <w:r>
        <w:rPr>
          <w:rFonts w:hint="eastAsia" w:ascii="宋体" w:hAnsi="宋体" w:cs="宋体"/>
          <w:bCs/>
          <w:color w:val="auto"/>
          <w:sz w:val="24"/>
          <w:szCs w:val="32"/>
          <w:highlight w:val="none"/>
        </w:rPr>
        <w:t>说明：近年发生的诉讼和仲裁情况仅限于投标人败诉的，且与履行施工承包合同有关的案件，不包括调解结案以及未裁决的仲裁或未终审判决的诉讼。</w:t>
      </w:r>
    </w:p>
    <w:p w14:paraId="59E72FD5">
      <w:pPr>
        <w:spacing w:line="440" w:lineRule="exact"/>
        <w:ind w:firstLine="482"/>
        <w:jc w:val="left"/>
        <w:rPr>
          <w:rFonts w:hint="eastAsia" w:ascii="宋体" w:hAnsi="宋体" w:cs="宋体"/>
          <w:bCs/>
          <w:color w:val="auto"/>
          <w:sz w:val="24"/>
          <w:szCs w:val="32"/>
          <w:highlight w:val="none"/>
        </w:rPr>
      </w:pPr>
    </w:p>
    <w:p w14:paraId="56A7FD6A">
      <w:pPr>
        <w:spacing w:line="440" w:lineRule="exact"/>
        <w:ind w:firstLine="482"/>
        <w:jc w:val="left"/>
        <w:rPr>
          <w:rFonts w:hint="eastAsia" w:ascii="宋体" w:hAnsi="宋体" w:cs="宋体"/>
          <w:bCs/>
          <w:color w:val="auto"/>
          <w:sz w:val="24"/>
          <w:szCs w:val="32"/>
          <w:highlight w:val="none"/>
        </w:rPr>
      </w:pPr>
    </w:p>
    <w:p w14:paraId="4FEA52FE">
      <w:pPr>
        <w:spacing w:line="440" w:lineRule="exact"/>
        <w:ind w:firstLine="482"/>
        <w:jc w:val="left"/>
        <w:rPr>
          <w:rFonts w:hint="eastAsia" w:ascii="宋体" w:hAnsi="宋体" w:cs="宋体"/>
          <w:bCs/>
          <w:color w:val="auto"/>
          <w:sz w:val="24"/>
          <w:szCs w:val="32"/>
          <w:highlight w:val="none"/>
        </w:rPr>
      </w:pPr>
    </w:p>
    <w:p w14:paraId="6A1BA791">
      <w:pPr>
        <w:spacing w:line="460" w:lineRule="exact"/>
        <w:ind w:firstLine="640"/>
        <w:rPr>
          <w:rFonts w:hint="eastAsia" w:ascii="宋体" w:hAnsi="宋体" w:cs="宋体"/>
          <w:b/>
          <w:bCs/>
          <w:color w:val="auto"/>
          <w:sz w:val="32"/>
          <w:szCs w:val="32"/>
          <w:highlight w:val="none"/>
        </w:rPr>
      </w:pPr>
      <w:bookmarkStart w:id="1532" w:name="_Toc247085892"/>
      <w:bookmarkStart w:id="1533" w:name="_Toc296602622"/>
      <w:bookmarkStart w:id="1534" w:name="_Toc246997117"/>
      <w:bookmarkStart w:id="1535" w:name="_Toc246996374"/>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（六）农民工工资支付承诺</w:t>
      </w:r>
    </w:p>
    <w:p w14:paraId="2AEE78F3">
      <w:pPr>
        <w:spacing w:line="460" w:lineRule="exact"/>
        <w:ind w:firstLine="561" w:firstLineChars="234"/>
        <w:rPr>
          <w:rFonts w:hint="eastAsia" w:ascii="宋体" w:hAnsi="宋体" w:cs="宋体"/>
          <w:color w:val="auto"/>
          <w:sz w:val="24"/>
          <w:szCs w:val="24"/>
          <w:highlight w:val="none"/>
        </w:rPr>
      </w:pPr>
      <w:r>
        <w:rPr>
          <w:rFonts w:hint="eastAsia" w:ascii="宋体" w:hAnsi="宋体" w:cs="宋体"/>
          <w:color w:val="auto"/>
          <w:sz w:val="24"/>
          <w:szCs w:val="24"/>
          <w:highlight w:val="none"/>
        </w:rPr>
        <w:t>格式见附件1</w:t>
      </w:r>
    </w:p>
    <w:p w14:paraId="0B988F21">
      <w:pPr>
        <w:pStyle w:val="26"/>
        <w:ind w:left="0" w:leftChars="0" w:firstLine="482"/>
        <w:rPr>
          <w:rFonts w:hint="eastAsia" w:ascii="宋体" w:hAnsi="宋体" w:eastAsia="宋体" w:cs="宋体"/>
          <w:color w:val="auto"/>
          <w:sz w:val="24"/>
          <w:szCs w:val="24"/>
          <w:highlight w:val="none"/>
        </w:rPr>
      </w:pPr>
    </w:p>
    <w:p w14:paraId="681F2C26">
      <w:pPr>
        <w:pStyle w:val="6"/>
        <w:keepNext w:val="0"/>
        <w:keepLines w:val="0"/>
        <w:ind w:firstLine="560"/>
        <w:rPr>
          <w:rFonts w:hint="eastAsia"/>
          <w:color w:val="auto"/>
          <w:sz w:val="28"/>
          <w:highlight w:val="none"/>
        </w:rPr>
      </w:pPr>
      <w:bookmarkStart w:id="1536" w:name="_Toc27054"/>
      <w:bookmarkStart w:id="1537" w:name="_Toc77586980"/>
      <w:bookmarkStart w:id="1538" w:name="_Toc77586882"/>
      <w:r>
        <w:rPr>
          <w:rFonts w:hint="eastAsia"/>
          <w:color w:val="auto"/>
          <w:sz w:val="28"/>
          <w:highlight w:val="none"/>
        </w:rPr>
        <w:br w:type="page"/>
      </w:r>
      <w:r>
        <w:rPr>
          <w:rFonts w:hint="eastAsia"/>
          <w:color w:val="auto"/>
          <w:sz w:val="28"/>
          <w:highlight w:val="none"/>
        </w:rPr>
        <w:t>附：承诺书</w:t>
      </w:r>
      <w:bookmarkEnd w:id="1536"/>
    </w:p>
    <w:p w14:paraId="5225ABE0">
      <w:pPr>
        <w:tabs>
          <w:tab w:val="left" w:pos="2766"/>
        </w:tabs>
        <w:ind w:firstLine="562"/>
        <w:jc w:val="center"/>
        <w:rPr>
          <w:color w:val="auto"/>
          <w:sz w:val="28"/>
          <w:highlight w:val="none"/>
        </w:rPr>
      </w:pPr>
      <w:r>
        <w:rPr>
          <w:rFonts w:hint="eastAsia"/>
          <w:color w:val="auto"/>
          <w:sz w:val="28"/>
          <w:highlight w:val="none"/>
        </w:rPr>
        <w:t>承诺书</w:t>
      </w:r>
    </w:p>
    <w:p w14:paraId="2CD36308">
      <w:pPr>
        <w:tabs>
          <w:tab w:val="left" w:pos="2766"/>
        </w:tabs>
        <w:ind w:firstLine="562"/>
        <w:rPr>
          <w:color w:val="auto"/>
          <w:sz w:val="28"/>
          <w:highlight w:val="none"/>
        </w:rPr>
      </w:pPr>
      <w:r>
        <w:rPr>
          <w:rFonts w:hint="eastAsia"/>
          <w:color w:val="auto"/>
          <w:sz w:val="28"/>
          <w:highlight w:val="none"/>
        </w:rPr>
        <w:t>（招标人名称）：</w:t>
      </w:r>
    </w:p>
    <w:p w14:paraId="6750F731">
      <w:pPr>
        <w:tabs>
          <w:tab w:val="left" w:pos="2766"/>
        </w:tabs>
        <w:ind w:firstLine="560" w:firstLineChars="200"/>
        <w:rPr>
          <w:color w:val="auto"/>
          <w:sz w:val="28"/>
          <w:highlight w:val="none"/>
        </w:rPr>
      </w:pPr>
      <w:r>
        <w:rPr>
          <w:rFonts w:hint="eastAsia"/>
          <w:color w:val="auto"/>
          <w:sz w:val="28"/>
          <w:highlight w:val="none"/>
        </w:rPr>
        <w:t>我方在此声明，我方拟派往（项目名称）（以下简称“本工程”）的项目经理（项目经理姓名）现阶段没有担任任何在施建设工程项目的项目经理。</w:t>
      </w:r>
    </w:p>
    <w:p w14:paraId="7C410747">
      <w:pPr>
        <w:tabs>
          <w:tab w:val="left" w:pos="2766"/>
        </w:tabs>
        <w:ind w:firstLine="560" w:firstLineChars="200"/>
        <w:rPr>
          <w:color w:val="auto"/>
          <w:sz w:val="28"/>
          <w:highlight w:val="none"/>
        </w:rPr>
      </w:pPr>
      <w:r>
        <w:rPr>
          <w:rFonts w:hint="eastAsia"/>
          <w:color w:val="auto"/>
          <w:sz w:val="28"/>
          <w:highlight w:val="none"/>
        </w:rPr>
        <w:t>我方保证上述信息的真实和准确，并愿意承担因我方就此弄虚作假所引起的一切法律后果。</w:t>
      </w:r>
    </w:p>
    <w:p w14:paraId="30D44B1A">
      <w:pPr>
        <w:tabs>
          <w:tab w:val="left" w:pos="2766"/>
        </w:tabs>
        <w:ind w:firstLine="560" w:firstLineChars="200"/>
        <w:rPr>
          <w:color w:val="auto"/>
          <w:sz w:val="28"/>
          <w:highlight w:val="none"/>
        </w:rPr>
      </w:pPr>
      <w:r>
        <w:rPr>
          <w:rFonts w:hint="eastAsia"/>
          <w:color w:val="auto"/>
          <w:sz w:val="28"/>
          <w:highlight w:val="none"/>
        </w:rPr>
        <w:t>特此承诺。</w:t>
      </w:r>
    </w:p>
    <w:p w14:paraId="29748DFB">
      <w:pPr>
        <w:tabs>
          <w:tab w:val="left" w:pos="2766"/>
        </w:tabs>
        <w:ind w:firstLine="562"/>
        <w:rPr>
          <w:rFonts w:hint="eastAsia"/>
          <w:color w:val="auto"/>
          <w:sz w:val="28"/>
          <w:highlight w:val="none"/>
        </w:rPr>
      </w:pPr>
      <w:r>
        <w:rPr>
          <w:rFonts w:hint="eastAsia"/>
          <w:color w:val="auto"/>
          <w:sz w:val="28"/>
          <w:highlight w:val="none"/>
        </w:rPr>
        <w:t>供应商：</w:t>
      </w:r>
      <w:r>
        <w:rPr>
          <w:rFonts w:hint="eastAsia"/>
          <w:color w:val="auto"/>
          <w:sz w:val="28"/>
          <w:highlight w:val="none"/>
          <w:lang w:val="en-US" w:eastAsia="zh-CN"/>
        </w:rPr>
        <w:t xml:space="preserve">    </w:t>
      </w:r>
      <w:r>
        <w:rPr>
          <w:rFonts w:hint="eastAsia"/>
          <w:color w:val="auto"/>
          <w:sz w:val="28"/>
          <w:highlight w:val="none"/>
          <w:lang w:eastAsia="zh-CN"/>
        </w:rPr>
        <w:t>（盖单位章）</w:t>
      </w:r>
    </w:p>
    <w:p w14:paraId="62E5C59E">
      <w:pPr>
        <w:tabs>
          <w:tab w:val="left" w:pos="2766"/>
        </w:tabs>
        <w:ind w:firstLine="562"/>
        <w:rPr>
          <w:rFonts w:hint="eastAsia"/>
          <w:color w:val="auto"/>
          <w:sz w:val="28"/>
          <w:highlight w:val="none"/>
        </w:rPr>
      </w:pPr>
      <w:r>
        <w:rPr>
          <w:rFonts w:hint="eastAsia"/>
          <w:color w:val="auto"/>
          <w:sz w:val="28"/>
          <w:highlight w:val="none"/>
        </w:rPr>
        <w:t>法定代表人或其委托代理人：</w:t>
      </w:r>
      <w:r>
        <w:rPr>
          <w:rFonts w:hint="eastAsia"/>
          <w:color w:val="auto"/>
          <w:sz w:val="28"/>
          <w:highlight w:val="none"/>
          <w:lang w:eastAsia="zh-CN"/>
        </w:rPr>
        <w:t>（签字或盖章）</w:t>
      </w:r>
    </w:p>
    <w:p w14:paraId="4974D093">
      <w:pPr>
        <w:tabs>
          <w:tab w:val="left" w:pos="2766"/>
        </w:tabs>
        <w:ind w:firstLine="562"/>
        <w:rPr>
          <w:rFonts w:hint="eastAsia"/>
          <w:color w:val="auto"/>
          <w:sz w:val="28"/>
          <w:highlight w:val="none"/>
        </w:rPr>
      </w:pPr>
      <w:r>
        <w:rPr>
          <w:rFonts w:hint="eastAsia"/>
          <w:color w:val="auto"/>
          <w:sz w:val="28"/>
          <w:highlight w:val="none"/>
        </w:rPr>
        <w:t>日期：  年  月  日</w:t>
      </w:r>
    </w:p>
    <w:p w14:paraId="116BB05E">
      <w:pPr>
        <w:tabs>
          <w:tab w:val="left" w:pos="2766"/>
        </w:tabs>
        <w:ind w:firstLine="562"/>
        <w:rPr>
          <w:rFonts w:hint="eastAsia" w:ascii="宋体" w:hAnsi="宋体" w:cs="宋体"/>
          <w:b/>
          <w:bCs/>
          <w:color w:val="auto"/>
          <w:sz w:val="32"/>
          <w:szCs w:val="32"/>
          <w:highlight w:val="none"/>
        </w:rPr>
      </w:pPr>
      <w:r>
        <w:rPr>
          <w:color w:val="auto"/>
          <w:sz w:val="28"/>
          <w:highlight w:val="none"/>
        </w:rPr>
        <w:tab/>
      </w:r>
      <w:bookmarkEnd w:id="1518"/>
      <w:bookmarkEnd w:id="1519"/>
      <w:bookmarkEnd w:id="1520"/>
      <w:bookmarkEnd w:id="1521"/>
      <w:bookmarkEnd w:id="1532"/>
      <w:bookmarkEnd w:id="1533"/>
      <w:bookmarkEnd w:id="1534"/>
      <w:bookmarkEnd w:id="1535"/>
      <w:bookmarkEnd w:id="1537"/>
      <w:bookmarkEnd w:id="1538"/>
      <w:bookmarkStart w:id="1539" w:name="_Toc15413"/>
      <w:r>
        <w:rPr>
          <w:rFonts w:hint="eastAsia" w:ascii="宋体" w:hAnsi="宋体" w:cs="宋体"/>
          <w:b/>
          <w:bCs/>
          <w:color w:val="auto"/>
          <w:sz w:val="32"/>
          <w:szCs w:val="32"/>
          <w:highlight w:val="none"/>
        </w:rPr>
        <w:br w:type="page"/>
      </w:r>
    </w:p>
    <w:p w14:paraId="1C310136">
      <w:pPr>
        <w:spacing w:line="360" w:lineRule="auto"/>
        <w:ind w:firstLine="640"/>
        <w:jc w:val="center"/>
        <w:outlineLvl w:val="1"/>
        <w:rPr>
          <w:rFonts w:hint="eastAsia" w:ascii="宋体" w:cs="宋体"/>
          <w:b/>
          <w:bCs/>
          <w:color w:val="auto"/>
          <w:sz w:val="32"/>
          <w:szCs w:val="32"/>
          <w:highlight w:val="none"/>
        </w:rPr>
      </w:pPr>
      <w:r>
        <w:rPr>
          <w:rFonts w:hint="eastAsia" w:ascii="宋体" w:hAnsi="宋体" w:cs="宋体"/>
          <w:b/>
          <w:bCs/>
          <w:color w:val="auto"/>
          <w:sz w:val="32"/>
          <w:szCs w:val="32"/>
          <w:highlight w:val="none"/>
        </w:rPr>
        <w:t>九、</w:t>
      </w:r>
      <w:bookmarkEnd w:id="1539"/>
      <w:r>
        <w:rPr>
          <w:rFonts w:hint="eastAsia" w:ascii="宋体" w:hAnsi="宋体" w:cs="宋体"/>
          <w:b/>
          <w:bCs/>
          <w:color w:val="auto"/>
          <w:sz w:val="32"/>
          <w:szCs w:val="32"/>
          <w:highlight w:val="none"/>
        </w:rPr>
        <w:t>资格审查资料</w:t>
      </w:r>
    </w:p>
    <w:p w14:paraId="25E63180">
      <w:pPr>
        <w:ind w:firstLine="640"/>
        <w:rPr>
          <w:rFonts w:hint="eastAsia" w:ascii="宋体" w:hAnsi="宋体" w:cs="宋体"/>
          <w:b/>
          <w:bCs/>
          <w:color w:val="auto"/>
          <w:sz w:val="32"/>
          <w:szCs w:val="32"/>
          <w:highlight w:val="none"/>
        </w:rPr>
      </w:pPr>
    </w:p>
    <w:p w14:paraId="10510EA1">
      <w:pPr>
        <w:pStyle w:val="3"/>
        <w:ind w:firstLine="482"/>
        <w:jc w:val="center"/>
        <w:rPr>
          <w:rFonts w:hint="eastAsia"/>
          <w:color w:val="auto"/>
          <w:sz w:val="24"/>
          <w:highlight w:val="none"/>
        </w:rPr>
      </w:pPr>
      <w:r>
        <w:rPr>
          <w:rFonts w:hint="eastAsia"/>
          <w:color w:val="auto"/>
          <w:sz w:val="24"/>
          <w:highlight w:val="none"/>
        </w:rPr>
        <w:t>附投标人资格要求中相关证明材料</w:t>
      </w:r>
    </w:p>
    <w:p w14:paraId="7FC113CD">
      <w:pPr>
        <w:ind w:firstLine="640"/>
        <w:jc w:val="center"/>
        <w:rPr>
          <w:rFonts w:ascii="宋体" w:hAnsi="宋体" w:cs="宋体"/>
          <w:b/>
          <w:bCs/>
          <w:color w:val="auto"/>
          <w:sz w:val="32"/>
          <w:szCs w:val="32"/>
          <w:highlight w:val="none"/>
        </w:rPr>
      </w:pPr>
    </w:p>
    <w:p w14:paraId="4946330A">
      <w:pPr>
        <w:ind w:firstLine="640"/>
        <w:jc w:val="center"/>
        <w:rPr>
          <w:rFonts w:hint="eastAsia" w:ascii="宋体" w:hAnsi="宋体" w:cs="宋体"/>
          <w:b/>
          <w:bCs/>
          <w:color w:val="auto"/>
          <w:sz w:val="32"/>
          <w:szCs w:val="32"/>
          <w:highlight w:val="none"/>
        </w:rPr>
      </w:pPr>
    </w:p>
    <w:p w14:paraId="72541FBC">
      <w:pPr>
        <w:ind w:firstLine="640"/>
        <w:jc w:val="center"/>
        <w:rPr>
          <w:rFonts w:hint="eastAsia" w:ascii="宋体" w:hAnsi="宋体" w:cs="宋体"/>
          <w:b/>
          <w:bCs/>
          <w:color w:val="auto"/>
          <w:sz w:val="32"/>
          <w:szCs w:val="32"/>
          <w:highlight w:val="none"/>
        </w:rPr>
      </w:pPr>
    </w:p>
    <w:p w14:paraId="6BB3AD75">
      <w:pPr>
        <w:ind w:firstLine="640"/>
        <w:jc w:val="center"/>
        <w:rPr>
          <w:rFonts w:hint="eastAsia" w:ascii="宋体" w:hAnsi="宋体"/>
          <w:color w:val="auto"/>
          <w:highlight w:val="none"/>
        </w:rPr>
      </w:pPr>
      <w:r>
        <w:rPr>
          <w:rFonts w:hint="eastAsia" w:ascii="宋体" w:hAnsi="宋体" w:cs="宋体"/>
          <w:b/>
          <w:bCs/>
          <w:color w:val="auto"/>
          <w:sz w:val="32"/>
          <w:szCs w:val="32"/>
          <w:highlight w:val="none"/>
        </w:rPr>
        <w:br w:type="page"/>
      </w:r>
      <w:r>
        <w:rPr>
          <w:rFonts w:hint="eastAsia" w:ascii="宋体" w:hAnsi="宋体" w:cs="宋体"/>
          <w:b/>
          <w:bCs/>
          <w:color w:val="auto"/>
          <w:sz w:val="32"/>
          <w:szCs w:val="32"/>
          <w:highlight w:val="none"/>
        </w:rPr>
        <w:t>十、供应商认为应附的其他资料</w:t>
      </w:r>
    </w:p>
    <w:p w14:paraId="1AEB4B95">
      <w:pPr>
        <w:ind w:firstLine="482"/>
        <w:jc w:val="center"/>
        <w:rPr>
          <w:rFonts w:hint="eastAsia" w:ascii="宋体" w:hAnsi="宋体"/>
          <w:color w:val="auto"/>
          <w:highlight w:val="none"/>
        </w:rPr>
      </w:pPr>
    </w:p>
    <w:p w14:paraId="3EA4C1E3">
      <w:pPr>
        <w:pStyle w:val="5"/>
        <w:ind w:firstLine="2231" w:firstLineChars="9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自拟</w:t>
      </w:r>
    </w:p>
    <w:p w14:paraId="13DF917B">
      <w:pPr>
        <w:ind w:firstLine="482"/>
        <w:rPr>
          <w:rFonts w:hint="eastAsia" w:ascii="宋体" w:hAnsi="宋体"/>
          <w:color w:val="auto"/>
          <w:highlight w:val="none"/>
        </w:rPr>
      </w:pPr>
    </w:p>
    <w:p w14:paraId="03D0C8D9">
      <w:pPr>
        <w:pStyle w:val="5"/>
        <w:ind w:firstLine="600"/>
        <w:rPr>
          <w:rFonts w:hint="eastAsia"/>
          <w:color w:val="auto"/>
          <w:highlight w:val="none"/>
        </w:rPr>
      </w:pPr>
    </w:p>
    <w:p w14:paraId="7EDB5389">
      <w:pPr>
        <w:ind w:firstLine="482"/>
        <w:rPr>
          <w:color w:val="auto"/>
          <w:highlight w:val="none"/>
        </w:rPr>
      </w:pPr>
      <w:r>
        <w:rPr>
          <w:color w:val="auto"/>
          <w:highlight w:val="none"/>
        </w:rPr>
        <w:br w:type="page"/>
      </w:r>
    </w:p>
    <w:p w14:paraId="2DF8DA71">
      <w:pPr>
        <w:ind w:firstLine="482"/>
        <w:rPr>
          <w:rFonts w:ascii="宋体" w:hAnsi="宋体"/>
          <w:color w:val="auto"/>
          <w:sz w:val="24"/>
          <w:highlight w:val="none"/>
        </w:rPr>
      </w:pPr>
      <w:r>
        <w:rPr>
          <w:rFonts w:hint="eastAsia" w:ascii="宋体" w:hAnsi="宋体"/>
          <w:color w:val="auto"/>
          <w:sz w:val="24"/>
          <w:highlight w:val="none"/>
        </w:rPr>
        <w:t>附件1：</w:t>
      </w:r>
    </w:p>
    <w:p w14:paraId="1B107209">
      <w:pPr>
        <w:ind w:firstLine="640"/>
        <w:jc w:val="center"/>
        <w:rPr>
          <w:rFonts w:hint="eastAsia" w:ascii="宋体" w:hAnsi="宋体"/>
          <w:b/>
          <w:color w:val="auto"/>
          <w:sz w:val="32"/>
          <w:highlight w:val="none"/>
        </w:rPr>
      </w:pPr>
      <w:r>
        <w:rPr>
          <w:rFonts w:hint="eastAsia" w:ascii="宋体" w:hAnsi="宋体"/>
          <w:b/>
          <w:color w:val="auto"/>
          <w:sz w:val="32"/>
          <w:highlight w:val="none"/>
        </w:rPr>
        <w:t>农民工工资支付承诺书</w:t>
      </w:r>
    </w:p>
    <w:p w14:paraId="0FA86C5D">
      <w:pPr>
        <w:ind w:firstLine="482"/>
        <w:rPr>
          <w:rFonts w:hint="eastAsia" w:ascii="宋体" w:hAnsi="宋体"/>
          <w:color w:val="auto"/>
          <w:sz w:val="24"/>
          <w:highlight w:val="none"/>
        </w:rPr>
      </w:pPr>
    </w:p>
    <w:p w14:paraId="0AED3F2C">
      <w:pPr>
        <w:spacing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为保护农民工的合法权益，不拖欠农民工工资，本公司郑重承诺：</w:t>
      </w:r>
    </w:p>
    <w:p w14:paraId="3B73D643">
      <w:pPr>
        <w:spacing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1、不转包或违法分包，并禁止分包单位再分包或层层转包。</w:t>
      </w:r>
    </w:p>
    <w:p w14:paraId="753ADA4B">
      <w:pPr>
        <w:spacing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2、自己雇佣农民工，与农民工签订劳务合同，如果有分包的督促劳务公司与农民工签订劳务合同并到总包单位备案。农民工工资由本公司或劳务公司直接足额发放到农民工本人手里，严禁发放给“包工头”。如“包工头”携款逃逸，或因其他原因无法支付民工工资，由本公司负责支付。</w:t>
      </w:r>
    </w:p>
    <w:p w14:paraId="0BB5456C">
      <w:pPr>
        <w:spacing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3、按照“总包负总责”的原则，若发生集体上访事件，第一时间到场解决，若确认拖欠农民工工资的，不论何种原因将由我公司先行垫付。不能垫付的同意动用农民工工资保证金并及时按规定补齐。</w:t>
      </w:r>
    </w:p>
    <w:p w14:paraId="4DA03A8A">
      <w:pPr>
        <w:spacing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4、切实做好农民工记工考勤工作，按约定及时与农民工结算工资。如果发生违反规定拖欠和克扣农民工工资行为，或因劳资纠纷造成农民工上访，并引发群体性突发事件，本单位愿意无条件接受相关部门依照有关规定作出的任何处罚决定。</w:t>
      </w:r>
    </w:p>
    <w:p w14:paraId="4B7869D4">
      <w:pPr>
        <w:spacing w:line="54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14:paraId="7175D406">
      <w:pPr>
        <w:ind w:firstLine="482"/>
        <w:rPr>
          <w:rFonts w:hint="eastAsia" w:ascii="宋体" w:hAnsi="宋体"/>
          <w:color w:val="auto"/>
          <w:sz w:val="24"/>
          <w:highlight w:val="none"/>
        </w:rPr>
      </w:pPr>
    </w:p>
    <w:p w14:paraId="0211D9A2">
      <w:pPr>
        <w:ind w:firstLine="482"/>
        <w:rPr>
          <w:rFonts w:hint="eastAsia" w:ascii="宋体" w:hAnsi="宋体"/>
          <w:color w:val="auto"/>
          <w:highlight w:val="none"/>
        </w:rPr>
      </w:pPr>
    </w:p>
    <w:p w14:paraId="7B68BECD">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eastAsia="zh-CN"/>
        </w:rPr>
        <w:t>（盖单位章）</w:t>
      </w:r>
    </w:p>
    <w:p w14:paraId="1AECBA93">
      <w:pPr>
        <w:widowControl/>
        <w:adjustRightInd w:val="0"/>
        <w:spacing w:line="360" w:lineRule="auto"/>
        <w:ind w:firstLine="482"/>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法定代表人或其委托代理人：</w:t>
      </w:r>
      <w:r>
        <w:rPr>
          <w:rFonts w:hint="eastAsia" w:ascii="宋体" w:hAnsi="宋体" w:cs="宋体"/>
          <w:color w:val="auto"/>
          <w:kern w:val="0"/>
          <w:sz w:val="24"/>
          <w:szCs w:val="24"/>
          <w:highlight w:val="none"/>
          <w:lang w:eastAsia="zh-CN"/>
        </w:rPr>
        <w:t>（签字或盖章）</w:t>
      </w:r>
    </w:p>
    <w:p w14:paraId="6A30A674">
      <w:pPr>
        <w:widowControl/>
        <w:adjustRightInd w:val="0"/>
        <w:spacing w:line="360" w:lineRule="auto"/>
        <w:ind w:firstLine="482"/>
        <w:jc w:val="left"/>
        <w:rPr>
          <w:rFonts w:hint="eastAsia" w:ascii="宋体" w:hAnsi="宋体" w:cs="宋体"/>
          <w:color w:val="auto"/>
          <w:kern w:val="0"/>
          <w:sz w:val="22"/>
          <w:szCs w:val="22"/>
          <w:highlight w:val="none"/>
        </w:rPr>
      </w:pPr>
      <w:r>
        <w:rPr>
          <w:rFonts w:hint="eastAsia" w:ascii="宋体" w:hAnsi="宋体" w:cs="宋体"/>
          <w:color w:val="auto"/>
          <w:kern w:val="0"/>
          <w:sz w:val="24"/>
          <w:szCs w:val="24"/>
          <w:highlight w:val="none"/>
        </w:rPr>
        <w:t>日期：  年  月  日</w:t>
      </w:r>
    </w:p>
    <w:p w14:paraId="1A9F0EE1">
      <w:pPr>
        <w:ind w:firstLine="482"/>
        <w:rPr>
          <w:rFonts w:hint="eastAsia" w:ascii="宋体" w:hAnsi="宋体"/>
          <w:color w:val="auto"/>
          <w:highlight w:val="none"/>
        </w:rPr>
      </w:pPr>
    </w:p>
    <w:p w14:paraId="77F120D9">
      <w:pPr>
        <w:ind w:firstLine="482"/>
        <w:rPr>
          <w:color w:val="auto"/>
          <w:highlight w:val="none"/>
        </w:rPr>
      </w:pPr>
      <w:r>
        <w:rPr>
          <w:rFonts w:hint="eastAsia" w:ascii="宋体" w:hAnsi="宋体"/>
          <w:color w:val="auto"/>
          <w:highlight w:val="none"/>
        </w:rPr>
        <w:br w:type="page"/>
      </w:r>
    </w:p>
    <w:p w14:paraId="28E12F7E">
      <w:pPr>
        <w:spacing w:line="360" w:lineRule="auto"/>
        <w:ind w:firstLine="640"/>
        <w:outlineLvl w:val="1"/>
        <w:rPr>
          <w:rFonts w:ascii="宋体" w:cs="宋体"/>
          <w:color w:val="auto"/>
          <w:sz w:val="24"/>
          <w:szCs w:val="24"/>
          <w:highlight w:val="none"/>
        </w:rPr>
      </w:pPr>
      <w:bookmarkStart w:id="1540" w:name="_Toc24864"/>
      <w:bookmarkStart w:id="1541" w:name="_Toc3727"/>
      <w:r>
        <w:rPr>
          <w:rFonts w:hint="eastAsia" w:ascii="宋体" w:hAnsi="宋体" w:cs="宋体"/>
          <w:b/>
          <w:bCs/>
          <w:color w:val="auto"/>
          <w:sz w:val="32"/>
          <w:szCs w:val="32"/>
          <w:highlight w:val="none"/>
        </w:rPr>
        <w:t>格式</w:t>
      </w:r>
      <w:bookmarkEnd w:id="1540"/>
      <w:bookmarkEnd w:id="1541"/>
    </w:p>
    <w:p w14:paraId="74B2DE1A">
      <w:pPr>
        <w:spacing w:line="312" w:lineRule="auto"/>
        <w:ind w:right="-334" w:rightChars="-159" w:firstLine="560"/>
        <w:jc w:val="center"/>
        <w:rPr>
          <w:rFonts w:hint="eastAsia" w:ascii="宋体" w:hAnsi="宋体" w:cs="宋体"/>
          <w:b/>
          <w:bCs/>
          <w:color w:val="auto"/>
          <w:kern w:val="10"/>
          <w:sz w:val="28"/>
          <w:szCs w:val="28"/>
          <w:highlight w:val="none"/>
        </w:rPr>
      </w:pPr>
      <w:bookmarkStart w:id="1542" w:name="_Toc6927090"/>
      <w:bookmarkStart w:id="1543" w:name="OLE_LINK13"/>
      <w:bookmarkStart w:id="1544" w:name="OLE_LINK14"/>
      <w:r>
        <w:rPr>
          <w:rFonts w:hint="eastAsia" w:ascii="宋体" w:hAnsi="宋体" w:cs="宋体"/>
          <w:b/>
          <w:bCs/>
          <w:color w:val="auto"/>
          <w:kern w:val="10"/>
          <w:sz w:val="28"/>
          <w:szCs w:val="28"/>
          <w:highlight w:val="none"/>
        </w:rPr>
        <w:t>1、中小企业声明函（工程）</w:t>
      </w:r>
    </w:p>
    <w:p w14:paraId="0EE9212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本公司（联合体）郑重声明，根据《政府采购促进中小企业发展管理办法》（财库﹝2020﹞46 号）的规定，本公司（联合体）参加</w:t>
      </w:r>
      <w:r>
        <w:rPr>
          <w:rFonts w:hint="eastAsia" w:ascii="宋体" w:hAnsi="宋体" w:cs="宋体"/>
          <w:color w:val="auto"/>
          <w:kern w:val="0"/>
          <w:sz w:val="24"/>
          <w:szCs w:val="24"/>
          <w:highlight w:val="none"/>
          <w:u w:val="single"/>
        </w:rPr>
        <w:t>（单位名称）</w:t>
      </w:r>
      <w:r>
        <w:rPr>
          <w:rFonts w:hint="eastAsia" w:ascii="宋体" w:hAnsi="宋体" w:cs="宋体"/>
          <w:color w:val="auto"/>
          <w:kern w:val="0"/>
          <w:sz w:val="24"/>
          <w:szCs w:val="24"/>
          <w:highlight w:val="none"/>
        </w:rPr>
        <w:t>的</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3E092CAC">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；承建（承接）企业为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万元，属于（中型企业、 小型企业、微型企业）；</w:t>
      </w:r>
    </w:p>
    <w:p w14:paraId="6A9BCBDD">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u w:val="single"/>
        </w:rPr>
        <w:t>（标的名称</w:t>
      </w:r>
      <w:r>
        <w:rPr>
          <w:rFonts w:hint="eastAsia" w:ascii="宋体" w:hAnsi="宋体" w:cs="宋体"/>
          <w:color w:val="auto"/>
          <w:kern w:val="0"/>
          <w:sz w:val="24"/>
          <w:szCs w:val="24"/>
          <w:highlight w:val="none"/>
        </w:rPr>
        <w:t>），属于</w:t>
      </w:r>
      <w:r>
        <w:rPr>
          <w:rFonts w:hint="eastAsia" w:ascii="宋体" w:hAnsi="宋体" w:cs="宋体"/>
          <w:color w:val="auto"/>
          <w:kern w:val="0"/>
          <w:sz w:val="24"/>
          <w:szCs w:val="24"/>
          <w:highlight w:val="none"/>
          <w:u w:val="single"/>
        </w:rPr>
        <w:t>（采购文件中明确的所属行业）</w:t>
      </w:r>
      <w:r>
        <w:rPr>
          <w:rFonts w:hint="eastAsia" w:ascii="宋体" w:hAnsi="宋体" w:cs="宋体"/>
          <w:color w:val="auto"/>
          <w:kern w:val="0"/>
          <w:sz w:val="24"/>
          <w:szCs w:val="24"/>
          <w:highlight w:val="none"/>
        </w:rPr>
        <w:t>；承建（承接）企业为</w:t>
      </w:r>
      <w:r>
        <w:rPr>
          <w:rFonts w:hint="eastAsia" w:ascii="宋体" w:hAnsi="宋体" w:cs="宋体"/>
          <w:color w:val="auto"/>
          <w:kern w:val="0"/>
          <w:sz w:val="24"/>
          <w:szCs w:val="24"/>
          <w:highlight w:val="none"/>
          <w:u w:val="single"/>
        </w:rPr>
        <w:t>（企业名称）</w:t>
      </w:r>
      <w:r>
        <w:rPr>
          <w:rFonts w:hint="eastAsia" w:ascii="宋体" w:hAnsi="宋体" w:cs="宋体"/>
          <w:color w:val="auto"/>
          <w:kern w:val="0"/>
          <w:sz w:val="24"/>
          <w:szCs w:val="24"/>
          <w:highlight w:val="none"/>
        </w:rPr>
        <w:t>，从业人员</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人，营业收入为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万元，资产总额为</w:t>
      </w:r>
      <w:r>
        <w:rPr>
          <w:rFonts w:hint="eastAsia" w:ascii="宋体" w:hAnsi="宋体" w:cs="宋体"/>
          <w:color w:val="auto"/>
          <w:kern w:val="0"/>
          <w:sz w:val="24"/>
          <w:szCs w:val="24"/>
          <w:highlight w:val="none"/>
          <w:u w:val="single"/>
        </w:rPr>
        <w:tab/>
      </w:r>
      <w:r>
        <w:rPr>
          <w:rFonts w:hint="eastAsia" w:ascii="宋体" w:hAnsi="宋体" w:cs="宋体"/>
          <w:color w:val="auto"/>
          <w:kern w:val="0"/>
          <w:sz w:val="24"/>
          <w:szCs w:val="24"/>
          <w:highlight w:val="none"/>
        </w:rPr>
        <w:t>万元，属于（中型企业、 小型企业、微型企业）；</w:t>
      </w:r>
    </w:p>
    <w:p w14:paraId="7310AA0F">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p w14:paraId="432B43BE">
      <w:pPr>
        <w:spacing w:line="360" w:lineRule="auto"/>
        <w:ind w:firstLine="480" w:firstLineChars="200"/>
        <w:rPr>
          <w:rFonts w:hint="eastAsia" w:ascii="宋体" w:hAnsi="宋体" w:cs="宋体"/>
          <w:color w:val="auto"/>
          <w:kern w:val="0"/>
          <w:sz w:val="24"/>
          <w:szCs w:val="24"/>
          <w:highlight w:val="none"/>
        </w:rPr>
      </w:pPr>
    </w:p>
    <w:p w14:paraId="1B364339">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以上企业，不属于大企业的分支机构，不存在控股股东为大企业的情形，也不存在与大企业的负责人为同一人的情 形。</w:t>
      </w:r>
    </w:p>
    <w:p w14:paraId="422023FB">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本企业对上述声明内容的真实性负责。如有虚假，将依 法承担相应责任。</w:t>
      </w:r>
    </w:p>
    <w:p w14:paraId="6D464123">
      <w:pPr>
        <w:spacing w:line="312" w:lineRule="auto"/>
        <w:ind w:firstLine="480" w:firstLineChars="200"/>
        <w:jc w:val="left"/>
        <w:rPr>
          <w:rFonts w:hint="eastAsia" w:ascii="宋体" w:hAnsi="宋体" w:cs="宋体"/>
          <w:color w:val="auto"/>
          <w:kern w:val="0"/>
          <w:sz w:val="24"/>
          <w:szCs w:val="24"/>
          <w:highlight w:val="none"/>
        </w:rPr>
      </w:pPr>
    </w:p>
    <w:p w14:paraId="0901D848">
      <w:pPr>
        <w:spacing w:line="312" w:lineRule="auto"/>
        <w:ind w:firstLine="480" w:firstLineChars="200"/>
        <w:jc w:val="left"/>
        <w:rPr>
          <w:rFonts w:hint="eastAsia" w:ascii="宋体" w:hAnsi="宋体" w:cs="宋体"/>
          <w:color w:val="auto"/>
          <w:kern w:val="0"/>
          <w:sz w:val="24"/>
          <w:szCs w:val="24"/>
          <w:highlight w:val="none"/>
        </w:rPr>
      </w:pPr>
    </w:p>
    <w:p w14:paraId="11773761">
      <w:pPr>
        <w:spacing w:line="312"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企业名称</w:t>
      </w:r>
      <w:r>
        <w:rPr>
          <w:rFonts w:hint="eastAsia" w:ascii="宋体" w:hAnsi="宋体" w:cs="宋体"/>
          <w:color w:val="auto"/>
          <w:kern w:val="0"/>
          <w:sz w:val="24"/>
          <w:szCs w:val="24"/>
          <w:highlight w:val="none"/>
          <w:lang w:eastAsia="zh-CN"/>
        </w:rPr>
        <w:t>（盖单位章）</w:t>
      </w:r>
      <w:r>
        <w:rPr>
          <w:rFonts w:hint="eastAsia" w:ascii="宋体" w:hAnsi="宋体" w:cs="宋体"/>
          <w:color w:val="auto"/>
          <w:kern w:val="0"/>
          <w:sz w:val="24"/>
          <w:szCs w:val="24"/>
          <w:highlight w:val="none"/>
        </w:rPr>
        <w:t>：</w:t>
      </w:r>
    </w:p>
    <w:p w14:paraId="22FC16FE">
      <w:pPr>
        <w:spacing w:line="312"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p>
    <w:p w14:paraId="012EA04E">
      <w:pPr>
        <w:autoSpaceDE w:val="0"/>
        <w:autoSpaceDN w:val="0"/>
        <w:snapToGrid w:val="0"/>
        <w:spacing w:line="360" w:lineRule="auto"/>
        <w:ind w:firstLine="560"/>
        <w:jc w:val="center"/>
        <w:rPr>
          <w:rFonts w:hint="eastAsia" w:ascii="宋体" w:hAnsi="宋体" w:cs="宋体"/>
          <w:b/>
          <w:bCs/>
          <w:color w:val="auto"/>
          <w:kern w:val="10"/>
          <w:sz w:val="28"/>
          <w:szCs w:val="28"/>
          <w:highlight w:val="none"/>
        </w:rPr>
      </w:pPr>
    </w:p>
    <w:p w14:paraId="5616205F">
      <w:pPr>
        <w:ind w:firstLine="560"/>
        <w:jc w:val="center"/>
        <w:rPr>
          <w:rFonts w:hint="eastAsia" w:ascii="宋体" w:hAnsi="宋体" w:cs="宋体"/>
          <w:color w:val="auto"/>
          <w:kern w:val="0"/>
          <w:sz w:val="22"/>
          <w:highlight w:val="none"/>
        </w:rPr>
      </w:pPr>
      <w:r>
        <w:rPr>
          <w:rFonts w:hint="eastAsia" w:ascii="宋体" w:hAnsi="宋体" w:cs="宋体"/>
          <w:b/>
          <w:bCs/>
          <w:color w:val="auto"/>
          <w:kern w:val="10"/>
          <w:sz w:val="28"/>
          <w:szCs w:val="28"/>
          <w:highlight w:val="none"/>
        </w:rPr>
        <w:br w:type="page"/>
      </w:r>
      <w:r>
        <w:rPr>
          <w:rFonts w:hint="eastAsia" w:ascii="宋体" w:hAnsi="宋体" w:cs="宋体"/>
          <w:b/>
          <w:bCs/>
          <w:color w:val="auto"/>
          <w:kern w:val="10"/>
          <w:sz w:val="28"/>
          <w:szCs w:val="28"/>
          <w:highlight w:val="none"/>
        </w:rPr>
        <w:t>2、残疾人福利性单位声明函</w:t>
      </w:r>
      <w:bookmarkEnd w:id="1542"/>
    </w:p>
    <w:bookmarkEnd w:id="1543"/>
    <w:bookmarkEnd w:id="1544"/>
    <w:p w14:paraId="0FD046C7">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本单位郑重声明，根据《财政部</w:t>
      </w:r>
      <w:r>
        <w:rPr>
          <w:rFonts w:hint="eastAsia" w:ascii="宋体" w:hAnsi="宋体" w:cs="宋体"/>
          <w:color w:val="auto"/>
          <w:spacing w:val="6"/>
          <w:kern w:val="0"/>
          <w:sz w:val="24"/>
          <w:szCs w:val="24"/>
          <w:highlight w:val="none"/>
          <w:lang w:val="en-US" w:eastAsia="zh-CN"/>
        </w:rPr>
        <w:t xml:space="preserve"> </w:t>
      </w:r>
      <w:r>
        <w:rPr>
          <w:rFonts w:hint="eastAsia" w:ascii="宋体" w:hAnsi="宋体" w:cs="宋体"/>
          <w:color w:val="auto"/>
          <w:spacing w:val="6"/>
          <w:kern w:val="0"/>
          <w:sz w:val="24"/>
          <w:szCs w:val="24"/>
          <w:highlight w:val="none"/>
        </w:rPr>
        <w:t>民政部 中国残疾人联合会关于促进残疾人就业政府采购政策的通知》（财库</w:t>
      </w:r>
      <w:r>
        <w:rPr>
          <w:rFonts w:hint="eastAsia" w:ascii="宋体" w:hAnsi="宋体" w:cs="宋体"/>
          <w:color w:val="auto"/>
          <w:kern w:val="0"/>
          <w:sz w:val="24"/>
          <w:szCs w:val="24"/>
          <w:highlight w:val="none"/>
        </w:rPr>
        <w:t>〔2017〕 141</w:t>
      </w:r>
      <w:r>
        <w:rPr>
          <w:rFonts w:hint="eastAsia" w:ascii="宋体" w:hAnsi="宋体" w:cs="宋体"/>
          <w:color w:val="auto"/>
          <w:spacing w:val="6"/>
          <w:kern w:val="0"/>
          <w:sz w:val="24"/>
          <w:szCs w:val="24"/>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3F4F6BB">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本单位对上述声明的真实性负责。如有虚假，将依法承担相应责任。</w:t>
      </w:r>
    </w:p>
    <w:p w14:paraId="618E4C98">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p>
    <w:p w14:paraId="77C83359">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单位名称</w:t>
      </w:r>
      <w:r>
        <w:rPr>
          <w:rFonts w:hint="eastAsia" w:ascii="宋体" w:hAnsi="宋体" w:cs="宋体"/>
          <w:color w:val="auto"/>
          <w:kern w:val="0"/>
          <w:sz w:val="24"/>
          <w:szCs w:val="24"/>
          <w:highlight w:val="none"/>
          <w:lang w:eastAsia="zh-CN"/>
        </w:rPr>
        <w:t>（盖单位章）</w:t>
      </w:r>
      <w:r>
        <w:rPr>
          <w:rFonts w:hint="eastAsia" w:ascii="宋体" w:hAnsi="宋体" w:cs="宋体"/>
          <w:color w:val="auto"/>
          <w:spacing w:val="6"/>
          <w:kern w:val="0"/>
          <w:sz w:val="24"/>
          <w:szCs w:val="24"/>
          <w:highlight w:val="none"/>
        </w:rPr>
        <w:t>：</w:t>
      </w:r>
    </w:p>
    <w:p w14:paraId="17112BE0">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日  期：</w:t>
      </w:r>
    </w:p>
    <w:p w14:paraId="75288FA8">
      <w:pPr>
        <w:widowControl/>
        <w:autoSpaceDE w:val="0"/>
        <w:autoSpaceDN w:val="0"/>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（提醒：如果供应商</w:t>
      </w:r>
      <w:r>
        <w:rPr>
          <w:rFonts w:hint="eastAsia" w:ascii="宋体" w:hAnsi="宋体" w:cs="宋体"/>
          <w:b/>
          <w:color w:val="auto"/>
          <w:spacing w:val="10"/>
          <w:kern w:val="0"/>
          <w:sz w:val="24"/>
          <w:szCs w:val="24"/>
          <w:highlight w:val="none"/>
        </w:rPr>
        <w:t>不是残疾人福利性单位</w:t>
      </w:r>
      <w:r>
        <w:rPr>
          <w:rFonts w:hint="eastAsia" w:ascii="宋体" w:hAnsi="宋体" w:cs="宋体"/>
          <w:b/>
          <w:color w:val="auto"/>
          <w:kern w:val="0"/>
          <w:sz w:val="24"/>
          <w:szCs w:val="24"/>
          <w:highlight w:val="none"/>
        </w:rPr>
        <w:t>，则不需要提供《残疾人福利性单位声明函》。否则，因此导致虚假投标的后果由供应商自行承担。）</w:t>
      </w:r>
    </w:p>
    <w:p w14:paraId="2417C3B5">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《财政部民政部中国残疾人联合会关于促进残疾人就业政府采购政策的通知》（财库（2017〔141〕号）的规定：</w:t>
      </w:r>
    </w:p>
    <w:p w14:paraId="1ABEAFA2">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一、享受政府采购支持政策的残疾人福利性单位应当同时满足以下条件：</w:t>
      </w:r>
    </w:p>
    <w:p w14:paraId="478EA943">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（1）安置的残疾人占本单位在职职工人数的比例不低于25%（含25%），并且安置的残疾人人数不少于10人（含10人）；</w:t>
      </w:r>
    </w:p>
    <w:p w14:paraId="0755CFA4">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（2）依法与安置的每位残疾人签订了一年以上（含一年）的劳动合同或服务协议；</w:t>
      </w:r>
    </w:p>
    <w:p w14:paraId="43289151">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（3）为安置的每位残疾人按月足额缴纳了基本养老保险、基本医疗保险、失业保险、工伤保险和生育保险等社会保险费；</w:t>
      </w:r>
    </w:p>
    <w:p w14:paraId="5FBA8320">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（4）通过银行等金融机构向安置的每位残疾人，按月支付了不低于单位所在区县适用的经省级人民政府批准的月最低工资标准的工资；</w:t>
      </w:r>
    </w:p>
    <w:p w14:paraId="07130108">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（5）提供本单位制造的货物、承担的工程或者服务（以下简称产品），或者提供其他残疾人福利性单位制造的货物（不包括使用非残疾人福利性单位注册商标的货物）。</w:t>
      </w:r>
    </w:p>
    <w:p w14:paraId="6FCE401B">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二、中标、成交供应商为残疾人福利性单位的，招标人或者其委托的招标代理机构应当随中标、成交结果同时公告其《残疾人福利性单位声明函》，接受社会监督。</w:t>
      </w:r>
    </w:p>
    <w:p w14:paraId="6D3F8687">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供应商提供的《残疾人福利性单位声明函》与事实不符的，依照《政府采购法》第七十七条第一款的规定追究法律责任。</w:t>
      </w:r>
    </w:p>
    <w:p w14:paraId="2B5BBBB4">
      <w:pPr>
        <w:numPr>
          <w:ilvl w:val="0"/>
          <w:numId w:val="3"/>
        </w:numPr>
        <w:autoSpaceDE w:val="0"/>
        <w:autoSpaceDN w:val="0"/>
        <w:ind w:firstLine="480" w:firstLineChars="200"/>
        <w:rPr>
          <w:rFonts w:hint="eastAsia" w:ascii="宋体" w:hAnsi="宋体" w:cs="宋体"/>
          <w:b/>
          <w:bCs/>
          <w:color w:val="auto"/>
          <w:kern w:val="10"/>
          <w:sz w:val="28"/>
          <w:szCs w:val="28"/>
          <w:highlight w:val="none"/>
        </w:rPr>
      </w:pP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残疾人福利性单位视同小型、微型企业</w:t>
      </w:r>
      <w:r>
        <w:rPr>
          <w:rFonts w:hint="eastAsia" w:ascii="宋体" w:hAnsi="宋体" w:cs="宋体"/>
          <w:color w:val="auto"/>
          <w:kern w:val="0"/>
          <w:sz w:val="24"/>
          <w:szCs w:val="24"/>
          <w:highlight w:val="none"/>
        </w:rPr>
        <w:t>，享受预留份额、评审中价格扣除等促进中小企业发展的政府采购政策。向残疾人福利性单位采购的金额，计入面向中小企业采购的统计数据。残疾人福利性单位属于小型、微型企业的，不重复享受政策。</w:t>
      </w:r>
    </w:p>
    <w:p w14:paraId="7D2E2144">
      <w:pPr>
        <w:ind w:firstLine="560"/>
        <w:jc w:val="center"/>
        <w:rPr>
          <w:rFonts w:hint="eastAsia" w:ascii="宋体" w:hAnsi="宋体" w:cs="宋体"/>
          <w:b/>
          <w:bCs/>
          <w:color w:val="auto"/>
          <w:kern w:val="10"/>
          <w:sz w:val="28"/>
          <w:szCs w:val="28"/>
          <w:highlight w:val="none"/>
        </w:rPr>
      </w:pPr>
      <w:r>
        <w:rPr>
          <w:rFonts w:hint="eastAsia" w:ascii="宋体" w:hAnsi="宋体" w:cs="宋体"/>
          <w:b/>
          <w:bCs/>
          <w:color w:val="auto"/>
          <w:kern w:val="10"/>
          <w:sz w:val="28"/>
          <w:szCs w:val="28"/>
          <w:highlight w:val="none"/>
        </w:rPr>
        <w:br w:type="page"/>
      </w:r>
      <w:r>
        <w:rPr>
          <w:rFonts w:hint="eastAsia" w:ascii="宋体" w:hAnsi="宋体" w:cs="宋体"/>
          <w:b/>
          <w:bCs/>
          <w:color w:val="auto"/>
          <w:kern w:val="10"/>
          <w:sz w:val="28"/>
          <w:szCs w:val="28"/>
          <w:highlight w:val="none"/>
        </w:rPr>
        <w:t>3、监狱企业证明文件</w:t>
      </w:r>
    </w:p>
    <w:p w14:paraId="5F194A51">
      <w:pPr>
        <w:autoSpaceDE w:val="0"/>
        <w:autoSpaceDN w:val="0"/>
        <w:spacing w:line="360" w:lineRule="auto"/>
        <w:ind w:firstLine="480" w:firstLineChars="200"/>
        <w:rPr>
          <w:rFonts w:hint="eastAsia" w:ascii="宋体" w:hAnsi="宋体" w:cs="宋体"/>
          <w:color w:val="auto"/>
          <w:sz w:val="24"/>
          <w:szCs w:val="24"/>
          <w:highlight w:val="none"/>
        </w:rPr>
      </w:pPr>
    </w:p>
    <w:p w14:paraId="27267EDA">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省级以上监狱管理局、戒毒管理局（含新疆生产建设兵团）出具的属于监狱企业的证明文件。</w:t>
      </w:r>
    </w:p>
    <w:p w14:paraId="0307F023">
      <w:pPr>
        <w:autoSpaceDE w:val="0"/>
        <w:autoSpaceDN w:val="0"/>
        <w:spacing w:line="360" w:lineRule="auto"/>
        <w:ind w:firstLine="480" w:firstLineChars="200"/>
        <w:rPr>
          <w:rFonts w:hint="eastAsia" w:ascii="宋体" w:hAnsi="宋体" w:cs="宋体"/>
          <w:color w:val="auto"/>
          <w:sz w:val="24"/>
          <w:szCs w:val="24"/>
          <w:highlight w:val="none"/>
        </w:rPr>
      </w:pPr>
    </w:p>
    <w:p w14:paraId="6E590BCE">
      <w:pPr>
        <w:autoSpaceDE w:val="0"/>
        <w:autoSpaceDN w:val="0"/>
        <w:spacing w:line="360" w:lineRule="auto"/>
        <w:ind w:firstLine="480" w:firstLineChars="200"/>
        <w:rPr>
          <w:rFonts w:hint="eastAsia" w:ascii="宋体" w:hAnsi="宋体" w:cs="宋体"/>
          <w:color w:val="auto"/>
          <w:sz w:val="24"/>
          <w:szCs w:val="24"/>
          <w:highlight w:val="none"/>
        </w:rPr>
      </w:pPr>
    </w:p>
    <w:p w14:paraId="20A329F6">
      <w:pPr>
        <w:autoSpaceDE w:val="0"/>
        <w:autoSpaceDN w:val="0"/>
        <w:spacing w:line="360" w:lineRule="auto"/>
        <w:ind w:firstLine="480" w:firstLineChars="200"/>
        <w:rPr>
          <w:rFonts w:hint="eastAsia" w:ascii="宋体" w:hAnsi="宋体" w:cs="宋体"/>
          <w:color w:val="auto"/>
          <w:sz w:val="24"/>
          <w:szCs w:val="24"/>
          <w:highlight w:val="none"/>
        </w:rPr>
      </w:pPr>
    </w:p>
    <w:p w14:paraId="1A14551D">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监狱企业视同小型、微型企业</w:t>
      </w:r>
      <w:r>
        <w:rPr>
          <w:rFonts w:hint="eastAsia" w:ascii="宋体" w:hAnsi="宋体" w:cs="宋体"/>
          <w:color w:val="auto"/>
          <w:kern w:val="0"/>
          <w:sz w:val="24"/>
          <w:szCs w:val="24"/>
          <w:highlight w:val="none"/>
        </w:rPr>
        <w:t>，享受预留份额、评审中价格扣除等政府采购促进中小企业发展的政府采购政策。但监狱企业参加政府采购活动时，</w:t>
      </w:r>
      <w:r>
        <w:rPr>
          <w:rFonts w:hint="eastAsia" w:ascii="宋体" w:hAnsi="宋体" w:cs="宋体"/>
          <w:b/>
          <w:bCs/>
          <w:color w:val="auto"/>
          <w:kern w:val="0"/>
          <w:sz w:val="24"/>
          <w:szCs w:val="24"/>
          <w:highlight w:val="none"/>
        </w:rPr>
        <w:t>应当提供由省级以上监狱管理局、戒毒管理局（含新疆生产建设兵团）出具的属于监狱企业的证明文件</w:t>
      </w:r>
      <w:r>
        <w:rPr>
          <w:rFonts w:hint="eastAsia" w:ascii="宋体" w:hAnsi="宋体" w:cs="宋体"/>
          <w:color w:val="auto"/>
          <w:kern w:val="0"/>
          <w:sz w:val="24"/>
          <w:szCs w:val="24"/>
          <w:highlight w:val="none"/>
        </w:rPr>
        <w:t>，否则不能认为其为监狱企业）</w:t>
      </w:r>
    </w:p>
    <w:p w14:paraId="3D362687">
      <w:pPr>
        <w:pStyle w:val="22"/>
        <w:ind w:firstLine="482"/>
        <w:rPr>
          <w:rFonts w:hint="eastAsia"/>
          <w:color w:val="auto"/>
          <w:highlight w:val="none"/>
        </w:rPr>
      </w:pPr>
    </w:p>
    <w:p w14:paraId="54808314">
      <w:pPr>
        <w:ind w:firstLine="482"/>
        <w:rPr>
          <w:rFonts w:hint="eastAsia"/>
          <w:color w:val="auto"/>
          <w:highlight w:val="none"/>
        </w:rPr>
      </w:pPr>
    </w:p>
    <w:p w14:paraId="0C9BBC5C">
      <w:pPr>
        <w:widowControl/>
        <w:spacing w:line="360" w:lineRule="auto"/>
        <w:ind w:firstLine="482" w:firstLineChars="200"/>
        <w:rPr>
          <w:rFonts w:cs="宋体" w:asciiTheme="minorEastAsia" w:hAnsiTheme="minorEastAsia"/>
          <w:b/>
          <w:sz w:val="24"/>
          <w:szCs w:val="24"/>
        </w:rPr>
      </w:pPr>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Noto Serif CJK SC">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7F15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BA44">
    <w:pPr>
      <w:spacing w:line="165" w:lineRule="auto"/>
      <w:ind w:left="4730"/>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B607">
    <w:pPr>
      <w:spacing w:line="165" w:lineRule="auto"/>
      <w:ind w:left="473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5A8B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665A8B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2873">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E824C">
                          <w:pPr>
                            <w:pStyle w:val="1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28FE824C">
                    <w:pPr>
                      <w:pStyle w:val="1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CC82">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2B2AA"/>
    <w:multiLevelType w:val="singleLevel"/>
    <w:tmpl w:val="A5E2B2AA"/>
    <w:lvl w:ilvl="0" w:tentative="0">
      <w:start w:val="3"/>
      <w:numFmt w:val="chineseCounting"/>
      <w:suff w:val="nothing"/>
      <w:lvlText w:val="%1、"/>
      <w:lvlJc w:val="left"/>
      <w:pPr>
        <w:ind w:left="0" w:firstLine="0"/>
      </w:pPr>
    </w:lvl>
  </w:abstractNum>
  <w:abstractNum w:abstractNumId="1">
    <w:nsid w:val="63D45E4E"/>
    <w:multiLevelType w:val="singleLevel"/>
    <w:tmpl w:val="63D45E4E"/>
    <w:lvl w:ilvl="0" w:tentative="0">
      <w:start w:val="2"/>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pPr>
        <w:ind w:left="0" w:firstLine="0"/>
      </w:pPr>
    </w:lvl>
  </w:abstractNum>
  <w:num w:numId="1">
    <w:abstractNumId w:val="1"/>
  </w:num>
  <w:num w:numId="2">
    <w:abstractNumId w:val="2"/>
    <w:lvlOverride w:ilvl="0">
      <w:startOverride w:val="1"/>
    </w:lvlOverride>
  </w:num>
  <w:num w:numId="3">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dit="trackedChanges" w:enforcement="1" w:cryptProviderType="rsaFull" w:cryptAlgorithmClass="hash" w:cryptAlgorithmType="typeAny" w:cryptAlgorithmSid="4" w:cryptSpinCount="0" w:hash="ccWXswA+1R53IPgaN4gEF2qh1Og=" w:salt="9iDTKi82TxBOeXCiKSTbb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OTlkYWI5MGY3M2U2OGFkNWUxY2I5ZmM5ZDg1ZmUifQ=="/>
  </w:docVars>
  <w:rsids>
    <w:rsidRoot w:val="006944DE"/>
    <w:rsid w:val="00072909"/>
    <w:rsid w:val="000826BA"/>
    <w:rsid w:val="000D0A06"/>
    <w:rsid w:val="00135C83"/>
    <w:rsid w:val="001474B0"/>
    <w:rsid w:val="001A12D3"/>
    <w:rsid w:val="00256B2C"/>
    <w:rsid w:val="002600B2"/>
    <w:rsid w:val="00281552"/>
    <w:rsid w:val="00332416"/>
    <w:rsid w:val="00394899"/>
    <w:rsid w:val="003C4FEC"/>
    <w:rsid w:val="003D2626"/>
    <w:rsid w:val="003E1CE6"/>
    <w:rsid w:val="00472C72"/>
    <w:rsid w:val="00487BCB"/>
    <w:rsid w:val="004A15A9"/>
    <w:rsid w:val="004F54FA"/>
    <w:rsid w:val="004F7B8C"/>
    <w:rsid w:val="00541483"/>
    <w:rsid w:val="0055529F"/>
    <w:rsid w:val="00580DDA"/>
    <w:rsid w:val="005B550A"/>
    <w:rsid w:val="00642E20"/>
    <w:rsid w:val="0064385B"/>
    <w:rsid w:val="006944DE"/>
    <w:rsid w:val="006F3CC2"/>
    <w:rsid w:val="00795190"/>
    <w:rsid w:val="007A025A"/>
    <w:rsid w:val="007E1D23"/>
    <w:rsid w:val="007F6D75"/>
    <w:rsid w:val="008144D4"/>
    <w:rsid w:val="008C30C7"/>
    <w:rsid w:val="00940561"/>
    <w:rsid w:val="00956CC6"/>
    <w:rsid w:val="00962766"/>
    <w:rsid w:val="0098646C"/>
    <w:rsid w:val="009B66B5"/>
    <w:rsid w:val="00A05F88"/>
    <w:rsid w:val="00A65457"/>
    <w:rsid w:val="00A77739"/>
    <w:rsid w:val="00AE2820"/>
    <w:rsid w:val="00B170D9"/>
    <w:rsid w:val="00B2356E"/>
    <w:rsid w:val="00B34CD1"/>
    <w:rsid w:val="00B711E8"/>
    <w:rsid w:val="00B74060"/>
    <w:rsid w:val="00C3555A"/>
    <w:rsid w:val="00C45DA6"/>
    <w:rsid w:val="00C96B11"/>
    <w:rsid w:val="00DE6596"/>
    <w:rsid w:val="00E07762"/>
    <w:rsid w:val="00EC4593"/>
    <w:rsid w:val="00ED5A78"/>
    <w:rsid w:val="00F53DB9"/>
    <w:rsid w:val="00F66D00"/>
    <w:rsid w:val="00F70DDF"/>
    <w:rsid w:val="00F73D02"/>
    <w:rsid w:val="00F83D42"/>
    <w:rsid w:val="00F85C48"/>
    <w:rsid w:val="00F9022F"/>
    <w:rsid w:val="00F953BF"/>
    <w:rsid w:val="00FB482A"/>
    <w:rsid w:val="00FE1D4C"/>
    <w:rsid w:val="014B08FF"/>
    <w:rsid w:val="0194674A"/>
    <w:rsid w:val="02E20138"/>
    <w:rsid w:val="038F610A"/>
    <w:rsid w:val="03D500CA"/>
    <w:rsid w:val="05946D18"/>
    <w:rsid w:val="061D20DB"/>
    <w:rsid w:val="065C7340"/>
    <w:rsid w:val="077A3CEC"/>
    <w:rsid w:val="08B651F8"/>
    <w:rsid w:val="08DE6920"/>
    <w:rsid w:val="0ABF0394"/>
    <w:rsid w:val="0B293A5F"/>
    <w:rsid w:val="0BB22130"/>
    <w:rsid w:val="0CD345CA"/>
    <w:rsid w:val="0D451C2E"/>
    <w:rsid w:val="0ED2440E"/>
    <w:rsid w:val="0EF12AE6"/>
    <w:rsid w:val="0F2C1286"/>
    <w:rsid w:val="0F5B4403"/>
    <w:rsid w:val="0F8E0D57"/>
    <w:rsid w:val="0F9A13CF"/>
    <w:rsid w:val="10572E1C"/>
    <w:rsid w:val="11ED041E"/>
    <w:rsid w:val="13C54541"/>
    <w:rsid w:val="15735ED3"/>
    <w:rsid w:val="15FD7FC2"/>
    <w:rsid w:val="1638549E"/>
    <w:rsid w:val="18632395"/>
    <w:rsid w:val="1C0A168B"/>
    <w:rsid w:val="1CB076A3"/>
    <w:rsid w:val="1D1A76AB"/>
    <w:rsid w:val="1D65301C"/>
    <w:rsid w:val="1EDD729C"/>
    <w:rsid w:val="1FF70178"/>
    <w:rsid w:val="200243ED"/>
    <w:rsid w:val="208C08C0"/>
    <w:rsid w:val="20EA3839"/>
    <w:rsid w:val="210B58DF"/>
    <w:rsid w:val="21503045"/>
    <w:rsid w:val="222B14A8"/>
    <w:rsid w:val="22853819"/>
    <w:rsid w:val="22EC5DDE"/>
    <w:rsid w:val="2312085E"/>
    <w:rsid w:val="24572F93"/>
    <w:rsid w:val="25BF1EB0"/>
    <w:rsid w:val="25F221F6"/>
    <w:rsid w:val="260476A8"/>
    <w:rsid w:val="260A0376"/>
    <w:rsid w:val="27213EA5"/>
    <w:rsid w:val="28A30E9D"/>
    <w:rsid w:val="29387837"/>
    <w:rsid w:val="2A9211C9"/>
    <w:rsid w:val="2B465B0F"/>
    <w:rsid w:val="2B890687"/>
    <w:rsid w:val="2C9A4365"/>
    <w:rsid w:val="2D39592C"/>
    <w:rsid w:val="2D6739A8"/>
    <w:rsid w:val="2E0F43EA"/>
    <w:rsid w:val="2F950E14"/>
    <w:rsid w:val="2FAC6889"/>
    <w:rsid w:val="307233B7"/>
    <w:rsid w:val="30E3673B"/>
    <w:rsid w:val="32B36180"/>
    <w:rsid w:val="351A7405"/>
    <w:rsid w:val="357339A5"/>
    <w:rsid w:val="367B0D63"/>
    <w:rsid w:val="36E5586C"/>
    <w:rsid w:val="36ED15A8"/>
    <w:rsid w:val="374F3D1B"/>
    <w:rsid w:val="38545666"/>
    <w:rsid w:val="3A790E9B"/>
    <w:rsid w:val="3B5B73B5"/>
    <w:rsid w:val="3CFA0E2A"/>
    <w:rsid w:val="3DDD0555"/>
    <w:rsid w:val="3F3C5D4A"/>
    <w:rsid w:val="3F47212A"/>
    <w:rsid w:val="3FA27A33"/>
    <w:rsid w:val="402D1A5E"/>
    <w:rsid w:val="42E908C7"/>
    <w:rsid w:val="44957494"/>
    <w:rsid w:val="45506045"/>
    <w:rsid w:val="46FE3A16"/>
    <w:rsid w:val="47215957"/>
    <w:rsid w:val="498126DD"/>
    <w:rsid w:val="49BB562B"/>
    <w:rsid w:val="4A494BC9"/>
    <w:rsid w:val="4A744491"/>
    <w:rsid w:val="4AEF6A83"/>
    <w:rsid w:val="4B156B0D"/>
    <w:rsid w:val="4B245E6B"/>
    <w:rsid w:val="4BDE24FA"/>
    <w:rsid w:val="4C3954F1"/>
    <w:rsid w:val="4DF01BDF"/>
    <w:rsid w:val="4E5A0605"/>
    <w:rsid w:val="4FFC2ABD"/>
    <w:rsid w:val="50C9251F"/>
    <w:rsid w:val="50F73284"/>
    <w:rsid w:val="516C5A20"/>
    <w:rsid w:val="51A43EF6"/>
    <w:rsid w:val="532F6D06"/>
    <w:rsid w:val="540E2DBF"/>
    <w:rsid w:val="54AC14AF"/>
    <w:rsid w:val="54F74396"/>
    <w:rsid w:val="558A241C"/>
    <w:rsid w:val="566E5D97"/>
    <w:rsid w:val="569E6279"/>
    <w:rsid w:val="56A812A9"/>
    <w:rsid w:val="56B23ED5"/>
    <w:rsid w:val="56CB31E9"/>
    <w:rsid w:val="575E75DF"/>
    <w:rsid w:val="5A074538"/>
    <w:rsid w:val="5BEA4111"/>
    <w:rsid w:val="5F3F4774"/>
    <w:rsid w:val="5F630463"/>
    <w:rsid w:val="60547B6D"/>
    <w:rsid w:val="60F20CF4"/>
    <w:rsid w:val="62183250"/>
    <w:rsid w:val="62436329"/>
    <w:rsid w:val="627B5AC3"/>
    <w:rsid w:val="62B2525D"/>
    <w:rsid w:val="63716434"/>
    <w:rsid w:val="637D586B"/>
    <w:rsid w:val="63A728E8"/>
    <w:rsid w:val="65FF07B9"/>
    <w:rsid w:val="66162D58"/>
    <w:rsid w:val="672101E2"/>
    <w:rsid w:val="68677AAE"/>
    <w:rsid w:val="687819AD"/>
    <w:rsid w:val="691D5EDC"/>
    <w:rsid w:val="6938470E"/>
    <w:rsid w:val="69B11B20"/>
    <w:rsid w:val="6A4946F9"/>
    <w:rsid w:val="6A7B0D6E"/>
    <w:rsid w:val="6AB778B5"/>
    <w:rsid w:val="6B4A24D7"/>
    <w:rsid w:val="6B99331C"/>
    <w:rsid w:val="6BE02E3B"/>
    <w:rsid w:val="6C6B4DFB"/>
    <w:rsid w:val="70901D3A"/>
    <w:rsid w:val="71BB2380"/>
    <w:rsid w:val="72705997"/>
    <w:rsid w:val="737F73DD"/>
    <w:rsid w:val="74A23383"/>
    <w:rsid w:val="74F10135"/>
    <w:rsid w:val="7556475E"/>
    <w:rsid w:val="773664D1"/>
    <w:rsid w:val="77DE6C59"/>
    <w:rsid w:val="780F6F82"/>
    <w:rsid w:val="78865AF8"/>
    <w:rsid w:val="78CC6C21"/>
    <w:rsid w:val="791C6E7B"/>
    <w:rsid w:val="7B1228E5"/>
    <w:rsid w:val="7BAE37D1"/>
    <w:rsid w:val="7D9121E7"/>
    <w:rsid w:val="7EAC086C"/>
    <w:rsid w:val="7F5C7C75"/>
    <w:rsid w:val="7FAA2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9"/>
    <w:qFormat/>
    <w:uiPriority w:val="9"/>
    <w:pPr>
      <w:keepNext/>
      <w:keepLines/>
      <w:spacing w:before="340" w:line="480" w:lineRule="auto"/>
      <w:jc w:val="center"/>
      <w:outlineLvl w:val="0"/>
    </w:pPr>
    <w:rPr>
      <w:rFonts w:asciiTheme="minorAscii" w:hAnsiTheme="minorAscii"/>
      <w:b/>
      <w:bCs/>
      <w:kern w:val="32"/>
      <w:sz w:val="32"/>
      <w:szCs w:val="32"/>
    </w:rPr>
  </w:style>
  <w:style w:type="paragraph" w:styleId="5">
    <w:name w:val="heading 2"/>
    <w:basedOn w:val="1"/>
    <w:next w:val="1"/>
    <w:link w:val="46"/>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6">
    <w:name w:val="heading 3"/>
    <w:basedOn w:val="1"/>
    <w:next w:val="1"/>
    <w:unhideWhenUsed/>
    <w:qFormat/>
    <w:uiPriority w:val="9"/>
    <w:pPr>
      <w:keepNext/>
      <w:keepLines/>
      <w:spacing w:before="260" w:beforeLines="0" w:beforeAutospacing="0" w:after="260" w:afterLines="0" w:afterAutospacing="0" w:line="413" w:lineRule="auto"/>
      <w:outlineLvl w:val="2"/>
    </w:pPr>
    <w:rPr>
      <w:rFonts w:asciiTheme="minorAscii" w:hAnsiTheme="minorAscii"/>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2">
    <w:name w:val="样式 样式 行距: 1.5 倍行距 + 首行缩进:  2 字符"/>
    <w:next w:val="3"/>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styleId="3">
    <w:name w:val="Body Text"/>
    <w:basedOn w:val="1"/>
    <w:next w:val="1"/>
    <w:link w:val="49"/>
    <w:qFormat/>
    <w:uiPriority w:val="0"/>
    <w:pPr>
      <w:spacing w:line="520" w:lineRule="exact"/>
    </w:pPr>
    <w:rPr>
      <w:rFonts w:ascii="仿宋_GB2312" w:hAnsi="宋体" w:eastAsia="仿宋_GB2312" w:cs="Times New Roman"/>
      <w:color w:val="008000"/>
      <w:kern w:val="0"/>
      <w:sz w:val="24"/>
      <w:szCs w:val="24"/>
    </w:rPr>
  </w:style>
  <w:style w:type="paragraph" w:styleId="7">
    <w:name w:val="Normal Indent"/>
    <w:basedOn w:val="1"/>
    <w:unhideWhenUsed/>
    <w:qFormat/>
    <w:uiPriority w:val="99"/>
    <w:pPr>
      <w:ind w:firstLine="420" w:firstLineChars="200"/>
    </w:pPr>
    <w:rPr>
      <w:rFonts w:ascii="Calibri" w:hAnsi="Calibri" w:eastAsia="宋体" w:cs="Times New Roman"/>
    </w:rPr>
  </w:style>
  <w:style w:type="paragraph" w:styleId="8">
    <w:name w:val="Document Map"/>
    <w:basedOn w:val="1"/>
    <w:link w:val="66"/>
    <w:semiHidden/>
    <w:unhideWhenUsed/>
    <w:qFormat/>
    <w:uiPriority w:val="99"/>
    <w:rPr>
      <w:rFonts w:ascii="宋体" w:eastAsia="宋体"/>
      <w:sz w:val="18"/>
      <w:szCs w:val="18"/>
    </w:rPr>
  </w:style>
  <w:style w:type="paragraph" w:styleId="9">
    <w:name w:val="annotation text"/>
    <w:basedOn w:val="1"/>
    <w:link w:val="48"/>
    <w:unhideWhenUsed/>
    <w:qFormat/>
    <w:uiPriority w:val="0"/>
    <w:pPr>
      <w:jc w:val="left"/>
    </w:pPr>
  </w:style>
  <w:style w:type="paragraph" w:styleId="10">
    <w:name w:val="Salutation"/>
    <w:basedOn w:val="1"/>
    <w:next w:val="1"/>
    <w:link w:val="67"/>
    <w:unhideWhenUsed/>
    <w:qFormat/>
    <w:uiPriority w:val="99"/>
    <w:rPr>
      <w:rFonts w:ascii="宋体" w:hAnsi="宋体" w:eastAsia="仿宋_GB2312" w:cs="Times New Roman"/>
      <w:kern w:val="0"/>
      <w:sz w:val="20"/>
      <w:szCs w:val="21"/>
    </w:rPr>
  </w:style>
  <w:style w:type="paragraph" w:styleId="11">
    <w:name w:val="Body Text Indent"/>
    <w:basedOn w:val="1"/>
    <w:qFormat/>
    <w:uiPriority w:val="0"/>
    <w:pPr>
      <w:spacing w:after="120" w:line="276" w:lineRule="auto"/>
      <w:ind w:left="420" w:leftChars="200"/>
    </w:pPr>
    <w:rPr>
      <w:rFonts w:ascii="宋体" w:hAnsi="Calibri" w:eastAsia="仿宋"/>
      <w:sz w:val="24"/>
      <w:szCs w:val="21"/>
    </w:rPr>
  </w:style>
  <w:style w:type="paragraph" w:styleId="12">
    <w:name w:val="Plain Text"/>
    <w:basedOn w:val="1"/>
    <w:next w:val="13"/>
    <w:link w:val="51"/>
    <w:qFormat/>
    <w:uiPriority w:val="99"/>
    <w:rPr>
      <w:rFonts w:ascii="宋体" w:hAnsi="Courier New" w:eastAsia="华文宋体" w:cs="Times New Roman"/>
      <w:kern w:val="0"/>
      <w:sz w:val="28"/>
      <w:szCs w:val="28"/>
    </w:rPr>
  </w:style>
  <w:style w:type="paragraph" w:styleId="13">
    <w:name w:val="index 9"/>
    <w:basedOn w:val="1"/>
    <w:next w:val="1"/>
    <w:qFormat/>
    <w:uiPriority w:val="99"/>
    <w:pPr>
      <w:ind w:left="3360"/>
    </w:pPr>
    <w:rPr>
      <w:rFonts w:cs="等线"/>
    </w:rPr>
  </w:style>
  <w:style w:type="paragraph" w:styleId="14">
    <w:name w:val="Date"/>
    <w:basedOn w:val="1"/>
    <w:next w:val="1"/>
    <w:unhideWhenUsed/>
    <w:qFormat/>
    <w:uiPriority w:val="99"/>
    <w:pPr>
      <w:spacing w:before="100" w:beforeAutospacing="1" w:after="100" w:afterAutospacing="1"/>
      <w:ind w:left="2500" w:leftChars="2500"/>
    </w:pPr>
    <w:rPr>
      <w:kern w:val="0"/>
      <w:sz w:val="20"/>
    </w:rPr>
  </w:style>
  <w:style w:type="paragraph" w:styleId="15">
    <w:name w:val="Body Text Indent 2"/>
    <w:basedOn w:val="1"/>
    <w:link w:val="47"/>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6">
    <w:name w:val="Balloon Text"/>
    <w:basedOn w:val="1"/>
    <w:link w:val="52"/>
    <w:semiHidden/>
    <w:unhideWhenUsed/>
    <w:qFormat/>
    <w:uiPriority w:val="99"/>
    <w:rPr>
      <w:sz w:val="18"/>
      <w:szCs w:val="18"/>
    </w:rPr>
  </w:style>
  <w:style w:type="paragraph" w:styleId="17">
    <w:name w:val="footer"/>
    <w:basedOn w:val="1"/>
    <w:link w:val="45"/>
    <w:unhideWhenUsed/>
    <w:qFormat/>
    <w:uiPriority w:val="99"/>
    <w:pPr>
      <w:tabs>
        <w:tab w:val="center" w:pos="4153"/>
        <w:tab w:val="right" w:pos="8306"/>
      </w:tabs>
      <w:snapToGrid w:val="0"/>
      <w:jc w:val="left"/>
    </w:pPr>
    <w:rPr>
      <w:sz w:val="18"/>
      <w:szCs w:val="18"/>
    </w:rPr>
  </w:style>
  <w:style w:type="paragraph" w:styleId="18">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19">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2"/>
    <w:basedOn w:val="1"/>
    <w:next w:val="1"/>
    <w:unhideWhenUsed/>
    <w:qFormat/>
    <w:uiPriority w:val="39"/>
    <w:pPr>
      <w:ind w:left="420" w:leftChars="200"/>
    </w:pPr>
  </w:style>
  <w:style w:type="paragraph" w:styleId="22">
    <w:name w:val="Body Text 2"/>
    <w:basedOn w:val="1"/>
    <w:link w:val="50"/>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3">
    <w:name w:val="Normal (Web)"/>
    <w:basedOn w:val="1"/>
    <w:unhideWhenUsed/>
    <w:qFormat/>
    <w:uiPriority w:val="99"/>
    <w:pPr>
      <w:spacing w:beforeAutospacing="1" w:afterAutospacing="1"/>
      <w:jc w:val="left"/>
    </w:pPr>
    <w:rPr>
      <w:rFonts w:cs="Times New Roman"/>
      <w:kern w:val="0"/>
      <w:sz w:val="24"/>
    </w:rPr>
  </w:style>
  <w:style w:type="paragraph" w:styleId="24">
    <w:name w:val="Title"/>
    <w:basedOn w:val="1"/>
    <w:next w:val="1"/>
    <w:link w:val="68"/>
    <w:qFormat/>
    <w:uiPriority w:val="10"/>
    <w:pPr>
      <w:spacing w:before="240" w:after="60"/>
      <w:jc w:val="center"/>
      <w:outlineLvl w:val="0"/>
    </w:pPr>
    <w:rPr>
      <w:rFonts w:eastAsia="宋体" w:asciiTheme="majorHAnsi" w:hAnsiTheme="majorHAnsi" w:cstheme="majorBidi"/>
      <w:b/>
      <w:bCs/>
      <w:sz w:val="32"/>
      <w:szCs w:val="32"/>
    </w:rPr>
  </w:style>
  <w:style w:type="paragraph" w:styleId="25">
    <w:name w:val="Body Text First Indent"/>
    <w:basedOn w:val="1"/>
    <w:next w:val="26"/>
    <w:link w:val="53"/>
    <w:unhideWhenUsed/>
    <w:qFormat/>
    <w:uiPriority w:val="99"/>
    <w:pPr>
      <w:ind w:firstLine="420" w:firstLineChars="100"/>
    </w:pPr>
  </w:style>
  <w:style w:type="paragraph" w:styleId="26">
    <w:name w:val="Body Text First Indent 2"/>
    <w:basedOn w:val="11"/>
    <w:qFormat/>
    <w:uiPriority w:val="0"/>
    <w:pPr>
      <w:ind w:firstLine="420" w:firstLineChars="200"/>
    </w:pPr>
  </w:style>
  <w:style w:type="table" w:styleId="28">
    <w:name w:val="Table Grid"/>
    <w:basedOn w:val="27"/>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FollowedHyperlink"/>
    <w:basedOn w:val="29"/>
    <w:semiHidden/>
    <w:unhideWhenUsed/>
    <w:qFormat/>
    <w:uiPriority w:val="99"/>
    <w:rPr>
      <w:color w:val="800080"/>
      <w:u w:val="none"/>
    </w:rPr>
  </w:style>
  <w:style w:type="character" w:styleId="32">
    <w:name w:val="Emphasis"/>
    <w:basedOn w:val="29"/>
    <w:qFormat/>
    <w:uiPriority w:val="20"/>
    <w:rPr>
      <w:b/>
      <w:bCs/>
    </w:rPr>
  </w:style>
  <w:style w:type="character" w:styleId="33">
    <w:name w:val="HTML Definition"/>
    <w:basedOn w:val="29"/>
    <w:semiHidden/>
    <w:unhideWhenUsed/>
    <w:qFormat/>
    <w:uiPriority w:val="99"/>
  </w:style>
  <w:style w:type="character" w:styleId="34">
    <w:name w:val="HTML Typewriter"/>
    <w:basedOn w:val="29"/>
    <w:semiHidden/>
    <w:unhideWhenUsed/>
    <w:qFormat/>
    <w:uiPriority w:val="99"/>
    <w:rPr>
      <w:rFonts w:hint="default" w:ascii="monospace" w:hAnsi="monospace" w:eastAsia="monospace" w:cs="monospace"/>
      <w:sz w:val="20"/>
    </w:rPr>
  </w:style>
  <w:style w:type="character" w:styleId="35">
    <w:name w:val="HTML Acronym"/>
    <w:basedOn w:val="29"/>
    <w:semiHidden/>
    <w:unhideWhenUsed/>
    <w:qFormat/>
    <w:uiPriority w:val="99"/>
  </w:style>
  <w:style w:type="character" w:styleId="36">
    <w:name w:val="HTML Variable"/>
    <w:basedOn w:val="29"/>
    <w:semiHidden/>
    <w:unhideWhenUsed/>
    <w:qFormat/>
    <w:uiPriority w:val="99"/>
    <w:rPr>
      <w:rFonts w:hint="eastAsia" w:ascii="Tahoma" w:hAnsi="Tahoma" w:eastAsia="Tahoma" w:cs="Tahoma"/>
      <w:sz w:val="18"/>
      <w:szCs w:val="18"/>
    </w:rPr>
  </w:style>
  <w:style w:type="character" w:styleId="37">
    <w:name w:val="Hyperlink"/>
    <w:basedOn w:val="29"/>
    <w:unhideWhenUsed/>
    <w:qFormat/>
    <w:uiPriority w:val="99"/>
    <w:rPr>
      <w:color w:val="0000FF" w:themeColor="hyperlink"/>
      <w:u w:val="single"/>
      <w14:textFill>
        <w14:solidFill>
          <w14:schemeClr w14:val="hlink"/>
        </w14:solidFill>
      </w14:textFill>
    </w:rPr>
  </w:style>
  <w:style w:type="character" w:styleId="38">
    <w:name w:val="HTML Code"/>
    <w:basedOn w:val="29"/>
    <w:semiHidden/>
    <w:unhideWhenUsed/>
    <w:qFormat/>
    <w:uiPriority w:val="99"/>
    <w:rPr>
      <w:rFonts w:ascii="monospace" w:hAnsi="monospace" w:eastAsia="monospace" w:cs="monospace"/>
      <w:sz w:val="20"/>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Default"/>
    <w:next w:val="4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大标题"/>
    <w:basedOn w:val="1"/>
    <w:next w:val="26"/>
    <w:qFormat/>
    <w:uiPriority w:val="0"/>
    <w:pPr>
      <w:pageBreakBefore/>
      <w:spacing w:after="200" w:line="720" w:lineRule="auto"/>
      <w:jc w:val="center"/>
      <w:outlineLvl w:val="0"/>
    </w:pPr>
    <w:rPr>
      <w:rFonts w:ascii="黑体" w:hAnsi="Calibri" w:eastAsia="黑体"/>
      <w:sz w:val="32"/>
      <w:szCs w:val="30"/>
      <w:lang w:eastAsia="en-US" w:bidi="en-US"/>
    </w:rPr>
  </w:style>
  <w:style w:type="character" w:customStyle="1" w:styleId="44">
    <w:name w:val="页眉 Char"/>
    <w:basedOn w:val="29"/>
    <w:link w:val="19"/>
    <w:qFormat/>
    <w:uiPriority w:val="0"/>
    <w:rPr>
      <w:sz w:val="18"/>
      <w:szCs w:val="18"/>
    </w:rPr>
  </w:style>
  <w:style w:type="character" w:customStyle="1" w:styleId="45">
    <w:name w:val="页脚 Char"/>
    <w:basedOn w:val="29"/>
    <w:link w:val="17"/>
    <w:qFormat/>
    <w:uiPriority w:val="99"/>
    <w:rPr>
      <w:sz w:val="18"/>
      <w:szCs w:val="18"/>
    </w:rPr>
  </w:style>
  <w:style w:type="character" w:customStyle="1" w:styleId="46">
    <w:name w:val="标题 2 Char"/>
    <w:basedOn w:val="29"/>
    <w:link w:val="5"/>
    <w:qFormat/>
    <w:uiPriority w:val="0"/>
    <w:rPr>
      <w:rFonts w:ascii="CG Times" w:hAnsi="CG Times" w:eastAsia="宋体" w:cs="Times New Roman"/>
      <w:b/>
      <w:kern w:val="0"/>
      <w:sz w:val="30"/>
      <w:szCs w:val="20"/>
    </w:rPr>
  </w:style>
  <w:style w:type="character" w:customStyle="1" w:styleId="47">
    <w:name w:val="正文文本缩进 2 Char"/>
    <w:basedOn w:val="29"/>
    <w:link w:val="15"/>
    <w:qFormat/>
    <w:uiPriority w:val="0"/>
    <w:rPr>
      <w:rFonts w:ascii="Times New Roman" w:hAnsi="Times New Roman" w:eastAsia="宋体" w:cs="Times New Roman"/>
      <w:kern w:val="0"/>
      <w:sz w:val="20"/>
      <w:szCs w:val="24"/>
    </w:rPr>
  </w:style>
  <w:style w:type="character" w:customStyle="1" w:styleId="48">
    <w:name w:val="批注文字 Char"/>
    <w:basedOn w:val="29"/>
    <w:link w:val="9"/>
    <w:qFormat/>
    <w:uiPriority w:val="0"/>
  </w:style>
  <w:style w:type="character" w:customStyle="1" w:styleId="49">
    <w:name w:val="正文文本 Char"/>
    <w:basedOn w:val="29"/>
    <w:link w:val="3"/>
    <w:qFormat/>
    <w:uiPriority w:val="0"/>
    <w:rPr>
      <w:rFonts w:ascii="仿宋_GB2312" w:hAnsi="宋体" w:eastAsia="仿宋_GB2312" w:cs="Times New Roman"/>
      <w:color w:val="008000"/>
      <w:kern w:val="0"/>
      <w:sz w:val="24"/>
      <w:szCs w:val="24"/>
    </w:rPr>
  </w:style>
  <w:style w:type="character" w:customStyle="1" w:styleId="50">
    <w:name w:val="正文文本 2 Char"/>
    <w:basedOn w:val="29"/>
    <w:link w:val="22"/>
    <w:qFormat/>
    <w:uiPriority w:val="99"/>
    <w:rPr>
      <w:rFonts w:ascii="宋体" w:hAnsi="宋体" w:eastAsia="宋体" w:cs="Times New Roman"/>
      <w:kern w:val="0"/>
      <w:sz w:val="24"/>
      <w:szCs w:val="24"/>
    </w:rPr>
  </w:style>
  <w:style w:type="character" w:customStyle="1" w:styleId="51">
    <w:name w:val="纯文本 Char"/>
    <w:basedOn w:val="29"/>
    <w:link w:val="12"/>
    <w:qFormat/>
    <w:uiPriority w:val="99"/>
    <w:rPr>
      <w:rFonts w:ascii="宋体" w:hAnsi="Courier New" w:eastAsia="华文宋体" w:cs="Times New Roman"/>
      <w:kern w:val="0"/>
      <w:sz w:val="28"/>
      <w:szCs w:val="28"/>
    </w:rPr>
  </w:style>
  <w:style w:type="character" w:customStyle="1" w:styleId="52">
    <w:name w:val="批注框文本 Char"/>
    <w:basedOn w:val="29"/>
    <w:link w:val="16"/>
    <w:semiHidden/>
    <w:qFormat/>
    <w:uiPriority w:val="99"/>
    <w:rPr>
      <w:sz w:val="18"/>
      <w:szCs w:val="18"/>
    </w:rPr>
  </w:style>
  <w:style w:type="character" w:customStyle="1" w:styleId="53">
    <w:name w:val="正文首行缩进 Char"/>
    <w:basedOn w:val="49"/>
    <w:link w:val="25"/>
    <w:qFormat/>
    <w:uiPriority w:val="99"/>
  </w:style>
  <w:style w:type="paragraph" w:customStyle="1" w:styleId="54">
    <w:name w:val="cjk"/>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正文缩进1"/>
    <w:basedOn w:val="1"/>
    <w:qFormat/>
    <w:uiPriority w:val="0"/>
    <w:pPr>
      <w:widowControl/>
      <w:ind w:firstLine="420" w:firstLineChars="200"/>
      <w:jc w:val="left"/>
    </w:pPr>
    <w:rPr>
      <w:rFonts w:ascii="Calibri" w:hAnsi="Calibri" w:eastAsia="宋体" w:cs="Times New Roman"/>
      <w:kern w:val="0"/>
      <w:sz w:val="20"/>
      <w:szCs w:val="20"/>
    </w:rPr>
  </w:style>
  <w:style w:type="paragraph" w:customStyle="1" w:styleId="56">
    <w:name w:val="纯文本1"/>
    <w:basedOn w:val="1"/>
    <w:qFormat/>
    <w:uiPriority w:val="0"/>
    <w:rPr>
      <w:rFonts w:ascii="宋体" w:hAnsi="Courier New" w:eastAsia="宋体" w:cs="Times New Roman"/>
      <w:kern w:val="0"/>
      <w:sz w:val="20"/>
      <w:szCs w:val="20"/>
    </w:rPr>
  </w:style>
  <w:style w:type="character" w:customStyle="1" w:styleId="57">
    <w:name w:val="font41"/>
    <w:basedOn w:val="29"/>
    <w:qFormat/>
    <w:uiPriority w:val="0"/>
    <w:rPr>
      <w:rFonts w:ascii="Arial" w:hAnsi="Arial" w:cs="Arial"/>
      <w:color w:val="000000"/>
      <w:sz w:val="20"/>
      <w:szCs w:val="20"/>
      <w:u w:val="none"/>
    </w:rPr>
  </w:style>
  <w:style w:type="character" w:customStyle="1" w:styleId="58">
    <w:name w:val="layui-layer-tabnow"/>
    <w:basedOn w:val="29"/>
    <w:qFormat/>
    <w:uiPriority w:val="0"/>
    <w:rPr>
      <w:bdr w:val="single" w:color="CCCCCC" w:sz="6" w:space="0"/>
      <w:shd w:val="clear" w:color="auto" w:fill="FFFFFF"/>
    </w:rPr>
  </w:style>
  <w:style w:type="character" w:customStyle="1" w:styleId="59">
    <w:name w:val="first-child"/>
    <w:basedOn w:val="29"/>
    <w:qFormat/>
    <w:uiPriority w:val="0"/>
  </w:style>
  <w:style w:type="character" w:customStyle="1" w:styleId="60">
    <w:name w:val="hover1"/>
    <w:basedOn w:val="29"/>
    <w:qFormat/>
    <w:uiPriority w:val="0"/>
    <w:rPr>
      <w:color w:val="2590EB"/>
    </w:rPr>
  </w:style>
  <w:style w:type="character" w:customStyle="1" w:styleId="61">
    <w:name w:val="hover2"/>
    <w:basedOn w:val="29"/>
    <w:qFormat/>
    <w:uiPriority w:val="0"/>
    <w:rPr>
      <w:color w:val="2590EB"/>
    </w:rPr>
  </w:style>
  <w:style w:type="character" w:customStyle="1" w:styleId="62">
    <w:name w:val="hover3"/>
    <w:basedOn w:val="29"/>
    <w:qFormat/>
    <w:uiPriority w:val="0"/>
  </w:style>
  <w:style w:type="character" w:customStyle="1" w:styleId="63">
    <w:name w:val="mini-outputtext1"/>
    <w:basedOn w:val="29"/>
    <w:qFormat/>
    <w:uiPriority w:val="0"/>
  </w:style>
  <w:style w:type="character" w:customStyle="1" w:styleId="64">
    <w:name w:val="hover"/>
    <w:basedOn w:val="29"/>
    <w:qFormat/>
    <w:uiPriority w:val="0"/>
    <w:rPr>
      <w:color w:val="2590EB"/>
    </w:rPr>
  </w:style>
  <w:style w:type="paragraph" w:styleId="65">
    <w:name w:val="List Paragraph"/>
    <w:basedOn w:val="1"/>
    <w:unhideWhenUsed/>
    <w:qFormat/>
    <w:uiPriority w:val="99"/>
    <w:pPr>
      <w:ind w:firstLine="420" w:firstLineChars="200"/>
    </w:pPr>
  </w:style>
  <w:style w:type="character" w:customStyle="1" w:styleId="66">
    <w:name w:val="文档结构图 Char"/>
    <w:basedOn w:val="29"/>
    <w:link w:val="8"/>
    <w:semiHidden/>
    <w:qFormat/>
    <w:uiPriority w:val="99"/>
    <w:rPr>
      <w:rFonts w:ascii="宋体" w:eastAsia="宋体"/>
      <w:sz w:val="18"/>
      <w:szCs w:val="18"/>
    </w:rPr>
  </w:style>
  <w:style w:type="character" w:customStyle="1" w:styleId="67">
    <w:name w:val="称呼 Char"/>
    <w:basedOn w:val="29"/>
    <w:link w:val="10"/>
    <w:qFormat/>
    <w:uiPriority w:val="99"/>
    <w:rPr>
      <w:rFonts w:ascii="宋体" w:hAnsi="宋体" w:eastAsia="仿宋_GB2312" w:cs="Times New Roman"/>
      <w:kern w:val="0"/>
      <w:sz w:val="20"/>
      <w:szCs w:val="21"/>
    </w:rPr>
  </w:style>
  <w:style w:type="character" w:customStyle="1" w:styleId="68">
    <w:name w:val="标题 Char"/>
    <w:basedOn w:val="29"/>
    <w:link w:val="24"/>
    <w:qFormat/>
    <w:uiPriority w:val="10"/>
    <w:rPr>
      <w:rFonts w:eastAsia="宋体" w:asciiTheme="majorHAnsi" w:hAnsiTheme="majorHAnsi" w:cstheme="majorBidi"/>
      <w:b/>
      <w:bCs/>
      <w:sz w:val="32"/>
      <w:szCs w:val="32"/>
    </w:rPr>
  </w:style>
  <w:style w:type="character" w:customStyle="1" w:styleId="69">
    <w:name w:val="标题 1 Char"/>
    <w:basedOn w:val="29"/>
    <w:link w:val="4"/>
    <w:qFormat/>
    <w:uiPriority w:val="9"/>
    <w:rPr>
      <w:rFonts w:asciiTheme="minorAscii" w:hAnsiTheme="minorAscii" w:eastAsiaTheme="minorEastAsia"/>
      <w:b/>
      <w:bCs/>
      <w:kern w:val="32"/>
      <w:sz w:val="32"/>
      <w:szCs w:val="32"/>
    </w:rPr>
  </w:style>
  <w:style w:type="paragraph" w:customStyle="1" w:styleId="70">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1">
    <w:name w:val="*正文_1_0_0_0_0"/>
    <w:basedOn w:val="1"/>
    <w:next w:val="1"/>
    <w:qFormat/>
    <w:uiPriority w:val="0"/>
    <w:pPr>
      <w:widowControl/>
      <w:ind w:firstLine="482"/>
    </w:pPr>
    <w:rPr>
      <w:rFonts w:ascii="微软雅黑" w:hAnsi="微软雅黑" w:eastAsia="微软雅黑" w:cs="Times New Roman"/>
    </w:rPr>
  </w:style>
  <w:style w:type="character" w:customStyle="1" w:styleId="72">
    <w:name w:val="NormalCharacter"/>
    <w:qFormat/>
    <w:uiPriority w:val="0"/>
  </w:style>
  <w:style w:type="paragraph" w:customStyle="1" w:styleId="73">
    <w:name w:val="card-title"/>
    <w:basedOn w:val="1"/>
    <w:qFormat/>
    <w:uiPriority w:val="0"/>
    <w:pPr>
      <w:spacing w:line="400" w:lineRule="atLeast"/>
      <w:ind w:right="500"/>
      <w:jc w:val="left"/>
    </w:pPr>
    <w:rPr>
      <w:color w:val="666666"/>
      <w:kern w:val="0"/>
      <w:lang w:val="en-US" w:eastAsia="zh-CN" w:bidi="ar"/>
    </w:rPr>
  </w:style>
  <w:style w:type="table" w:customStyle="1" w:styleId="74">
    <w:name w:val="Table Normal"/>
    <w:semiHidden/>
    <w:unhideWhenUsed/>
    <w:qFormat/>
    <w:uiPriority w:val="0"/>
    <w:tblPr>
      <w:tblCellMar>
        <w:top w:w="0" w:type="dxa"/>
        <w:left w:w="0" w:type="dxa"/>
        <w:bottom w:w="0" w:type="dxa"/>
        <w:right w:w="0" w:type="dxa"/>
      </w:tblCellMar>
    </w:tblPr>
  </w:style>
  <w:style w:type="paragraph" w:customStyle="1" w:styleId="75">
    <w:name w:val="Table Text"/>
    <w:basedOn w:val="1"/>
    <w:semiHidden/>
    <w:qFormat/>
    <w:uiPriority w:val="0"/>
    <w:rPr>
      <w:rFonts w:ascii="宋体" w:hAnsi="宋体" w:eastAsia="宋体" w:cs="宋体"/>
      <w:sz w:val="24"/>
      <w:szCs w:val="24"/>
      <w:lang w:val="en-US" w:eastAsia="en-US" w:bidi="ar-SA"/>
    </w:rPr>
  </w:style>
  <w:style w:type="paragraph" w:customStyle="1" w:styleId="7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65EA60-16EF-4360-B17A-5FDD9CB2213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18291</Words>
  <Characters>20473</Characters>
  <Lines>142</Lines>
  <Paragraphs>40</Paragraphs>
  <TotalTime>13</TotalTime>
  <ScaleCrop>false</ScaleCrop>
  <LinksUpToDate>false</LinksUpToDate>
  <CharactersWithSpaces>20687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2023-10-09T07:17:00Z</dcterms:created>
  <dc:creator>Lenovo</dc:creator>
  <cp:lastModifiedBy>WPS_1602124444</cp:lastModifiedBy>
  <cp:lastPrinted>2026-02-09T01:31:00Z</cp:lastPrinted>
  <dcterms:modified xsi:type="dcterms:W3CDTF">2026-03-12T07:54:33Z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ED5F6B2788794E07AE23F36CD675CDFE_13</vt:lpwstr>
  </property>
  <property fmtid="{D5CDD505-2E9C-101B-9397-08002B2CF9AE}" pid="4" name="KSOTemplateDocerSaveRecord">
    <vt:lpwstr>eyJoZGlkIjoiOGFkZDgxZDhkMTE2MjQwMTYzZGRhYTNmN2VmNDhiZDEiLCJ1c2VySWQiOiIxMTI4NDAxNjg4In0=</vt:lpwstr>
  </property>
</Properties>
</file>