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FC037">
      <w:pPr>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0"/>
        <w:rPr>
          <w:rFonts w:hint="eastAsia" w:ascii="宋体" w:hAnsi="宋体" w:cs="宋体"/>
          <w:b/>
          <w:bCs/>
          <w:color w:val="auto"/>
          <w:sz w:val="52"/>
          <w:szCs w:val="52"/>
          <w:lang w:eastAsia="zh-CN"/>
        </w:rPr>
      </w:pPr>
      <w:bookmarkStart w:id="0" w:name="_Toc21721"/>
      <w:r>
        <w:rPr>
          <w:rFonts w:hint="eastAsia" w:ascii="宋体" w:hAnsi="宋体" w:cs="宋体"/>
          <w:b/>
          <w:bCs/>
          <w:color w:val="auto"/>
          <w:sz w:val="52"/>
          <w:szCs w:val="52"/>
          <w:lang w:eastAsia="zh-CN"/>
        </w:rPr>
        <w:t>卢氏县先进制造业开发区气候可行性论证评估项目</w:t>
      </w:r>
    </w:p>
    <w:p w14:paraId="063710CF">
      <w:pPr>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0"/>
        <w:rPr>
          <w:rFonts w:hint="eastAsia" w:ascii="宋体" w:hAnsi="宋体" w:cs="宋体"/>
          <w:b/>
          <w:bCs/>
          <w:color w:val="auto"/>
          <w:sz w:val="60"/>
          <w:szCs w:val="60"/>
          <w:lang w:eastAsia="zh-CN"/>
        </w:rPr>
      </w:pPr>
      <w:r>
        <w:rPr>
          <w:rFonts w:hint="eastAsia" w:ascii="宋体" w:hAnsi="宋体" w:cs="宋体"/>
          <w:b/>
          <w:bCs/>
          <w:color w:val="auto"/>
          <w:sz w:val="60"/>
          <w:szCs w:val="60"/>
          <w:lang w:eastAsia="zh-CN"/>
        </w:rPr>
        <w:t>竞争性磋商文件</w:t>
      </w:r>
    </w:p>
    <w:p w14:paraId="4C3F29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jc w:val="center"/>
        <w:rPr>
          <w:rFonts w:hint="eastAsia" w:ascii="宋体" w:hAnsi="宋体" w:eastAsia="宋体" w:cs="宋体"/>
          <w:b/>
          <w:bCs/>
          <w:color w:val="auto"/>
          <w:kern w:val="0"/>
          <w:sz w:val="44"/>
          <w:szCs w:val="44"/>
        </w:rPr>
      </w:pPr>
    </w:p>
    <w:p w14:paraId="359B6F4B">
      <w:pPr>
        <w:spacing w:line="240" w:lineRule="atLeast"/>
        <w:jc w:val="center"/>
        <w:rPr>
          <w:rFonts w:hint="eastAsia" w:ascii="宋体" w:hAnsi="宋体" w:eastAsia="宋体"/>
          <w:color w:val="auto"/>
          <w:sz w:val="32"/>
          <w:szCs w:val="30"/>
        </w:rPr>
      </w:pPr>
      <w:r>
        <w:rPr>
          <w:rFonts w:hint="eastAsia" w:ascii="宋体" w:hAnsi="宋体" w:eastAsia="宋体"/>
          <w:color w:val="auto"/>
          <w:sz w:val="32"/>
          <w:szCs w:val="30"/>
        </w:rPr>
        <w:t>项目编号</w:t>
      </w:r>
      <w:r>
        <w:rPr>
          <w:rFonts w:hint="eastAsia" w:ascii="宋体" w:hAnsi="宋体" w:eastAsia="宋体"/>
          <w:color w:val="auto"/>
          <w:sz w:val="32"/>
          <w:szCs w:val="30"/>
          <w:lang w:eastAsia="zh-CN"/>
        </w:rPr>
        <w:t>：三卢竞磋采购-2026-16、LSGZ[2026]048-ZC036</w:t>
      </w:r>
    </w:p>
    <w:p w14:paraId="245C1E8A">
      <w:pPr>
        <w:pStyle w:val="23"/>
        <w:rPr>
          <w:rFonts w:hint="eastAsia"/>
        </w:rPr>
      </w:pPr>
    </w:p>
    <w:p w14:paraId="69E83B9D">
      <w:pPr>
        <w:spacing w:line="360" w:lineRule="auto"/>
        <w:rPr>
          <w:rFonts w:hint="eastAsia" w:ascii="宋体" w:hAnsi="宋体" w:eastAsia="宋体"/>
          <w:color w:val="auto"/>
          <w:sz w:val="32"/>
          <w:szCs w:val="30"/>
        </w:rPr>
      </w:pPr>
    </w:p>
    <w:p w14:paraId="021EE101">
      <w:pPr>
        <w:spacing w:line="360" w:lineRule="auto"/>
        <w:ind w:firstLine="1470" w:firstLineChars="700"/>
        <w:rPr>
          <w:rFonts w:hint="eastAsia" w:ascii="宋体" w:hAnsi="宋体" w:eastAsia="宋体"/>
          <w:color w:val="auto"/>
          <w:sz w:val="32"/>
          <w:szCs w:val="30"/>
        </w:rPr>
      </w:pPr>
      <w:r>
        <w:rPr>
          <w:rFonts w:hint="eastAsia" w:ascii="宋体" w:hAnsi="宋体" w:eastAsia="宋体"/>
          <w:szCs w:val="21"/>
          <w:lang w:eastAsia="zh-CN"/>
        </w:rPr>
        <w:drawing>
          <wp:anchor distT="0" distB="0" distL="114300" distR="114300" simplePos="0" relativeHeight="251660288" behindDoc="0" locked="0" layoutInCell="1" allowOverlap="1">
            <wp:simplePos x="0" y="0"/>
            <wp:positionH relativeFrom="column">
              <wp:posOffset>1713230</wp:posOffset>
            </wp:positionH>
            <wp:positionV relativeFrom="paragraph">
              <wp:posOffset>66040</wp:posOffset>
            </wp:positionV>
            <wp:extent cx="2358390" cy="2350135"/>
            <wp:effectExtent l="0" t="0" r="3810" b="12065"/>
            <wp:wrapSquare wrapText="bothSides"/>
            <wp:docPr id="4" name="图片 3" descr="ee6fafe2dcabb197195f7e9c0d131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e6fafe2dcabb197195f7e9c0d131ea"/>
                    <pic:cNvPicPr>
                      <a:picLocks noChangeAspect="1"/>
                    </pic:cNvPicPr>
                  </pic:nvPicPr>
                  <pic:blipFill>
                    <a:blip r:embed="rId8"/>
                    <a:stretch>
                      <a:fillRect/>
                    </a:stretch>
                  </pic:blipFill>
                  <pic:spPr>
                    <a:xfrm>
                      <a:off x="0" y="0"/>
                      <a:ext cx="2358390" cy="2350135"/>
                    </a:xfrm>
                    <a:prstGeom prst="rect">
                      <a:avLst/>
                    </a:prstGeom>
                    <a:noFill/>
                    <a:ln>
                      <a:noFill/>
                    </a:ln>
                  </pic:spPr>
                </pic:pic>
              </a:graphicData>
            </a:graphic>
          </wp:anchor>
        </w:drawing>
      </w:r>
    </w:p>
    <w:p w14:paraId="70174C94">
      <w:pPr>
        <w:spacing w:line="360" w:lineRule="auto"/>
        <w:ind w:firstLine="2240" w:firstLineChars="700"/>
        <w:rPr>
          <w:rFonts w:hint="eastAsia" w:ascii="宋体" w:hAnsi="宋体" w:eastAsia="宋体"/>
          <w:color w:val="auto"/>
          <w:sz w:val="32"/>
          <w:szCs w:val="30"/>
        </w:rPr>
      </w:pPr>
    </w:p>
    <w:p w14:paraId="230F4222">
      <w:pPr>
        <w:spacing w:line="360" w:lineRule="auto"/>
        <w:ind w:firstLine="2240" w:firstLineChars="700"/>
        <w:rPr>
          <w:rFonts w:hint="eastAsia" w:ascii="宋体" w:hAnsi="宋体" w:eastAsia="宋体"/>
          <w:color w:val="auto"/>
          <w:sz w:val="32"/>
          <w:szCs w:val="30"/>
        </w:rPr>
      </w:pPr>
    </w:p>
    <w:p w14:paraId="07C22C25">
      <w:pPr>
        <w:spacing w:line="360" w:lineRule="auto"/>
        <w:ind w:firstLine="2240" w:firstLineChars="700"/>
        <w:rPr>
          <w:rFonts w:hint="eastAsia" w:ascii="宋体" w:hAnsi="宋体" w:eastAsia="宋体"/>
          <w:color w:val="auto"/>
          <w:sz w:val="32"/>
          <w:szCs w:val="30"/>
        </w:rPr>
      </w:pPr>
    </w:p>
    <w:p w14:paraId="3F5227DE">
      <w:pPr>
        <w:spacing w:line="360" w:lineRule="auto"/>
        <w:ind w:firstLine="2240" w:firstLineChars="700"/>
        <w:rPr>
          <w:rFonts w:hint="eastAsia" w:ascii="宋体" w:hAnsi="宋体" w:eastAsia="宋体"/>
          <w:color w:val="auto"/>
          <w:sz w:val="32"/>
          <w:szCs w:val="30"/>
        </w:rPr>
      </w:pPr>
    </w:p>
    <w:p w14:paraId="6A8FAFBF">
      <w:pPr>
        <w:spacing w:line="360" w:lineRule="auto"/>
        <w:ind w:firstLine="2240" w:firstLineChars="700"/>
        <w:rPr>
          <w:rFonts w:hint="eastAsia" w:ascii="宋体" w:hAnsi="宋体" w:eastAsia="宋体"/>
          <w:color w:val="auto"/>
          <w:sz w:val="32"/>
          <w:szCs w:val="30"/>
        </w:rPr>
      </w:pPr>
    </w:p>
    <w:p w14:paraId="1F2A230E">
      <w:pPr>
        <w:spacing w:line="360" w:lineRule="auto"/>
        <w:rPr>
          <w:rFonts w:hint="eastAsia" w:ascii="宋体" w:hAnsi="宋体" w:eastAsia="宋体"/>
          <w:color w:val="auto"/>
          <w:sz w:val="32"/>
          <w:szCs w:val="30"/>
        </w:rPr>
      </w:pPr>
    </w:p>
    <w:p w14:paraId="31DD1100">
      <w:pPr>
        <w:spacing w:line="360" w:lineRule="auto"/>
        <w:rPr>
          <w:rFonts w:hint="eastAsia" w:ascii="宋体" w:hAnsi="宋体" w:eastAsia="宋体"/>
          <w:color w:val="auto"/>
          <w:sz w:val="40"/>
          <w:szCs w:val="36"/>
        </w:rPr>
      </w:pPr>
    </w:p>
    <w:p w14:paraId="54449696">
      <w:pPr>
        <w:spacing w:line="360" w:lineRule="auto"/>
        <w:rPr>
          <w:rFonts w:hint="eastAsia" w:ascii="宋体" w:hAnsi="宋体" w:eastAsia="宋体"/>
          <w:color w:val="auto"/>
          <w:sz w:val="40"/>
          <w:szCs w:val="36"/>
        </w:rPr>
      </w:pPr>
    </w:p>
    <w:p w14:paraId="4CC55562">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宋体" w:hAnsi="宋体" w:eastAsia="宋体"/>
          <w:b/>
          <w:bCs/>
          <w:color w:val="auto"/>
          <w:sz w:val="36"/>
          <w:szCs w:val="36"/>
          <w:lang w:val="en-US" w:eastAsia="zh-CN"/>
        </w:rPr>
      </w:pPr>
      <w:r>
        <w:rPr>
          <w:rFonts w:hint="eastAsia" w:ascii="宋体" w:hAnsi="宋体" w:eastAsia="宋体"/>
          <w:b/>
          <w:bCs/>
          <w:color w:val="auto"/>
          <w:sz w:val="36"/>
          <w:szCs w:val="36"/>
        </w:rPr>
        <w:t>采购人：</w:t>
      </w:r>
      <w:r>
        <w:rPr>
          <w:rFonts w:hint="eastAsia" w:ascii="宋体" w:hAnsi="宋体" w:eastAsia="宋体"/>
          <w:b/>
          <w:bCs/>
          <w:color w:val="auto"/>
          <w:sz w:val="36"/>
          <w:szCs w:val="36"/>
          <w:lang w:eastAsia="zh-CN"/>
        </w:rPr>
        <w:t>卢氏县</w:t>
      </w:r>
      <w:r>
        <w:rPr>
          <w:rFonts w:hint="eastAsia" w:ascii="宋体" w:hAnsi="宋体" w:eastAsia="宋体"/>
          <w:b/>
          <w:bCs/>
          <w:color w:val="auto"/>
          <w:sz w:val="36"/>
          <w:szCs w:val="36"/>
          <w:lang w:val="en-US" w:eastAsia="zh-CN"/>
        </w:rPr>
        <w:t>先进制造业开发区管理委员会</w:t>
      </w:r>
    </w:p>
    <w:p w14:paraId="779CEA3D">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宋体" w:hAnsi="宋体" w:eastAsia="宋体"/>
          <w:b/>
          <w:bCs/>
          <w:color w:val="auto"/>
          <w:sz w:val="36"/>
          <w:szCs w:val="36"/>
          <w:lang w:eastAsia="zh-CN"/>
        </w:rPr>
      </w:pPr>
      <w:r>
        <w:rPr>
          <w:rFonts w:hint="eastAsia" w:ascii="宋体" w:hAnsi="宋体"/>
          <w:b/>
          <w:bCs/>
          <w:color w:val="auto"/>
          <w:sz w:val="36"/>
          <w:szCs w:val="36"/>
          <w:lang w:val="en-US" w:eastAsia="zh-CN"/>
        </w:rPr>
        <w:t>采购</w:t>
      </w:r>
      <w:r>
        <w:rPr>
          <w:rFonts w:hint="eastAsia" w:ascii="宋体" w:hAnsi="宋体" w:eastAsia="宋体"/>
          <w:b/>
          <w:bCs/>
          <w:color w:val="auto"/>
          <w:sz w:val="36"/>
          <w:szCs w:val="36"/>
        </w:rPr>
        <w:t>代理</w:t>
      </w:r>
      <w:r>
        <w:rPr>
          <w:rFonts w:hint="eastAsia" w:ascii="宋体" w:hAnsi="宋体"/>
          <w:b/>
          <w:bCs/>
          <w:color w:val="auto"/>
          <w:sz w:val="36"/>
          <w:szCs w:val="36"/>
          <w:lang w:val="en-US" w:eastAsia="zh-CN"/>
        </w:rPr>
        <w:t>机构</w:t>
      </w:r>
      <w:r>
        <w:rPr>
          <w:rFonts w:hint="eastAsia" w:ascii="宋体" w:hAnsi="宋体" w:eastAsia="宋体"/>
          <w:b/>
          <w:bCs/>
          <w:color w:val="auto"/>
          <w:sz w:val="36"/>
          <w:szCs w:val="36"/>
        </w:rPr>
        <w:t>：</w:t>
      </w:r>
      <w:r>
        <w:rPr>
          <w:rFonts w:hint="eastAsia" w:ascii="宋体" w:hAnsi="宋体"/>
          <w:b/>
          <w:bCs/>
          <w:color w:val="auto"/>
          <w:sz w:val="36"/>
          <w:szCs w:val="36"/>
          <w:lang w:eastAsia="zh-CN"/>
        </w:rPr>
        <w:t>中大宇辰项目管理有限公司</w:t>
      </w:r>
    </w:p>
    <w:p w14:paraId="582BE89D">
      <w:pPr>
        <w:pStyle w:val="10"/>
        <w:keepNext w:val="0"/>
        <w:keepLines w:val="0"/>
        <w:pageBreakBefore w:val="0"/>
        <w:widowControl w:val="0"/>
        <w:tabs>
          <w:tab w:val="right" w:leader="dot" w:pos="8958"/>
        </w:tabs>
        <w:kinsoku/>
        <w:wordWrap/>
        <w:overflowPunct/>
        <w:topLinePunct w:val="0"/>
        <w:autoSpaceDE/>
        <w:autoSpaceDN/>
        <w:bidi w:val="0"/>
        <w:adjustRightInd/>
        <w:snapToGrid/>
        <w:spacing w:line="760" w:lineRule="exact"/>
        <w:jc w:val="center"/>
        <w:textAlignment w:val="auto"/>
        <w:rPr>
          <w:rFonts w:hint="eastAsia" w:ascii="宋体" w:hAnsi="宋体" w:eastAsia="宋体" w:cs="Times New Roman"/>
          <w:b/>
          <w:bCs/>
          <w:color w:val="auto"/>
          <w:kern w:val="2"/>
          <w:sz w:val="36"/>
          <w:szCs w:val="36"/>
          <w:lang w:val="en-US" w:eastAsia="zh-CN" w:bidi="ar-SA"/>
        </w:rPr>
      </w:pPr>
      <w:r>
        <w:rPr>
          <w:rFonts w:hint="eastAsia" w:ascii="宋体" w:hAnsi="宋体" w:eastAsia="宋体" w:cs="Times New Roman"/>
          <w:b/>
          <w:bCs/>
          <w:color w:val="auto"/>
          <w:kern w:val="2"/>
          <w:sz w:val="36"/>
          <w:szCs w:val="36"/>
          <w:lang w:val="en-US" w:eastAsia="zh-CN" w:bidi="ar-SA"/>
        </w:rPr>
        <w:t>二零二六年四月</w:t>
      </w:r>
    </w:p>
    <w:p w14:paraId="1163E15D">
      <w:pPr>
        <w:rPr>
          <w:rFonts w:hint="eastAsia"/>
          <w:lang w:val="en-US" w:eastAsia="zh-CN"/>
        </w:rPr>
      </w:pPr>
    </w:p>
    <w:p w14:paraId="473EEBEC">
      <w:pPr>
        <w:pStyle w:val="10"/>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cs="宋体"/>
          <w:b/>
          <w:bCs/>
          <w:color w:val="000000" w:themeColor="text1"/>
          <w:sz w:val="32"/>
          <w:szCs w:val="32"/>
          <w:highlight w:val="none"/>
          <w:lang w:val="en-US" w:eastAsia="zh-CN"/>
          <w14:textFill>
            <w14:solidFill>
              <w14:schemeClr w14:val="tx1"/>
            </w14:solidFill>
          </w14:textFill>
        </w:rPr>
      </w:pPr>
    </w:p>
    <w:p w14:paraId="1B760BC8">
      <w:pPr>
        <w:pStyle w:val="10"/>
        <w:pageBreakBefore w:val="0"/>
        <w:widowControl w:val="0"/>
        <w:tabs>
          <w:tab w:val="right" w:leader="dot" w:pos="8958"/>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目      录</w:t>
      </w:r>
    </w:p>
    <w:p w14:paraId="5C075C5A">
      <w:pPr>
        <w:pStyle w:val="10"/>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fldChar w:fldCharType="begin"/>
      </w:r>
      <w:r>
        <w:rPr>
          <w:rFonts w:hint="eastAsia" w:ascii="宋体" w:hAnsi="宋体" w:eastAsia="宋体" w:cs="宋体"/>
          <w:b/>
          <w:bCs/>
          <w:color w:val="000000" w:themeColor="text1"/>
          <w:sz w:val="32"/>
          <w:szCs w:val="32"/>
          <w:highlight w:val="none"/>
          <w14:textFill>
            <w14:solidFill>
              <w14:schemeClr w14:val="tx1"/>
            </w14:solidFill>
          </w14:textFill>
        </w:rPr>
        <w:instrText xml:space="preserve">TOC \o "1-1" \h \u </w:instrText>
      </w:r>
      <w:r>
        <w:rPr>
          <w:rFonts w:hint="eastAsia" w:ascii="宋体" w:hAnsi="宋体" w:eastAsia="宋体" w:cs="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_Toc20157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sz w:val="32"/>
          <w:szCs w:val="32"/>
          <w:highlight w:val="none"/>
          <w14:textFill>
            <w14:solidFill>
              <w14:schemeClr w14:val="tx1"/>
            </w14:solidFill>
          </w14:textFill>
        </w:rPr>
        <w:t xml:space="preserve">第一章 </w:t>
      </w:r>
      <w:r>
        <w:rPr>
          <w:rFonts w:hint="eastAsia" w:ascii="宋体" w:hAnsi="宋体" w:eastAsia="宋体" w:cs="宋体"/>
          <w:bCs/>
          <w:color w:val="000000" w:themeColor="text1"/>
          <w:sz w:val="32"/>
          <w:szCs w:val="32"/>
          <w:highlight w:val="none"/>
          <w:lang w:eastAsia="zh-CN"/>
          <w14:textFill>
            <w14:solidFill>
              <w14:schemeClr w14:val="tx1"/>
            </w14:solidFill>
          </w14:textFill>
        </w:rPr>
        <w:t>竞争性</w:t>
      </w:r>
      <w:r>
        <w:rPr>
          <w:rFonts w:hint="eastAsia" w:ascii="宋体" w:hAnsi="宋体" w:eastAsia="宋体" w:cs="宋体"/>
          <w:bCs/>
          <w:color w:val="000000" w:themeColor="text1"/>
          <w:sz w:val="32"/>
          <w:szCs w:val="32"/>
          <w:highlight w:val="none"/>
          <w14:textFill>
            <w14:solidFill>
              <w14:schemeClr w14:val="tx1"/>
            </w14:solidFill>
          </w14:textFill>
        </w:rPr>
        <w:t>磋商公告</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cs="宋体"/>
          <w:color w:val="000000" w:themeColor="text1"/>
          <w:sz w:val="32"/>
          <w:szCs w:val="32"/>
          <w:lang w:val="en-US" w:eastAsia="zh-CN"/>
          <w14:textFill>
            <w14:solidFill>
              <w14:schemeClr w14:val="tx1"/>
            </w14:solidFill>
          </w14:textFill>
        </w:rPr>
        <w:t>1</w:t>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5430E65D">
      <w:pPr>
        <w:pStyle w:val="10"/>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_Toc688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highlight w:val="none"/>
          <w14:textFill>
            <w14:solidFill>
              <w14:schemeClr w14:val="tx1"/>
            </w14:solidFill>
          </w14:textFill>
        </w:rPr>
        <w:t>第二章 供应商须知</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cs="宋体"/>
          <w:color w:val="000000" w:themeColor="text1"/>
          <w:sz w:val="32"/>
          <w:szCs w:val="32"/>
          <w:lang w:val="en-US" w:eastAsia="zh-CN"/>
          <w14:textFill>
            <w14:solidFill>
              <w14:schemeClr w14:val="tx1"/>
            </w14:solidFill>
          </w14:textFill>
        </w:rPr>
        <w:t>6</w:t>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29DD9544">
      <w:pPr>
        <w:pStyle w:val="10"/>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_Toc21759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14:textFill>
            <w14:solidFill>
              <w14:schemeClr w14:val="tx1"/>
            </w14:solidFill>
          </w14:textFill>
        </w:rPr>
        <w:t xml:space="preserve">第三章 </w:t>
      </w:r>
      <w:r>
        <w:rPr>
          <w:rFonts w:hint="eastAsia" w:ascii="宋体" w:hAnsi="宋体" w:cs="宋体"/>
          <w:bCs/>
          <w:color w:val="000000" w:themeColor="text1"/>
          <w:kern w:val="44"/>
          <w:sz w:val="32"/>
          <w:szCs w:val="32"/>
          <w:lang w:val="en-US" w:eastAsia="zh-CN"/>
          <w14:textFill>
            <w14:solidFill>
              <w14:schemeClr w14:val="tx1"/>
            </w14:solidFill>
          </w14:textFill>
        </w:rPr>
        <w:t>服务</w:t>
      </w:r>
      <w:r>
        <w:rPr>
          <w:rFonts w:hint="eastAsia" w:ascii="宋体" w:hAnsi="宋体" w:cs="宋体"/>
          <w:bCs/>
          <w:color w:val="000000" w:themeColor="text1"/>
          <w:kern w:val="44"/>
          <w:sz w:val="32"/>
          <w:szCs w:val="32"/>
          <w:highlight w:val="none"/>
          <w:lang w:val="en-US" w:eastAsia="zh-CN"/>
          <w14:textFill>
            <w14:solidFill>
              <w14:schemeClr w14:val="tx1"/>
            </w14:solidFill>
          </w14:textFill>
        </w:rPr>
        <w:t>内容</w:t>
      </w:r>
      <w:r>
        <w:rPr>
          <w:rFonts w:hint="eastAsia" w:ascii="宋体" w:hAnsi="宋体" w:eastAsia="宋体" w:cs="宋体"/>
          <w:bCs/>
          <w:color w:val="000000" w:themeColor="text1"/>
          <w:kern w:val="44"/>
          <w:sz w:val="32"/>
          <w:szCs w:val="32"/>
          <w:highlight w:val="none"/>
          <w:lang w:val="en-US" w:eastAsia="zh-CN"/>
          <w14:textFill>
            <w14:solidFill>
              <w14:schemeClr w14:val="tx1"/>
            </w14:solidFill>
          </w14:textFill>
        </w:rPr>
        <w:t>及要求</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cs="宋体"/>
          <w:color w:val="000000" w:themeColor="text1"/>
          <w:sz w:val="32"/>
          <w:szCs w:val="32"/>
          <w:lang w:val="en-US" w:eastAsia="zh-CN"/>
          <w14:textFill>
            <w14:solidFill>
              <w14:schemeClr w14:val="tx1"/>
            </w14:solidFill>
          </w14:textFill>
        </w:rPr>
        <w:t>2</w:t>
      </w:r>
      <w:r>
        <w:rPr>
          <w:rFonts w:hint="eastAsia" w:ascii="宋体" w:hAnsi="宋体" w:eastAsia="宋体" w:cs="宋体"/>
          <w:bCs/>
          <w:color w:val="000000" w:themeColor="text1"/>
          <w:sz w:val="32"/>
          <w:szCs w:val="32"/>
          <w:highlight w:val="none"/>
          <w14:textFill>
            <w14:solidFill>
              <w14:schemeClr w14:val="tx1"/>
            </w14:solidFill>
          </w14:textFill>
        </w:rPr>
        <w:fldChar w:fldCharType="end"/>
      </w:r>
      <w:r>
        <w:rPr>
          <w:rFonts w:hint="eastAsia" w:ascii="宋体" w:hAnsi="宋体" w:cs="宋体"/>
          <w:bCs/>
          <w:color w:val="000000" w:themeColor="text1"/>
          <w:sz w:val="32"/>
          <w:szCs w:val="32"/>
          <w:highlight w:val="none"/>
          <w:lang w:val="en-US" w:eastAsia="zh-CN"/>
          <w14:textFill>
            <w14:solidFill>
              <w14:schemeClr w14:val="tx1"/>
            </w14:solidFill>
          </w14:textFill>
        </w:rPr>
        <w:t>6</w:t>
      </w:r>
    </w:p>
    <w:p w14:paraId="74EF39AC">
      <w:pPr>
        <w:pStyle w:val="10"/>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_Toc21200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lang w:val="en-US"/>
          <w14:textFill>
            <w14:solidFill>
              <w14:schemeClr w14:val="tx1"/>
            </w14:solidFill>
          </w14:textFill>
        </w:rPr>
        <w:t>第四章</w:t>
      </w:r>
      <w:r>
        <w:rPr>
          <w:rFonts w:hint="eastAsia" w:ascii="宋体" w:hAnsi="宋体" w:cs="宋体"/>
          <w:bCs/>
          <w:color w:val="000000" w:themeColor="text1"/>
          <w:kern w:val="44"/>
          <w:sz w:val="32"/>
          <w:szCs w:val="32"/>
          <w:highlight w:val="none"/>
          <w:lang w:val="en-US" w:eastAsia="zh-CN"/>
          <w14:textFill>
            <w14:solidFill>
              <w14:schemeClr w14:val="tx1"/>
            </w14:solidFill>
          </w14:textFill>
        </w:rPr>
        <w:t xml:space="preserve"> 评标办法</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cs="宋体"/>
          <w:color w:val="000000" w:themeColor="text1"/>
          <w:sz w:val="32"/>
          <w:szCs w:val="32"/>
          <w:lang w:val="en-US" w:eastAsia="zh-CN"/>
          <w14:textFill>
            <w14:solidFill>
              <w14:schemeClr w14:val="tx1"/>
            </w14:solidFill>
          </w14:textFill>
        </w:rPr>
        <w:t>2</w:t>
      </w:r>
      <w:r>
        <w:rPr>
          <w:rFonts w:hint="eastAsia" w:ascii="宋体" w:hAnsi="宋体" w:eastAsia="宋体" w:cs="宋体"/>
          <w:bCs/>
          <w:color w:val="000000" w:themeColor="text1"/>
          <w:sz w:val="32"/>
          <w:szCs w:val="32"/>
          <w:highlight w:val="none"/>
          <w14:textFill>
            <w14:solidFill>
              <w14:schemeClr w14:val="tx1"/>
            </w14:solidFill>
          </w14:textFill>
        </w:rPr>
        <w:fldChar w:fldCharType="end"/>
      </w:r>
      <w:r>
        <w:rPr>
          <w:rFonts w:hint="eastAsia" w:ascii="宋体" w:hAnsi="宋体" w:cs="宋体"/>
          <w:bCs/>
          <w:color w:val="000000" w:themeColor="text1"/>
          <w:sz w:val="32"/>
          <w:szCs w:val="32"/>
          <w:highlight w:val="none"/>
          <w:lang w:val="en-US" w:eastAsia="zh-CN"/>
          <w14:textFill>
            <w14:solidFill>
              <w14:schemeClr w14:val="tx1"/>
            </w14:solidFill>
          </w14:textFill>
        </w:rPr>
        <w:t>7</w:t>
      </w:r>
    </w:p>
    <w:p w14:paraId="23405132">
      <w:pPr>
        <w:pStyle w:val="10"/>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_Toc32147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lang w:val="en-US" w:eastAsia="zh-CN"/>
          <w14:textFill>
            <w14:solidFill>
              <w14:schemeClr w14:val="tx1"/>
            </w14:solidFill>
          </w14:textFill>
        </w:rPr>
        <w:t xml:space="preserve">第五章 </w:t>
      </w:r>
      <w:r>
        <w:rPr>
          <w:rFonts w:hint="eastAsia" w:ascii="宋体" w:hAnsi="宋体" w:eastAsia="宋体" w:cs="宋体"/>
          <w:bCs/>
          <w:color w:val="000000" w:themeColor="text1"/>
          <w:kern w:val="44"/>
          <w:sz w:val="32"/>
          <w:szCs w:val="32"/>
          <w:highlight w:val="none"/>
          <w:lang w:val="en-US" w:eastAsia="zh-CN"/>
          <w14:textFill>
            <w14:solidFill>
              <w14:schemeClr w14:val="tx1"/>
            </w14:solidFill>
          </w14:textFill>
        </w:rPr>
        <w:t>合同条款及格式</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cs="宋体"/>
          <w:color w:val="000000" w:themeColor="text1"/>
          <w:sz w:val="32"/>
          <w:szCs w:val="32"/>
          <w:lang w:val="en-US" w:eastAsia="zh-CN"/>
          <w14:textFill>
            <w14:solidFill>
              <w14:schemeClr w14:val="tx1"/>
            </w14:solidFill>
          </w14:textFill>
        </w:rPr>
        <w:t>3</w:t>
      </w:r>
      <w:r>
        <w:rPr>
          <w:rFonts w:hint="eastAsia" w:ascii="宋体" w:hAnsi="宋体" w:eastAsia="宋体" w:cs="宋体"/>
          <w:bCs/>
          <w:color w:val="000000" w:themeColor="text1"/>
          <w:sz w:val="32"/>
          <w:szCs w:val="32"/>
          <w:highlight w:val="none"/>
          <w14:textFill>
            <w14:solidFill>
              <w14:schemeClr w14:val="tx1"/>
            </w14:solidFill>
          </w14:textFill>
        </w:rPr>
        <w:fldChar w:fldCharType="end"/>
      </w:r>
      <w:r>
        <w:rPr>
          <w:rFonts w:hint="eastAsia" w:ascii="宋体" w:hAnsi="宋体" w:cs="宋体"/>
          <w:bCs/>
          <w:color w:val="000000" w:themeColor="text1"/>
          <w:sz w:val="32"/>
          <w:szCs w:val="32"/>
          <w:highlight w:val="none"/>
          <w:lang w:val="en-US" w:eastAsia="zh-CN"/>
          <w14:textFill>
            <w14:solidFill>
              <w14:schemeClr w14:val="tx1"/>
            </w14:solidFill>
          </w14:textFill>
        </w:rPr>
        <w:t>2</w:t>
      </w:r>
    </w:p>
    <w:p w14:paraId="0746EE56">
      <w:pPr>
        <w:pStyle w:val="10"/>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_Toc18773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lang w:val="en-US" w:eastAsia="zh-CN"/>
          <w14:textFill>
            <w14:solidFill>
              <w14:schemeClr w14:val="tx1"/>
            </w14:solidFill>
          </w14:textFill>
        </w:rPr>
        <w:t xml:space="preserve">第六章 </w:t>
      </w:r>
      <w:r>
        <w:rPr>
          <w:rFonts w:hint="eastAsia" w:ascii="宋体" w:hAnsi="宋体" w:eastAsia="宋体" w:cs="宋体"/>
          <w:bCs/>
          <w:color w:val="000000" w:themeColor="text1"/>
          <w:kern w:val="44"/>
          <w:sz w:val="32"/>
          <w:szCs w:val="32"/>
          <w:highlight w:val="none"/>
          <w:lang w:val="en-US" w:eastAsia="zh-CN"/>
          <w14:textFill>
            <w14:solidFill>
              <w14:schemeClr w14:val="tx1"/>
            </w14:solidFill>
          </w14:textFill>
        </w:rPr>
        <w:t>响应文件格式</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cs="宋体"/>
          <w:color w:val="000000" w:themeColor="text1"/>
          <w:sz w:val="32"/>
          <w:szCs w:val="32"/>
          <w:lang w:val="en-US" w:eastAsia="zh-CN"/>
          <w14:textFill>
            <w14:solidFill>
              <w14:schemeClr w14:val="tx1"/>
            </w14:solidFill>
          </w14:textFill>
        </w:rPr>
        <w:t>3</w:t>
      </w:r>
      <w:r>
        <w:rPr>
          <w:rFonts w:hint="eastAsia" w:ascii="宋体" w:hAnsi="宋体" w:eastAsia="宋体" w:cs="宋体"/>
          <w:bCs/>
          <w:color w:val="000000" w:themeColor="text1"/>
          <w:sz w:val="32"/>
          <w:szCs w:val="32"/>
          <w:highlight w:val="none"/>
          <w14:textFill>
            <w14:solidFill>
              <w14:schemeClr w14:val="tx1"/>
            </w14:solidFill>
          </w14:textFill>
        </w:rPr>
        <w:fldChar w:fldCharType="end"/>
      </w:r>
      <w:r>
        <w:rPr>
          <w:rFonts w:hint="eastAsia" w:ascii="宋体" w:hAnsi="宋体" w:cs="宋体"/>
          <w:bCs/>
          <w:color w:val="000000" w:themeColor="text1"/>
          <w:sz w:val="32"/>
          <w:szCs w:val="32"/>
          <w:highlight w:val="none"/>
          <w:lang w:val="en-US" w:eastAsia="zh-CN"/>
          <w14:textFill>
            <w14:solidFill>
              <w14:schemeClr w14:val="tx1"/>
            </w14:solidFill>
          </w14:textFill>
        </w:rPr>
        <w:t>5</w:t>
      </w:r>
    </w:p>
    <w:p w14:paraId="5FD91C3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lang w:val="en-US"/>
        </w:rPr>
      </w:pP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04613173">
      <w:pPr>
        <w:pStyle w:val="2"/>
        <w:bidi w:val="0"/>
        <w:jc w:val="center"/>
        <w:rPr>
          <w:color w:val="auto"/>
          <w:sz w:val="32"/>
          <w:szCs w:val="32"/>
          <w:highlight w:val="none"/>
        </w:rPr>
      </w:pPr>
    </w:p>
    <w:p w14:paraId="770DADF3">
      <w:pPr>
        <w:pStyle w:val="2"/>
        <w:bidi w:val="0"/>
        <w:jc w:val="center"/>
        <w:rPr>
          <w:color w:val="auto"/>
          <w:sz w:val="32"/>
          <w:szCs w:val="32"/>
          <w:highlight w:val="none"/>
        </w:rPr>
      </w:pPr>
    </w:p>
    <w:p w14:paraId="36968A04">
      <w:pPr>
        <w:pStyle w:val="2"/>
        <w:bidi w:val="0"/>
        <w:jc w:val="center"/>
        <w:rPr>
          <w:color w:val="auto"/>
          <w:sz w:val="32"/>
          <w:szCs w:val="32"/>
          <w:highlight w:val="none"/>
        </w:rPr>
      </w:pPr>
    </w:p>
    <w:p w14:paraId="103831C6">
      <w:pPr>
        <w:pStyle w:val="2"/>
        <w:bidi w:val="0"/>
        <w:jc w:val="center"/>
        <w:rPr>
          <w:color w:val="auto"/>
          <w:sz w:val="32"/>
          <w:szCs w:val="32"/>
          <w:highlight w:val="none"/>
        </w:rPr>
      </w:pPr>
    </w:p>
    <w:p w14:paraId="6BC265B3">
      <w:pPr>
        <w:pStyle w:val="2"/>
        <w:bidi w:val="0"/>
        <w:jc w:val="center"/>
        <w:rPr>
          <w:color w:val="auto"/>
          <w:sz w:val="32"/>
          <w:szCs w:val="32"/>
          <w:highlight w:val="none"/>
        </w:rPr>
      </w:pPr>
    </w:p>
    <w:p w14:paraId="415D28F3">
      <w:pPr>
        <w:pStyle w:val="2"/>
        <w:bidi w:val="0"/>
        <w:jc w:val="center"/>
        <w:rPr>
          <w:color w:val="auto"/>
          <w:sz w:val="32"/>
          <w:szCs w:val="32"/>
          <w:highlight w:val="none"/>
        </w:rPr>
      </w:pPr>
    </w:p>
    <w:p w14:paraId="47E8E0CB">
      <w:pPr>
        <w:pStyle w:val="2"/>
        <w:bidi w:val="0"/>
        <w:jc w:val="center"/>
        <w:rPr>
          <w:color w:val="auto"/>
          <w:sz w:val="32"/>
          <w:szCs w:val="32"/>
          <w:highlight w:val="none"/>
        </w:rPr>
      </w:pPr>
    </w:p>
    <w:p w14:paraId="36594C31">
      <w:pPr>
        <w:pStyle w:val="2"/>
        <w:bidi w:val="0"/>
        <w:jc w:val="center"/>
        <w:rPr>
          <w:color w:val="auto"/>
          <w:sz w:val="32"/>
          <w:szCs w:val="32"/>
          <w:highlight w:val="none"/>
        </w:rPr>
      </w:pPr>
    </w:p>
    <w:p w14:paraId="576AADDC">
      <w:pPr>
        <w:pStyle w:val="2"/>
        <w:bidi w:val="0"/>
        <w:jc w:val="center"/>
        <w:rPr>
          <w:color w:val="auto"/>
          <w:sz w:val="32"/>
          <w:szCs w:val="32"/>
          <w:highlight w:val="none"/>
        </w:rPr>
      </w:pPr>
    </w:p>
    <w:p w14:paraId="74516194">
      <w:pPr>
        <w:pStyle w:val="2"/>
        <w:bidi w:val="0"/>
        <w:jc w:val="center"/>
        <w:rPr>
          <w:color w:val="auto"/>
          <w:sz w:val="32"/>
          <w:szCs w:val="32"/>
          <w:highlight w:val="none"/>
        </w:rPr>
      </w:pPr>
    </w:p>
    <w:p w14:paraId="22A1D855">
      <w:pPr>
        <w:pStyle w:val="2"/>
        <w:bidi w:val="0"/>
        <w:jc w:val="center"/>
        <w:rPr>
          <w:color w:val="auto"/>
          <w:sz w:val="32"/>
          <w:szCs w:val="32"/>
          <w:highlight w:val="none"/>
        </w:rPr>
      </w:pPr>
    </w:p>
    <w:p w14:paraId="21FA69B0">
      <w:pPr>
        <w:pStyle w:val="2"/>
        <w:bidi w:val="0"/>
        <w:jc w:val="center"/>
        <w:rPr>
          <w:color w:val="auto"/>
          <w:sz w:val="32"/>
          <w:szCs w:val="32"/>
          <w:highlight w:val="none"/>
        </w:rPr>
      </w:pPr>
    </w:p>
    <w:p w14:paraId="54E193CF">
      <w:pPr>
        <w:pStyle w:val="2"/>
        <w:bidi w:val="0"/>
        <w:jc w:val="center"/>
        <w:rPr>
          <w:color w:val="auto"/>
          <w:sz w:val="32"/>
          <w:szCs w:val="32"/>
          <w:highlight w:val="none"/>
        </w:rPr>
      </w:pPr>
    </w:p>
    <w:p w14:paraId="35BB0255">
      <w:pPr>
        <w:pStyle w:val="2"/>
        <w:bidi w:val="0"/>
        <w:jc w:val="center"/>
        <w:rPr>
          <w:color w:val="auto"/>
          <w:sz w:val="32"/>
          <w:szCs w:val="32"/>
          <w:highlight w:val="none"/>
        </w:rPr>
      </w:pPr>
    </w:p>
    <w:p w14:paraId="4BE87EBD">
      <w:pPr>
        <w:pStyle w:val="2"/>
        <w:tabs>
          <w:tab w:val="center" w:pos="4596"/>
        </w:tabs>
        <w:bidi w:val="0"/>
        <w:jc w:val="center"/>
        <w:rPr>
          <w:rFonts w:hint="eastAsia"/>
          <w:color w:val="auto"/>
          <w:sz w:val="32"/>
          <w:szCs w:val="32"/>
          <w:highlight w:val="none"/>
          <w:lang w:eastAsia="zh-CN"/>
        </w:rPr>
      </w:pPr>
      <w:r>
        <w:rPr>
          <w:rFonts w:hint="eastAsia"/>
          <w:color w:val="auto"/>
          <w:sz w:val="32"/>
          <w:szCs w:val="32"/>
          <w:highlight w:val="none"/>
          <w:lang w:eastAsia="zh-CN"/>
        </w:rPr>
        <w:tab/>
      </w:r>
    </w:p>
    <w:p w14:paraId="2E583DE1">
      <w:pPr>
        <w:pStyle w:val="2"/>
        <w:tabs>
          <w:tab w:val="center" w:pos="4596"/>
        </w:tabs>
        <w:bidi w:val="0"/>
        <w:jc w:val="center"/>
        <w:rPr>
          <w:rFonts w:hint="eastAsia"/>
          <w:color w:val="auto"/>
          <w:sz w:val="32"/>
          <w:szCs w:val="32"/>
          <w:highlight w:val="none"/>
          <w:lang w:eastAsia="zh-CN"/>
        </w:rPr>
      </w:pPr>
    </w:p>
    <w:p w14:paraId="265DA2F8">
      <w:pPr>
        <w:pStyle w:val="2"/>
        <w:tabs>
          <w:tab w:val="center" w:pos="4596"/>
        </w:tabs>
        <w:bidi w:val="0"/>
        <w:jc w:val="center"/>
        <w:rPr>
          <w:rFonts w:hint="eastAsia"/>
          <w:color w:val="auto"/>
          <w:sz w:val="32"/>
          <w:szCs w:val="32"/>
          <w:highlight w:val="none"/>
          <w:lang w:eastAsia="zh-CN"/>
        </w:rPr>
      </w:pPr>
    </w:p>
    <w:p w14:paraId="4EA0DC1B">
      <w:pPr>
        <w:pStyle w:val="2"/>
        <w:tabs>
          <w:tab w:val="center" w:pos="4596"/>
        </w:tabs>
        <w:bidi w:val="0"/>
        <w:jc w:val="center"/>
        <w:rPr>
          <w:rFonts w:hint="eastAsia"/>
          <w:color w:val="auto"/>
          <w:sz w:val="32"/>
          <w:szCs w:val="32"/>
          <w:highlight w:val="none"/>
          <w:lang w:eastAsia="zh-CN"/>
        </w:rPr>
      </w:pPr>
    </w:p>
    <w:p w14:paraId="4A134039">
      <w:pPr>
        <w:pStyle w:val="2"/>
        <w:tabs>
          <w:tab w:val="center" w:pos="4596"/>
        </w:tabs>
        <w:bidi w:val="0"/>
        <w:jc w:val="center"/>
        <w:rPr>
          <w:rFonts w:hint="eastAsia"/>
          <w:color w:val="auto"/>
          <w:sz w:val="32"/>
          <w:szCs w:val="32"/>
          <w:highlight w:val="none"/>
          <w:lang w:eastAsia="zh-CN"/>
        </w:rPr>
      </w:pPr>
    </w:p>
    <w:p w14:paraId="42B3C3C4">
      <w:pPr>
        <w:pStyle w:val="2"/>
        <w:tabs>
          <w:tab w:val="center" w:pos="4596"/>
        </w:tabs>
        <w:bidi w:val="0"/>
        <w:jc w:val="center"/>
        <w:rPr>
          <w:rFonts w:hint="eastAsia"/>
          <w:color w:val="auto"/>
          <w:sz w:val="32"/>
          <w:szCs w:val="32"/>
          <w:highlight w:val="none"/>
          <w:lang w:eastAsia="zh-CN"/>
        </w:rPr>
      </w:pPr>
    </w:p>
    <w:p w14:paraId="1D204231">
      <w:pPr>
        <w:pStyle w:val="2"/>
        <w:tabs>
          <w:tab w:val="center" w:pos="4596"/>
        </w:tabs>
        <w:bidi w:val="0"/>
        <w:jc w:val="center"/>
        <w:rPr>
          <w:rFonts w:hint="eastAsia"/>
          <w:color w:val="auto"/>
          <w:sz w:val="32"/>
          <w:szCs w:val="32"/>
          <w:highlight w:val="none"/>
          <w:lang w:eastAsia="zh-CN"/>
        </w:rPr>
      </w:pPr>
    </w:p>
    <w:p w14:paraId="2DA996FF">
      <w:pPr>
        <w:pStyle w:val="2"/>
        <w:tabs>
          <w:tab w:val="center" w:pos="4596"/>
        </w:tabs>
        <w:bidi w:val="0"/>
        <w:jc w:val="center"/>
        <w:rPr>
          <w:rFonts w:hint="eastAsia"/>
          <w:color w:val="auto"/>
          <w:sz w:val="32"/>
          <w:szCs w:val="32"/>
          <w:highlight w:val="none"/>
          <w:lang w:eastAsia="zh-CN"/>
        </w:rPr>
      </w:pPr>
    </w:p>
    <w:p w14:paraId="6E259CD0">
      <w:pPr>
        <w:pStyle w:val="2"/>
        <w:tabs>
          <w:tab w:val="center" w:pos="4596"/>
        </w:tabs>
        <w:bidi w:val="0"/>
        <w:jc w:val="center"/>
        <w:rPr>
          <w:rFonts w:hint="eastAsia"/>
          <w:color w:val="auto"/>
          <w:sz w:val="32"/>
          <w:szCs w:val="32"/>
          <w:highlight w:val="none"/>
          <w:lang w:eastAsia="zh-CN"/>
        </w:rPr>
      </w:pPr>
    </w:p>
    <w:p w14:paraId="20D67C9A">
      <w:pPr>
        <w:pStyle w:val="2"/>
        <w:tabs>
          <w:tab w:val="center" w:pos="4596"/>
        </w:tabs>
        <w:bidi w:val="0"/>
        <w:jc w:val="center"/>
        <w:rPr>
          <w:color w:val="auto"/>
          <w:sz w:val="36"/>
          <w:szCs w:val="36"/>
          <w:highlight w:val="none"/>
        </w:rPr>
        <w:sectPr>
          <w:footerReference r:id="rId3" w:type="default"/>
          <w:pgSz w:w="11910" w:h="16840"/>
          <w:pgMar w:top="1157" w:right="1463" w:bottom="1157" w:left="1463" w:header="0" w:footer="640" w:gutter="0"/>
          <w:pgNumType w:fmt="decimal" w:start="1"/>
          <w:cols w:space="720" w:num="1"/>
        </w:sectPr>
      </w:pPr>
    </w:p>
    <w:p w14:paraId="719A02BC">
      <w:pPr>
        <w:pStyle w:val="2"/>
        <w:tabs>
          <w:tab w:val="center" w:pos="4596"/>
        </w:tabs>
        <w:bidi w:val="0"/>
        <w:jc w:val="center"/>
        <w:rPr>
          <w:rFonts w:hint="default"/>
          <w:color w:val="auto"/>
          <w:sz w:val="36"/>
          <w:szCs w:val="36"/>
          <w:highlight w:val="none"/>
        </w:rPr>
      </w:pPr>
      <w:r>
        <w:rPr>
          <w:color w:val="auto"/>
          <w:sz w:val="36"/>
          <w:szCs w:val="36"/>
          <w:highlight w:val="none"/>
        </w:rPr>
        <w:t>第一</w:t>
      </w:r>
      <w:r>
        <w:rPr>
          <w:rFonts w:hint="eastAsia"/>
          <w:color w:val="auto"/>
          <w:sz w:val="36"/>
          <w:szCs w:val="36"/>
          <w:highlight w:val="none"/>
          <w:lang w:val="en-US" w:eastAsia="zh-CN"/>
        </w:rPr>
        <w:t xml:space="preserve">章  </w:t>
      </w:r>
      <w:r>
        <w:rPr>
          <w:color w:val="auto"/>
          <w:sz w:val="36"/>
          <w:szCs w:val="36"/>
          <w:highlight w:val="none"/>
        </w:rPr>
        <w:t>竞争性磋商公告</w:t>
      </w:r>
      <w:bookmarkEnd w:id="0"/>
    </w:p>
    <w:p w14:paraId="5F9DB4C6">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rPr>
      </w:pPr>
      <w:bookmarkStart w:id="1" w:name="_Toc326251048"/>
      <w:bookmarkEnd w:id="1"/>
      <w:bookmarkStart w:id="2" w:name="_Toc385234428"/>
      <w:bookmarkEnd w:id="2"/>
      <w:r>
        <w:rPr>
          <w:rFonts w:hint="eastAsia" w:ascii="宋体" w:hAnsi="宋体" w:eastAsia="宋体" w:cs="宋体"/>
          <w:bCs/>
          <w:color w:val="auto"/>
          <w:sz w:val="24"/>
          <w:szCs w:val="24"/>
          <w:highlight w:val="none"/>
          <w:lang w:eastAsia="zh-CN"/>
        </w:rPr>
        <w:t>中大</w:t>
      </w:r>
      <w:r>
        <w:rPr>
          <w:rFonts w:hint="eastAsia" w:ascii="宋体" w:hAnsi="宋体" w:eastAsia="宋体" w:cs="宋体"/>
          <w:bCs/>
          <w:color w:val="auto"/>
          <w:sz w:val="24"/>
          <w:szCs w:val="24"/>
          <w:highlight w:val="none"/>
          <w:lang w:val="en-US" w:eastAsia="zh-CN"/>
        </w:rPr>
        <w:t>宇辰</w:t>
      </w:r>
      <w:r>
        <w:rPr>
          <w:rFonts w:hint="eastAsia" w:ascii="宋体" w:hAnsi="宋体" w:eastAsia="宋体" w:cs="宋体"/>
          <w:bCs/>
          <w:color w:val="auto"/>
          <w:sz w:val="24"/>
          <w:szCs w:val="24"/>
          <w:highlight w:val="none"/>
          <w:lang w:eastAsia="zh-CN"/>
        </w:rPr>
        <w:t>项目管理有限公司</w:t>
      </w:r>
      <w:r>
        <w:rPr>
          <w:rFonts w:hint="eastAsia" w:ascii="宋体" w:hAnsi="宋体" w:eastAsia="宋体" w:cs="宋体"/>
          <w:bCs/>
          <w:color w:val="auto"/>
          <w:sz w:val="24"/>
          <w:szCs w:val="24"/>
          <w:highlight w:val="none"/>
        </w:rPr>
        <w:t>受</w:t>
      </w:r>
      <w:r>
        <w:rPr>
          <w:rFonts w:hint="eastAsia" w:ascii="宋体" w:hAnsi="宋体" w:eastAsia="宋体" w:cs="宋体"/>
          <w:bCs/>
          <w:color w:val="auto"/>
          <w:sz w:val="24"/>
          <w:szCs w:val="24"/>
          <w:highlight w:val="none"/>
          <w:lang w:eastAsia="zh-CN"/>
        </w:rPr>
        <w:t>卢氏县</w:t>
      </w:r>
      <w:r>
        <w:rPr>
          <w:rFonts w:hint="eastAsia" w:ascii="宋体" w:hAnsi="宋体" w:eastAsia="宋体" w:cs="宋体"/>
          <w:bCs/>
          <w:color w:val="auto"/>
          <w:sz w:val="24"/>
          <w:szCs w:val="24"/>
          <w:highlight w:val="none"/>
          <w:lang w:val="en-US" w:eastAsia="zh-CN"/>
        </w:rPr>
        <w:t>先进制造业开发区管理委员会</w:t>
      </w:r>
      <w:r>
        <w:rPr>
          <w:rFonts w:hint="eastAsia" w:ascii="宋体" w:hAnsi="宋体" w:eastAsia="宋体" w:cs="宋体"/>
          <w:bCs/>
          <w:color w:val="auto"/>
          <w:sz w:val="24"/>
          <w:szCs w:val="24"/>
          <w:highlight w:val="none"/>
        </w:rPr>
        <w:t>的委托，就</w:t>
      </w:r>
      <w:r>
        <w:rPr>
          <w:rFonts w:hint="eastAsia" w:ascii="宋体" w:hAnsi="宋体" w:eastAsia="宋体" w:cs="宋体"/>
          <w:bCs/>
          <w:color w:val="auto"/>
          <w:sz w:val="24"/>
          <w:szCs w:val="24"/>
          <w:highlight w:val="none"/>
          <w:lang w:eastAsia="zh-CN"/>
        </w:rPr>
        <w:t>卢氏县先进制造业开发区气候可行性论证评估项目</w:t>
      </w:r>
      <w:r>
        <w:rPr>
          <w:rFonts w:hint="eastAsia" w:ascii="宋体" w:hAnsi="宋体" w:eastAsia="宋体" w:cs="宋体"/>
          <w:bCs/>
          <w:color w:val="auto"/>
          <w:sz w:val="24"/>
          <w:szCs w:val="24"/>
          <w:highlight w:val="none"/>
        </w:rPr>
        <w:t>进行竞争性磋商，欢迎符合资格条件的供应商参加。</w:t>
      </w:r>
    </w:p>
    <w:p w14:paraId="66011CAE">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一、项目概况</w:t>
      </w:r>
    </w:p>
    <w:p w14:paraId="5C40A4F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1、项目名称：</w:t>
      </w:r>
      <w:r>
        <w:rPr>
          <w:rFonts w:hint="eastAsia" w:ascii="宋体" w:hAnsi="宋体" w:eastAsia="宋体" w:cs="宋体"/>
          <w:bCs/>
          <w:color w:val="auto"/>
          <w:sz w:val="24"/>
          <w:szCs w:val="24"/>
          <w:highlight w:val="none"/>
          <w:lang w:eastAsia="zh-CN"/>
        </w:rPr>
        <w:t>卢氏县先进制造业开发区气候可行性论证评估项目</w:t>
      </w:r>
    </w:p>
    <w:p w14:paraId="545F8DE4">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2、项目编号</w:t>
      </w:r>
      <w:r>
        <w:rPr>
          <w:rFonts w:hint="eastAsia" w:ascii="宋体" w:hAnsi="宋体" w:eastAsia="宋体" w:cs="宋体"/>
          <w:bCs/>
          <w:color w:val="auto"/>
          <w:sz w:val="24"/>
          <w:szCs w:val="24"/>
          <w:highlight w:val="none"/>
          <w:lang w:eastAsia="zh-CN"/>
        </w:rPr>
        <w:t>：三卢竞磋采购-2026-16</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LSGZ[2026]048-ZC036</w:t>
      </w:r>
    </w:p>
    <w:p w14:paraId="0D0427B9">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3、资金来源：</w:t>
      </w:r>
      <w:r>
        <w:rPr>
          <w:rFonts w:hint="eastAsia" w:ascii="宋体" w:hAnsi="宋体" w:eastAsia="宋体" w:cs="宋体"/>
          <w:bCs/>
          <w:color w:val="auto"/>
          <w:sz w:val="24"/>
          <w:szCs w:val="24"/>
          <w:highlight w:val="none"/>
          <w:lang w:eastAsia="zh-CN"/>
        </w:rPr>
        <w:t>财政资金，</w:t>
      </w:r>
      <w:r>
        <w:rPr>
          <w:rFonts w:hint="eastAsia" w:ascii="宋体" w:hAnsi="宋体" w:eastAsia="宋体" w:cs="宋体"/>
          <w:bCs/>
          <w:color w:val="auto"/>
          <w:sz w:val="24"/>
          <w:szCs w:val="24"/>
          <w:highlight w:val="none"/>
          <w:lang w:val="en-US" w:eastAsia="zh-CN"/>
        </w:rPr>
        <w:t>已落实</w:t>
      </w:r>
    </w:p>
    <w:p w14:paraId="66B7106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bCs/>
          <w:color w:val="auto"/>
          <w:sz w:val="24"/>
          <w:szCs w:val="24"/>
          <w:highlight w:val="none"/>
          <w:lang w:val="en-US" w:eastAsia="zh-CN"/>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en-US" w:eastAsia="zh-CN"/>
        </w:rPr>
        <w:t>预算金额</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314400.00元</w:t>
      </w:r>
    </w:p>
    <w:p w14:paraId="4D4B85E6">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bCs/>
          <w:color w:val="auto"/>
          <w:sz w:val="24"/>
          <w:szCs w:val="24"/>
          <w:highlight w:val="none"/>
          <w:lang w:val="en-US" w:eastAsia="zh-CN"/>
        </w:rPr>
        <w:t>5、</w:t>
      </w:r>
      <w:r>
        <w:rPr>
          <w:rFonts w:hint="eastAsia" w:ascii="宋体" w:hAnsi="宋体" w:cs="宋体"/>
          <w:color w:val="auto"/>
          <w:kern w:val="2"/>
          <w:sz w:val="24"/>
          <w:szCs w:val="24"/>
          <w:highlight w:val="none"/>
          <w:lang w:val="en-US" w:eastAsia="zh-CN"/>
        </w:rPr>
        <w:t>服务</w:t>
      </w:r>
      <w:r>
        <w:rPr>
          <w:rFonts w:hint="eastAsia" w:ascii="宋体" w:hAnsi="宋体" w:eastAsia="宋体" w:cs="宋体"/>
          <w:color w:val="auto"/>
          <w:kern w:val="2"/>
          <w:sz w:val="24"/>
          <w:szCs w:val="24"/>
          <w:highlight w:val="none"/>
          <w:lang w:val="en-US" w:eastAsia="zh-CN"/>
        </w:rPr>
        <w:t>内容：</w:t>
      </w:r>
      <w:r>
        <w:rPr>
          <w:rFonts w:hint="eastAsia" w:ascii="宋体" w:hAnsi="宋体" w:cs="宋体"/>
          <w:color w:val="auto"/>
          <w:kern w:val="2"/>
          <w:sz w:val="24"/>
          <w:szCs w:val="24"/>
          <w:highlight w:val="none"/>
          <w:lang w:val="en-US" w:eastAsia="zh-CN"/>
        </w:rPr>
        <w:t>卢氏县先进制造业开发区全域，含规划建设区域、现有产业片区及配套公共设施区域，结合园区地形地貌（山地、河谷等）精准划定论证边界。契合国家及气象行业标准（QX/T469-2018等），分析园区气候适宜性与气象灾害风险，明确关键气象因子影响，提出科学防控建议，为园区规划建设、产业布局及灾害防御提供依据。</w:t>
      </w:r>
      <w:r>
        <w:rPr>
          <w:rFonts w:hint="eastAsia" w:ascii="宋体" w:hAnsi="宋体" w:eastAsia="宋体" w:cs="宋体"/>
          <w:color w:val="auto"/>
          <w:kern w:val="2"/>
          <w:sz w:val="24"/>
          <w:szCs w:val="24"/>
          <w:highlight w:val="none"/>
          <w:lang w:val="en-US" w:eastAsia="zh-CN"/>
        </w:rPr>
        <w:t>（具体详见服务内容及要求）</w:t>
      </w:r>
    </w:p>
    <w:p w14:paraId="4DD61344">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6、标段划分：本项目不划分标段</w:t>
      </w:r>
    </w:p>
    <w:p w14:paraId="1018DB7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7、服务</w:t>
      </w:r>
      <w:r>
        <w:rPr>
          <w:rFonts w:hint="eastAsia" w:ascii="宋体" w:hAnsi="宋体" w:eastAsia="宋体" w:cs="宋体"/>
          <w:bCs/>
          <w:color w:val="auto"/>
          <w:sz w:val="24"/>
          <w:szCs w:val="24"/>
          <w:highlight w:val="none"/>
        </w:rPr>
        <w:t>期</w:t>
      </w:r>
      <w:r>
        <w:rPr>
          <w:rFonts w:hint="eastAsia" w:ascii="宋体" w:hAnsi="宋体" w:eastAsia="宋体" w:cs="宋体"/>
          <w:bCs/>
          <w:color w:val="auto"/>
          <w:sz w:val="24"/>
          <w:szCs w:val="24"/>
          <w:highlight w:val="none"/>
          <w:lang w:val="en-US" w:eastAsia="zh-CN"/>
        </w:rPr>
        <w:t>限</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合同签订之日起60日历天内完成</w:t>
      </w:r>
    </w:p>
    <w:p w14:paraId="6F9A9FCB">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8、服务</w:t>
      </w: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lang w:val="en-US" w:eastAsia="zh-CN"/>
        </w:rPr>
        <w:t>卢氏县</w:t>
      </w:r>
    </w:p>
    <w:p w14:paraId="4B2EF881">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rPr>
        <w:t>质量要求：</w:t>
      </w:r>
      <w:r>
        <w:rPr>
          <w:rFonts w:hint="eastAsia" w:ascii="宋体" w:hAnsi="宋体" w:eastAsia="宋体" w:cs="宋体"/>
          <w:bCs/>
          <w:color w:val="auto"/>
          <w:sz w:val="24"/>
          <w:szCs w:val="24"/>
          <w:highlight w:val="none"/>
          <w:lang w:eastAsia="zh-CN"/>
        </w:rPr>
        <w:t>符合国家相关</w:t>
      </w:r>
      <w:r>
        <w:rPr>
          <w:rFonts w:hint="eastAsia" w:ascii="宋体" w:hAnsi="宋体" w:eastAsia="宋体" w:cs="宋体"/>
          <w:bCs/>
          <w:color w:val="auto"/>
          <w:sz w:val="24"/>
          <w:szCs w:val="24"/>
          <w:highlight w:val="none"/>
          <w:lang w:val="en-US" w:eastAsia="zh-CN"/>
        </w:rPr>
        <w:t>行业</w:t>
      </w:r>
      <w:r>
        <w:rPr>
          <w:rFonts w:hint="eastAsia" w:ascii="宋体" w:hAnsi="宋体" w:eastAsia="宋体" w:cs="宋体"/>
          <w:bCs/>
          <w:color w:val="auto"/>
          <w:sz w:val="24"/>
          <w:szCs w:val="24"/>
          <w:highlight w:val="none"/>
          <w:lang w:eastAsia="zh-CN"/>
        </w:rPr>
        <w:t>规范标准要求，满足采购人需求</w:t>
      </w:r>
    </w:p>
    <w:p w14:paraId="5716B729">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10、是否接受进口产品：否</w:t>
      </w:r>
    </w:p>
    <w:p w14:paraId="3F7AFE14">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11、是否专门面对中小型企业：是</w:t>
      </w:r>
    </w:p>
    <w:p w14:paraId="242E598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二、供应商资格要求</w:t>
      </w:r>
    </w:p>
    <w:p w14:paraId="5873B094">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1、落实政府采购政策满足的资格要求：根据《政府采购促进中小企业发展管理办法》（财库〔2020〕46号）规定，本项目专门面向中小企业采购,同时供应商须提供《中小企业声明函》；</w:t>
      </w:r>
    </w:p>
    <w:p w14:paraId="48FE1D9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2、符合《中华人民共和国政府采购法》第二十二条规定并同时具备下列条件；</w:t>
      </w:r>
    </w:p>
    <w:p w14:paraId="6988F088">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3、本项目的特定资格要求：</w:t>
      </w:r>
    </w:p>
    <w:p w14:paraId="6FB92EB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1、具有独立承担民事责任的能力(提供有效的营业执照或其他证明材料；</w:t>
      </w:r>
    </w:p>
    <w:p w14:paraId="0D03A56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3.2、</w:t>
      </w:r>
      <w:r>
        <w:rPr>
          <w:rFonts w:hint="eastAsia" w:ascii="宋体" w:hAnsi="宋体" w:eastAsia="宋体" w:cs="宋体"/>
          <w:bCs/>
          <w:color w:val="auto"/>
          <w:sz w:val="24"/>
          <w:szCs w:val="24"/>
          <w:highlight w:val="none"/>
          <w:lang w:eastAsia="zh-CN"/>
        </w:rPr>
        <w:t>具有履行合同所必需的设备和专业技术</w:t>
      </w:r>
      <w:r>
        <w:rPr>
          <w:rFonts w:hint="eastAsia" w:ascii="宋体" w:hAnsi="宋体" w:eastAsia="宋体" w:cs="宋体"/>
          <w:bCs/>
          <w:color w:val="auto"/>
          <w:sz w:val="24"/>
          <w:szCs w:val="24"/>
          <w:highlight w:val="none"/>
          <w:lang w:val="en-US" w:eastAsia="zh-CN"/>
        </w:rPr>
        <w:t>服务</w:t>
      </w:r>
      <w:r>
        <w:rPr>
          <w:rFonts w:hint="eastAsia" w:ascii="宋体" w:hAnsi="宋体" w:eastAsia="宋体" w:cs="宋体"/>
          <w:bCs/>
          <w:color w:val="auto"/>
          <w:sz w:val="24"/>
          <w:szCs w:val="24"/>
          <w:highlight w:val="none"/>
          <w:lang w:eastAsia="zh-CN"/>
        </w:rPr>
        <w:t>能力（提供承诺书，格式自拟）；</w:t>
      </w:r>
    </w:p>
    <w:p w14:paraId="17882660">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3.3、具有健全的财务会计制度和良好的财务状况，提供近三年来任意一个年度的财务审计报告或自行承诺；</w:t>
      </w:r>
    </w:p>
    <w:p w14:paraId="231A686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、供应商具有依法缴纳税收和社会保障资金的良好记录，提供承诺书或企业税收及社保缴纳证明材料</w:t>
      </w:r>
      <w:r>
        <w:rPr>
          <w:rFonts w:hint="eastAsia" w:ascii="宋体" w:hAnsi="宋体" w:eastAsia="宋体" w:cs="宋体"/>
          <w:bCs/>
          <w:color w:val="auto"/>
          <w:sz w:val="24"/>
          <w:szCs w:val="24"/>
          <w:highlight w:val="none"/>
          <w:lang w:val="en-US" w:eastAsia="zh-CN"/>
        </w:rPr>
        <w:t>；</w:t>
      </w:r>
    </w:p>
    <w:p w14:paraId="1B1A43A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参加政府采购活动前3年内无行贿犯罪记录、商业贿赂、不正当竞争行为、骗取中标、严重违约等问题；供应商出具无行贿犯罪记录在中国裁判文书网自行查询或自行承诺（查询&lt;承诺&gt;对象</w:t>
      </w:r>
      <w:r>
        <w:rPr>
          <w:rFonts w:hint="eastAsia" w:ascii="宋体" w:hAnsi="宋体" w:cs="宋体"/>
          <w:bCs/>
          <w:color w:val="auto"/>
          <w:sz w:val="24"/>
          <w:szCs w:val="24"/>
          <w:highlight w:val="none"/>
          <w:lang w:val="en-US" w:eastAsia="zh-CN"/>
        </w:rPr>
        <w:t>为</w:t>
      </w:r>
      <w:r>
        <w:rPr>
          <w:rFonts w:hint="eastAsia" w:ascii="宋体" w:hAnsi="宋体" w:eastAsia="宋体" w:cs="宋体"/>
          <w:bCs/>
          <w:color w:val="auto"/>
          <w:sz w:val="24"/>
          <w:szCs w:val="24"/>
          <w:highlight w:val="none"/>
          <w:lang w:val="en-US" w:eastAsia="zh-CN"/>
        </w:rPr>
        <w:t>：企业、法定代表人）</w:t>
      </w:r>
      <w:r>
        <w:rPr>
          <w:rFonts w:hint="eastAsia" w:ascii="宋体" w:hAnsi="宋体" w:eastAsia="宋体" w:cs="宋体"/>
          <w:bCs/>
          <w:color w:val="auto"/>
          <w:sz w:val="24"/>
          <w:szCs w:val="24"/>
          <w:highlight w:val="none"/>
          <w:lang w:eastAsia="zh-CN"/>
        </w:rPr>
        <w:t>；</w:t>
      </w:r>
    </w:p>
    <w:p w14:paraId="491B108C">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en-US" w:eastAsia="zh-CN"/>
        </w:rPr>
        <w:t>、提供企业注册地工商管理部门出具的无商业贿赂和不正当竞争行为的查询证明（若当地工商管理部门不办理此项业务，供应商须自行出具本企业无商业贿赂和不正当竞争行为承诺书）；</w:t>
      </w:r>
    </w:p>
    <w:p w14:paraId="5D69F6D8">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lang w:val="en-US" w:eastAsia="zh-CN"/>
        </w:rPr>
        <w:t>、根据《关于在政府采购活动中查询及使用信用记录有关问题的通知》(财库[2016]125号)和豫财购【2016】15号的规定，企业没有被列入“信用中国”网站的“失信被执行人”（跳转中国执行信息公开网）、“重大税收违法失信主体”及“中国政府采购网站”的“政府采购严重违法失信行为记录名单”的供应商。【查询渠道：“信用中国”网站（www.creditchina.gov.cn）、中国执行信息公开网（http://zxgk.court.gov.cn）、中国政府采购网（www.ccgp.gov.cn）】，(注：提供网页查询截图，査询时间必须是磋商公告发布之后开标之前，查询结果清晰可见)；</w:t>
      </w:r>
    </w:p>
    <w:p w14:paraId="7CB4C2F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4、本次磋商实行资格后审；</w:t>
      </w:r>
    </w:p>
    <w:p w14:paraId="4120F8D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、本项目不接受联合体</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lang w:eastAsia="zh-CN"/>
        </w:rPr>
        <w:t>。</w:t>
      </w:r>
    </w:p>
    <w:p w14:paraId="0D088B3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注：被列入失信被执行人及重大税收违法失信主体的企业做无效标处理。采购人或采购代理机构有权对供应商信用记录进行甄别和复查。</w:t>
      </w:r>
    </w:p>
    <w:p w14:paraId="11D2FE3E">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三</w:t>
      </w:r>
      <w:r>
        <w:rPr>
          <w:rFonts w:hint="eastAsia" w:ascii="宋体" w:hAnsi="宋体" w:eastAsia="宋体" w:cs="宋体"/>
          <w:bCs/>
          <w:color w:val="auto"/>
          <w:sz w:val="24"/>
          <w:szCs w:val="24"/>
          <w:highlight w:val="none"/>
        </w:rPr>
        <w:t>、磋商文件获取方式</w:t>
      </w:r>
    </w:p>
    <w:p w14:paraId="10072B7C">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lang w:eastAsia="zh-CN"/>
        </w:rPr>
      </w:pPr>
    </w:p>
    <w:p w14:paraId="2F045510">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1、时间：202</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年</w:t>
      </w:r>
      <w:r>
        <w:rPr>
          <w:rFonts w:hint="eastAsia" w:ascii="宋体" w:hAnsi="宋体" w:eastAsia="宋体" w:cs="宋体"/>
          <w:bCs/>
          <w:color w:val="auto"/>
          <w:sz w:val="24"/>
          <w:szCs w:val="24"/>
          <w:highlight w:val="none"/>
          <w:lang w:val="en-US" w:eastAsia="zh-CN"/>
        </w:rPr>
        <w:t>04</w:t>
      </w:r>
      <w:r>
        <w:rPr>
          <w:rFonts w:hint="eastAsia" w:ascii="宋体" w:hAnsi="宋体" w:eastAsia="宋体" w:cs="宋体"/>
          <w:bCs/>
          <w:color w:val="auto"/>
          <w:sz w:val="24"/>
          <w:szCs w:val="24"/>
          <w:highlight w:val="none"/>
          <w:lang w:eastAsia="zh-CN"/>
        </w:rPr>
        <w:t>月</w:t>
      </w:r>
      <w:r>
        <w:rPr>
          <w:rFonts w:hint="eastAsia" w:ascii="宋体" w:hAnsi="宋体" w:eastAsia="宋体" w:cs="宋体"/>
          <w:bCs/>
          <w:color w:val="auto"/>
          <w:sz w:val="24"/>
          <w:szCs w:val="24"/>
          <w:highlight w:val="none"/>
          <w:lang w:val="en-US" w:eastAsia="zh-CN"/>
        </w:rPr>
        <w:t>03</w:t>
      </w:r>
      <w:r>
        <w:rPr>
          <w:rFonts w:hint="eastAsia" w:ascii="宋体" w:hAnsi="宋体" w:eastAsia="宋体" w:cs="宋体"/>
          <w:bCs/>
          <w:color w:val="auto"/>
          <w:sz w:val="24"/>
          <w:szCs w:val="24"/>
          <w:highlight w:val="none"/>
          <w:lang w:eastAsia="zh-CN"/>
        </w:rPr>
        <w:t>日0</w:t>
      </w: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lang w:eastAsia="zh-CN"/>
        </w:rPr>
        <w:t>时00分至202</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年</w:t>
      </w:r>
      <w:r>
        <w:rPr>
          <w:rFonts w:hint="eastAsia" w:ascii="宋体" w:hAnsi="宋体" w:eastAsia="宋体" w:cs="宋体"/>
          <w:bCs/>
          <w:color w:val="auto"/>
          <w:sz w:val="24"/>
          <w:szCs w:val="24"/>
          <w:highlight w:val="none"/>
          <w:lang w:val="en-US" w:eastAsia="zh-CN"/>
        </w:rPr>
        <w:t>04</w:t>
      </w:r>
      <w:r>
        <w:rPr>
          <w:rFonts w:hint="eastAsia" w:ascii="宋体" w:hAnsi="宋体" w:eastAsia="宋体" w:cs="宋体"/>
          <w:bCs/>
          <w:color w:val="auto"/>
          <w:sz w:val="24"/>
          <w:szCs w:val="24"/>
          <w:highlight w:val="none"/>
          <w:lang w:eastAsia="zh-CN"/>
        </w:rPr>
        <w:t>月</w:t>
      </w:r>
      <w:r>
        <w:rPr>
          <w:rFonts w:hint="eastAsia" w:ascii="宋体" w:hAnsi="宋体" w:eastAsia="宋体" w:cs="宋体"/>
          <w:bCs/>
          <w:color w:val="auto"/>
          <w:sz w:val="24"/>
          <w:szCs w:val="24"/>
          <w:highlight w:val="none"/>
          <w:lang w:val="en-US" w:eastAsia="zh-CN"/>
        </w:rPr>
        <w:t>14</w:t>
      </w:r>
      <w:r>
        <w:rPr>
          <w:rFonts w:hint="eastAsia" w:ascii="宋体" w:hAnsi="宋体" w:eastAsia="宋体" w:cs="宋体"/>
          <w:bCs/>
          <w:color w:val="auto"/>
          <w:sz w:val="24"/>
          <w:szCs w:val="24"/>
          <w:highlight w:val="none"/>
          <w:lang w:eastAsia="zh-CN"/>
        </w:rPr>
        <w:t>日08时</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0分；</w:t>
      </w:r>
    </w:p>
    <w:p w14:paraId="021FB83D">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2、地点：三门峡市公共资源交易中心网下载；</w:t>
      </w:r>
    </w:p>
    <w:p w14:paraId="0F24E7F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方式：本项目没有报名环节，供应商凭CA数字证书通过三门峡市公共资源交易中心网（网址：http://gzjy.smx.gov.cn），点击交易平台选择“市场主体登录”，在所参与项目右侧点击参与投标，即可直接下载本项目磋商文件及相关资料；</w:t>
      </w:r>
    </w:p>
    <w:p w14:paraId="080250BF">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办理CA证书：http://gzjy.smx.gov.cn/bzzx/008001/20211105/57b16af9-ab87-4395-a723-7758c628a3f8.html</w:t>
      </w:r>
    </w:p>
    <w:p w14:paraId="568E3CFF">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4、本项目为全电子招标，不再收取磋商文件费用。</w:t>
      </w:r>
    </w:p>
    <w:p w14:paraId="1A0409B8">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每位供应商的解密时间为开标时间起30分钟内完成。因供应商原因未能解密、解密失败或解密超时的将被拒绝。</w:t>
      </w:r>
    </w:p>
    <w:p w14:paraId="520D1CFA">
      <w:pPr>
        <w:keepNext w:val="0"/>
        <w:keepLines w:val="0"/>
        <w:pageBreakBefore w:val="0"/>
        <w:widowControl w:val="0"/>
        <w:numPr>
          <w:ilvl w:val="0"/>
          <w:numId w:val="2"/>
        </w:numPr>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供应商资料的提交</w:t>
      </w:r>
    </w:p>
    <w:p w14:paraId="4150C079">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实行资格后审，审查内容以开标截止时间前在三门峡市公共资源交易系统上传的响应文件的信息为准。其上传资料真实性由供应商自行承担，同时，供应商需要完善主体库信息。否则，由此造成应得分而未得分或资格审查不合格等情况的，由供应商自行承担责任。</w:t>
      </w:r>
    </w:p>
    <w:p w14:paraId="680D28EF">
      <w:pPr>
        <w:keepNext w:val="0"/>
        <w:keepLines w:val="0"/>
        <w:pageBreakBefore w:val="0"/>
        <w:widowControl w:val="0"/>
        <w:numPr>
          <w:ilvl w:val="0"/>
          <w:numId w:val="2"/>
        </w:numPr>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磋商保证金</w:t>
      </w:r>
    </w:p>
    <w:p w14:paraId="69022D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按照《河南省财政厅关于优化政府采购营商环境有关问题的通知》（豫财购[2019]4号文）的要求本项目不再收取磋商保证金。</w:t>
      </w:r>
    </w:p>
    <w:p w14:paraId="0122FE96">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响应文件提交截止时间</w:t>
      </w:r>
      <w:r>
        <w:rPr>
          <w:rFonts w:hint="eastAsia" w:ascii="宋体" w:hAnsi="宋体" w:eastAsia="宋体" w:cs="宋体"/>
          <w:bCs/>
          <w:color w:val="auto"/>
          <w:sz w:val="24"/>
          <w:szCs w:val="24"/>
          <w:highlight w:val="none"/>
          <w:lang w:val="en-US" w:eastAsia="zh-CN"/>
        </w:rPr>
        <w:t>及开评标地点</w:t>
      </w:r>
      <w:r>
        <w:rPr>
          <w:rFonts w:hint="eastAsia" w:ascii="宋体" w:hAnsi="宋体" w:eastAsia="宋体" w:cs="宋体"/>
          <w:bCs/>
          <w:color w:val="auto"/>
          <w:sz w:val="24"/>
          <w:szCs w:val="24"/>
          <w:highlight w:val="none"/>
        </w:rPr>
        <w:t>：</w:t>
      </w:r>
    </w:p>
    <w:p w14:paraId="1CA55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0000FF"/>
          <w:sz w:val="24"/>
          <w:szCs w:val="24"/>
          <w:highlight w:val="none"/>
          <w:lang w:eastAsia="zh-CN"/>
        </w:rPr>
      </w:pP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响应文件提交截止时间及</w:t>
      </w:r>
      <w:r>
        <w:rPr>
          <w:rFonts w:hint="eastAsia" w:ascii="宋体" w:hAnsi="宋体" w:eastAsia="宋体" w:cs="宋体"/>
          <w:bCs/>
          <w:color w:val="auto"/>
          <w:sz w:val="24"/>
          <w:szCs w:val="24"/>
          <w:highlight w:val="none"/>
          <w:lang w:eastAsia="zh-CN"/>
        </w:rPr>
        <w:t>开标</w:t>
      </w: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lang w:val="en-US" w:eastAsia="zh-CN"/>
        </w:rPr>
        <w:t>2026年04月14日08时40分</w:t>
      </w:r>
    </w:p>
    <w:p w14:paraId="622522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、开标</w:t>
      </w:r>
      <w:r>
        <w:rPr>
          <w:rFonts w:hint="eastAsia" w:ascii="宋体" w:hAnsi="宋体" w:eastAsia="宋体" w:cs="宋体"/>
          <w:bCs/>
          <w:color w:val="auto"/>
          <w:sz w:val="24"/>
          <w:szCs w:val="24"/>
          <w:highlight w:val="none"/>
        </w:rPr>
        <w:t>地点：卢氏县公共资源交易中心</w:t>
      </w:r>
      <w:r>
        <w:rPr>
          <w:rFonts w:hint="eastAsia" w:ascii="宋体" w:hAnsi="宋体" w:eastAsia="宋体" w:cs="宋体"/>
          <w:color w:val="auto"/>
          <w:sz w:val="24"/>
          <w:szCs w:val="24"/>
          <w:highlight w:val="none"/>
        </w:rPr>
        <w:t>四</w:t>
      </w:r>
      <w:r>
        <w:rPr>
          <w:rFonts w:hint="eastAsia" w:ascii="宋体" w:hAnsi="宋体" w:eastAsia="宋体" w:cs="宋体"/>
          <w:bCs/>
          <w:color w:val="auto"/>
          <w:sz w:val="24"/>
          <w:szCs w:val="24"/>
          <w:highlight w:val="none"/>
        </w:rPr>
        <w:t>楼开标</w:t>
      </w:r>
      <w:r>
        <w:rPr>
          <w:rFonts w:hint="eastAsia" w:ascii="宋体" w:hAnsi="宋体" w:eastAsia="宋体" w:cs="宋体"/>
          <w:bCs/>
          <w:color w:val="auto"/>
          <w:sz w:val="24"/>
          <w:szCs w:val="24"/>
          <w:highlight w:val="none"/>
          <w:lang w:val="en-US" w:eastAsia="zh-CN"/>
        </w:rPr>
        <w:t>二室</w:t>
      </w:r>
    </w:p>
    <w:p w14:paraId="510E8FF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评标地点：</w:t>
      </w:r>
      <w:r>
        <w:rPr>
          <w:rFonts w:hint="eastAsia" w:ascii="宋体" w:hAnsi="宋体" w:eastAsia="宋体" w:cs="宋体"/>
          <w:bCs/>
          <w:color w:val="auto"/>
          <w:sz w:val="24"/>
          <w:szCs w:val="24"/>
          <w:highlight w:val="none"/>
        </w:rPr>
        <w:t>卢氏县公共资源交易中心二楼评标</w:t>
      </w: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rPr>
        <w:t>室</w:t>
      </w:r>
    </w:p>
    <w:p w14:paraId="5651FA7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其他事项</w:t>
      </w:r>
    </w:p>
    <w:p w14:paraId="71A8F49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1、供应商应仔细阅读操作手册，在本公告中要求的截止时间前完成网上投标等工作。因供应商操作不当等问题造成的无法下载磋商文件、无法开标等一切后果，由供应商自行承担；</w:t>
      </w:r>
    </w:p>
    <w:p w14:paraId="201D455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2、开标所发生的一切费用由各供应商自行承担，并承担相应的风险和责任；</w:t>
      </w:r>
    </w:p>
    <w:p w14:paraId="30F3B90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3、是否退还磋商响应文件：否；</w:t>
      </w:r>
    </w:p>
    <w:p w14:paraId="0BDD251B">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温馨提示：本项目为电子化、无纸化交易项目，开标时不再接受任何纸质资料，为保证您能开标成功，请需仔细阅读磋商文件和三门峡市公共资源交易中心官网业务办理指南。</w:t>
      </w:r>
    </w:p>
    <w:p w14:paraId="6014D6B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八、</w:t>
      </w:r>
      <w:r>
        <w:rPr>
          <w:rFonts w:hint="eastAsia" w:ascii="宋体" w:hAnsi="宋体" w:eastAsia="宋体" w:cs="宋体"/>
          <w:bCs/>
          <w:color w:val="auto"/>
          <w:sz w:val="24"/>
          <w:szCs w:val="24"/>
          <w:highlight w:val="none"/>
        </w:rPr>
        <w:t>发布磋商公告的媒介</w:t>
      </w:r>
    </w:p>
    <w:p w14:paraId="285BCF8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本次磋商公告在《河南省政府采购网》、《三门峡市公共资源交易中心</w:t>
      </w:r>
      <w:r>
        <w:rPr>
          <w:rFonts w:hint="eastAsia" w:ascii="宋体" w:hAnsi="宋体" w:eastAsia="宋体" w:cs="宋体"/>
          <w:bCs/>
          <w:color w:val="auto"/>
          <w:sz w:val="24"/>
          <w:szCs w:val="24"/>
          <w:highlight w:val="none"/>
          <w:lang w:val="en-US" w:eastAsia="zh-CN"/>
        </w:rPr>
        <w:t>网</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《中国招标投标公共服务平台》上发布。</w:t>
      </w:r>
    </w:p>
    <w:p w14:paraId="65FD61D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九</w:t>
      </w:r>
      <w:r>
        <w:rPr>
          <w:rFonts w:hint="eastAsia" w:ascii="宋体" w:hAnsi="宋体" w:eastAsia="宋体" w:cs="宋体"/>
          <w:bCs/>
          <w:color w:val="auto"/>
          <w:sz w:val="24"/>
          <w:szCs w:val="24"/>
          <w:highlight w:val="none"/>
        </w:rPr>
        <w:t>、联系方式</w:t>
      </w:r>
    </w:p>
    <w:p w14:paraId="50EDD4F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监督单位：卢氏县政府采购办公室</w:t>
      </w:r>
    </w:p>
    <w:p w14:paraId="732A036F">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联系人：郭亚楠</w:t>
      </w:r>
    </w:p>
    <w:p w14:paraId="228AC1F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电话：0398-7863556</w:t>
      </w:r>
    </w:p>
    <w:p w14:paraId="6EABD88C">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地址：卢氏县城关镇解放路中段</w:t>
      </w:r>
    </w:p>
    <w:p w14:paraId="6CF28B3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监督单位：卢氏县先进制造业开发区管理委员会</w:t>
      </w:r>
    </w:p>
    <w:p w14:paraId="2BCF0589">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联系人：郑博文</w:t>
      </w:r>
    </w:p>
    <w:p w14:paraId="3D6DBE18">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电话：13569625067</w:t>
      </w:r>
    </w:p>
    <w:p w14:paraId="6568F62B">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地址：卢氏县卢敖南路与虎山路交叉口西300米</w:t>
      </w:r>
    </w:p>
    <w:p w14:paraId="14BE69CE">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采购人：卢氏县先进制造业开发区管理委员会</w:t>
      </w:r>
    </w:p>
    <w:p w14:paraId="0FDE19ED">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联系人：孙阿兵</w:t>
      </w:r>
    </w:p>
    <w:p w14:paraId="0BF56BDB">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电话：0398-5153816、18003986966</w:t>
      </w:r>
    </w:p>
    <w:p w14:paraId="09FF8DF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地址：卢氏县卢敖南路与虎山路交叉口西300米</w:t>
      </w:r>
    </w:p>
    <w:p w14:paraId="115D47CF">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采购</w:t>
      </w:r>
      <w:r>
        <w:rPr>
          <w:rFonts w:hint="eastAsia" w:ascii="宋体" w:hAnsi="宋体" w:eastAsia="宋体" w:cs="宋体"/>
          <w:bCs/>
          <w:color w:val="auto"/>
          <w:sz w:val="24"/>
          <w:szCs w:val="24"/>
          <w:highlight w:val="none"/>
          <w:lang w:eastAsia="zh-CN"/>
        </w:rPr>
        <w:t>代理机构：</w:t>
      </w:r>
      <w:r>
        <w:rPr>
          <w:rFonts w:hint="eastAsia" w:ascii="宋体" w:hAnsi="宋体" w:eastAsia="宋体" w:cs="宋体"/>
          <w:bCs/>
          <w:color w:val="auto"/>
          <w:sz w:val="24"/>
          <w:szCs w:val="24"/>
          <w:highlight w:val="none"/>
          <w:lang w:val="en-US" w:eastAsia="zh-CN"/>
        </w:rPr>
        <w:t>中大宇辰项目管理有限公司</w:t>
      </w:r>
    </w:p>
    <w:p w14:paraId="5502C2AA">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联系人：杨伟</w:t>
      </w:r>
    </w:p>
    <w:p w14:paraId="6B46737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电话：13781036331、18239890957</w:t>
      </w:r>
    </w:p>
    <w:p w14:paraId="0B3F648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2"/>
          <w:highlight w:val="none"/>
        </w:rPr>
      </w:pPr>
      <w:r>
        <w:rPr>
          <w:rFonts w:hint="eastAsia" w:ascii="宋体" w:hAnsi="宋体" w:eastAsia="宋体" w:cs="宋体"/>
          <w:bCs/>
          <w:color w:val="auto"/>
          <w:sz w:val="24"/>
          <w:szCs w:val="24"/>
          <w:highlight w:val="none"/>
          <w:lang w:val="en-US" w:eastAsia="zh-CN"/>
        </w:rPr>
        <w:t>地址：河南省郑州市郑东新区祥盛街10号（聚龙城）4号楼1304室</w:t>
      </w:r>
      <w:r>
        <w:rPr>
          <w:rFonts w:hint="eastAsia" w:ascii="宋体" w:hAnsi="宋体" w:eastAsia="宋体" w:cs="宋体"/>
          <w:bCs/>
          <w:color w:val="auto"/>
          <w:sz w:val="22"/>
          <w:highlight w:val="none"/>
        </w:rPr>
        <w:br w:type="page"/>
      </w:r>
    </w:p>
    <w:p w14:paraId="164B9D4B">
      <w:pPr>
        <w:pStyle w:val="2"/>
        <w:numPr>
          <w:ilvl w:val="0"/>
          <w:numId w:val="4"/>
        </w:numPr>
        <w:bidi w:val="0"/>
        <w:jc w:val="center"/>
        <w:rPr>
          <w:rFonts w:hint="eastAsia"/>
          <w:color w:val="auto"/>
          <w:sz w:val="36"/>
          <w:szCs w:val="36"/>
          <w:highlight w:val="none"/>
        </w:rPr>
      </w:pPr>
      <w:bookmarkStart w:id="3" w:name="_Toc23002"/>
      <w:r>
        <w:rPr>
          <w:rFonts w:hint="eastAsia"/>
          <w:color w:val="auto"/>
          <w:sz w:val="36"/>
          <w:szCs w:val="36"/>
          <w:highlight w:val="none"/>
          <w:lang w:val="en-US" w:eastAsia="zh-CN"/>
        </w:rPr>
        <w:t xml:space="preserve"> </w:t>
      </w:r>
      <w:r>
        <w:rPr>
          <w:rFonts w:hint="eastAsia"/>
          <w:color w:val="auto"/>
          <w:sz w:val="36"/>
          <w:szCs w:val="36"/>
          <w:highlight w:val="none"/>
        </w:rPr>
        <w:t>供应商须知</w:t>
      </w:r>
      <w:bookmarkEnd w:id="3"/>
    </w:p>
    <w:p w14:paraId="04E4D7A8">
      <w:pPr>
        <w:numPr>
          <w:ilvl w:val="0"/>
          <w:numId w:val="0"/>
        </w:numPr>
        <w:jc w:val="center"/>
        <w:rPr>
          <w:rFonts w:hint="eastAsia"/>
          <w:sz w:val="30"/>
          <w:szCs w:val="30"/>
        </w:rPr>
      </w:pPr>
      <w:r>
        <w:rPr>
          <w:rFonts w:hint="eastAsia"/>
          <w:sz w:val="30"/>
          <w:szCs w:val="30"/>
          <w:lang w:val="en-US" w:eastAsia="zh-CN"/>
        </w:rPr>
        <w:t>供应商须知前附表</w:t>
      </w:r>
    </w:p>
    <w:tbl>
      <w:tblPr>
        <w:tblStyle w:val="17"/>
        <w:tblW w:w="9765"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2"/>
        <w:gridCol w:w="2528"/>
        <w:gridCol w:w="6285"/>
      </w:tblGrid>
      <w:tr w14:paraId="621C8B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952" w:type="dxa"/>
            <w:noWrap w:val="0"/>
            <w:vAlign w:val="center"/>
          </w:tcPr>
          <w:p w14:paraId="39F3B954">
            <w:pPr>
              <w:keepNext w:val="0"/>
              <w:keepLines w:val="0"/>
              <w:pageBreakBefore w:val="0"/>
              <w:widowControl w:val="0"/>
              <w:kinsoku/>
              <w:overflowPunct/>
              <w:topLinePunct w:val="0"/>
              <w:autoSpaceDE/>
              <w:autoSpaceDN/>
              <w:bidi w:val="0"/>
              <w:spacing w:line="288" w:lineRule="auto"/>
              <w:jc w:val="center"/>
              <w:textAlignment w:val="auto"/>
              <w:rPr>
                <w:rFonts w:hint="eastAsia" w:ascii="宋体" w:hAnsi="宋体" w:eastAsia="宋体" w:cs="宋体"/>
                <w:b/>
                <w:bCs w:val="0"/>
                <w:color w:val="auto"/>
                <w:sz w:val="22"/>
                <w:highlight w:val="none"/>
              </w:rPr>
            </w:pPr>
            <w:r>
              <w:rPr>
                <w:rFonts w:hint="eastAsia" w:ascii="宋体" w:hAnsi="宋体" w:eastAsia="宋体" w:cs="宋体"/>
                <w:b/>
                <w:bCs w:val="0"/>
                <w:color w:val="auto"/>
                <w:sz w:val="22"/>
                <w:highlight w:val="none"/>
                <w:lang w:val="en-US" w:eastAsia="zh-CN"/>
              </w:rPr>
              <w:t>条</w:t>
            </w:r>
            <w:r>
              <w:rPr>
                <w:rFonts w:hint="eastAsia" w:ascii="宋体" w:hAnsi="宋体" w:eastAsia="宋体" w:cs="宋体"/>
                <w:b/>
                <w:bCs w:val="0"/>
                <w:color w:val="auto"/>
                <w:sz w:val="22"/>
                <w:highlight w:val="none"/>
              </w:rPr>
              <w:t>款号</w:t>
            </w:r>
          </w:p>
        </w:tc>
        <w:tc>
          <w:tcPr>
            <w:tcW w:w="2528" w:type="dxa"/>
            <w:noWrap w:val="0"/>
            <w:vAlign w:val="center"/>
          </w:tcPr>
          <w:p w14:paraId="5A9EEC4D">
            <w:pPr>
              <w:keepNext w:val="0"/>
              <w:keepLines w:val="0"/>
              <w:pageBreakBefore w:val="0"/>
              <w:widowControl w:val="0"/>
              <w:kinsoku/>
              <w:overflowPunct/>
              <w:topLinePunct w:val="0"/>
              <w:autoSpaceDE/>
              <w:autoSpaceDN/>
              <w:bidi w:val="0"/>
              <w:spacing w:line="288" w:lineRule="auto"/>
              <w:jc w:val="center"/>
              <w:textAlignment w:val="auto"/>
              <w:rPr>
                <w:rFonts w:hint="eastAsia" w:ascii="宋体" w:hAnsi="宋体" w:eastAsia="宋体" w:cs="宋体"/>
                <w:b/>
                <w:bCs w:val="0"/>
                <w:color w:val="auto"/>
                <w:sz w:val="22"/>
                <w:highlight w:val="none"/>
              </w:rPr>
            </w:pPr>
            <w:r>
              <w:rPr>
                <w:rFonts w:hint="eastAsia" w:ascii="宋体" w:hAnsi="宋体" w:eastAsia="宋体" w:cs="宋体"/>
                <w:b/>
                <w:bCs w:val="0"/>
                <w:color w:val="auto"/>
                <w:sz w:val="22"/>
                <w:highlight w:val="none"/>
              </w:rPr>
              <w:t>条款名称</w:t>
            </w:r>
          </w:p>
        </w:tc>
        <w:tc>
          <w:tcPr>
            <w:tcW w:w="6285" w:type="dxa"/>
            <w:noWrap w:val="0"/>
            <w:vAlign w:val="center"/>
          </w:tcPr>
          <w:p w14:paraId="3A481428">
            <w:pPr>
              <w:keepNext w:val="0"/>
              <w:keepLines w:val="0"/>
              <w:pageBreakBefore w:val="0"/>
              <w:widowControl w:val="0"/>
              <w:kinsoku/>
              <w:overflowPunct/>
              <w:topLinePunct w:val="0"/>
              <w:autoSpaceDE/>
              <w:autoSpaceDN/>
              <w:bidi w:val="0"/>
              <w:spacing w:line="288" w:lineRule="auto"/>
              <w:ind w:firstLine="480"/>
              <w:jc w:val="center"/>
              <w:textAlignment w:val="auto"/>
              <w:rPr>
                <w:rFonts w:hint="eastAsia" w:ascii="宋体" w:hAnsi="宋体" w:eastAsia="宋体" w:cs="宋体"/>
                <w:b/>
                <w:bCs w:val="0"/>
                <w:color w:val="auto"/>
                <w:sz w:val="22"/>
                <w:highlight w:val="none"/>
              </w:rPr>
            </w:pPr>
            <w:r>
              <w:rPr>
                <w:rFonts w:hint="eastAsia" w:ascii="宋体" w:hAnsi="宋体" w:eastAsia="宋体" w:cs="宋体"/>
                <w:b/>
                <w:bCs w:val="0"/>
                <w:color w:val="auto"/>
                <w:sz w:val="22"/>
                <w:highlight w:val="none"/>
              </w:rPr>
              <w:t>编  列  内  容</w:t>
            </w:r>
          </w:p>
        </w:tc>
      </w:tr>
      <w:tr w14:paraId="46E3C3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39" w:hRule="atLeast"/>
        </w:trPr>
        <w:tc>
          <w:tcPr>
            <w:tcW w:w="952" w:type="dxa"/>
            <w:noWrap w:val="0"/>
            <w:vAlign w:val="center"/>
          </w:tcPr>
          <w:p w14:paraId="55A0CC05">
            <w:pPr>
              <w:keepNext w:val="0"/>
              <w:keepLines w:val="0"/>
              <w:pageBreakBefore w:val="0"/>
              <w:widowControl w:val="0"/>
              <w:kinsoku/>
              <w:overflowPunct/>
              <w:topLinePunct w:val="0"/>
              <w:autoSpaceDE/>
              <w:autoSpaceDN/>
              <w:bidi w:val="0"/>
              <w:spacing w:line="288" w:lineRule="auto"/>
              <w:jc w:val="center"/>
              <w:textAlignment w:val="auto"/>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1</w:t>
            </w:r>
          </w:p>
        </w:tc>
        <w:tc>
          <w:tcPr>
            <w:tcW w:w="2528" w:type="dxa"/>
            <w:noWrap w:val="0"/>
            <w:vAlign w:val="center"/>
          </w:tcPr>
          <w:p w14:paraId="1E6D487F">
            <w:pPr>
              <w:keepNext w:val="0"/>
              <w:keepLines w:val="0"/>
              <w:pageBreakBefore w:val="0"/>
              <w:widowControl w:val="0"/>
              <w:kinsoku/>
              <w:overflowPunct/>
              <w:topLinePunct w:val="0"/>
              <w:autoSpaceDE/>
              <w:autoSpaceDN/>
              <w:bidi w:val="0"/>
              <w:spacing w:line="288" w:lineRule="auto"/>
              <w:jc w:val="center"/>
              <w:textAlignment w:val="auto"/>
              <w:rPr>
                <w:rFonts w:hint="eastAsia" w:ascii="宋体" w:hAnsi="宋体" w:eastAsia="宋体" w:cs="宋体"/>
                <w:bCs/>
                <w:color w:val="auto"/>
                <w:sz w:val="24"/>
                <w:szCs w:val="24"/>
                <w:highlight w:val="none"/>
              </w:rPr>
            </w:pPr>
            <w:r>
              <w:rPr>
                <w:rFonts w:hint="eastAsia" w:ascii="宋体" w:hAnsi="宋体" w:cs="宋体"/>
                <w:color w:val="auto"/>
                <w:spacing w:val="6"/>
                <w:kern w:val="2"/>
                <w:sz w:val="24"/>
                <w:szCs w:val="24"/>
                <w:highlight w:val="none"/>
              </w:rPr>
              <w:t>采购人</w:t>
            </w:r>
          </w:p>
        </w:tc>
        <w:tc>
          <w:tcPr>
            <w:tcW w:w="6285" w:type="dxa"/>
            <w:noWrap w:val="0"/>
            <w:vAlign w:val="center"/>
          </w:tcPr>
          <w:p w14:paraId="0B05A887">
            <w:pPr>
              <w:keepNext w:val="0"/>
              <w:keepLines w:val="0"/>
              <w:pageBreakBefore w:val="0"/>
              <w:widowControl w:val="0"/>
              <w:kinsoku/>
              <w:overflowPunct/>
              <w:topLinePunct w:val="0"/>
              <w:autoSpaceDE/>
              <w:autoSpaceDN/>
              <w:bidi w:val="0"/>
              <w:spacing w:line="288" w:lineRule="auto"/>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采购人：卢氏县先进制造业开发区管理委员会</w:t>
            </w:r>
          </w:p>
          <w:p w14:paraId="6F64C45E">
            <w:pPr>
              <w:keepNext w:val="0"/>
              <w:keepLines w:val="0"/>
              <w:pageBreakBefore w:val="0"/>
              <w:widowControl w:val="0"/>
              <w:kinsoku/>
              <w:overflowPunct/>
              <w:topLinePunct w:val="0"/>
              <w:autoSpaceDE/>
              <w:autoSpaceDN/>
              <w:bidi w:val="0"/>
              <w:spacing w:line="288" w:lineRule="auto"/>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联系人：孙阿兵</w:t>
            </w:r>
          </w:p>
          <w:p w14:paraId="4A8965C2">
            <w:pPr>
              <w:keepNext w:val="0"/>
              <w:keepLines w:val="0"/>
              <w:pageBreakBefore w:val="0"/>
              <w:widowControl w:val="0"/>
              <w:kinsoku/>
              <w:overflowPunct/>
              <w:topLinePunct w:val="0"/>
              <w:autoSpaceDE/>
              <w:autoSpaceDN/>
              <w:bidi w:val="0"/>
              <w:spacing w:line="288" w:lineRule="auto"/>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电话：0398-5153816、18003986966</w:t>
            </w:r>
          </w:p>
          <w:p w14:paraId="663704A9">
            <w:pPr>
              <w:keepNext w:val="0"/>
              <w:keepLines w:val="0"/>
              <w:pageBreakBefore w:val="0"/>
              <w:widowControl w:val="0"/>
              <w:kinsoku/>
              <w:overflowPunct/>
              <w:topLinePunct w:val="0"/>
              <w:autoSpaceDE/>
              <w:autoSpaceDN/>
              <w:bidi w:val="0"/>
              <w:spacing w:line="288"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地址：卢氏县卢敖南路与虎山路交叉口西300米</w:t>
            </w:r>
          </w:p>
        </w:tc>
      </w:tr>
      <w:tr w14:paraId="276E9C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52" w:type="dxa"/>
            <w:noWrap w:val="0"/>
            <w:vAlign w:val="center"/>
          </w:tcPr>
          <w:p w14:paraId="11031C7B">
            <w:pPr>
              <w:keepNext w:val="0"/>
              <w:keepLines w:val="0"/>
              <w:pageBreakBefore w:val="0"/>
              <w:widowControl w:val="0"/>
              <w:kinsoku/>
              <w:overflowPunct/>
              <w:topLinePunct w:val="0"/>
              <w:autoSpaceDE/>
              <w:autoSpaceDN/>
              <w:bidi w:val="0"/>
              <w:spacing w:line="288" w:lineRule="auto"/>
              <w:jc w:val="center"/>
              <w:textAlignment w:val="auto"/>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2</w:t>
            </w:r>
          </w:p>
        </w:tc>
        <w:tc>
          <w:tcPr>
            <w:tcW w:w="2528" w:type="dxa"/>
            <w:noWrap w:val="0"/>
            <w:vAlign w:val="center"/>
          </w:tcPr>
          <w:p w14:paraId="5D3CBE8E">
            <w:pPr>
              <w:keepNext w:val="0"/>
              <w:keepLines w:val="0"/>
              <w:pageBreakBefore w:val="0"/>
              <w:widowControl w:val="0"/>
              <w:kinsoku/>
              <w:overflowPunct/>
              <w:topLinePunct w:val="0"/>
              <w:autoSpaceDE/>
              <w:autoSpaceDN/>
              <w:bidi w:val="0"/>
              <w:spacing w:line="288" w:lineRule="auto"/>
              <w:jc w:val="center"/>
              <w:textAlignment w:val="auto"/>
              <w:rPr>
                <w:rFonts w:hint="eastAsia" w:ascii="宋体" w:hAnsi="宋体" w:eastAsia="宋体" w:cs="宋体"/>
                <w:bCs/>
                <w:color w:val="auto"/>
                <w:sz w:val="22"/>
                <w:highlight w:val="none"/>
              </w:rPr>
            </w:pPr>
            <w:r>
              <w:rPr>
                <w:rFonts w:hint="eastAsia" w:ascii="宋体" w:hAnsi="宋体" w:cs="宋体"/>
                <w:color w:val="auto"/>
                <w:kern w:val="2"/>
                <w:sz w:val="24"/>
                <w:szCs w:val="24"/>
                <w:highlight w:val="none"/>
                <w:lang w:val="en-US" w:eastAsia="zh-CN"/>
              </w:rPr>
              <w:t>采购</w:t>
            </w:r>
            <w:r>
              <w:rPr>
                <w:rFonts w:hint="eastAsia" w:ascii="宋体" w:hAnsi="宋体" w:cs="宋体"/>
                <w:color w:val="auto"/>
                <w:kern w:val="2"/>
                <w:sz w:val="24"/>
                <w:szCs w:val="24"/>
                <w:highlight w:val="none"/>
              </w:rPr>
              <w:t>代理机构</w:t>
            </w:r>
          </w:p>
        </w:tc>
        <w:tc>
          <w:tcPr>
            <w:tcW w:w="6285" w:type="dxa"/>
            <w:noWrap w:val="0"/>
            <w:vAlign w:val="center"/>
          </w:tcPr>
          <w:p w14:paraId="1A2707DD">
            <w:pPr>
              <w:keepNext w:val="0"/>
              <w:keepLines w:val="0"/>
              <w:pageBreakBefore w:val="0"/>
              <w:widowControl w:val="0"/>
              <w:kinsoku/>
              <w:overflowPunct/>
              <w:topLinePunct w:val="0"/>
              <w:autoSpaceDE/>
              <w:autoSpaceDN/>
              <w:bidi w:val="0"/>
              <w:spacing w:line="288" w:lineRule="auto"/>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采购</w:t>
            </w:r>
            <w:r>
              <w:rPr>
                <w:rFonts w:hint="eastAsia" w:ascii="宋体" w:hAnsi="宋体" w:eastAsia="宋体" w:cs="宋体"/>
                <w:color w:val="auto"/>
                <w:kern w:val="2"/>
                <w:sz w:val="24"/>
                <w:szCs w:val="24"/>
                <w:highlight w:val="none"/>
                <w:lang w:val="en-US" w:eastAsia="zh-CN"/>
              </w:rPr>
              <w:t>代理机构：中大宇辰项目管理有限公司</w:t>
            </w:r>
          </w:p>
          <w:p w14:paraId="6C03D4D8">
            <w:pPr>
              <w:keepNext w:val="0"/>
              <w:keepLines w:val="0"/>
              <w:pageBreakBefore w:val="0"/>
              <w:widowControl w:val="0"/>
              <w:kinsoku/>
              <w:overflowPunct/>
              <w:topLinePunct w:val="0"/>
              <w:autoSpaceDE/>
              <w:autoSpaceDN/>
              <w:bidi w:val="0"/>
              <w:spacing w:line="288" w:lineRule="auto"/>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联系人：杨伟</w:t>
            </w:r>
          </w:p>
          <w:p w14:paraId="71F5F180">
            <w:pPr>
              <w:keepNext w:val="0"/>
              <w:keepLines w:val="0"/>
              <w:pageBreakBefore w:val="0"/>
              <w:widowControl w:val="0"/>
              <w:kinsoku/>
              <w:overflowPunct/>
              <w:topLinePunct w:val="0"/>
              <w:autoSpaceDE/>
              <w:autoSpaceDN/>
              <w:bidi w:val="0"/>
              <w:spacing w:line="288" w:lineRule="auto"/>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电话：13781036331、18239890957</w:t>
            </w:r>
          </w:p>
          <w:p w14:paraId="2675CC03">
            <w:pPr>
              <w:keepNext w:val="0"/>
              <w:keepLines w:val="0"/>
              <w:pageBreakBefore w:val="0"/>
              <w:widowControl w:val="0"/>
              <w:kinsoku/>
              <w:overflowPunct/>
              <w:topLinePunct w:val="0"/>
              <w:autoSpaceDE/>
              <w:autoSpaceDN/>
              <w:bidi w:val="0"/>
              <w:spacing w:line="288" w:lineRule="auto"/>
              <w:jc w:val="left"/>
              <w:textAlignment w:val="auto"/>
              <w:rPr>
                <w:rFonts w:hint="eastAsia" w:ascii="宋体" w:hAnsi="宋体" w:eastAsia="宋体" w:cs="宋体"/>
                <w:bCs/>
                <w:color w:val="auto"/>
                <w:sz w:val="22"/>
                <w:highlight w:val="none"/>
                <w:lang w:eastAsia="zh-CN"/>
              </w:rPr>
            </w:pPr>
            <w:r>
              <w:rPr>
                <w:rFonts w:hint="eastAsia" w:ascii="宋体" w:hAnsi="宋体" w:eastAsia="宋体" w:cs="宋体"/>
                <w:color w:val="auto"/>
                <w:kern w:val="2"/>
                <w:sz w:val="24"/>
                <w:szCs w:val="24"/>
                <w:highlight w:val="none"/>
                <w:lang w:val="en-US" w:eastAsia="zh-CN"/>
              </w:rPr>
              <w:t>地址：河南省郑州市郑东新区祥盛街10号（聚龙城）4号楼1304室</w:t>
            </w:r>
          </w:p>
        </w:tc>
      </w:tr>
      <w:tr w14:paraId="54E90A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3" w:hRule="atLeast"/>
        </w:trPr>
        <w:tc>
          <w:tcPr>
            <w:tcW w:w="952" w:type="dxa"/>
            <w:noWrap w:val="0"/>
            <w:vAlign w:val="center"/>
          </w:tcPr>
          <w:p w14:paraId="6955E2DC">
            <w:pPr>
              <w:keepNext w:val="0"/>
              <w:keepLines w:val="0"/>
              <w:pageBreakBefore w:val="0"/>
              <w:widowControl w:val="0"/>
              <w:kinsoku/>
              <w:overflowPunct/>
              <w:topLinePunct w:val="0"/>
              <w:autoSpaceDE/>
              <w:autoSpaceDN/>
              <w:bidi w:val="0"/>
              <w:spacing w:line="288" w:lineRule="auto"/>
              <w:jc w:val="center"/>
              <w:textAlignment w:val="auto"/>
              <w:rPr>
                <w:rFonts w:hint="eastAsia" w:ascii="宋体" w:hAnsi="宋体" w:eastAsia="宋体" w:cs="宋体"/>
                <w:bCs/>
                <w:color w:val="auto"/>
                <w:sz w:val="22"/>
                <w:highlight w:val="none"/>
              </w:rPr>
            </w:pPr>
            <w:r>
              <w:rPr>
                <w:rFonts w:hint="eastAsia" w:ascii="宋体" w:hAnsi="宋体" w:eastAsia="宋体" w:cs="宋体"/>
                <w:bCs/>
                <w:color w:val="auto"/>
                <w:sz w:val="24"/>
                <w:szCs w:val="24"/>
                <w:highlight w:val="none"/>
              </w:rPr>
              <w:t>3</w:t>
            </w:r>
          </w:p>
        </w:tc>
        <w:tc>
          <w:tcPr>
            <w:tcW w:w="2528" w:type="dxa"/>
            <w:noWrap w:val="0"/>
            <w:vAlign w:val="center"/>
          </w:tcPr>
          <w:p w14:paraId="71E24FDB">
            <w:pPr>
              <w:keepNext w:val="0"/>
              <w:keepLines w:val="0"/>
              <w:pageBreakBefore w:val="0"/>
              <w:widowControl w:val="0"/>
              <w:kinsoku/>
              <w:overflowPunct/>
              <w:topLinePunct w:val="0"/>
              <w:autoSpaceDE/>
              <w:autoSpaceDN/>
              <w:bidi w:val="0"/>
              <w:spacing w:line="288" w:lineRule="auto"/>
              <w:jc w:val="center"/>
              <w:textAlignment w:val="auto"/>
              <w:rPr>
                <w:rFonts w:hint="eastAsia" w:ascii="宋体" w:hAnsi="宋体" w:eastAsia="宋体" w:cs="宋体"/>
                <w:bCs/>
                <w:color w:val="auto"/>
                <w:sz w:val="22"/>
                <w:highlight w:val="none"/>
              </w:rPr>
            </w:pPr>
            <w:r>
              <w:rPr>
                <w:rFonts w:ascii="宋体" w:hAnsi="宋体" w:cs="宋体"/>
                <w:color w:val="auto"/>
                <w:spacing w:val="6"/>
                <w:kern w:val="2"/>
                <w:sz w:val="24"/>
                <w:szCs w:val="24"/>
                <w:highlight w:val="none"/>
              </w:rPr>
              <w:t>项目名称</w:t>
            </w:r>
          </w:p>
        </w:tc>
        <w:tc>
          <w:tcPr>
            <w:tcW w:w="6285" w:type="dxa"/>
            <w:noWrap w:val="0"/>
            <w:vAlign w:val="center"/>
          </w:tcPr>
          <w:p w14:paraId="4FB374DD">
            <w:pPr>
              <w:keepNext w:val="0"/>
              <w:keepLines w:val="0"/>
              <w:pageBreakBefore w:val="0"/>
              <w:widowControl w:val="0"/>
              <w:kinsoku/>
              <w:overflowPunct/>
              <w:topLinePunct w:val="0"/>
              <w:autoSpaceDE/>
              <w:autoSpaceDN/>
              <w:bidi w:val="0"/>
              <w:spacing w:line="288" w:lineRule="auto"/>
              <w:jc w:val="both"/>
              <w:textAlignment w:val="auto"/>
              <w:rPr>
                <w:rFonts w:hint="eastAsia" w:ascii="宋体" w:hAnsi="宋体" w:eastAsia="宋体" w:cs="宋体"/>
                <w:bCs/>
                <w:color w:val="auto"/>
                <w:sz w:val="22"/>
                <w:highlight w:val="none"/>
                <w:lang w:eastAsia="zh-CN"/>
              </w:rPr>
            </w:pPr>
            <w:r>
              <w:rPr>
                <w:rFonts w:hint="eastAsia" w:ascii="宋体" w:hAnsi="宋体" w:cs="宋体"/>
                <w:color w:val="auto"/>
                <w:kern w:val="2"/>
                <w:sz w:val="24"/>
                <w:szCs w:val="24"/>
                <w:highlight w:val="none"/>
                <w:lang w:val="en-US" w:eastAsia="zh-CN"/>
              </w:rPr>
              <w:t>卢氏县先进制造业开发区气候可行性论证评估项目</w:t>
            </w:r>
          </w:p>
        </w:tc>
      </w:tr>
      <w:tr w14:paraId="05032C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952" w:type="dxa"/>
            <w:noWrap w:val="0"/>
            <w:vAlign w:val="center"/>
          </w:tcPr>
          <w:p w14:paraId="0377FC20">
            <w:pPr>
              <w:keepNext w:val="0"/>
              <w:keepLines w:val="0"/>
              <w:pageBreakBefore w:val="0"/>
              <w:widowControl w:val="0"/>
              <w:kinsoku/>
              <w:overflowPunct/>
              <w:topLinePunct w:val="0"/>
              <w:autoSpaceDE/>
              <w:autoSpaceDN/>
              <w:bidi w:val="0"/>
              <w:spacing w:line="288" w:lineRule="auto"/>
              <w:jc w:val="center"/>
              <w:textAlignment w:val="auto"/>
              <w:rPr>
                <w:rFonts w:hint="eastAsia" w:ascii="宋体" w:hAnsi="宋体" w:eastAsia="宋体" w:cs="宋体"/>
                <w:bCs/>
                <w:color w:val="auto"/>
                <w:sz w:val="22"/>
                <w:highlight w:val="none"/>
              </w:rPr>
            </w:pPr>
            <w:r>
              <w:rPr>
                <w:rFonts w:hint="eastAsia" w:ascii="宋体" w:hAnsi="宋体" w:eastAsia="宋体" w:cs="宋体"/>
                <w:bCs/>
                <w:color w:val="auto"/>
                <w:sz w:val="24"/>
                <w:szCs w:val="24"/>
                <w:highlight w:val="none"/>
              </w:rPr>
              <w:t>4</w:t>
            </w:r>
          </w:p>
        </w:tc>
        <w:tc>
          <w:tcPr>
            <w:tcW w:w="2528" w:type="dxa"/>
            <w:noWrap w:val="0"/>
            <w:vAlign w:val="center"/>
          </w:tcPr>
          <w:p w14:paraId="59A423B0">
            <w:pPr>
              <w:keepNext w:val="0"/>
              <w:keepLines w:val="0"/>
              <w:pageBreakBefore w:val="0"/>
              <w:widowControl w:val="0"/>
              <w:kinsoku/>
              <w:overflowPunct/>
              <w:topLinePunct w:val="0"/>
              <w:autoSpaceDE/>
              <w:autoSpaceDN/>
              <w:bidi w:val="0"/>
              <w:spacing w:line="288" w:lineRule="auto"/>
              <w:jc w:val="center"/>
              <w:textAlignment w:val="auto"/>
              <w:rPr>
                <w:rFonts w:hint="eastAsia" w:ascii="宋体" w:hAnsi="宋体" w:eastAsia="宋体" w:cs="宋体"/>
                <w:bCs/>
                <w:color w:val="auto"/>
                <w:sz w:val="22"/>
                <w:highlight w:val="none"/>
              </w:rPr>
            </w:pPr>
            <w:r>
              <w:rPr>
                <w:rFonts w:ascii="宋体" w:hAnsi="宋体" w:cs="宋体"/>
                <w:color w:val="auto"/>
                <w:kern w:val="2"/>
                <w:sz w:val="24"/>
                <w:szCs w:val="24"/>
                <w:highlight w:val="none"/>
              </w:rPr>
              <w:t>项目编号</w:t>
            </w:r>
          </w:p>
        </w:tc>
        <w:tc>
          <w:tcPr>
            <w:tcW w:w="6285" w:type="dxa"/>
            <w:noWrap w:val="0"/>
            <w:vAlign w:val="center"/>
          </w:tcPr>
          <w:p w14:paraId="5B780CF8">
            <w:pPr>
              <w:keepNext w:val="0"/>
              <w:keepLines w:val="0"/>
              <w:pageBreakBefore w:val="0"/>
              <w:widowControl w:val="0"/>
              <w:kinsoku/>
              <w:overflowPunct/>
              <w:topLinePunct w:val="0"/>
              <w:autoSpaceDE/>
              <w:autoSpaceDN/>
              <w:bidi w:val="0"/>
              <w:spacing w:line="288" w:lineRule="auto"/>
              <w:jc w:val="center"/>
              <w:textAlignment w:val="auto"/>
              <w:rPr>
                <w:rFonts w:hint="eastAsia" w:ascii="宋体" w:hAnsi="宋体" w:eastAsia="宋体" w:cs="宋体"/>
                <w:bCs/>
                <w:color w:val="auto"/>
                <w:sz w:val="22"/>
                <w:highlight w:val="none"/>
                <w:lang w:eastAsia="zh-CN"/>
              </w:rPr>
            </w:pPr>
            <w:r>
              <w:rPr>
                <w:rFonts w:hint="eastAsia" w:ascii="宋体" w:hAnsi="宋体" w:eastAsia="宋体" w:cs="宋体"/>
                <w:bCs/>
                <w:color w:val="auto"/>
                <w:sz w:val="22"/>
                <w:highlight w:val="none"/>
                <w:lang w:eastAsia="zh-CN"/>
              </w:rPr>
              <w:t>三卢竞磋采购-2026-16、LSGZ[2026]048-ZC036</w:t>
            </w:r>
          </w:p>
        </w:tc>
      </w:tr>
      <w:tr w14:paraId="23E6DF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17" w:hRule="atLeast"/>
        </w:trPr>
        <w:tc>
          <w:tcPr>
            <w:tcW w:w="952" w:type="dxa"/>
            <w:noWrap w:val="0"/>
            <w:vAlign w:val="center"/>
          </w:tcPr>
          <w:p w14:paraId="02161240">
            <w:pPr>
              <w:keepNext w:val="0"/>
              <w:keepLines w:val="0"/>
              <w:pageBreakBefore w:val="0"/>
              <w:widowControl w:val="0"/>
              <w:kinsoku/>
              <w:overflowPunct/>
              <w:topLinePunct w:val="0"/>
              <w:autoSpaceDE/>
              <w:autoSpaceDN/>
              <w:bidi w:val="0"/>
              <w:spacing w:line="288" w:lineRule="auto"/>
              <w:jc w:val="center"/>
              <w:textAlignment w:val="auto"/>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5</w:t>
            </w:r>
          </w:p>
        </w:tc>
        <w:tc>
          <w:tcPr>
            <w:tcW w:w="2528" w:type="dxa"/>
            <w:noWrap w:val="0"/>
            <w:vAlign w:val="center"/>
          </w:tcPr>
          <w:p w14:paraId="4ABB44C9">
            <w:pPr>
              <w:keepNext w:val="0"/>
              <w:keepLines w:val="0"/>
              <w:pageBreakBefore w:val="0"/>
              <w:widowControl w:val="0"/>
              <w:kinsoku/>
              <w:overflowPunct/>
              <w:topLinePunct w:val="0"/>
              <w:autoSpaceDE/>
              <w:autoSpaceDN/>
              <w:bidi w:val="0"/>
              <w:spacing w:line="288" w:lineRule="auto"/>
              <w:jc w:val="center"/>
              <w:textAlignment w:val="auto"/>
              <w:rPr>
                <w:rFonts w:hint="eastAsia" w:ascii="宋体" w:hAnsi="宋体" w:eastAsia="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服务内容</w:t>
            </w:r>
          </w:p>
        </w:tc>
        <w:tc>
          <w:tcPr>
            <w:tcW w:w="6285" w:type="dxa"/>
            <w:noWrap w:val="0"/>
            <w:vAlign w:val="center"/>
          </w:tcPr>
          <w:p w14:paraId="44BD4E4A">
            <w:pPr>
              <w:keepNext w:val="0"/>
              <w:keepLines w:val="0"/>
              <w:pageBreakBefore w:val="0"/>
              <w:widowControl w:val="0"/>
              <w:kinsoku/>
              <w:overflowPunct/>
              <w:topLinePunct w:val="0"/>
              <w:autoSpaceDE/>
              <w:autoSpaceDN/>
              <w:bidi w:val="0"/>
              <w:spacing w:line="288" w:lineRule="auto"/>
              <w:jc w:val="left"/>
              <w:textAlignment w:val="auto"/>
              <w:rPr>
                <w:rFonts w:hint="eastAsia" w:ascii="宋体" w:hAnsi="宋体" w:cs="Times New Roman"/>
                <w:color w:val="auto"/>
                <w:kern w:val="2"/>
                <w:sz w:val="24"/>
                <w:szCs w:val="24"/>
                <w:highlight w:val="none"/>
                <w:lang w:val="en-US" w:eastAsia="zh-CN"/>
              </w:rPr>
            </w:pPr>
            <w:r>
              <w:rPr>
                <w:rFonts w:hint="eastAsia" w:ascii="宋体" w:hAnsi="宋体" w:cs="Times New Roman"/>
                <w:color w:val="auto"/>
                <w:kern w:val="2"/>
                <w:sz w:val="24"/>
                <w:szCs w:val="24"/>
                <w:highlight w:val="none"/>
                <w:lang w:val="en-US" w:eastAsia="zh-CN"/>
              </w:rPr>
              <w:t>卢氏县先进制造业开发区全域，含规划建设区域、现有产业片区及配套公共设施区域，结合园区地形地貌（山地、河谷等）精准划定论证边界。契合国家及气象行业标准（QX/T469-2018等），分析园区气候适宜性与气象灾害风险，明确关键气象因子影响，提出科学防控建议，为园区规划建设、产业布局及灾害防御提供依据（具体详见服务内容及要求）</w:t>
            </w:r>
          </w:p>
        </w:tc>
      </w:tr>
      <w:tr w14:paraId="303D4B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6" w:hRule="atLeast"/>
        </w:trPr>
        <w:tc>
          <w:tcPr>
            <w:tcW w:w="952" w:type="dxa"/>
            <w:noWrap w:val="0"/>
            <w:vAlign w:val="center"/>
          </w:tcPr>
          <w:p w14:paraId="76021100">
            <w:pPr>
              <w:keepNext w:val="0"/>
              <w:keepLines w:val="0"/>
              <w:pageBreakBefore w:val="0"/>
              <w:widowControl w:val="0"/>
              <w:kinsoku/>
              <w:overflowPunct/>
              <w:topLinePunct w:val="0"/>
              <w:autoSpaceDE/>
              <w:autoSpaceDN/>
              <w:bidi w:val="0"/>
              <w:spacing w:line="288" w:lineRule="auto"/>
              <w:jc w:val="center"/>
              <w:textAlignment w:val="auto"/>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6</w:t>
            </w:r>
          </w:p>
        </w:tc>
        <w:tc>
          <w:tcPr>
            <w:tcW w:w="2528" w:type="dxa"/>
            <w:noWrap w:val="0"/>
            <w:vAlign w:val="center"/>
          </w:tcPr>
          <w:p w14:paraId="3CD17807">
            <w:pPr>
              <w:keepNext w:val="0"/>
              <w:keepLines w:val="0"/>
              <w:pageBreakBefore w:val="0"/>
              <w:widowControl w:val="0"/>
              <w:kinsoku/>
              <w:overflowPunct/>
              <w:topLinePunct w:val="0"/>
              <w:autoSpaceDE/>
              <w:autoSpaceDN/>
              <w:bidi w:val="0"/>
              <w:adjustRightInd w:val="0"/>
              <w:spacing w:line="288" w:lineRule="auto"/>
              <w:jc w:val="center"/>
              <w:textAlignment w:val="auto"/>
              <w:rPr>
                <w:rFonts w:hint="eastAsia" w:ascii="宋体" w:hAnsi="宋体" w:eastAsia="宋体" w:cs="宋体"/>
                <w:bCs/>
                <w:color w:val="auto"/>
                <w:sz w:val="22"/>
                <w:highlight w:val="none"/>
              </w:rPr>
            </w:pPr>
            <w:r>
              <w:rPr>
                <w:rFonts w:ascii="宋体" w:hAnsi="宋体" w:cs="宋体"/>
                <w:color w:val="auto"/>
                <w:spacing w:val="6"/>
                <w:kern w:val="2"/>
                <w:sz w:val="24"/>
                <w:szCs w:val="24"/>
                <w:highlight w:val="none"/>
              </w:rPr>
              <w:t>采购方式</w:t>
            </w:r>
          </w:p>
        </w:tc>
        <w:tc>
          <w:tcPr>
            <w:tcW w:w="6285" w:type="dxa"/>
            <w:noWrap w:val="0"/>
            <w:vAlign w:val="center"/>
          </w:tcPr>
          <w:p w14:paraId="21534D48">
            <w:pPr>
              <w:keepNext w:val="0"/>
              <w:keepLines w:val="0"/>
              <w:pageBreakBefore w:val="0"/>
              <w:widowControl w:val="0"/>
              <w:kinsoku/>
              <w:overflowPunct/>
              <w:topLinePunct w:val="0"/>
              <w:autoSpaceDE/>
              <w:autoSpaceDN/>
              <w:bidi w:val="0"/>
              <w:spacing w:line="288" w:lineRule="auto"/>
              <w:jc w:val="left"/>
              <w:textAlignment w:val="auto"/>
              <w:rPr>
                <w:rFonts w:hint="eastAsia" w:ascii="宋体" w:hAnsi="宋体" w:cs="Times New Roman"/>
                <w:color w:val="auto"/>
                <w:kern w:val="2"/>
                <w:sz w:val="24"/>
                <w:szCs w:val="24"/>
                <w:highlight w:val="none"/>
                <w:lang w:val="en-US" w:eastAsia="zh-CN"/>
              </w:rPr>
            </w:pPr>
            <w:r>
              <w:rPr>
                <w:rFonts w:hint="eastAsia" w:ascii="宋体" w:hAnsi="宋体" w:cs="Times New Roman"/>
                <w:color w:val="auto"/>
                <w:kern w:val="2"/>
                <w:sz w:val="24"/>
                <w:szCs w:val="24"/>
                <w:highlight w:val="none"/>
                <w:lang w:val="en-US" w:eastAsia="zh-CN"/>
              </w:rPr>
              <w:t>竞争性磋商</w:t>
            </w:r>
          </w:p>
        </w:tc>
      </w:tr>
      <w:tr w14:paraId="02D32A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8" w:hRule="atLeast"/>
        </w:trPr>
        <w:tc>
          <w:tcPr>
            <w:tcW w:w="952" w:type="dxa"/>
            <w:noWrap w:val="0"/>
            <w:vAlign w:val="center"/>
          </w:tcPr>
          <w:p w14:paraId="3C4FF4F2">
            <w:pPr>
              <w:keepNext w:val="0"/>
              <w:keepLines w:val="0"/>
              <w:pageBreakBefore w:val="0"/>
              <w:widowControl w:val="0"/>
              <w:kinsoku/>
              <w:overflowPunct/>
              <w:topLinePunct w:val="0"/>
              <w:autoSpaceDE/>
              <w:autoSpaceDN/>
              <w:bidi w:val="0"/>
              <w:spacing w:line="288" w:lineRule="auto"/>
              <w:jc w:val="center"/>
              <w:textAlignment w:val="auto"/>
              <w:rPr>
                <w:rFonts w:hint="eastAsia" w:ascii="宋体" w:hAnsi="宋体" w:eastAsia="宋体" w:cs="宋体"/>
                <w:bCs/>
                <w:color w:val="auto"/>
                <w:sz w:val="22"/>
                <w:highlight w:val="none"/>
                <w:lang w:val="en-US" w:eastAsia="zh-CN"/>
              </w:rPr>
            </w:pPr>
            <w:r>
              <w:rPr>
                <w:rFonts w:hint="eastAsia" w:ascii="宋体" w:hAnsi="宋体" w:eastAsia="宋体" w:cs="宋体"/>
                <w:bCs/>
                <w:color w:val="auto"/>
                <w:sz w:val="22"/>
                <w:highlight w:val="none"/>
                <w:lang w:val="en-US" w:eastAsia="zh-CN"/>
              </w:rPr>
              <w:t>7</w:t>
            </w:r>
          </w:p>
        </w:tc>
        <w:tc>
          <w:tcPr>
            <w:tcW w:w="2528" w:type="dxa"/>
            <w:noWrap w:val="0"/>
            <w:vAlign w:val="center"/>
          </w:tcPr>
          <w:p w14:paraId="269484E5">
            <w:pPr>
              <w:keepNext w:val="0"/>
              <w:keepLines w:val="0"/>
              <w:pageBreakBefore w:val="0"/>
              <w:widowControl w:val="0"/>
              <w:kinsoku/>
              <w:overflowPunct/>
              <w:topLinePunct w:val="0"/>
              <w:autoSpaceDE/>
              <w:autoSpaceDN/>
              <w:bidi w:val="0"/>
              <w:adjustRightInd w:val="0"/>
              <w:spacing w:line="288" w:lineRule="auto"/>
              <w:jc w:val="center"/>
              <w:textAlignment w:val="auto"/>
              <w:rPr>
                <w:rFonts w:ascii="宋体" w:hAnsi="宋体" w:eastAsia="宋体" w:cs="宋体"/>
                <w:color w:val="auto"/>
                <w:kern w:val="2"/>
                <w:sz w:val="24"/>
                <w:szCs w:val="24"/>
                <w:highlight w:val="none"/>
                <w:lang w:val="en-US" w:eastAsia="zh-CN" w:bidi="ar-SA"/>
              </w:rPr>
            </w:pPr>
            <w:r>
              <w:rPr>
                <w:rFonts w:ascii="宋体" w:hAnsi="宋体" w:cs="宋体"/>
                <w:color w:val="auto"/>
                <w:kern w:val="2"/>
                <w:sz w:val="24"/>
                <w:szCs w:val="24"/>
                <w:highlight w:val="none"/>
              </w:rPr>
              <w:t>资金来源</w:t>
            </w:r>
          </w:p>
        </w:tc>
        <w:tc>
          <w:tcPr>
            <w:tcW w:w="6285" w:type="dxa"/>
            <w:noWrap w:val="0"/>
            <w:vAlign w:val="center"/>
          </w:tcPr>
          <w:p w14:paraId="342AE0A5">
            <w:pPr>
              <w:keepNext w:val="0"/>
              <w:keepLines w:val="0"/>
              <w:pageBreakBefore w:val="0"/>
              <w:widowControl w:val="0"/>
              <w:kinsoku/>
              <w:overflowPunct/>
              <w:topLinePunct w:val="0"/>
              <w:autoSpaceDE/>
              <w:autoSpaceDN/>
              <w:bidi w:val="0"/>
              <w:adjustRightInd w:val="0"/>
              <w:spacing w:line="288" w:lineRule="auto"/>
              <w:jc w:val="both"/>
              <w:textAlignment w:val="auto"/>
              <w:rPr>
                <w:rFonts w:ascii="宋体" w:hAnsi="宋体" w:eastAsia="宋体" w:cs="宋体"/>
                <w:color w:val="auto"/>
                <w:spacing w:val="6"/>
                <w:kern w:val="2"/>
                <w:sz w:val="24"/>
                <w:szCs w:val="24"/>
                <w:highlight w:val="none"/>
                <w:lang w:val="en-US" w:eastAsia="zh-CN" w:bidi="ar-SA"/>
              </w:rPr>
            </w:pPr>
            <w:r>
              <w:rPr>
                <w:rFonts w:hint="eastAsia" w:ascii="宋体" w:hAnsi="宋体" w:cs="宋体"/>
                <w:color w:val="auto"/>
                <w:spacing w:val="6"/>
                <w:kern w:val="2"/>
                <w:sz w:val="24"/>
                <w:szCs w:val="24"/>
                <w:highlight w:val="none"/>
                <w:lang w:val="en-US" w:eastAsia="zh-CN"/>
              </w:rPr>
              <w:t>财政资金</w:t>
            </w:r>
            <w:r>
              <w:rPr>
                <w:rFonts w:ascii="宋体" w:hAnsi="宋体" w:cs="宋体"/>
                <w:color w:val="auto"/>
                <w:spacing w:val="6"/>
                <w:kern w:val="2"/>
                <w:sz w:val="24"/>
                <w:szCs w:val="24"/>
                <w:highlight w:val="none"/>
              </w:rPr>
              <w:t>，已落实</w:t>
            </w:r>
            <w:r>
              <w:rPr>
                <w:rFonts w:hint="eastAsia" w:ascii="宋体" w:hAnsi="宋体" w:cs="宋体"/>
                <w:color w:val="auto"/>
                <w:spacing w:val="6"/>
                <w:kern w:val="2"/>
                <w:sz w:val="24"/>
                <w:szCs w:val="24"/>
                <w:highlight w:val="none"/>
                <w:lang w:val="en-US" w:eastAsia="zh-CN"/>
              </w:rPr>
              <w:t>；</w:t>
            </w:r>
          </w:p>
        </w:tc>
      </w:tr>
      <w:tr w14:paraId="747369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4" w:hRule="atLeast"/>
        </w:trPr>
        <w:tc>
          <w:tcPr>
            <w:tcW w:w="952" w:type="dxa"/>
            <w:noWrap w:val="0"/>
            <w:vAlign w:val="center"/>
          </w:tcPr>
          <w:p w14:paraId="327D2F01">
            <w:pPr>
              <w:keepNext w:val="0"/>
              <w:keepLines w:val="0"/>
              <w:pageBreakBefore w:val="0"/>
              <w:widowControl w:val="0"/>
              <w:kinsoku/>
              <w:overflowPunct/>
              <w:topLinePunct w:val="0"/>
              <w:autoSpaceDE/>
              <w:autoSpaceDN/>
              <w:bidi w:val="0"/>
              <w:spacing w:line="288" w:lineRule="auto"/>
              <w:jc w:val="center"/>
              <w:textAlignment w:val="auto"/>
              <w:rPr>
                <w:rFonts w:hint="eastAsia" w:ascii="宋体" w:hAnsi="宋体" w:eastAsia="宋体" w:cs="宋体"/>
                <w:bCs/>
                <w:color w:val="auto"/>
                <w:sz w:val="22"/>
                <w:highlight w:val="none"/>
                <w:lang w:val="en-US" w:eastAsia="zh-CN"/>
              </w:rPr>
            </w:pPr>
            <w:r>
              <w:rPr>
                <w:rFonts w:hint="eastAsia" w:ascii="宋体" w:hAnsi="宋体" w:eastAsia="宋体" w:cs="宋体"/>
                <w:bCs/>
                <w:color w:val="auto"/>
                <w:sz w:val="22"/>
                <w:highlight w:val="none"/>
                <w:lang w:val="en-US" w:eastAsia="zh-CN"/>
              </w:rPr>
              <w:t>8</w:t>
            </w:r>
          </w:p>
        </w:tc>
        <w:tc>
          <w:tcPr>
            <w:tcW w:w="2528" w:type="dxa"/>
            <w:noWrap w:val="0"/>
            <w:vAlign w:val="center"/>
          </w:tcPr>
          <w:p w14:paraId="45263944">
            <w:pPr>
              <w:keepNext w:val="0"/>
              <w:keepLines w:val="0"/>
              <w:pageBreakBefore w:val="0"/>
              <w:widowControl w:val="0"/>
              <w:kinsoku/>
              <w:overflowPunct/>
              <w:topLinePunct w:val="0"/>
              <w:autoSpaceDE/>
              <w:autoSpaceDN/>
              <w:bidi w:val="0"/>
              <w:spacing w:line="288" w:lineRule="auto"/>
              <w:jc w:val="center"/>
              <w:textAlignment w:val="auto"/>
              <w:rPr>
                <w:rFonts w:hint="default" w:ascii="宋体" w:hAnsi="宋体" w:cs="Times New Roman"/>
                <w:color w:val="auto"/>
                <w:kern w:val="2"/>
                <w:sz w:val="24"/>
                <w:szCs w:val="24"/>
                <w:highlight w:val="none"/>
                <w:lang w:val="en-US" w:eastAsia="zh-CN"/>
              </w:rPr>
            </w:pPr>
            <w:r>
              <w:rPr>
                <w:rFonts w:hint="eastAsia" w:ascii="宋体" w:hAnsi="宋体" w:cs="Times New Roman"/>
                <w:color w:val="auto"/>
                <w:kern w:val="2"/>
                <w:sz w:val="24"/>
                <w:szCs w:val="24"/>
                <w:highlight w:val="none"/>
                <w:lang w:val="en-US" w:eastAsia="zh-CN"/>
              </w:rPr>
              <w:t>预算金额</w:t>
            </w:r>
          </w:p>
        </w:tc>
        <w:tc>
          <w:tcPr>
            <w:tcW w:w="6285" w:type="dxa"/>
            <w:noWrap w:val="0"/>
            <w:vAlign w:val="center"/>
          </w:tcPr>
          <w:p w14:paraId="7FECAE5D">
            <w:pPr>
              <w:keepNext w:val="0"/>
              <w:keepLines w:val="0"/>
              <w:pageBreakBefore w:val="0"/>
              <w:widowControl w:val="0"/>
              <w:kinsoku/>
              <w:overflowPunct/>
              <w:topLinePunct w:val="0"/>
              <w:autoSpaceDE/>
              <w:autoSpaceDN/>
              <w:bidi w:val="0"/>
              <w:spacing w:line="288" w:lineRule="auto"/>
              <w:jc w:val="left"/>
              <w:textAlignment w:val="auto"/>
              <w:rPr>
                <w:rFonts w:hint="eastAsia" w:ascii="宋体" w:hAnsi="宋体" w:cs="Times New Roman"/>
                <w:color w:val="auto"/>
                <w:kern w:val="2"/>
                <w:sz w:val="24"/>
                <w:szCs w:val="24"/>
                <w:highlight w:val="none"/>
                <w:lang w:val="en-US" w:eastAsia="zh-CN"/>
              </w:rPr>
            </w:pPr>
            <w:r>
              <w:rPr>
                <w:rFonts w:hint="eastAsia" w:ascii="宋体" w:hAnsi="宋体" w:cs="Times New Roman"/>
                <w:color w:val="auto"/>
                <w:kern w:val="2"/>
                <w:sz w:val="24"/>
                <w:szCs w:val="24"/>
                <w:highlight w:val="none"/>
                <w:lang w:val="en-US" w:eastAsia="zh-CN"/>
              </w:rPr>
              <w:t>¥314400.00元（供应商报价不得高于项目预算金额，否则按无效文件处理）</w:t>
            </w:r>
          </w:p>
        </w:tc>
      </w:tr>
      <w:tr w14:paraId="71FC76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6" w:hRule="atLeast"/>
        </w:trPr>
        <w:tc>
          <w:tcPr>
            <w:tcW w:w="952" w:type="dxa"/>
            <w:noWrap w:val="0"/>
            <w:vAlign w:val="center"/>
          </w:tcPr>
          <w:p w14:paraId="0BA6784B">
            <w:pPr>
              <w:keepNext w:val="0"/>
              <w:keepLines w:val="0"/>
              <w:pageBreakBefore w:val="0"/>
              <w:widowControl w:val="0"/>
              <w:kinsoku/>
              <w:overflowPunct/>
              <w:topLinePunct w:val="0"/>
              <w:autoSpaceDE/>
              <w:autoSpaceDN/>
              <w:bidi w:val="0"/>
              <w:spacing w:line="288" w:lineRule="auto"/>
              <w:jc w:val="center"/>
              <w:textAlignment w:val="auto"/>
              <w:rPr>
                <w:rFonts w:hint="eastAsia" w:ascii="宋体" w:hAnsi="宋体" w:eastAsia="宋体" w:cs="宋体"/>
                <w:bCs/>
                <w:color w:val="auto"/>
                <w:sz w:val="22"/>
                <w:highlight w:val="none"/>
                <w:lang w:eastAsia="zh-CN"/>
              </w:rPr>
            </w:pPr>
            <w:r>
              <w:rPr>
                <w:rFonts w:hint="eastAsia" w:ascii="宋体" w:hAnsi="宋体" w:eastAsia="宋体" w:cs="宋体"/>
                <w:bCs/>
                <w:color w:val="auto"/>
                <w:sz w:val="22"/>
                <w:highlight w:val="none"/>
                <w:lang w:val="en-US" w:eastAsia="zh-CN"/>
              </w:rPr>
              <w:t>9</w:t>
            </w:r>
          </w:p>
        </w:tc>
        <w:tc>
          <w:tcPr>
            <w:tcW w:w="2528" w:type="dxa"/>
            <w:noWrap w:val="0"/>
            <w:vAlign w:val="center"/>
          </w:tcPr>
          <w:p w14:paraId="79B289B3">
            <w:pPr>
              <w:keepNext w:val="0"/>
              <w:keepLines w:val="0"/>
              <w:pageBreakBefore w:val="0"/>
              <w:widowControl w:val="0"/>
              <w:kinsoku/>
              <w:overflowPunct/>
              <w:topLinePunct w:val="0"/>
              <w:autoSpaceDE/>
              <w:autoSpaceDN/>
              <w:bidi w:val="0"/>
              <w:adjustRightInd w:val="0"/>
              <w:spacing w:line="288" w:lineRule="auto"/>
              <w:jc w:val="center"/>
              <w:textAlignment w:val="auto"/>
              <w:rPr>
                <w:rFonts w:hint="eastAsia"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质量要求</w:t>
            </w:r>
          </w:p>
        </w:tc>
        <w:tc>
          <w:tcPr>
            <w:tcW w:w="6285" w:type="dxa"/>
            <w:noWrap w:val="0"/>
            <w:vAlign w:val="center"/>
          </w:tcPr>
          <w:p w14:paraId="40CF9862">
            <w:pPr>
              <w:keepNext w:val="0"/>
              <w:keepLines w:val="0"/>
              <w:pageBreakBefore w:val="0"/>
              <w:widowControl w:val="0"/>
              <w:kinsoku/>
              <w:overflowPunct/>
              <w:topLinePunct w:val="0"/>
              <w:autoSpaceDE/>
              <w:autoSpaceDN/>
              <w:bidi w:val="0"/>
              <w:adjustRightInd w:val="0"/>
              <w:spacing w:line="288" w:lineRule="auto"/>
              <w:jc w:val="both"/>
              <w:textAlignment w:val="auto"/>
              <w:rPr>
                <w:rFonts w:hint="eastAsia" w:ascii="宋体" w:hAnsi="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val="en-US" w:eastAsia="zh-CN"/>
              </w:rPr>
              <w:t>符合国家相关行业规范标准要求，满足采购人需求</w:t>
            </w:r>
          </w:p>
        </w:tc>
      </w:tr>
      <w:tr w14:paraId="4B5119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6" w:hRule="atLeast"/>
        </w:trPr>
        <w:tc>
          <w:tcPr>
            <w:tcW w:w="952" w:type="dxa"/>
            <w:noWrap w:val="0"/>
            <w:vAlign w:val="center"/>
          </w:tcPr>
          <w:p w14:paraId="28DAB957">
            <w:pPr>
              <w:keepNext w:val="0"/>
              <w:keepLines w:val="0"/>
              <w:pageBreakBefore w:val="0"/>
              <w:widowControl w:val="0"/>
              <w:kinsoku/>
              <w:overflowPunct/>
              <w:topLinePunct w:val="0"/>
              <w:autoSpaceDE/>
              <w:autoSpaceDN/>
              <w:bidi w:val="0"/>
              <w:spacing w:line="288" w:lineRule="auto"/>
              <w:jc w:val="center"/>
              <w:textAlignment w:val="auto"/>
              <w:rPr>
                <w:rFonts w:hint="default" w:ascii="宋体" w:hAnsi="宋体" w:eastAsia="宋体" w:cs="宋体"/>
                <w:bCs/>
                <w:color w:val="auto"/>
                <w:sz w:val="22"/>
                <w:highlight w:val="none"/>
                <w:lang w:val="en-US" w:eastAsia="zh-CN"/>
              </w:rPr>
            </w:pPr>
            <w:r>
              <w:rPr>
                <w:rFonts w:hint="eastAsia" w:ascii="宋体" w:hAnsi="宋体" w:eastAsia="宋体" w:cs="宋体"/>
                <w:bCs/>
                <w:color w:val="auto"/>
                <w:sz w:val="22"/>
                <w:highlight w:val="none"/>
                <w:lang w:val="en-US" w:eastAsia="zh-CN"/>
              </w:rPr>
              <w:t>10</w:t>
            </w:r>
          </w:p>
        </w:tc>
        <w:tc>
          <w:tcPr>
            <w:tcW w:w="2528" w:type="dxa"/>
            <w:noWrap w:val="0"/>
            <w:vAlign w:val="center"/>
          </w:tcPr>
          <w:p w14:paraId="0E69101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val="en-US" w:eastAsia="zh-CN"/>
              </w:rPr>
              <w:t>服务期限</w:t>
            </w:r>
          </w:p>
        </w:tc>
        <w:tc>
          <w:tcPr>
            <w:tcW w:w="6285" w:type="dxa"/>
            <w:noWrap w:val="0"/>
            <w:vAlign w:val="center"/>
          </w:tcPr>
          <w:p w14:paraId="7BA904BC">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bCs/>
                <w:color w:val="auto"/>
                <w:sz w:val="24"/>
                <w:szCs w:val="28"/>
                <w:highlight w:val="none"/>
                <w:lang w:val="en-US" w:eastAsia="zh-CN"/>
              </w:rPr>
            </w:pPr>
            <w:r>
              <w:rPr>
                <w:rFonts w:hint="eastAsia" w:ascii="宋体" w:hAnsi="宋体" w:cs="宋体"/>
                <w:color w:val="auto"/>
                <w:spacing w:val="6"/>
                <w:kern w:val="2"/>
                <w:sz w:val="24"/>
                <w:szCs w:val="24"/>
                <w:highlight w:val="none"/>
                <w:lang w:val="en-US" w:eastAsia="zh-CN"/>
              </w:rPr>
              <w:t>合同签订之日起60日历天内完成</w:t>
            </w:r>
          </w:p>
        </w:tc>
      </w:tr>
      <w:tr w14:paraId="6A25BB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52" w:type="dxa"/>
            <w:noWrap w:val="0"/>
            <w:vAlign w:val="center"/>
          </w:tcPr>
          <w:p w14:paraId="742AA2D9">
            <w:pPr>
              <w:keepNext w:val="0"/>
              <w:keepLines w:val="0"/>
              <w:pageBreakBefore w:val="0"/>
              <w:widowControl w:val="0"/>
              <w:kinsoku/>
              <w:overflowPunct/>
              <w:topLinePunct w:val="0"/>
              <w:autoSpaceDE/>
              <w:autoSpaceDN/>
              <w:bidi w:val="0"/>
              <w:spacing w:line="288" w:lineRule="auto"/>
              <w:jc w:val="center"/>
              <w:textAlignment w:val="auto"/>
              <w:rPr>
                <w:rFonts w:hint="default" w:ascii="宋体" w:hAnsi="宋体" w:eastAsia="宋体" w:cs="宋体"/>
                <w:bCs/>
                <w:color w:val="auto"/>
                <w:sz w:val="22"/>
                <w:highlight w:val="none"/>
                <w:lang w:val="en-US" w:eastAsia="zh-CN"/>
              </w:rPr>
            </w:pPr>
            <w:r>
              <w:rPr>
                <w:rFonts w:hint="eastAsia" w:ascii="宋体" w:hAnsi="宋体" w:eastAsia="宋体" w:cs="宋体"/>
                <w:bCs/>
                <w:color w:val="auto"/>
                <w:sz w:val="24"/>
                <w:szCs w:val="24"/>
                <w:highlight w:val="none"/>
                <w:lang w:val="en-US" w:eastAsia="zh-CN"/>
              </w:rPr>
              <w:t>11</w:t>
            </w:r>
          </w:p>
        </w:tc>
        <w:tc>
          <w:tcPr>
            <w:tcW w:w="2528" w:type="dxa"/>
            <w:noWrap w:val="0"/>
            <w:vAlign w:val="center"/>
          </w:tcPr>
          <w:p w14:paraId="7A66586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Cs/>
                <w:color w:val="auto"/>
                <w:sz w:val="24"/>
                <w:szCs w:val="28"/>
                <w:highlight w:val="none"/>
                <w:lang w:eastAsia="zh-CN"/>
              </w:rPr>
            </w:pPr>
            <w:r>
              <w:rPr>
                <w:rFonts w:hint="eastAsia" w:ascii="宋体" w:hAnsi="宋体" w:cs="宋体"/>
                <w:bCs/>
                <w:color w:val="auto"/>
                <w:sz w:val="24"/>
                <w:szCs w:val="28"/>
                <w:highlight w:val="none"/>
                <w:lang w:val="en-US" w:eastAsia="zh-CN"/>
              </w:rPr>
              <w:t>服务</w:t>
            </w:r>
            <w:r>
              <w:rPr>
                <w:rFonts w:hint="eastAsia" w:ascii="宋体" w:hAnsi="宋体" w:eastAsia="宋体" w:cs="宋体"/>
                <w:bCs/>
                <w:color w:val="auto"/>
                <w:sz w:val="24"/>
                <w:szCs w:val="28"/>
                <w:highlight w:val="none"/>
              </w:rPr>
              <w:t>地点</w:t>
            </w:r>
          </w:p>
        </w:tc>
        <w:tc>
          <w:tcPr>
            <w:tcW w:w="6285" w:type="dxa"/>
            <w:noWrap w:val="0"/>
            <w:vAlign w:val="center"/>
          </w:tcPr>
          <w:p w14:paraId="7B0FA50C">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宋体"/>
                <w:bCs/>
                <w:color w:val="auto"/>
                <w:sz w:val="24"/>
                <w:szCs w:val="28"/>
                <w:highlight w:val="none"/>
                <w:lang w:val="en-US" w:eastAsia="zh-CN"/>
              </w:rPr>
            </w:pPr>
            <w:r>
              <w:rPr>
                <w:rFonts w:hint="eastAsia" w:ascii="宋体" w:hAnsi="宋体" w:cs="宋体"/>
                <w:color w:val="auto"/>
                <w:spacing w:val="6"/>
                <w:kern w:val="2"/>
                <w:sz w:val="24"/>
                <w:szCs w:val="24"/>
                <w:highlight w:val="none"/>
                <w:lang w:val="en-US" w:eastAsia="zh-CN"/>
              </w:rPr>
              <w:t>卢氏县</w:t>
            </w:r>
          </w:p>
        </w:tc>
      </w:tr>
      <w:tr w14:paraId="2A9E10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5" w:hRule="atLeast"/>
        </w:trPr>
        <w:tc>
          <w:tcPr>
            <w:tcW w:w="952" w:type="dxa"/>
            <w:noWrap w:val="0"/>
            <w:vAlign w:val="center"/>
          </w:tcPr>
          <w:p w14:paraId="7DE4F84C">
            <w:pPr>
              <w:keepNext w:val="0"/>
              <w:keepLines w:val="0"/>
              <w:pageBreakBefore w:val="0"/>
              <w:widowControl w:val="0"/>
              <w:kinsoku/>
              <w:overflowPunct/>
              <w:topLinePunct w:val="0"/>
              <w:autoSpaceDE/>
              <w:autoSpaceDN/>
              <w:bidi w:val="0"/>
              <w:spacing w:line="288" w:lineRule="auto"/>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12</w:t>
            </w:r>
          </w:p>
        </w:tc>
        <w:tc>
          <w:tcPr>
            <w:tcW w:w="2528" w:type="dxa"/>
            <w:noWrap w:val="0"/>
            <w:vAlign w:val="center"/>
          </w:tcPr>
          <w:p w14:paraId="59FE056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bCs/>
                <w:color w:val="auto"/>
                <w:sz w:val="24"/>
                <w:szCs w:val="28"/>
                <w:highlight w:val="none"/>
                <w:lang w:val="en-US" w:eastAsia="zh-CN"/>
              </w:rPr>
            </w:pPr>
            <w:r>
              <w:rPr>
                <w:rFonts w:hint="eastAsia" w:ascii="宋体" w:hAnsi="宋体" w:cs="宋体"/>
                <w:bCs/>
                <w:color w:val="auto"/>
                <w:sz w:val="24"/>
                <w:szCs w:val="28"/>
                <w:highlight w:val="none"/>
                <w:lang w:val="en-US" w:eastAsia="zh-CN"/>
              </w:rPr>
              <w:t>磋商范围</w:t>
            </w:r>
          </w:p>
        </w:tc>
        <w:tc>
          <w:tcPr>
            <w:tcW w:w="6285" w:type="dxa"/>
            <w:noWrap w:val="0"/>
            <w:vAlign w:val="center"/>
          </w:tcPr>
          <w:p w14:paraId="06091E35">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竞争性磋商文件范围所表示的所有内容</w:t>
            </w:r>
          </w:p>
        </w:tc>
      </w:tr>
      <w:tr w14:paraId="41EC2B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952" w:type="dxa"/>
            <w:tcBorders>
              <w:top w:val="single" w:color="auto" w:sz="6" w:space="0"/>
              <w:bottom w:val="single" w:color="auto" w:sz="6" w:space="0"/>
              <w:right w:val="single" w:color="auto" w:sz="6" w:space="0"/>
            </w:tcBorders>
            <w:noWrap w:val="0"/>
            <w:vAlign w:val="center"/>
          </w:tcPr>
          <w:p w14:paraId="5386C167">
            <w:pPr>
              <w:keepNext w:val="0"/>
              <w:keepLines w:val="0"/>
              <w:pageBreakBefore w:val="0"/>
              <w:widowControl w:val="0"/>
              <w:kinsoku/>
              <w:overflowPunct/>
              <w:topLinePunct w:val="0"/>
              <w:autoSpaceDE/>
              <w:autoSpaceDN/>
              <w:bidi w:val="0"/>
              <w:adjustRightInd w:val="0"/>
              <w:spacing w:line="288" w:lineRule="auto"/>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13</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7FC03B27">
            <w:pPr>
              <w:keepNext w:val="0"/>
              <w:keepLines w:val="0"/>
              <w:pageBreakBefore w:val="0"/>
              <w:widowControl w:val="0"/>
              <w:kinsoku/>
              <w:overflowPunct/>
              <w:topLinePunct w:val="0"/>
              <w:autoSpaceDE/>
              <w:autoSpaceDN/>
              <w:bidi w:val="0"/>
              <w:adjustRightInd w:val="0"/>
              <w:spacing w:line="288" w:lineRule="auto"/>
              <w:jc w:val="center"/>
              <w:textAlignment w:val="auto"/>
              <w:rPr>
                <w:rFonts w:ascii="宋体" w:hAnsi="宋体" w:cs="宋体"/>
                <w:color w:val="auto"/>
                <w:spacing w:val="-40"/>
                <w:kern w:val="2"/>
                <w:sz w:val="24"/>
                <w:szCs w:val="24"/>
                <w:highlight w:val="none"/>
              </w:rPr>
            </w:pPr>
            <w:r>
              <w:rPr>
                <w:rFonts w:ascii="宋体" w:hAnsi="宋体" w:cs="宋体"/>
                <w:color w:val="auto"/>
                <w:kern w:val="2"/>
                <w:sz w:val="24"/>
                <w:szCs w:val="24"/>
                <w:highlight w:val="none"/>
              </w:rPr>
              <w:t>供应商</w:t>
            </w:r>
            <w:r>
              <w:rPr>
                <w:rFonts w:hint="eastAsia" w:ascii="宋体" w:hAnsi="宋体" w:cs="宋体"/>
                <w:color w:val="auto"/>
                <w:kern w:val="2"/>
                <w:sz w:val="24"/>
                <w:szCs w:val="24"/>
                <w:highlight w:val="none"/>
                <w:lang w:val="en-US" w:eastAsia="zh-CN"/>
              </w:rPr>
              <w:t>资格</w:t>
            </w:r>
            <w:r>
              <w:rPr>
                <w:rFonts w:ascii="宋体" w:hAnsi="宋体" w:cs="宋体"/>
                <w:color w:val="auto"/>
                <w:kern w:val="2"/>
                <w:sz w:val="24"/>
                <w:szCs w:val="24"/>
                <w:highlight w:val="none"/>
              </w:rPr>
              <w:t>要求</w:t>
            </w:r>
          </w:p>
        </w:tc>
        <w:tc>
          <w:tcPr>
            <w:tcW w:w="6285" w:type="dxa"/>
            <w:tcBorders>
              <w:top w:val="single" w:color="auto" w:sz="6" w:space="0"/>
              <w:left w:val="single" w:color="auto" w:sz="6" w:space="0"/>
              <w:bottom w:val="single" w:color="auto" w:sz="6" w:space="0"/>
            </w:tcBorders>
            <w:noWrap w:val="0"/>
            <w:vAlign w:val="center"/>
          </w:tcPr>
          <w:p w14:paraId="0603B45A">
            <w:pPr>
              <w:keepNext w:val="0"/>
              <w:keepLines w:val="0"/>
              <w:pageBreakBefore w:val="0"/>
              <w:widowControl w:val="0"/>
              <w:shd w:val="clear" w:color="auto" w:fill="FFFFFF"/>
              <w:kinsoku/>
              <w:overflowPunct/>
              <w:topLinePunct w:val="0"/>
              <w:autoSpaceDE/>
              <w:autoSpaceDN/>
              <w:bidi w:val="0"/>
              <w:spacing w:line="288" w:lineRule="auto"/>
              <w:textAlignment w:val="auto"/>
              <w:rPr>
                <w:rFonts w:ascii="宋体" w:hAnsi="宋体" w:cs="宋体"/>
                <w:color w:val="auto"/>
                <w:kern w:val="2"/>
                <w:sz w:val="24"/>
                <w:szCs w:val="24"/>
                <w:highlight w:val="none"/>
              </w:rPr>
            </w:pPr>
            <w:r>
              <w:rPr>
                <w:rFonts w:hint="eastAsia" w:ascii="宋体" w:hAnsi="宋体" w:cs="宋体"/>
                <w:color w:val="auto"/>
                <w:spacing w:val="6"/>
                <w:kern w:val="2"/>
                <w:sz w:val="24"/>
                <w:szCs w:val="24"/>
                <w:highlight w:val="none"/>
              </w:rPr>
              <w:t>具体详见公告部分</w:t>
            </w:r>
          </w:p>
        </w:tc>
      </w:tr>
      <w:tr w14:paraId="451681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952" w:type="dxa"/>
            <w:tcBorders>
              <w:top w:val="single" w:color="auto" w:sz="6" w:space="0"/>
              <w:bottom w:val="single" w:color="auto" w:sz="6" w:space="0"/>
              <w:right w:val="single" w:color="auto" w:sz="6" w:space="0"/>
            </w:tcBorders>
            <w:noWrap w:val="0"/>
            <w:vAlign w:val="center"/>
          </w:tcPr>
          <w:p w14:paraId="040E1A3D">
            <w:pPr>
              <w:keepNext w:val="0"/>
              <w:keepLines w:val="0"/>
              <w:pageBreakBefore w:val="0"/>
              <w:widowControl w:val="0"/>
              <w:shd w:val="clear" w:color="auto" w:fill="FFFFFF"/>
              <w:kinsoku/>
              <w:overflowPunct/>
              <w:topLinePunct w:val="0"/>
              <w:autoSpaceDE/>
              <w:autoSpaceDN/>
              <w:bidi w:val="0"/>
              <w:spacing w:line="288" w:lineRule="auto"/>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14</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4D988B47">
            <w:pPr>
              <w:keepNext w:val="0"/>
              <w:keepLines w:val="0"/>
              <w:pageBreakBefore w:val="0"/>
              <w:widowControl w:val="0"/>
              <w:shd w:val="clear" w:color="auto" w:fill="FFFFFF"/>
              <w:kinsoku/>
              <w:overflowPunct/>
              <w:topLinePunct w:val="0"/>
              <w:autoSpaceDE/>
              <w:autoSpaceDN/>
              <w:bidi w:val="0"/>
              <w:spacing w:line="288" w:lineRule="auto"/>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开标时间和地点</w:t>
            </w:r>
          </w:p>
        </w:tc>
        <w:tc>
          <w:tcPr>
            <w:tcW w:w="6285" w:type="dxa"/>
            <w:tcBorders>
              <w:top w:val="single" w:color="auto" w:sz="6" w:space="0"/>
              <w:left w:val="single" w:color="auto" w:sz="6" w:space="0"/>
              <w:bottom w:val="single" w:color="auto" w:sz="6" w:space="0"/>
            </w:tcBorders>
            <w:noWrap w:val="0"/>
            <w:vAlign w:val="center"/>
          </w:tcPr>
          <w:p w14:paraId="0FD909D1">
            <w:pPr>
              <w:keepNext w:val="0"/>
              <w:keepLines w:val="0"/>
              <w:pageBreakBefore w:val="0"/>
              <w:widowControl w:val="0"/>
              <w:shd w:val="clear" w:color="auto" w:fill="FFFFFF"/>
              <w:kinsoku/>
              <w:overflowPunct/>
              <w:topLinePunct w:val="0"/>
              <w:autoSpaceDE/>
              <w:autoSpaceDN/>
              <w:bidi w:val="0"/>
              <w:spacing w:line="288" w:lineRule="auto"/>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具体详见公告部分</w:t>
            </w:r>
          </w:p>
        </w:tc>
      </w:tr>
      <w:tr w14:paraId="43A38A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2" w:type="dxa"/>
            <w:tcBorders>
              <w:top w:val="single" w:color="auto" w:sz="6" w:space="0"/>
              <w:bottom w:val="single" w:color="auto" w:sz="6" w:space="0"/>
              <w:right w:val="single" w:color="auto" w:sz="6" w:space="0"/>
            </w:tcBorders>
            <w:noWrap w:val="0"/>
            <w:vAlign w:val="center"/>
          </w:tcPr>
          <w:p w14:paraId="23227380">
            <w:pPr>
              <w:keepNext w:val="0"/>
              <w:keepLines w:val="0"/>
              <w:pageBreakBefore w:val="0"/>
              <w:widowControl w:val="0"/>
              <w:kinsoku/>
              <w:overflowPunct/>
              <w:topLinePunct w:val="0"/>
              <w:autoSpaceDE/>
              <w:autoSpaceDN/>
              <w:bidi w:val="0"/>
              <w:adjustRightInd w:val="0"/>
              <w:spacing w:line="288" w:lineRule="auto"/>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15</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3289C907">
            <w:pPr>
              <w:keepNext w:val="0"/>
              <w:keepLines w:val="0"/>
              <w:pageBreakBefore w:val="0"/>
              <w:widowControl w:val="0"/>
              <w:kinsoku/>
              <w:overflowPunct/>
              <w:topLinePunct w:val="0"/>
              <w:autoSpaceDE/>
              <w:autoSpaceDN/>
              <w:bidi w:val="0"/>
              <w:adjustRightInd w:val="0"/>
              <w:spacing w:line="288" w:lineRule="auto"/>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是否接受联合体投标</w:t>
            </w:r>
          </w:p>
        </w:tc>
        <w:tc>
          <w:tcPr>
            <w:tcW w:w="6285" w:type="dxa"/>
            <w:tcBorders>
              <w:top w:val="single" w:color="auto" w:sz="6" w:space="0"/>
              <w:left w:val="single" w:color="auto" w:sz="6" w:space="0"/>
              <w:bottom w:val="single" w:color="auto" w:sz="6" w:space="0"/>
            </w:tcBorders>
            <w:noWrap w:val="0"/>
            <w:vAlign w:val="center"/>
          </w:tcPr>
          <w:p w14:paraId="7BEBED56">
            <w:pPr>
              <w:keepNext w:val="0"/>
              <w:keepLines w:val="0"/>
              <w:pageBreakBefore w:val="0"/>
              <w:widowControl w:val="0"/>
              <w:kinsoku/>
              <w:overflowPunct/>
              <w:topLinePunct w:val="0"/>
              <w:autoSpaceDE/>
              <w:autoSpaceDN/>
              <w:bidi w:val="0"/>
              <w:adjustRightInd w:val="0"/>
              <w:spacing w:line="288" w:lineRule="auto"/>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不接受</w:t>
            </w:r>
          </w:p>
        </w:tc>
      </w:tr>
      <w:tr w14:paraId="30EBD3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952" w:type="dxa"/>
            <w:tcBorders>
              <w:top w:val="single" w:color="auto" w:sz="6" w:space="0"/>
              <w:bottom w:val="single" w:color="auto" w:sz="6" w:space="0"/>
              <w:right w:val="single" w:color="auto" w:sz="6" w:space="0"/>
            </w:tcBorders>
            <w:noWrap w:val="0"/>
            <w:vAlign w:val="center"/>
          </w:tcPr>
          <w:p w14:paraId="25B8261B">
            <w:pPr>
              <w:keepNext w:val="0"/>
              <w:keepLines w:val="0"/>
              <w:pageBreakBefore w:val="0"/>
              <w:widowControl w:val="0"/>
              <w:kinsoku/>
              <w:overflowPunct/>
              <w:topLinePunct w:val="0"/>
              <w:autoSpaceDE/>
              <w:autoSpaceDN/>
              <w:bidi w:val="0"/>
              <w:adjustRightInd w:val="0"/>
              <w:spacing w:line="288" w:lineRule="auto"/>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16</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1D8C3CE5">
            <w:pPr>
              <w:keepNext w:val="0"/>
              <w:keepLines w:val="0"/>
              <w:pageBreakBefore w:val="0"/>
              <w:widowControl w:val="0"/>
              <w:kinsoku/>
              <w:overflowPunct/>
              <w:topLinePunct w:val="0"/>
              <w:autoSpaceDE/>
              <w:autoSpaceDN/>
              <w:bidi w:val="0"/>
              <w:adjustRightInd w:val="0"/>
              <w:spacing w:line="288" w:lineRule="auto"/>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踏勘现场</w:t>
            </w:r>
          </w:p>
        </w:tc>
        <w:tc>
          <w:tcPr>
            <w:tcW w:w="6285" w:type="dxa"/>
            <w:tcBorders>
              <w:top w:val="single" w:color="auto" w:sz="6" w:space="0"/>
              <w:left w:val="single" w:color="auto" w:sz="6" w:space="0"/>
              <w:bottom w:val="single" w:color="auto" w:sz="6" w:space="0"/>
            </w:tcBorders>
            <w:noWrap w:val="0"/>
            <w:vAlign w:val="center"/>
          </w:tcPr>
          <w:p w14:paraId="45382280">
            <w:pPr>
              <w:keepNext w:val="0"/>
              <w:keepLines w:val="0"/>
              <w:pageBreakBefore w:val="0"/>
              <w:widowControl w:val="0"/>
              <w:kinsoku/>
              <w:overflowPunct/>
              <w:topLinePunct w:val="0"/>
              <w:autoSpaceDE/>
              <w:autoSpaceDN/>
              <w:bidi w:val="0"/>
              <w:adjustRightInd w:val="0"/>
              <w:spacing w:line="288" w:lineRule="auto"/>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不组织</w:t>
            </w:r>
          </w:p>
        </w:tc>
      </w:tr>
      <w:tr w14:paraId="34F6BC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7" w:hRule="atLeast"/>
        </w:trPr>
        <w:tc>
          <w:tcPr>
            <w:tcW w:w="952" w:type="dxa"/>
            <w:tcBorders>
              <w:top w:val="single" w:color="auto" w:sz="6" w:space="0"/>
              <w:bottom w:val="single" w:color="auto" w:sz="6" w:space="0"/>
              <w:right w:val="single" w:color="auto" w:sz="6" w:space="0"/>
            </w:tcBorders>
            <w:noWrap w:val="0"/>
            <w:vAlign w:val="center"/>
          </w:tcPr>
          <w:p w14:paraId="57BEA5EC">
            <w:pPr>
              <w:keepNext w:val="0"/>
              <w:keepLines w:val="0"/>
              <w:pageBreakBefore w:val="0"/>
              <w:widowControl w:val="0"/>
              <w:kinsoku/>
              <w:overflowPunct/>
              <w:topLinePunct w:val="0"/>
              <w:autoSpaceDE/>
              <w:autoSpaceDN/>
              <w:bidi w:val="0"/>
              <w:adjustRightInd w:val="0"/>
              <w:spacing w:line="288" w:lineRule="auto"/>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17</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3C939506">
            <w:pPr>
              <w:keepNext w:val="0"/>
              <w:keepLines w:val="0"/>
              <w:pageBreakBefore w:val="0"/>
              <w:widowControl w:val="0"/>
              <w:kinsoku/>
              <w:overflowPunct/>
              <w:topLinePunct w:val="0"/>
              <w:autoSpaceDE/>
              <w:autoSpaceDN/>
              <w:bidi w:val="0"/>
              <w:adjustRightInd w:val="0"/>
              <w:spacing w:line="288" w:lineRule="auto"/>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投标预备会</w:t>
            </w:r>
          </w:p>
        </w:tc>
        <w:tc>
          <w:tcPr>
            <w:tcW w:w="6285" w:type="dxa"/>
            <w:tcBorders>
              <w:top w:val="single" w:color="auto" w:sz="6" w:space="0"/>
              <w:left w:val="single" w:color="auto" w:sz="6" w:space="0"/>
              <w:bottom w:val="single" w:color="auto" w:sz="6" w:space="0"/>
            </w:tcBorders>
            <w:noWrap w:val="0"/>
            <w:vAlign w:val="center"/>
          </w:tcPr>
          <w:p w14:paraId="16C80A92">
            <w:pPr>
              <w:keepNext w:val="0"/>
              <w:keepLines w:val="0"/>
              <w:pageBreakBefore w:val="0"/>
              <w:widowControl w:val="0"/>
              <w:kinsoku/>
              <w:overflowPunct/>
              <w:topLinePunct w:val="0"/>
              <w:autoSpaceDE/>
              <w:autoSpaceDN/>
              <w:bidi w:val="0"/>
              <w:adjustRightInd w:val="0"/>
              <w:spacing w:line="288" w:lineRule="auto"/>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不召开</w:t>
            </w:r>
          </w:p>
        </w:tc>
      </w:tr>
      <w:tr w14:paraId="3811FC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952" w:type="dxa"/>
            <w:tcBorders>
              <w:top w:val="single" w:color="auto" w:sz="6" w:space="0"/>
              <w:bottom w:val="single" w:color="auto" w:sz="6" w:space="0"/>
              <w:right w:val="single" w:color="auto" w:sz="6" w:space="0"/>
            </w:tcBorders>
            <w:noWrap w:val="0"/>
            <w:vAlign w:val="center"/>
          </w:tcPr>
          <w:p w14:paraId="2FB96BE3">
            <w:pPr>
              <w:keepNext w:val="0"/>
              <w:keepLines w:val="0"/>
              <w:pageBreakBefore w:val="0"/>
              <w:widowControl w:val="0"/>
              <w:kinsoku/>
              <w:overflowPunct/>
              <w:topLinePunct w:val="0"/>
              <w:autoSpaceDE/>
              <w:autoSpaceDN/>
              <w:bidi w:val="0"/>
              <w:adjustRightInd w:val="0"/>
              <w:spacing w:line="288" w:lineRule="auto"/>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18</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28C0EEFA">
            <w:pPr>
              <w:keepNext w:val="0"/>
              <w:keepLines w:val="0"/>
              <w:pageBreakBefore w:val="0"/>
              <w:widowControl w:val="0"/>
              <w:kinsoku/>
              <w:overflowPunct/>
              <w:topLinePunct w:val="0"/>
              <w:autoSpaceDE/>
              <w:autoSpaceDN/>
              <w:bidi w:val="0"/>
              <w:adjustRightInd w:val="0"/>
              <w:spacing w:line="288" w:lineRule="auto"/>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分包</w:t>
            </w:r>
          </w:p>
        </w:tc>
        <w:tc>
          <w:tcPr>
            <w:tcW w:w="6285" w:type="dxa"/>
            <w:tcBorders>
              <w:top w:val="single" w:color="auto" w:sz="6" w:space="0"/>
              <w:left w:val="single" w:color="auto" w:sz="6" w:space="0"/>
              <w:bottom w:val="single" w:color="auto" w:sz="6" w:space="0"/>
            </w:tcBorders>
            <w:noWrap w:val="0"/>
            <w:vAlign w:val="center"/>
          </w:tcPr>
          <w:p w14:paraId="43241D24">
            <w:pPr>
              <w:keepNext w:val="0"/>
              <w:keepLines w:val="0"/>
              <w:pageBreakBefore w:val="0"/>
              <w:widowControl w:val="0"/>
              <w:kinsoku/>
              <w:overflowPunct/>
              <w:topLinePunct w:val="0"/>
              <w:autoSpaceDE/>
              <w:autoSpaceDN/>
              <w:bidi w:val="0"/>
              <w:adjustRightInd w:val="0"/>
              <w:spacing w:line="288" w:lineRule="auto"/>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不允许</w:t>
            </w:r>
          </w:p>
        </w:tc>
      </w:tr>
      <w:tr w14:paraId="789558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952" w:type="dxa"/>
            <w:tcBorders>
              <w:top w:val="single" w:color="auto" w:sz="6" w:space="0"/>
              <w:bottom w:val="single" w:color="auto" w:sz="6" w:space="0"/>
              <w:right w:val="single" w:color="auto" w:sz="6" w:space="0"/>
            </w:tcBorders>
            <w:noWrap w:val="0"/>
            <w:vAlign w:val="center"/>
          </w:tcPr>
          <w:p w14:paraId="07D72431">
            <w:pPr>
              <w:keepNext w:val="0"/>
              <w:keepLines w:val="0"/>
              <w:pageBreakBefore w:val="0"/>
              <w:widowControl w:val="0"/>
              <w:kinsoku/>
              <w:overflowPunct/>
              <w:topLinePunct w:val="0"/>
              <w:autoSpaceDE/>
              <w:autoSpaceDN/>
              <w:bidi w:val="0"/>
              <w:adjustRightInd w:val="0"/>
              <w:spacing w:line="288" w:lineRule="auto"/>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19</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07201EBB">
            <w:pPr>
              <w:keepNext w:val="0"/>
              <w:keepLines w:val="0"/>
              <w:pageBreakBefore w:val="0"/>
              <w:widowControl w:val="0"/>
              <w:kinsoku/>
              <w:overflowPunct/>
              <w:topLinePunct w:val="0"/>
              <w:autoSpaceDE/>
              <w:autoSpaceDN/>
              <w:bidi w:val="0"/>
              <w:adjustRightInd w:val="0"/>
              <w:spacing w:line="288" w:lineRule="auto"/>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偏离</w:t>
            </w:r>
          </w:p>
        </w:tc>
        <w:tc>
          <w:tcPr>
            <w:tcW w:w="6285" w:type="dxa"/>
            <w:tcBorders>
              <w:top w:val="single" w:color="auto" w:sz="6" w:space="0"/>
              <w:left w:val="single" w:color="auto" w:sz="6" w:space="0"/>
              <w:bottom w:val="single" w:color="auto" w:sz="6" w:space="0"/>
            </w:tcBorders>
            <w:noWrap w:val="0"/>
            <w:vAlign w:val="center"/>
          </w:tcPr>
          <w:p w14:paraId="3FC632E5">
            <w:pPr>
              <w:keepNext w:val="0"/>
              <w:keepLines w:val="0"/>
              <w:pageBreakBefore w:val="0"/>
              <w:widowControl w:val="0"/>
              <w:kinsoku/>
              <w:overflowPunct/>
              <w:topLinePunct w:val="0"/>
              <w:autoSpaceDE/>
              <w:autoSpaceDN/>
              <w:bidi w:val="0"/>
              <w:adjustRightInd w:val="0"/>
              <w:spacing w:line="288" w:lineRule="auto"/>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不</w:t>
            </w:r>
            <w:r>
              <w:rPr>
                <w:rFonts w:hint="eastAsia" w:ascii="宋体" w:hAnsi="宋体" w:cs="宋体"/>
                <w:color w:val="auto"/>
                <w:spacing w:val="6"/>
                <w:kern w:val="2"/>
                <w:sz w:val="24"/>
                <w:szCs w:val="24"/>
                <w:highlight w:val="none"/>
              </w:rPr>
              <w:t>允许</w:t>
            </w:r>
          </w:p>
        </w:tc>
      </w:tr>
      <w:tr w14:paraId="64CC21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952" w:type="dxa"/>
            <w:tcBorders>
              <w:top w:val="single" w:color="auto" w:sz="6" w:space="0"/>
              <w:bottom w:val="single" w:color="auto" w:sz="6" w:space="0"/>
              <w:right w:val="single" w:color="auto" w:sz="6" w:space="0"/>
            </w:tcBorders>
            <w:noWrap w:val="0"/>
            <w:vAlign w:val="center"/>
          </w:tcPr>
          <w:p w14:paraId="0E1D7507">
            <w:pPr>
              <w:keepNext w:val="0"/>
              <w:keepLines w:val="0"/>
              <w:pageBreakBefore w:val="0"/>
              <w:widowControl w:val="0"/>
              <w:kinsoku/>
              <w:overflowPunct/>
              <w:topLinePunct w:val="0"/>
              <w:autoSpaceDE/>
              <w:autoSpaceDN/>
              <w:bidi w:val="0"/>
              <w:adjustRightInd w:val="0"/>
              <w:spacing w:line="288" w:lineRule="auto"/>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20</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4FBED682">
            <w:pPr>
              <w:keepNext w:val="0"/>
              <w:keepLines w:val="0"/>
              <w:pageBreakBefore w:val="0"/>
              <w:widowControl w:val="0"/>
              <w:kinsoku/>
              <w:overflowPunct/>
              <w:topLinePunct w:val="0"/>
              <w:autoSpaceDE/>
              <w:autoSpaceDN/>
              <w:bidi w:val="0"/>
              <w:adjustRightInd w:val="0"/>
              <w:spacing w:line="288" w:lineRule="auto"/>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是否接受进口产品</w:t>
            </w:r>
          </w:p>
        </w:tc>
        <w:tc>
          <w:tcPr>
            <w:tcW w:w="6285" w:type="dxa"/>
            <w:tcBorders>
              <w:top w:val="single" w:color="auto" w:sz="6" w:space="0"/>
              <w:left w:val="single" w:color="auto" w:sz="6" w:space="0"/>
              <w:bottom w:val="single" w:color="auto" w:sz="6" w:space="0"/>
            </w:tcBorders>
            <w:noWrap w:val="0"/>
            <w:vAlign w:val="center"/>
          </w:tcPr>
          <w:p w14:paraId="4A26D185">
            <w:pPr>
              <w:keepNext w:val="0"/>
              <w:keepLines w:val="0"/>
              <w:pageBreakBefore w:val="0"/>
              <w:widowControl w:val="0"/>
              <w:kinsoku/>
              <w:overflowPunct/>
              <w:topLinePunct w:val="0"/>
              <w:autoSpaceDE/>
              <w:autoSpaceDN/>
              <w:bidi w:val="0"/>
              <w:adjustRightInd w:val="0"/>
              <w:spacing w:line="288" w:lineRule="auto"/>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否</w:t>
            </w:r>
          </w:p>
        </w:tc>
      </w:tr>
      <w:tr w14:paraId="3A6557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2" w:hRule="atLeast"/>
        </w:trPr>
        <w:tc>
          <w:tcPr>
            <w:tcW w:w="952" w:type="dxa"/>
            <w:tcBorders>
              <w:top w:val="single" w:color="auto" w:sz="6" w:space="0"/>
              <w:bottom w:val="single" w:color="auto" w:sz="6" w:space="0"/>
              <w:right w:val="single" w:color="auto" w:sz="6" w:space="0"/>
            </w:tcBorders>
            <w:noWrap w:val="0"/>
            <w:vAlign w:val="center"/>
          </w:tcPr>
          <w:p w14:paraId="3662EC80">
            <w:pPr>
              <w:keepNext w:val="0"/>
              <w:keepLines w:val="0"/>
              <w:pageBreakBefore w:val="0"/>
              <w:widowControl w:val="0"/>
              <w:kinsoku/>
              <w:overflowPunct/>
              <w:topLinePunct w:val="0"/>
              <w:autoSpaceDE/>
              <w:autoSpaceDN/>
              <w:bidi w:val="0"/>
              <w:adjustRightInd w:val="0"/>
              <w:spacing w:line="288" w:lineRule="auto"/>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21</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0D5C1DA5">
            <w:pPr>
              <w:keepNext w:val="0"/>
              <w:keepLines w:val="0"/>
              <w:pageBreakBefore w:val="0"/>
              <w:widowControl w:val="0"/>
              <w:kinsoku/>
              <w:overflowPunct/>
              <w:topLinePunct w:val="0"/>
              <w:autoSpaceDE/>
              <w:autoSpaceDN/>
              <w:bidi w:val="0"/>
              <w:adjustRightInd w:val="0"/>
              <w:spacing w:line="288" w:lineRule="auto"/>
              <w:jc w:val="center"/>
              <w:textAlignment w:val="auto"/>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近年完成的类似项目的业绩年份要求</w:t>
            </w:r>
          </w:p>
        </w:tc>
        <w:tc>
          <w:tcPr>
            <w:tcW w:w="6285" w:type="dxa"/>
            <w:tcBorders>
              <w:top w:val="single" w:color="auto" w:sz="6" w:space="0"/>
              <w:left w:val="single" w:color="auto" w:sz="6" w:space="0"/>
              <w:bottom w:val="single" w:color="auto" w:sz="6" w:space="0"/>
            </w:tcBorders>
            <w:noWrap w:val="0"/>
            <w:vAlign w:val="center"/>
          </w:tcPr>
          <w:p w14:paraId="47E25F53">
            <w:pPr>
              <w:keepNext w:val="0"/>
              <w:keepLines w:val="0"/>
              <w:pageBreakBefore w:val="0"/>
              <w:widowControl w:val="0"/>
              <w:kinsoku/>
              <w:overflowPunct/>
              <w:topLinePunct w:val="0"/>
              <w:autoSpaceDE/>
              <w:autoSpaceDN/>
              <w:bidi w:val="0"/>
              <w:adjustRightInd w:val="0"/>
              <w:spacing w:line="288" w:lineRule="auto"/>
              <w:jc w:val="both"/>
              <w:textAlignment w:val="auto"/>
              <w:rPr>
                <w:rFonts w:ascii="宋体" w:hAnsi="宋体" w:cs="宋体"/>
                <w:color w:val="0000FF"/>
                <w:spacing w:val="-10"/>
                <w:kern w:val="2"/>
                <w:sz w:val="24"/>
                <w:szCs w:val="24"/>
                <w:highlight w:val="none"/>
              </w:rPr>
            </w:pPr>
            <w:r>
              <w:rPr>
                <w:rFonts w:hint="eastAsia" w:ascii="宋体" w:hAnsi="宋体" w:cs="宋体"/>
                <w:color w:val="auto"/>
                <w:spacing w:val="-10"/>
                <w:kern w:val="2"/>
                <w:sz w:val="24"/>
                <w:szCs w:val="24"/>
                <w:highlight w:val="none"/>
              </w:rPr>
              <w:t>20</w:t>
            </w:r>
            <w:r>
              <w:rPr>
                <w:rFonts w:hint="eastAsia" w:ascii="宋体" w:hAnsi="宋体" w:cs="宋体"/>
                <w:color w:val="auto"/>
                <w:spacing w:val="-10"/>
                <w:kern w:val="2"/>
                <w:sz w:val="24"/>
                <w:szCs w:val="24"/>
                <w:highlight w:val="none"/>
                <w:lang w:val="en-US" w:eastAsia="zh-CN"/>
              </w:rPr>
              <w:t>23</w:t>
            </w:r>
            <w:r>
              <w:rPr>
                <w:rFonts w:hint="eastAsia" w:ascii="宋体" w:hAnsi="宋体" w:cs="宋体"/>
                <w:color w:val="auto"/>
                <w:spacing w:val="-10"/>
                <w:kern w:val="2"/>
                <w:sz w:val="24"/>
                <w:szCs w:val="24"/>
                <w:highlight w:val="none"/>
              </w:rPr>
              <w:t>年01月01日以来完</w:t>
            </w:r>
            <w:r>
              <w:rPr>
                <w:rFonts w:hint="eastAsia" w:ascii="宋体" w:hAnsi="宋体" w:eastAsia="宋体" w:cs="宋体"/>
                <w:color w:val="auto"/>
                <w:kern w:val="2"/>
                <w:sz w:val="24"/>
                <w:szCs w:val="24"/>
                <w:highlight w:val="none"/>
                <w:lang w:val="en-US" w:eastAsia="zh-CN" w:bidi="ar-SA"/>
              </w:rPr>
              <w:t>成的气候可行性论证报告合同业绩</w:t>
            </w:r>
            <w:bookmarkStart w:id="204" w:name="_GoBack"/>
            <w:bookmarkEnd w:id="204"/>
            <w:r>
              <w:rPr>
                <w:rFonts w:hint="eastAsia" w:ascii="宋体" w:hAnsi="宋体" w:cs="宋体"/>
                <w:color w:val="auto"/>
                <w:spacing w:val="-10"/>
                <w:kern w:val="2"/>
                <w:sz w:val="24"/>
                <w:szCs w:val="24"/>
                <w:highlight w:val="none"/>
              </w:rPr>
              <w:t>（以合同签订时间为准）</w:t>
            </w:r>
          </w:p>
        </w:tc>
      </w:tr>
      <w:tr w14:paraId="02859C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952" w:type="dxa"/>
            <w:tcBorders>
              <w:top w:val="single" w:color="auto" w:sz="6" w:space="0"/>
              <w:bottom w:val="single" w:color="auto" w:sz="6" w:space="0"/>
              <w:right w:val="single" w:color="auto" w:sz="6" w:space="0"/>
            </w:tcBorders>
            <w:noWrap w:val="0"/>
            <w:vAlign w:val="center"/>
          </w:tcPr>
          <w:p w14:paraId="16B18DE5">
            <w:pPr>
              <w:keepNext w:val="0"/>
              <w:keepLines w:val="0"/>
              <w:pageBreakBefore w:val="0"/>
              <w:widowControl w:val="0"/>
              <w:kinsoku/>
              <w:overflowPunct/>
              <w:topLinePunct w:val="0"/>
              <w:autoSpaceDE/>
              <w:autoSpaceDN/>
              <w:bidi w:val="0"/>
              <w:adjustRightInd w:val="0"/>
              <w:spacing w:line="288" w:lineRule="auto"/>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22</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34C94D81">
            <w:pPr>
              <w:keepNext w:val="0"/>
              <w:keepLines w:val="0"/>
              <w:pageBreakBefore w:val="0"/>
              <w:widowControl w:val="0"/>
              <w:kinsoku/>
              <w:overflowPunct/>
              <w:topLinePunct w:val="0"/>
              <w:autoSpaceDE/>
              <w:autoSpaceDN/>
              <w:bidi w:val="0"/>
              <w:spacing w:line="288" w:lineRule="auto"/>
              <w:jc w:val="center"/>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rPr>
              <w:t>近年财务状况的要求</w:t>
            </w:r>
          </w:p>
        </w:tc>
        <w:tc>
          <w:tcPr>
            <w:tcW w:w="6285" w:type="dxa"/>
            <w:tcBorders>
              <w:top w:val="single" w:color="auto" w:sz="6" w:space="0"/>
              <w:left w:val="single" w:color="auto" w:sz="6" w:space="0"/>
              <w:bottom w:val="single" w:color="auto" w:sz="6" w:space="0"/>
            </w:tcBorders>
            <w:noWrap w:val="0"/>
            <w:vAlign w:val="center"/>
          </w:tcPr>
          <w:p w14:paraId="03332A1B">
            <w:pPr>
              <w:keepNext w:val="0"/>
              <w:keepLines w:val="0"/>
              <w:pageBreakBefore w:val="0"/>
              <w:widowControl w:val="0"/>
              <w:kinsoku/>
              <w:overflowPunct/>
              <w:topLinePunct w:val="0"/>
              <w:autoSpaceDE/>
              <w:autoSpaceDN/>
              <w:bidi w:val="0"/>
              <w:spacing w:line="288" w:lineRule="auto"/>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s="宋体"/>
                <w:color w:val="auto"/>
                <w:spacing w:val="-10"/>
                <w:kern w:val="2"/>
                <w:sz w:val="24"/>
                <w:szCs w:val="24"/>
                <w:highlight w:val="none"/>
                <w:lang w:val="en-US" w:eastAsia="zh-CN"/>
              </w:rPr>
              <w:t>近三年来任意一个年度的财务审计报告或自行承诺；</w:t>
            </w:r>
          </w:p>
        </w:tc>
      </w:tr>
      <w:tr w14:paraId="5F9BE5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5" w:hRule="atLeast"/>
        </w:trPr>
        <w:tc>
          <w:tcPr>
            <w:tcW w:w="952" w:type="dxa"/>
            <w:tcBorders>
              <w:top w:val="single" w:color="auto" w:sz="6" w:space="0"/>
              <w:bottom w:val="single" w:color="auto" w:sz="6" w:space="0"/>
              <w:right w:val="single" w:color="auto" w:sz="6" w:space="0"/>
            </w:tcBorders>
            <w:noWrap w:val="0"/>
            <w:vAlign w:val="center"/>
          </w:tcPr>
          <w:p w14:paraId="692A32FB">
            <w:pPr>
              <w:keepNext w:val="0"/>
              <w:keepLines w:val="0"/>
              <w:pageBreakBefore w:val="0"/>
              <w:widowControl w:val="0"/>
              <w:kinsoku/>
              <w:overflowPunct/>
              <w:topLinePunct w:val="0"/>
              <w:autoSpaceDE/>
              <w:autoSpaceDN/>
              <w:bidi w:val="0"/>
              <w:adjustRightInd w:val="0"/>
              <w:spacing w:line="288" w:lineRule="auto"/>
              <w:jc w:val="center"/>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3</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2380B405">
            <w:pPr>
              <w:keepNext w:val="0"/>
              <w:keepLines w:val="0"/>
              <w:pageBreakBefore w:val="0"/>
              <w:widowControl w:val="0"/>
              <w:kinsoku/>
              <w:overflowPunct/>
              <w:topLinePunct w:val="0"/>
              <w:autoSpaceDE/>
              <w:autoSpaceDN/>
              <w:bidi w:val="0"/>
              <w:adjustRightInd w:val="0"/>
              <w:snapToGrid w:val="0"/>
              <w:spacing w:line="288" w:lineRule="auto"/>
              <w:jc w:val="center"/>
              <w:textAlignment w:val="auto"/>
              <w:rPr>
                <w:rFonts w:ascii="宋体" w:hAnsi="宋体" w:cs="宋体"/>
                <w:color w:val="auto"/>
                <w:spacing w:val="-10"/>
                <w:kern w:val="2"/>
                <w:sz w:val="24"/>
                <w:szCs w:val="24"/>
                <w:highlight w:val="none"/>
              </w:rPr>
            </w:pPr>
            <w:r>
              <w:rPr>
                <w:rFonts w:hint="eastAsia" w:ascii="宋体" w:hAnsi="宋体" w:cs="宋体"/>
                <w:color w:val="auto"/>
                <w:sz w:val="24"/>
                <w:highlight w:val="none"/>
              </w:rPr>
              <w:t>构成磋商文件的其他材料</w:t>
            </w:r>
          </w:p>
        </w:tc>
        <w:tc>
          <w:tcPr>
            <w:tcW w:w="6285" w:type="dxa"/>
            <w:tcBorders>
              <w:top w:val="single" w:color="auto" w:sz="6" w:space="0"/>
              <w:left w:val="single" w:color="auto" w:sz="6" w:space="0"/>
              <w:bottom w:val="single" w:color="auto" w:sz="6" w:space="0"/>
            </w:tcBorders>
            <w:noWrap w:val="0"/>
            <w:vAlign w:val="center"/>
          </w:tcPr>
          <w:p w14:paraId="4159A70C">
            <w:pPr>
              <w:keepNext w:val="0"/>
              <w:keepLines w:val="0"/>
              <w:pageBreakBefore w:val="0"/>
              <w:widowControl w:val="0"/>
              <w:kinsoku/>
              <w:overflowPunct/>
              <w:topLinePunct w:val="0"/>
              <w:autoSpaceDE/>
              <w:autoSpaceDN/>
              <w:bidi w:val="0"/>
              <w:adjustRightInd w:val="0"/>
              <w:snapToGrid w:val="0"/>
              <w:spacing w:line="288" w:lineRule="auto"/>
              <w:textAlignment w:val="auto"/>
              <w:rPr>
                <w:rFonts w:ascii="宋体" w:hAnsi="宋体" w:cs="宋体"/>
                <w:color w:val="auto"/>
                <w:spacing w:val="-10"/>
                <w:kern w:val="2"/>
                <w:sz w:val="24"/>
                <w:szCs w:val="24"/>
                <w:highlight w:val="none"/>
              </w:rPr>
            </w:pPr>
            <w:r>
              <w:rPr>
                <w:rFonts w:hint="eastAsia" w:ascii="宋体" w:hAnsi="宋体" w:cs="宋体"/>
                <w:color w:val="auto"/>
                <w:sz w:val="24"/>
                <w:highlight w:val="none"/>
              </w:rPr>
              <w:t>对磋商文件所作的澄清（含答疑）、修改，补充构成磋商文件的组成部分</w:t>
            </w:r>
          </w:p>
        </w:tc>
      </w:tr>
      <w:tr w14:paraId="7909F9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41" w:hRule="atLeast"/>
        </w:trPr>
        <w:tc>
          <w:tcPr>
            <w:tcW w:w="952" w:type="dxa"/>
            <w:tcBorders>
              <w:top w:val="single" w:color="auto" w:sz="6" w:space="0"/>
              <w:bottom w:val="single" w:color="auto" w:sz="6" w:space="0"/>
              <w:right w:val="single" w:color="auto" w:sz="6" w:space="0"/>
            </w:tcBorders>
            <w:noWrap w:val="0"/>
            <w:vAlign w:val="center"/>
          </w:tcPr>
          <w:p w14:paraId="1ADDC811">
            <w:pPr>
              <w:keepNext w:val="0"/>
              <w:keepLines w:val="0"/>
              <w:pageBreakBefore w:val="0"/>
              <w:widowControl w:val="0"/>
              <w:kinsoku/>
              <w:overflowPunct/>
              <w:topLinePunct w:val="0"/>
              <w:autoSpaceDE/>
              <w:autoSpaceDN/>
              <w:bidi w:val="0"/>
              <w:adjustRightInd w:val="0"/>
              <w:spacing w:line="288" w:lineRule="auto"/>
              <w:jc w:val="center"/>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4</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70DB23E4">
            <w:pPr>
              <w:keepNext w:val="0"/>
              <w:keepLines w:val="0"/>
              <w:pageBreakBefore w:val="0"/>
              <w:widowControl w:val="0"/>
              <w:kinsoku/>
              <w:overflowPunct/>
              <w:topLinePunct w:val="0"/>
              <w:autoSpaceDE/>
              <w:autoSpaceDN/>
              <w:bidi w:val="0"/>
              <w:spacing w:line="288" w:lineRule="auto"/>
              <w:jc w:val="center"/>
              <w:textAlignment w:val="auto"/>
              <w:rPr>
                <w:rFonts w:ascii="宋体" w:hAnsi="宋体" w:cs="宋体"/>
                <w:color w:val="auto"/>
                <w:spacing w:val="-10"/>
                <w:kern w:val="2"/>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要求澄清竞争性磋商文件的截止时间</w:t>
            </w:r>
          </w:p>
        </w:tc>
        <w:tc>
          <w:tcPr>
            <w:tcW w:w="6285" w:type="dxa"/>
            <w:tcBorders>
              <w:top w:val="single" w:color="auto" w:sz="6" w:space="0"/>
              <w:left w:val="single" w:color="auto" w:sz="6" w:space="0"/>
              <w:bottom w:val="single" w:color="auto" w:sz="6" w:space="0"/>
            </w:tcBorders>
            <w:noWrap w:val="0"/>
            <w:vAlign w:val="center"/>
          </w:tcPr>
          <w:p w14:paraId="693D8509">
            <w:pPr>
              <w:keepNext w:val="0"/>
              <w:keepLines w:val="0"/>
              <w:pageBreakBefore w:val="0"/>
              <w:widowControl w:val="0"/>
              <w:kinsoku/>
              <w:overflowPunct/>
              <w:topLinePunct w:val="0"/>
              <w:autoSpaceDE/>
              <w:autoSpaceDN/>
              <w:bidi w:val="0"/>
              <w:spacing w:line="288"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响应文件递交截止时间5日前</w:t>
            </w:r>
          </w:p>
          <w:p w14:paraId="52FEAB5D">
            <w:pPr>
              <w:keepNext w:val="0"/>
              <w:keepLines w:val="0"/>
              <w:pageBreakBefore w:val="0"/>
              <w:widowControl w:val="0"/>
              <w:kinsoku/>
              <w:overflowPunct/>
              <w:topLinePunct w:val="0"/>
              <w:autoSpaceDE/>
              <w:autoSpaceDN/>
              <w:bidi w:val="0"/>
              <w:spacing w:line="288" w:lineRule="auto"/>
              <w:textAlignment w:val="auto"/>
              <w:rPr>
                <w:rFonts w:ascii="宋体" w:hAnsi="宋体" w:cs="宋体"/>
                <w:color w:val="auto"/>
                <w:spacing w:val="-10"/>
                <w:kern w:val="2"/>
                <w:sz w:val="24"/>
                <w:szCs w:val="24"/>
                <w:highlight w:val="none"/>
              </w:rPr>
            </w:pPr>
            <w:r>
              <w:rPr>
                <w:rFonts w:hint="eastAsia" w:ascii="宋体" w:hAnsi="宋体" w:cs="宋体"/>
                <w:color w:val="auto"/>
                <w:sz w:val="24"/>
                <w:szCs w:val="24"/>
                <w:highlight w:val="none"/>
                <w:lang w:val="en-US" w:eastAsia="zh-CN"/>
              </w:rPr>
              <w:t>形</w:t>
            </w:r>
            <w:r>
              <w:rPr>
                <w:rFonts w:hint="eastAsia" w:ascii="宋体" w:hAnsi="宋体"/>
                <w:color w:val="auto"/>
                <w:sz w:val="24"/>
                <w:szCs w:val="24"/>
                <w:highlight w:val="none"/>
              </w:rPr>
              <w:t>式：以书面形式提交采购代理公司（加盖单位公章和法定代表人或委托代理人签字）</w:t>
            </w:r>
          </w:p>
        </w:tc>
      </w:tr>
      <w:tr w14:paraId="7BF6FC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5" w:hRule="atLeast"/>
        </w:trPr>
        <w:tc>
          <w:tcPr>
            <w:tcW w:w="952" w:type="dxa"/>
            <w:tcBorders>
              <w:top w:val="single" w:color="auto" w:sz="6" w:space="0"/>
              <w:bottom w:val="single" w:color="auto" w:sz="6" w:space="0"/>
              <w:right w:val="single" w:color="auto" w:sz="6" w:space="0"/>
            </w:tcBorders>
            <w:noWrap w:val="0"/>
            <w:vAlign w:val="center"/>
          </w:tcPr>
          <w:p w14:paraId="0E115BCA">
            <w:pPr>
              <w:keepNext w:val="0"/>
              <w:keepLines w:val="0"/>
              <w:pageBreakBefore w:val="0"/>
              <w:widowControl w:val="0"/>
              <w:kinsoku/>
              <w:overflowPunct/>
              <w:topLinePunct w:val="0"/>
              <w:autoSpaceDE/>
              <w:autoSpaceDN/>
              <w:bidi w:val="0"/>
              <w:adjustRightInd w:val="0"/>
              <w:spacing w:line="288" w:lineRule="auto"/>
              <w:jc w:val="center"/>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5</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4CD9A82F">
            <w:pPr>
              <w:keepNext w:val="0"/>
              <w:keepLines w:val="0"/>
              <w:pageBreakBefore w:val="0"/>
              <w:widowControl w:val="0"/>
              <w:kinsoku/>
              <w:overflowPunct/>
              <w:topLinePunct w:val="0"/>
              <w:autoSpaceDE/>
              <w:autoSpaceDN/>
              <w:bidi w:val="0"/>
              <w:spacing w:line="288" w:lineRule="auto"/>
              <w:ind w:left="240" w:hanging="240" w:hangingChars="100"/>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响应文件递</w:t>
            </w:r>
          </w:p>
          <w:p w14:paraId="71B2C4D8">
            <w:pPr>
              <w:keepNext w:val="0"/>
              <w:keepLines w:val="0"/>
              <w:pageBreakBefore w:val="0"/>
              <w:widowControl w:val="0"/>
              <w:kinsoku/>
              <w:overflowPunct/>
              <w:topLinePunct w:val="0"/>
              <w:autoSpaceDE/>
              <w:autoSpaceDN/>
              <w:bidi w:val="0"/>
              <w:spacing w:line="288" w:lineRule="auto"/>
              <w:ind w:left="240" w:hanging="240" w:hangingChars="100"/>
              <w:jc w:val="center"/>
              <w:textAlignment w:val="auto"/>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交截止时间</w:t>
            </w:r>
          </w:p>
        </w:tc>
        <w:tc>
          <w:tcPr>
            <w:tcW w:w="6285" w:type="dxa"/>
            <w:tcBorders>
              <w:top w:val="single" w:color="auto" w:sz="6" w:space="0"/>
              <w:left w:val="single" w:color="auto" w:sz="6" w:space="0"/>
              <w:bottom w:val="single" w:color="auto" w:sz="6" w:space="0"/>
            </w:tcBorders>
            <w:noWrap w:val="0"/>
            <w:vAlign w:val="center"/>
          </w:tcPr>
          <w:p w14:paraId="79B26923">
            <w:pPr>
              <w:keepNext w:val="0"/>
              <w:keepLines w:val="0"/>
              <w:pageBreakBefore w:val="0"/>
              <w:widowControl w:val="0"/>
              <w:kinsoku/>
              <w:overflowPunct/>
              <w:topLinePunct w:val="0"/>
              <w:autoSpaceDE/>
              <w:autoSpaceDN/>
              <w:bidi w:val="0"/>
              <w:spacing w:line="288" w:lineRule="auto"/>
              <w:textAlignment w:val="auto"/>
              <w:rPr>
                <w:rFonts w:ascii="宋体" w:hAnsi="宋体" w:cs="宋体"/>
                <w:color w:val="auto"/>
                <w:spacing w:val="-10"/>
                <w:kern w:val="2"/>
                <w:sz w:val="24"/>
                <w:szCs w:val="24"/>
                <w:highlight w:val="none"/>
              </w:rPr>
            </w:pPr>
            <w:r>
              <w:rPr>
                <w:rFonts w:hint="eastAsia" w:ascii="宋体" w:hAnsi="宋体" w:cs="宋体"/>
                <w:color w:val="auto"/>
                <w:spacing w:val="6"/>
                <w:kern w:val="2"/>
                <w:sz w:val="24"/>
                <w:szCs w:val="24"/>
                <w:highlight w:val="none"/>
              </w:rPr>
              <w:t>具体详见公告部分</w:t>
            </w:r>
          </w:p>
        </w:tc>
      </w:tr>
      <w:tr w14:paraId="3BFC47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51" w:hRule="atLeast"/>
        </w:trPr>
        <w:tc>
          <w:tcPr>
            <w:tcW w:w="952" w:type="dxa"/>
            <w:tcBorders>
              <w:top w:val="single" w:color="auto" w:sz="6" w:space="0"/>
              <w:bottom w:val="single" w:color="auto" w:sz="6" w:space="0"/>
              <w:right w:val="single" w:color="auto" w:sz="6" w:space="0"/>
            </w:tcBorders>
            <w:noWrap w:val="0"/>
            <w:vAlign w:val="center"/>
          </w:tcPr>
          <w:p w14:paraId="3984044F">
            <w:pPr>
              <w:keepNext w:val="0"/>
              <w:keepLines w:val="0"/>
              <w:pageBreakBefore w:val="0"/>
              <w:widowControl w:val="0"/>
              <w:kinsoku/>
              <w:overflowPunct/>
              <w:topLinePunct w:val="0"/>
              <w:autoSpaceDE/>
              <w:autoSpaceDN/>
              <w:bidi w:val="0"/>
              <w:adjustRightInd w:val="0"/>
              <w:spacing w:line="288" w:lineRule="auto"/>
              <w:jc w:val="center"/>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6</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54E5CF9E">
            <w:pPr>
              <w:keepNext w:val="0"/>
              <w:keepLines w:val="0"/>
              <w:pageBreakBefore w:val="0"/>
              <w:widowControl w:val="0"/>
              <w:kinsoku/>
              <w:overflowPunct/>
              <w:topLinePunct w:val="0"/>
              <w:autoSpaceDE/>
              <w:autoSpaceDN/>
              <w:bidi w:val="0"/>
              <w:spacing w:line="288" w:lineRule="auto"/>
              <w:jc w:val="center"/>
              <w:textAlignment w:val="auto"/>
              <w:rPr>
                <w:rFonts w:ascii="宋体" w:hAnsi="宋体" w:cs="宋体"/>
                <w:color w:val="auto"/>
                <w:spacing w:val="-10"/>
                <w:kern w:val="2"/>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确认收到竞争性磋商文件澄清的时间</w:t>
            </w:r>
          </w:p>
        </w:tc>
        <w:tc>
          <w:tcPr>
            <w:tcW w:w="6285" w:type="dxa"/>
            <w:tcBorders>
              <w:top w:val="single" w:color="auto" w:sz="6" w:space="0"/>
              <w:left w:val="single" w:color="auto" w:sz="6" w:space="0"/>
              <w:bottom w:val="single" w:color="auto" w:sz="6" w:space="0"/>
            </w:tcBorders>
            <w:noWrap w:val="0"/>
            <w:vAlign w:val="center"/>
          </w:tcPr>
          <w:p w14:paraId="37E1A791">
            <w:pPr>
              <w:keepNext w:val="0"/>
              <w:keepLines w:val="0"/>
              <w:pageBreakBefore w:val="0"/>
              <w:widowControl w:val="0"/>
              <w:kinsoku/>
              <w:wordWrap/>
              <w:overflowPunct/>
              <w:topLinePunct w:val="0"/>
              <w:autoSpaceDE/>
              <w:autoSpaceDN/>
              <w:bidi w:val="0"/>
              <w:snapToGrid/>
              <w:spacing w:line="288" w:lineRule="auto"/>
              <w:textAlignment w:val="auto"/>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在收到相应澄清文件后</w:t>
            </w:r>
            <w:r>
              <w:rPr>
                <w:rFonts w:hint="eastAsia" w:ascii="宋体" w:hAnsi="宋体" w:cs="宋体"/>
                <w:color w:val="auto"/>
                <w:sz w:val="24"/>
                <w:szCs w:val="24"/>
                <w:highlight w:val="none"/>
                <w:u w:val="single"/>
              </w:rPr>
              <w:t xml:space="preserve"> 24 </w:t>
            </w:r>
            <w:r>
              <w:rPr>
                <w:rFonts w:hint="eastAsia" w:ascii="宋体" w:hAnsi="宋体" w:cs="宋体"/>
                <w:color w:val="auto"/>
                <w:sz w:val="24"/>
                <w:szCs w:val="24"/>
                <w:highlight w:val="none"/>
              </w:rPr>
              <w:t>小时内</w:t>
            </w:r>
          </w:p>
        </w:tc>
      </w:tr>
      <w:tr w14:paraId="5A1B19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952" w:type="dxa"/>
            <w:tcBorders>
              <w:top w:val="single" w:color="auto" w:sz="6" w:space="0"/>
              <w:bottom w:val="single" w:color="auto" w:sz="6" w:space="0"/>
              <w:right w:val="single" w:color="auto" w:sz="6" w:space="0"/>
            </w:tcBorders>
            <w:noWrap w:val="0"/>
            <w:vAlign w:val="center"/>
          </w:tcPr>
          <w:p w14:paraId="45DC9789">
            <w:pPr>
              <w:keepNext w:val="0"/>
              <w:keepLines w:val="0"/>
              <w:pageBreakBefore w:val="0"/>
              <w:widowControl w:val="0"/>
              <w:kinsoku/>
              <w:overflowPunct/>
              <w:topLinePunct w:val="0"/>
              <w:autoSpaceDE/>
              <w:autoSpaceDN/>
              <w:bidi w:val="0"/>
              <w:adjustRightInd w:val="0"/>
              <w:spacing w:line="288" w:lineRule="auto"/>
              <w:jc w:val="center"/>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7</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653D68F1">
            <w:pPr>
              <w:keepNext w:val="0"/>
              <w:keepLines w:val="0"/>
              <w:pageBreakBefore w:val="0"/>
              <w:widowControl w:val="0"/>
              <w:kinsoku/>
              <w:overflowPunct/>
              <w:topLinePunct w:val="0"/>
              <w:autoSpaceDE/>
              <w:autoSpaceDN/>
              <w:bidi w:val="0"/>
              <w:spacing w:line="288" w:lineRule="auto"/>
              <w:jc w:val="center"/>
              <w:textAlignment w:val="auto"/>
              <w:rPr>
                <w:rFonts w:ascii="宋体" w:hAnsi="宋体" w:cs="宋体"/>
                <w:color w:val="auto"/>
                <w:spacing w:val="-10"/>
                <w:kern w:val="2"/>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确认收到竞争性磋商文件修改的时间</w:t>
            </w:r>
          </w:p>
        </w:tc>
        <w:tc>
          <w:tcPr>
            <w:tcW w:w="6285" w:type="dxa"/>
            <w:tcBorders>
              <w:top w:val="single" w:color="auto" w:sz="6" w:space="0"/>
              <w:left w:val="single" w:color="auto" w:sz="6" w:space="0"/>
              <w:bottom w:val="single" w:color="auto" w:sz="6" w:space="0"/>
            </w:tcBorders>
            <w:noWrap w:val="0"/>
            <w:vAlign w:val="center"/>
          </w:tcPr>
          <w:p w14:paraId="6BF1BBFE">
            <w:pPr>
              <w:keepNext w:val="0"/>
              <w:keepLines w:val="0"/>
              <w:pageBreakBefore w:val="0"/>
              <w:widowControl w:val="0"/>
              <w:kinsoku/>
              <w:wordWrap/>
              <w:overflowPunct/>
              <w:topLinePunct w:val="0"/>
              <w:autoSpaceDE/>
              <w:autoSpaceDN/>
              <w:bidi w:val="0"/>
              <w:snapToGrid/>
              <w:spacing w:line="288" w:lineRule="auto"/>
              <w:textAlignment w:val="auto"/>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在收到相应修改文件后</w:t>
            </w:r>
            <w:r>
              <w:rPr>
                <w:rFonts w:hint="eastAsia" w:ascii="宋体" w:hAnsi="宋体" w:cs="宋体"/>
                <w:color w:val="auto"/>
                <w:sz w:val="24"/>
                <w:szCs w:val="24"/>
                <w:highlight w:val="none"/>
                <w:u w:val="single"/>
              </w:rPr>
              <w:t xml:space="preserve"> 24</w:t>
            </w:r>
            <w:r>
              <w:rPr>
                <w:rFonts w:hint="eastAsia" w:ascii="宋体" w:hAnsi="宋体" w:cs="宋体"/>
                <w:color w:val="auto"/>
                <w:sz w:val="24"/>
                <w:szCs w:val="24"/>
                <w:highlight w:val="none"/>
              </w:rPr>
              <w:t>小时内</w:t>
            </w:r>
          </w:p>
        </w:tc>
      </w:tr>
      <w:tr w14:paraId="54EF1C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952" w:type="dxa"/>
            <w:tcBorders>
              <w:top w:val="single" w:color="auto" w:sz="6" w:space="0"/>
              <w:bottom w:val="single" w:color="auto" w:sz="6" w:space="0"/>
              <w:right w:val="single" w:color="auto" w:sz="6" w:space="0"/>
            </w:tcBorders>
            <w:noWrap w:val="0"/>
            <w:vAlign w:val="center"/>
          </w:tcPr>
          <w:p w14:paraId="061962FA">
            <w:pPr>
              <w:keepNext w:val="0"/>
              <w:keepLines w:val="0"/>
              <w:pageBreakBefore w:val="0"/>
              <w:widowControl w:val="0"/>
              <w:kinsoku/>
              <w:overflowPunct/>
              <w:topLinePunct w:val="0"/>
              <w:autoSpaceDE/>
              <w:autoSpaceDN/>
              <w:bidi w:val="0"/>
              <w:adjustRightInd w:val="0"/>
              <w:spacing w:line="288" w:lineRule="auto"/>
              <w:jc w:val="center"/>
              <w:textAlignment w:val="auto"/>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8</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1D62C391">
            <w:pPr>
              <w:pStyle w:val="35"/>
              <w:keepNext w:val="0"/>
              <w:keepLines w:val="0"/>
              <w:pageBreakBefore w:val="0"/>
              <w:widowControl w:val="0"/>
              <w:kinsoku/>
              <w:wordWrap w:val="0"/>
              <w:overflowPunct/>
              <w:topLinePunct w:val="0"/>
              <w:bidi w:val="0"/>
              <w:snapToGrid/>
              <w:spacing w:line="520" w:lineRule="exact"/>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采购人书面澄清的时间</w:t>
            </w:r>
          </w:p>
        </w:tc>
        <w:tc>
          <w:tcPr>
            <w:tcW w:w="6285" w:type="dxa"/>
            <w:tcBorders>
              <w:top w:val="single" w:color="auto" w:sz="6" w:space="0"/>
              <w:left w:val="single" w:color="auto" w:sz="6" w:space="0"/>
              <w:bottom w:val="single" w:color="auto" w:sz="6" w:space="0"/>
            </w:tcBorders>
            <w:noWrap w:val="0"/>
            <w:vAlign w:val="center"/>
          </w:tcPr>
          <w:p w14:paraId="53AF4E56">
            <w:pPr>
              <w:pStyle w:val="35"/>
              <w:keepNext w:val="0"/>
              <w:keepLines w:val="0"/>
              <w:pageBreakBefore w:val="0"/>
              <w:widowControl w:val="0"/>
              <w:kinsoku/>
              <w:wordWrap w:val="0"/>
              <w:overflowPunct/>
              <w:topLinePunct w:val="0"/>
              <w:bidi w:val="0"/>
              <w:snapToGrid/>
              <w:spacing w:line="520" w:lineRule="exact"/>
              <w:ind w:left="0" w:leftChars="0" w:right="0" w:righ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递交响应文件截止之日5日前</w:t>
            </w:r>
          </w:p>
        </w:tc>
      </w:tr>
      <w:tr w14:paraId="2B9940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952" w:type="dxa"/>
            <w:tcBorders>
              <w:top w:val="single" w:color="auto" w:sz="6" w:space="0"/>
              <w:bottom w:val="single" w:color="auto" w:sz="6" w:space="0"/>
              <w:right w:val="single" w:color="auto" w:sz="6" w:space="0"/>
            </w:tcBorders>
            <w:noWrap w:val="0"/>
            <w:vAlign w:val="center"/>
          </w:tcPr>
          <w:p w14:paraId="079C5D3C">
            <w:pPr>
              <w:keepNext w:val="0"/>
              <w:keepLines w:val="0"/>
              <w:pageBreakBefore w:val="0"/>
              <w:widowControl w:val="0"/>
              <w:kinsoku/>
              <w:overflowPunct/>
              <w:topLinePunct w:val="0"/>
              <w:autoSpaceDE/>
              <w:autoSpaceDN/>
              <w:bidi w:val="0"/>
              <w:adjustRightInd w:val="0"/>
              <w:spacing w:line="288" w:lineRule="auto"/>
              <w:jc w:val="center"/>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9</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1722B145">
            <w:pPr>
              <w:keepNext w:val="0"/>
              <w:keepLines w:val="0"/>
              <w:pageBreakBefore w:val="0"/>
              <w:widowControl w:val="0"/>
              <w:kinsoku/>
              <w:overflowPunct/>
              <w:topLinePunct w:val="0"/>
              <w:autoSpaceDE/>
              <w:autoSpaceDN/>
              <w:bidi w:val="0"/>
              <w:adjustRightInd w:val="0"/>
              <w:spacing w:line="288" w:lineRule="auto"/>
              <w:jc w:val="center"/>
              <w:textAlignment w:val="auto"/>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响应文件是否退还</w:t>
            </w:r>
          </w:p>
        </w:tc>
        <w:tc>
          <w:tcPr>
            <w:tcW w:w="6285" w:type="dxa"/>
            <w:tcBorders>
              <w:top w:val="single" w:color="auto" w:sz="6" w:space="0"/>
              <w:left w:val="single" w:color="auto" w:sz="6" w:space="0"/>
              <w:bottom w:val="single" w:color="auto" w:sz="6" w:space="0"/>
            </w:tcBorders>
            <w:noWrap w:val="0"/>
            <w:vAlign w:val="center"/>
          </w:tcPr>
          <w:p w14:paraId="31C9E853">
            <w:pPr>
              <w:keepNext w:val="0"/>
              <w:keepLines w:val="0"/>
              <w:pageBreakBefore w:val="0"/>
              <w:widowControl w:val="0"/>
              <w:kinsoku/>
              <w:wordWrap/>
              <w:overflowPunct/>
              <w:topLinePunct w:val="0"/>
              <w:autoSpaceDE/>
              <w:autoSpaceDN/>
              <w:bidi w:val="0"/>
              <w:adjustRightInd w:val="0"/>
              <w:snapToGrid/>
              <w:spacing w:line="288" w:lineRule="auto"/>
              <w:jc w:val="both"/>
              <w:textAlignment w:val="auto"/>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否</w:t>
            </w:r>
          </w:p>
        </w:tc>
      </w:tr>
      <w:tr w14:paraId="15B120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2" w:hRule="atLeast"/>
        </w:trPr>
        <w:tc>
          <w:tcPr>
            <w:tcW w:w="952" w:type="dxa"/>
            <w:tcBorders>
              <w:top w:val="single" w:color="auto" w:sz="6" w:space="0"/>
              <w:bottom w:val="single" w:color="auto" w:sz="6" w:space="0"/>
              <w:right w:val="single" w:color="auto" w:sz="6" w:space="0"/>
            </w:tcBorders>
            <w:noWrap w:val="0"/>
            <w:vAlign w:val="center"/>
          </w:tcPr>
          <w:p w14:paraId="1D12DD74">
            <w:pPr>
              <w:keepNext w:val="0"/>
              <w:keepLines w:val="0"/>
              <w:pageBreakBefore w:val="0"/>
              <w:widowControl w:val="0"/>
              <w:kinsoku/>
              <w:overflowPunct/>
              <w:topLinePunct w:val="0"/>
              <w:autoSpaceDE/>
              <w:autoSpaceDN/>
              <w:bidi w:val="0"/>
              <w:adjustRightInd w:val="0"/>
              <w:spacing w:line="288" w:lineRule="auto"/>
              <w:jc w:val="center"/>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val="en-US" w:eastAsia="zh-CN"/>
              </w:rPr>
              <w:t>30</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1A4D3E5C">
            <w:pPr>
              <w:keepNext w:val="0"/>
              <w:keepLines w:val="0"/>
              <w:pageBreakBefore w:val="0"/>
              <w:widowControl w:val="0"/>
              <w:kinsoku/>
              <w:overflowPunct/>
              <w:topLinePunct w:val="0"/>
              <w:autoSpaceDE/>
              <w:autoSpaceDN/>
              <w:bidi w:val="0"/>
              <w:spacing w:line="288" w:lineRule="auto"/>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是否允许递交备选磋商方案</w:t>
            </w:r>
          </w:p>
        </w:tc>
        <w:tc>
          <w:tcPr>
            <w:tcW w:w="6285" w:type="dxa"/>
            <w:tcBorders>
              <w:top w:val="single" w:color="auto" w:sz="6" w:space="0"/>
              <w:left w:val="single" w:color="auto" w:sz="6" w:space="0"/>
              <w:bottom w:val="single" w:color="auto" w:sz="6" w:space="0"/>
            </w:tcBorders>
            <w:noWrap w:val="0"/>
            <w:vAlign w:val="center"/>
          </w:tcPr>
          <w:p w14:paraId="2CCC5BAB">
            <w:pPr>
              <w:keepNext w:val="0"/>
              <w:keepLines w:val="0"/>
              <w:pageBreakBefore w:val="0"/>
              <w:widowControl w:val="0"/>
              <w:kinsoku/>
              <w:wordWrap/>
              <w:overflowPunct/>
              <w:topLinePunct w:val="0"/>
              <w:autoSpaceDE/>
              <w:autoSpaceDN/>
              <w:bidi w:val="0"/>
              <w:snapToGrid/>
              <w:spacing w:line="288" w:lineRule="auto"/>
              <w:jc w:val="both"/>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不允许</w:t>
            </w:r>
          </w:p>
        </w:tc>
      </w:tr>
      <w:tr w14:paraId="0144E1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6" w:hRule="atLeast"/>
        </w:trPr>
        <w:tc>
          <w:tcPr>
            <w:tcW w:w="952" w:type="dxa"/>
            <w:tcBorders>
              <w:top w:val="single" w:color="auto" w:sz="6" w:space="0"/>
              <w:bottom w:val="single" w:color="auto" w:sz="6" w:space="0"/>
              <w:right w:val="single" w:color="auto" w:sz="6" w:space="0"/>
            </w:tcBorders>
            <w:noWrap w:val="0"/>
            <w:vAlign w:val="center"/>
          </w:tcPr>
          <w:p w14:paraId="29E1A182">
            <w:pPr>
              <w:keepNext w:val="0"/>
              <w:keepLines w:val="0"/>
              <w:pageBreakBefore w:val="0"/>
              <w:widowControl w:val="0"/>
              <w:kinsoku/>
              <w:overflowPunct/>
              <w:topLinePunct w:val="0"/>
              <w:autoSpaceDE/>
              <w:autoSpaceDN/>
              <w:bidi w:val="0"/>
              <w:adjustRightInd w:val="0"/>
              <w:spacing w:line="288" w:lineRule="auto"/>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31</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59B30BB5">
            <w:pPr>
              <w:keepNext w:val="0"/>
              <w:keepLines w:val="0"/>
              <w:pageBreakBefore w:val="0"/>
              <w:widowControl w:val="0"/>
              <w:kinsoku/>
              <w:overflowPunct/>
              <w:topLinePunct w:val="0"/>
              <w:autoSpaceDE/>
              <w:autoSpaceDN/>
              <w:bidi w:val="0"/>
              <w:adjustRightInd w:val="0"/>
              <w:spacing w:line="288" w:lineRule="auto"/>
              <w:jc w:val="center"/>
              <w:textAlignment w:val="auto"/>
              <w:rPr>
                <w:rFonts w:ascii="宋体" w:hAnsi="宋体" w:cs="宋体"/>
                <w:color w:val="auto"/>
                <w:kern w:val="2"/>
                <w:sz w:val="24"/>
                <w:szCs w:val="24"/>
                <w:highlight w:val="none"/>
              </w:rPr>
            </w:pPr>
            <w:r>
              <w:rPr>
                <w:rFonts w:ascii="宋体" w:hAnsi="宋体" w:cs="宋体"/>
                <w:color w:val="auto"/>
                <w:spacing w:val="6"/>
                <w:kern w:val="2"/>
                <w:sz w:val="24"/>
                <w:szCs w:val="24"/>
                <w:highlight w:val="none"/>
              </w:rPr>
              <w:t>磋商有效</w:t>
            </w:r>
            <w:r>
              <w:rPr>
                <w:rFonts w:ascii="宋体" w:hAnsi="宋体" w:cs="宋体"/>
                <w:color w:val="auto"/>
                <w:kern w:val="2"/>
                <w:sz w:val="24"/>
                <w:szCs w:val="24"/>
                <w:highlight w:val="none"/>
              </w:rPr>
              <w:t>期</w:t>
            </w:r>
          </w:p>
        </w:tc>
        <w:tc>
          <w:tcPr>
            <w:tcW w:w="6285" w:type="dxa"/>
            <w:tcBorders>
              <w:top w:val="single" w:color="auto" w:sz="6" w:space="0"/>
              <w:left w:val="single" w:color="auto" w:sz="6" w:space="0"/>
              <w:bottom w:val="single" w:color="auto" w:sz="6" w:space="0"/>
            </w:tcBorders>
            <w:noWrap w:val="0"/>
            <w:vAlign w:val="center"/>
          </w:tcPr>
          <w:p w14:paraId="2BEB889F">
            <w:pPr>
              <w:keepNext w:val="0"/>
              <w:keepLines w:val="0"/>
              <w:pageBreakBefore w:val="0"/>
              <w:widowControl w:val="0"/>
              <w:kinsoku/>
              <w:wordWrap/>
              <w:overflowPunct/>
              <w:topLinePunct w:val="0"/>
              <w:autoSpaceDE/>
              <w:autoSpaceDN/>
              <w:bidi w:val="0"/>
              <w:adjustRightInd w:val="0"/>
              <w:snapToGrid/>
              <w:spacing w:line="288" w:lineRule="auto"/>
              <w:jc w:val="both"/>
              <w:textAlignment w:val="auto"/>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u w:val="single"/>
              </w:rPr>
              <w:t>60</w:t>
            </w:r>
            <w:r>
              <w:rPr>
                <w:rFonts w:ascii="宋体" w:hAnsi="宋体" w:cs="宋体"/>
                <w:color w:val="auto"/>
                <w:spacing w:val="6"/>
                <w:kern w:val="2"/>
                <w:sz w:val="24"/>
                <w:szCs w:val="24"/>
                <w:highlight w:val="none"/>
              </w:rPr>
              <w:t>日历天(</w:t>
            </w:r>
            <w:r>
              <w:rPr>
                <w:rFonts w:hint="eastAsia" w:ascii="宋体" w:hAnsi="宋体" w:cs="宋体"/>
                <w:color w:val="auto"/>
                <w:spacing w:val="-3"/>
                <w:kern w:val="2"/>
                <w:sz w:val="24"/>
                <w:szCs w:val="24"/>
                <w:highlight w:val="none"/>
              </w:rPr>
              <w:t>指本次采购项目递交响应性文件截止之日起</w:t>
            </w:r>
            <w:r>
              <w:rPr>
                <w:rFonts w:ascii="宋体" w:hAnsi="宋体" w:cs="宋体"/>
                <w:color w:val="auto"/>
                <w:spacing w:val="6"/>
                <w:kern w:val="2"/>
                <w:sz w:val="24"/>
                <w:szCs w:val="24"/>
                <w:highlight w:val="none"/>
              </w:rPr>
              <w:t>)</w:t>
            </w:r>
          </w:p>
        </w:tc>
      </w:tr>
      <w:tr w14:paraId="6C1D87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7" w:hRule="atLeast"/>
        </w:trPr>
        <w:tc>
          <w:tcPr>
            <w:tcW w:w="952" w:type="dxa"/>
            <w:tcBorders>
              <w:top w:val="single" w:color="auto" w:sz="6" w:space="0"/>
              <w:bottom w:val="single" w:color="auto" w:sz="6" w:space="0"/>
              <w:right w:val="single" w:color="auto" w:sz="6" w:space="0"/>
            </w:tcBorders>
            <w:noWrap w:val="0"/>
            <w:vAlign w:val="center"/>
          </w:tcPr>
          <w:p w14:paraId="703B3AA5">
            <w:pPr>
              <w:keepNext w:val="0"/>
              <w:keepLines w:val="0"/>
              <w:pageBreakBefore w:val="0"/>
              <w:widowControl w:val="0"/>
              <w:kinsoku/>
              <w:overflowPunct/>
              <w:topLinePunct w:val="0"/>
              <w:autoSpaceDE/>
              <w:autoSpaceDN/>
              <w:bidi w:val="0"/>
              <w:adjustRightInd w:val="0"/>
              <w:spacing w:line="288" w:lineRule="auto"/>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2</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4C1C5045">
            <w:pPr>
              <w:keepNext w:val="0"/>
              <w:keepLines w:val="0"/>
              <w:pageBreakBefore w:val="0"/>
              <w:widowControl w:val="0"/>
              <w:kinsoku/>
              <w:overflowPunct/>
              <w:topLinePunct w:val="0"/>
              <w:autoSpaceDE/>
              <w:autoSpaceDN/>
              <w:bidi w:val="0"/>
              <w:spacing w:line="288" w:lineRule="auto"/>
              <w:jc w:val="center"/>
              <w:textAlignment w:val="auto"/>
              <w:rPr>
                <w:rFonts w:ascii="宋体" w:hAnsi="宋体" w:cs="宋体"/>
                <w:color w:val="auto"/>
                <w:kern w:val="2"/>
                <w:sz w:val="24"/>
                <w:szCs w:val="24"/>
                <w:highlight w:val="none"/>
              </w:rPr>
            </w:pPr>
            <w:r>
              <w:rPr>
                <w:rFonts w:hint="eastAsia" w:ascii="宋体" w:hAnsi="宋体" w:cs="宋体"/>
                <w:color w:val="auto"/>
                <w:sz w:val="24"/>
                <w:szCs w:val="24"/>
                <w:highlight w:val="none"/>
              </w:rPr>
              <w:t>签字和（或）盖章要求</w:t>
            </w:r>
          </w:p>
        </w:tc>
        <w:tc>
          <w:tcPr>
            <w:tcW w:w="6285" w:type="dxa"/>
            <w:tcBorders>
              <w:top w:val="single" w:color="auto" w:sz="6" w:space="0"/>
              <w:left w:val="single" w:color="auto" w:sz="6" w:space="0"/>
              <w:bottom w:val="single" w:color="auto" w:sz="6" w:space="0"/>
            </w:tcBorders>
            <w:noWrap w:val="0"/>
            <w:vAlign w:val="center"/>
          </w:tcPr>
          <w:p w14:paraId="658A5653">
            <w:pPr>
              <w:keepNext w:val="0"/>
              <w:keepLines w:val="0"/>
              <w:pageBreakBefore w:val="0"/>
              <w:widowControl w:val="0"/>
              <w:kinsoku/>
              <w:wordWrap w:val="0"/>
              <w:overflowPunct/>
              <w:topLinePunct w:val="0"/>
              <w:autoSpaceDE/>
              <w:autoSpaceDN/>
              <w:bidi w:val="0"/>
              <w:adjustRightInd/>
              <w:snapToGrid/>
              <w:spacing w:line="288"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电子化响应文件的签章：</w:t>
            </w:r>
          </w:p>
          <w:p w14:paraId="18710D99">
            <w:pPr>
              <w:keepNext w:val="0"/>
              <w:keepLines w:val="0"/>
              <w:pageBreakBefore w:val="0"/>
              <w:widowControl w:val="0"/>
              <w:kinsoku/>
              <w:wordWrap w:val="0"/>
              <w:overflowPunct/>
              <w:topLinePunct w:val="0"/>
              <w:autoSpaceDE/>
              <w:autoSpaceDN/>
              <w:bidi w:val="0"/>
              <w:adjustRightInd/>
              <w:snapToGrid/>
              <w:spacing w:line="288"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在生成电子化响应文件后，应对电子化响应文件进行签章，未对电子化响应文件进行签章的视为无效文件。</w:t>
            </w:r>
          </w:p>
          <w:p w14:paraId="01DE95E9">
            <w:pPr>
              <w:keepNext w:val="0"/>
              <w:keepLines w:val="0"/>
              <w:pageBreakBefore w:val="0"/>
              <w:widowControl w:val="0"/>
              <w:kinsoku/>
              <w:wordWrap w:val="0"/>
              <w:overflowPunct/>
              <w:topLinePunct w:val="0"/>
              <w:autoSpaceDE/>
              <w:autoSpaceDN/>
              <w:bidi w:val="0"/>
              <w:adjustRightInd/>
              <w:snapToGrid/>
              <w:spacing w:line="288"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2、竞争性磋商文件中要求法定代表人或授权委托人盖章的，</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在进行电子化响应文件签章时，以签盖法定代表人签章为准。</w:t>
            </w:r>
          </w:p>
          <w:p w14:paraId="7F5E742A">
            <w:pPr>
              <w:keepNext w:val="0"/>
              <w:keepLines w:val="0"/>
              <w:pageBreakBefore w:val="0"/>
              <w:widowControl w:val="0"/>
              <w:kinsoku/>
              <w:wordWrap w:val="0"/>
              <w:overflowPunct/>
              <w:topLinePunct w:val="0"/>
              <w:autoSpaceDE/>
              <w:autoSpaceDN/>
              <w:bidi w:val="0"/>
              <w:adjustRightInd/>
              <w:snapToGrid/>
              <w:spacing w:line="288" w:lineRule="auto"/>
              <w:textAlignment w:val="auto"/>
              <w:rPr>
                <w:rFonts w:ascii="宋体" w:hAnsi="宋体" w:cs="宋体"/>
                <w:color w:val="auto"/>
                <w:sz w:val="24"/>
                <w:highlight w:val="none"/>
              </w:rPr>
            </w:pPr>
            <w:r>
              <w:rPr>
                <w:rFonts w:hint="eastAsia" w:ascii="宋体" w:hAnsi="宋体" w:cs="宋体"/>
                <w:color w:val="auto"/>
                <w:sz w:val="24"/>
                <w:szCs w:val="24"/>
                <w:highlight w:val="none"/>
              </w:rPr>
              <w:t>3、电子化响应文件工具请点击</w:t>
            </w:r>
            <w:r>
              <w:rPr>
                <w:rFonts w:ascii="宋体" w:hAnsi="宋体" w:cs="宋体"/>
                <w:color w:val="auto"/>
                <w:sz w:val="24"/>
                <w:szCs w:val="24"/>
                <w:highlight w:val="none"/>
              </w:rPr>
              <w:t>https://download.bqpoint.com/download/downloadlist.html?SoftTypeCode=06</w:t>
            </w:r>
            <w:r>
              <w:rPr>
                <w:rFonts w:hint="eastAsia" w:ascii="宋体" w:hAnsi="宋体" w:cs="宋体"/>
                <w:color w:val="auto"/>
                <w:sz w:val="24"/>
                <w:szCs w:val="24"/>
                <w:highlight w:val="none"/>
              </w:rPr>
              <w:t>进行下载。</w:t>
            </w:r>
          </w:p>
        </w:tc>
      </w:tr>
      <w:tr w14:paraId="503796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2" w:hRule="atLeast"/>
        </w:trPr>
        <w:tc>
          <w:tcPr>
            <w:tcW w:w="952" w:type="dxa"/>
            <w:tcBorders>
              <w:top w:val="single" w:color="auto" w:sz="6" w:space="0"/>
              <w:bottom w:val="single" w:color="auto" w:sz="6" w:space="0"/>
              <w:right w:val="single" w:color="auto" w:sz="6" w:space="0"/>
            </w:tcBorders>
            <w:noWrap w:val="0"/>
            <w:vAlign w:val="center"/>
          </w:tcPr>
          <w:p w14:paraId="25A22097">
            <w:pPr>
              <w:keepNext w:val="0"/>
              <w:keepLines w:val="0"/>
              <w:pageBreakBefore w:val="0"/>
              <w:widowControl w:val="0"/>
              <w:kinsoku/>
              <w:overflowPunct/>
              <w:topLinePunct w:val="0"/>
              <w:autoSpaceDE/>
              <w:autoSpaceDN/>
              <w:bidi w:val="0"/>
              <w:adjustRightInd w:val="0"/>
              <w:spacing w:line="288" w:lineRule="auto"/>
              <w:jc w:val="center"/>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3</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1EE7963F">
            <w:pPr>
              <w:keepNext w:val="0"/>
              <w:keepLines w:val="0"/>
              <w:pageBreakBefore w:val="0"/>
              <w:widowControl w:val="0"/>
              <w:kinsoku/>
              <w:overflowPunct/>
              <w:topLinePunct w:val="0"/>
              <w:autoSpaceDE/>
              <w:autoSpaceDN/>
              <w:bidi w:val="0"/>
              <w:adjustRightInd w:val="0"/>
              <w:spacing w:line="288" w:lineRule="auto"/>
              <w:jc w:val="center"/>
              <w:textAlignment w:val="auto"/>
              <w:rPr>
                <w:rFonts w:ascii="宋体" w:hAnsi="宋体" w:cs="宋体"/>
                <w:color w:val="auto"/>
                <w:kern w:val="2"/>
                <w:sz w:val="24"/>
                <w:szCs w:val="24"/>
                <w:highlight w:val="none"/>
              </w:rPr>
            </w:pPr>
            <w:r>
              <w:rPr>
                <w:rFonts w:ascii="宋体" w:hAnsi="宋体" w:cs="宋体"/>
                <w:color w:val="auto"/>
                <w:kern w:val="2"/>
                <w:sz w:val="24"/>
                <w:szCs w:val="24"/>
                <w:highlight w:val="none"/>
              </w:rPr>
              <w:t>磋商保证金</w:t>
            </w:r>
          </w:p>
        </w:tc>
        <w:tc>
          <w:tcPr>
            <w:tcW w:w="6285" w:type="dxa"/>
            <w:tcBorders>
              <w:top w:val="single" w:color="auto" w:sz="6" w:space="0"/>
              <w:left w:val="single" w:color="auto" w:sz="6" w:space="0"/>
              <w:bottom w:val="single" w:color="auto" w:sz="6" w:space="0"/>
            </w:tcBorders>
            <w:noWrap w:val="0"/>
            <w:vAlign w:val="center"/>
          </w:tcPr>
          <w:p w14:paraId="78099D2A">
            <w:pPr>
              <w:keepNext w:val="0"/>
              <w:keepLines w:val="0"/>
              <w:pageBreakBefore w:val="0"/>
              <w:widowControl w:val="0"/>
              <w:kinsoku/>
              <w:wordWrap/>
              <w:overflowPunct/>
              <w:topLinePunct w:val="0"/>
              <w:autoSpaceDE/>
              <w:autoSpaceDN/>
              <w:bidi w:val="0"/>
              <w:snapToGrid/>
              <w:spacing w:line="288" w:lineRule="auto"/>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按照《河南省财政厅关于优化政府采购营商环境有关问题的通知》（豫财购[2019]4号文）的要求本项目不再收取磋商保证金</w:t>
            </w:r>
            <w:r>
              <w:rPr>
                <w:rFonts w:hint="eastAsia" w:ascii="宋体" w:hAnsi="宋体" w:cs="宋体"/>
                <w:color w:val="auto"/>
                <w:spacing w:val="6"/>
                <w:kern w:val="2"/>
                <w:sz w:val="24"/>
                <w:szCs w:val="24"/>
                <w:highlight w:val="none"/>
                <w:lang w:eastAsia="zh-CN"/>
              </w:rPr>
              <w:t>。</w:t>
            </w:r>
          </w:p>
        </w:tc>
      </w:tr>
      <w:tr w14:paraId="34A6CD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952" w:type="dxa"/>
            <w:tcBorders>
              <w:top w:val="single" w:color="auto" w:sz="6" w:space="0"/>
              <w:bottom w:val="single" w:color="auto" w:sz="6" w:space="0"/>
              <w:right w:val="single" w:color="auto" w:sz="6" w:space="0"/>
            </w:tcBorders>
            <w:noWrap w:val="0"/>
            <w:vAlign w:val="center"/>
          </w:tcPr>
          <w:p w14:paraId="73CE5AFD">
            <w:pPr>
              <w:keepNext w:val="0"/>
              <w:keepLines w:val="0"/>
              <w:pageBreakBefore w:val="0"/>
              <w:widowControl w:val="0"/>
              <w:kinsoku/>
              <w:overflowPunct/>
              <w:topLinePunct w:val="0"/>
              <w:autoSpaceDE/>
              <w:autoSpaceDN/>
              <w:bidi w:val="0"/>
              <w:adjustRightInd w:val="0"/>
              <w:spacing w:line="288" w:lineRule="auto"/>
              <w:jc w:val="center"/>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4</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635157FF">
            <w:pPr>
              <w:keepNext w:val="0"/>
              <w:keepLines w:val="0"/>
              <w:pageBreakBefore w:val="0"/>
              <w:widowControl w:val="0"/>
              <w:kinsoku/>
              <w:overflowPunct/>
              <w:topLinePunct w:val="0"/>
              <w:autoSpaceDE/>
              <w:autoSpaceDN/>
              <w:bidi w:val="0"/>
              <w:spacing w:line="288" w:lineRule="auto"/>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开评标时间、地点</w:t>
            </w:r>
          </w:p>
        </w:tc>
        <w:tc>
          <w:tcPr>
            <w:tcW w:w="6285" w:type="dxa"/>
            <w:tcBorders>
              <w:top w:val="single" w:color="auto" w:sz="6" w:space="0"/>
              <w:left w:val="single" w:color="auto" w:sz="6" w:space="0"/>
              <w:bottom w:val="single" w:color="auto" w:sz="6" w:space="0"/>
            </w:tcBorders>
            <w:noWrap w:val="0"/>
            <w:vAlign w:val="center"/>
          </w:tcPr>
          <w:p w14:paraId="280A3AF5">
            <w:pPr>
              <w:keepNext w:val="0"/>
              <w:keepLines w:val="0"/>
              <w:pageBreakBefore w:val="0"/>
              <w:widowControl w:val="0"/>
              <w:kinsoku/>
              <w:wordWrap/>
              <w:overflowPunct/>
              <w:topLinePunct w:val="0"/>
              <w:autoSpaceDE/>
              <w:autoSpaceDN/>
              <w:bidi w:val="0"/>
              <w:snapToGrid/>
              <w:spacing w:line="288" w:lineRule="auto"/>
              <w:jc w:val="both"/>
              <w:textAlignment w:val="auto"/>
              <w:rPr>
                <w:rFonts w:hint="eastAsia" w:ascii="宋体" w:hAnsi="宋体" w:cs="宋体"/>
                <w:color w:val="000000" w:themeColor="text1"/>
                <w:kern w:val="2"/>
                <w:sz w:val="24"/>
                <w:szCs w:val="24"/>
                <w:highlight w:val="none"/>
                <w:lang w:eastAsia="zh-CN"/>
                <w14:textFill>
                  <w14:solidFill>
                    <w14:schemeClr w14:val="tx1"/>
                  </w14:solidFill>
                </w14:textFill>
              </w:rPr>
            </w:pPr>
            <w:r>
              <w:rPr>
                <w:rFonts w:hint="eastAsia" w:ascii="宋体" w:hAnsi="宋体" w:cs="宋体"/>
                <w:color w:val="auto"/>
                <w:kern w:val="2"/>
                <w:sz w:val="24"/>
                <w:szCs w:val="24"/>
                <w:highlight w:val="none"/>
                <w:lang w:eastAsia="zh-CN"/>
              </w:rPr>
              <w:t>开标时间：</w:t>
            </w:r>
            <w:r>
              <w:rPr>
                <w:rFonts w:hint="eastAsia" w:ascii="宋体" w:hAnsi="宋体" w:cs="宋体"/>
                <w:color w:val="000000" w:themeColor="text1"/>
                <w:kern w:val="2"/>
                <w:sz w:val="24"/>
                <w:szCs w:val="24"/>
                <w:highlight w:val="none"/>
                <w:lang w:eastAsia="zh-CN"/>
                <w14:textFill>
                  <w14:solidFill>
                    <w14:schemeClr w14:val="tx1"/>
                  </w14:solidFill>
                </w14:textFill>
              </w:rPr>
              <w:t>202</w:t>
            </w:r>
            <w:r>
              <w:rPr>
                <w:rFonts w:hint="eastAsia" w:ascii="宋体" w:hAnsi="宋体" w:cs="宋体"/>
                <w:color w:val="000000" w:themeColor="text1"/>
                <w:kern w:val="2"/>
                <w:sz w:val="24"/>
                <w:szCs w:val="24"/>
                <w:highlight w:val="none"/>
                <w:lang w:val="en-US" w:eastAsia="zh-CN"/>
                <w14:textFill>
                  <w14:solidFill>
                    <w14:schemeClr w14:val="tx1"/>
                  </w14:solidFill>
                </w14:textFill>
              </w:rPr>
              <w:t>6</w:t>
            </w:r>
            <w:r>
              <w:rPr>
                <w:rFonts w:hint="eastAsia" w:ascii="宋体" w:hAnsi="宋体" w:cs="宋体"/>
                <w:color w:val="000000" w:themeColor="text1"/>
                <w:kern w:val="2"/>
                <w:sz w:val="24"/>
                <w:szCs w:val="24"/>
                <w:highlight w:val="none"/>
                <w:lang w:eastAsia="zh-CN"/>
                <w14:textFill>
                  <w14:solidFill>
                    <w14:schemeClr w14:val="tx1"/>
                  </w14:solidFill>
                </w14:textFill>
              </w:rPr>
              <w:t>年</w:t>
            </w:r>
            <w:r>
              <w:rPr>
                <w:rFonts w:hint="eastAsia" w:ascii="宋体" w:hAnsi="宋体" w:cs="宋体"/>
                <w:color w:val="000000" w:themeColor="text1"/>
                <w:kern w:val="2"/>
                <w:sz w:val="24"/>
                <w:szCs w:val="24"/>
                <w:highlight w:val="none"/>
                <w:lang w:val="en-US" w:eastAsia="zh-CN"/>
                <w14:textFill>
                  <w14:solidFill>
                    <w14:schemeClr w14:val="tx1"/>
                  </w14:solidFill>
                </w14:textFill>
              </w:rPr>
              <w:t>04</w:t>
            </w:r>
            <w:r>
              <w:rPr>
                <w:rFonts w:hint="eastAsia" w:ascii="宋体" w:hAnsi="宋体" w:cs="宋体"/>
                <w:color w:val="000000" w:themeColor="text1"/>
                <w:kern w:val="2"/>
                <w:sz w:val="24"/>
                <w:szCs w:val="24"/>
                <w:highlight w:val="none"/>
                <w:lang w:eastAsia="zh-CN"/>
                <w14:textFill>
                  <w14:solidFill>
                    <w14:schemeClr w14:val="tx1"/>
                  </w14:solidFill>
                </w14:textFill>
              </w:rPr>
              <w:t>月</w:t>
            </w:r>
            <w:r>
              <w:rPr>
                <w:rFonts w:hint="eastAsia" w:ascii="宋体" w:hAnsi="宋体" w:cs="宋体"/>
                <w:color w:val="000000" w:themeColor="text1"/>
                <w:kern w:val="2"/>
                <w:sz w:val="24"/>
                <w:szCs w:val="24"/>
                <w:highlight w:val="none"/>
                <w:lang w:val="en-US" w:eastAsia="zh-CN"/>
                <w14:textFill>
                  <w14:solidFill>
                    <w14:schemeClr w14:val="tx1"/>
                  </w14:solidFill>
                </w14:textFill>
              </w:rPr>
              <w:t>14</w:t>
            </w:r>
            <w:r>
              <w:rPr>
                <w:rFonts w:hint="eastAsia" w:ascii="宋体" w:hAnsi="宋体" w:cs="宋体"/>
                <w:color w:val="000000" w:themeColor="text1"/>
                <w:kern w:val="2"/>
                <w:sz w:val="24"/>
                <w:szCs w:val="24"/>
                <w:highlight w:val="none"/>
                <w:lang w:eastAsia="zh-CN"/>
                <w14:textFill>
                  <w14:solidFill>
                    <w14:schemeClr w14:val="tx1"/>
                  </w14:solidFill>
                </w14:textFill>
              </w:rPr>
              <w:t>日08时</w:t>
            </w:r>
            <w:r>
              <w:rPr>
                <w:rFonts w:hint="eastAsia" w:ascii="宋体" w:hAnsi="宋体" w:cs="宋体"/>
                <w:color w:val="000000" w:themeColor="text1"/>
                <w:kern w:val="2"/>
                <w:sz w:val="24"/>
                <w:szCs w:val="24"/>
                <w:highlight w:val="none"/>
                <w:lang w:val="en-US" w:eastAsia="zh-CN"/>
                <w14:textFill>
                  <w14:solidFill>
                    <w14:schemeClr w14:val="tx1"/>
                  </w14:solidFill>
                </w14:textFill>
              </w:rPr>
              <w:t>4</w:t>
            </w:r>
            <w:r>
              <w:rPr>
                <w:rFonts w:hint="eastAsia" w:ascii="宋体" w:hAnsi="宋体" w:cs="宋体"/>
                <w:color w:val="000000" w:themeColor="text1"/>
                <w:kern w:val="2"/>
                <w:sz w:val="24"/>
                <w:szCs w:val="24"/>
                <w:highlight w:val="none"/>
                <w:lang w:eastAsia="zh-CN"/>
                <w14:textFill>
                  <w14:solidFill>
                    <w14:schemeClr w14:val="tx1"/>
                  </w14:solidFill>
                </w14:textFill>
              </w:rPr>
              <w:t>0分</w:t>
            </w:r>
          </w:p>
          <w:p w14:paraId="631D26FD">
            <w:pPr>
              <w:keepNext w:val="0"/>
              <w:keepLines w:val="0"/>
              <w:pageBreakBefore w:val="0"/>
              <w:widowControl w:val="0"/>
              <w:kinsoku/>
              <w:wordWrap/>
              <w:overflowPunct/>
              <w:topLinePunct w:val="0"/>
              <w:autoSpaceDE/>
              <w:autoSpaceDN/>
              <w:bidi w:val="0"/>
              <w:snapToGrid/>
              <w:spacing w:line="288" w:lineRule="auto"/>
              <w:jc w:val="both"/>
              <w:textAlignment w:val="auto"/>
              <w:rPr>
                <w:rFonts w:hint="eastAsia" w:ascii="宋体" w:hAnsi="宋体" w:cs="宋体"/>
                <w:color w:val="000000" w:themeColor="text1"/>
                <w:kern w:val="2"/>
                <w:sz w:val="24"/>
                <w:szCs w:val="24"/>
                <w:highlight w:val="none"/>
                <w:lang w:eastAsia="zh-CN"/>
                <w14:textFill>
                  <w14:solidFill>
                    <w14:schemeClr w14:val="tx1"/>
                  </w14:solidFill>
                </w14:textFill>
              </w:rPr>
            </w:pPr>
            <w:r>
              <w:rPr>
                <w:rFonts w:hint="eastAsia" w:ascii="宋体" w:hAnsi="宋体" w:cs="宋体"/>
                <w:color w:val="000000" w:themeColor="text1"/>
                <w:kern w:val="2"/>
                <w:sz w:val="24"/>
                <w:szCs w:val="24"/>
                <w:highlight w:val="none"/>
                <w:lang w:eastAsia="zh-CN"/>
                <w14:textFill>
                  <w14:solidFill>
                    <w14:schemeClr w14:val="tx1"/>
                  </w14:solidFill>
                </w14:textFill>
              </w:rPr>
              <w:t>开标</w:t>
            </w:r>
            <w:r>
              <w:rPr>
                <w:rFonts w:hint="eastAsia" w:ascii="宋体" w:hAnsi="宋体" w:cs="宋体"/>
                <w:color w:val="000000" w:themeColor="text1"/>
                <w:kern w:val="2"/>
                <w:sz w:val="24"/>
                <w:szCs w:val="24"/>
                <w:highlight w:val="none"/>
                <w14:textFill>
                  <w14:solidFill>
                    <w14:schemeClr w14:val="tx1"/>
                  </w14:solidFill>
                </w14:textFill>
              </w:rPr>
              <w:t>地点：卢氏县公共资源交易中心四楼开标</w:t>
            </w:r>
            <w:r>
              <w:rPr>
                <w:rFonts w:hint="eastAsia" w:ascii="宋体" w:hAnsi="宋体" w:cs="宋体"/>
                <w:color w:val="000000" w:themeColor="text1"/>
                <w:kern w:val="2"/>
                <w:sz w:val="24"/>
                <w:szCs w:val="24"/>
                <w:highlight w:val="none"/>
                <w:lang w:val="en-US" w:eastAsia="zh-CN"/>
                <w14:textFill>
                  <w14:solidFill>
                    <w14:schemeClr w14:val="tx1"/>
                  </w14:solidFill>
                </w14:textFill>
              </w:rPr>
              <w:t>二</w:t>
            </w:r>
            <w:r>
              <w:rPr>
                <w:rFonts w:hint="eastAsia" w:ascii="宋体" w:hAnsi="宋体" w:cs="宋体"/>
                <w:color w:val="000000" w:themeColor="text1"/>
                <w:kern w:val="2"/>
                <w:sz w:val="24"/>
                <w:szCs w:val="24"/>
                <w:highlight w:val="none"/>
                <w14:textFill>
                  <w14:solidFill>
                    <w14:schemeClr w14:val="tx1"/>
                  </w14:solidFill>
                </w14:textFill>
              </w:rPr>
              <w:t>室</w:t>
            </w:r>
          </w:p>
          <w:p w14:paraId="6D706D18">
            <w:pPr>
              <w:keepNext w:val="0"/>
              <w:keepLines w:val="0"/>
              <w:pageBreakBefore w:val="0"/>
              <w:widowControl w:val="0"/>
              <w:kinsoku/>
              <w:wordWrap/>
              <w:overflowPunct/>
              <w:topLinePunct w:val="0"/>
              <w:autoSpaceDE/>
              <w:autoSpaceDN/>
              <w:bidi w:val="0"/>
              <w:snapToGrid/>
              <w:spacing w:line="288" w:lineRule="auto"/>
              <w:jc w:val="both"/>
              <w:textAlignment w:val="auto"/>
              <w:rPr>
                <w:rFonts w:ascii="宋体" w:hAnsi="宋体" w:cs="宋体"/>
                <w:color w:val="auto"/>
                <w:kern w:val="2"/>
                <w:sz w:val="24"/>
                <w:szCs w:val="24"/>
                <w:highlight w:val="none"/>
              </w:rPr>
            </w:pPr>
            <w:r>
              <w:rPr>
                <w:rFonts w:hint="eastAsia" w:ascii="宋体" w:hAnsi="宋体" w:cs="宋体"/>
                <w:color w:val="000000" w:themeColor="text1"/>
                <w:kern w:val="2"/>
                <w:sz w:val="24"/>
                <w:szCs w:val="24"/>
                <w:highlight w:val="none"/>
                <w:lang w:val="en-US" w:eastAsia="zh-CN"/>
                <w14:textFill>
                  <w14:solidFill>
                    <w14:schemeClr w14:val="tx1"/>
                  </w14:solidFill>
                </w14:textFill>
              </w:rPr>
              <w:t>评标地点：</w:t>
            </w:r>
            <w:r>
              <w:rPr>
                <w:rFonts w:hint="eastAsia" w:ascii="宋体" w:hAnsi="宋体" w:cs="宋体"/>
                <w:color w:val="000000" w:themeColor="text1"/>
                <w:kern w:val="2"/>
                <w:sz w:val="24"/>
                <w:szCs w:val="24"/>
                <w:highlight w:val="none"/>
                <w14:textFill>
                  <w14:solidFill>
                    <w14:schemeClr w14:val="tx1"/>
                  </w14:solidFill>
                </w14:textFill>
              </w:rPr>
              <w:t>卢氏县公共资源交易中心二楼评标</w:t>
            </w:r>
            <w:r>
              <w:rPr>
                <w:rFonts w:hint="eastAsia" w:ascii="宋体" w:hAnsi="宋体" w:cs="宋体"/>
                <w:color w:val="000000" w:themeColor="text1"/>
                <w:kern w:val="2"/>
                <w:sz w:val="24"/>
                <w:szCs w:val="24"/>
                <w:highlight w:val="none"/>
                <w:lang w:val="en-US" w:eastAsia="zh-CN"/>
                <w14:textFill>
                  <w14:solidFill>
                    <w14:schemeClr w14:val="tx1"/>
                  </w14:solidFill>
                </w14:textFill>
              </w:rPr>
              <w:t>二</w:t>
            </w:r>
            <w:r>
              <w:rPr>
                <w:rFonts w:hint="eastAsia" w:ascii="宋体" w:hAnsi="宋体" w:cs="宋体"/>
                <w:color w:val="000000" w:themeColor="text1"/>
                <w:kern w:val="2"/>
                <w:sz w:val="24"/>
                <w:szCs w:val="24"/>
                <w:highlight w:val="none"/>
                <w14:textFill>
                  <w14:solidFill>
                    <w14:schemeClr w14:val="tx1"/>
                  </w14:solidFill>
                </w14:textFill>
              </w:rPr>
              <w:t>室</w:t>
            </w:r>
          </w:p>
        </w:tc>
      </w:tr>
      <w:tr w14:paraId="6E2816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7" w:hRule="atLeast"/>
        </w:trPr>
        <w:tc>
          <w:tcPr>
            <w:tcW w:w="952" w:type="dxa"/>
            <w:tcBorders>
              <w:top w:val="single" w:color="auto" w:sz="6" w:space="0"/>
              <w:bottom w:val="single" w:color="auto" w:sz="6" w:space="0"/>
              <w:right w:val="single" w:color="auto" w:sz="6" w:space="0"/>
            </w:tcBorders>
            <w:noWrap w:val="0"/>
            <w:vAlign w:val="center"/>
          </w:tcPr>
          <w:p w14:paraId="14A9D9B1">
            <w:pPr>
              <w:keepNext w:val="0"/>
              <w:keepLines w:val="0"/>
              <w:pageBreakBefore w:val="0"/>
              <w:widowControl w:val="0"/>
              <w:kinsoku/>
              <w:overflowPunct/>
              <w:topLinePunct w:val="0"/>
              <w:autoSpaceDE/>
              <w:autoSpaceDN/>
              <w:bidi w:val="0"/>
              <w:adjustRightInd w:val="0"/>
              <w:spacing w:line="288" w:lineRule="auto"/>
              <w:jc w:val="center"/>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val="en-US" w:eastAsia="zh-CN"/>
              </w:rPr>
              <w:t>35</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500E2FBD">
            <w:pPr>
              <w:keepNext w:val="0"/>
              <w:keepLines w:val="0"/>
              <w:pageBreakBefore w:val="0"/>
              <w:widowControl w:val="0"/>
              <w:kinsoku/>
              <w:overflowPunct/>
              <w:topLinePunct w:val="0"/>
              <w:autoSpaceDE/>
              <w:autoSpaceDN/>
              <w:bidi w:val="0"/>
              <w:adjustRightInd w:val="0"/>
              <w:spacing w:line="288" w:lineRule="auto"/>
              <w:jc w:val="center"/>
              <w:textAlignment w:val="auto"/>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竞争性磋商响应文件上传</w:t>
            </w:r>
          </w:p>
        </w:tc>
        <w:tc>
          <w:tcPr>
            <w:tcW w:w="6285" w:type="dxa"/>
            <w:tcBorders>
              <w:top w:val="single" w:color="auto" w:sz="6" w:space="0"/>
              <w:left w:val="single" w:color="auto" w:sz="6" w:space="0"/>
              <w:bottom w:val="single" w:color="auto" w:sz="6" w:space="0"/>
            </w:tcBorders>
            <w:noWrap w:val="0"/>
            <w:vAlign w:val="center"/>
          </w:tcPr>
          <w:p w14:paraId="0C64218F">
            <w:pPr>
              <w:keepNext w:val="0"/>
              <w:keepLines w:val="0"/>
              <w:pageBreakBefore w:val="0"/>
              <w:widowControl w:val="0"/>
              <w:kinsoku/>
              <w:overflowPunct/>
              <w:topLinePunct w:val="0"/>
              <w:autoSpaceDE/>
              <w:autoSpaceDN/>
              <w:bidi w:val="0"/>
              <w:spacing w:line="288" w:lineRule="auto"/>
              <w:jc w:val="both"/>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用CA在电子平台上传电子响应文件</w:t>
            </w:r>
          </w:p>
        </w:tc>
      </w:tr>
      <w:tr w14:paraId="196DF4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8" w:hRule="atLeast"/>
        </w:trPr>
        <w:tc>
          <w:tcPr>
            <w:tcW w:w="952" w:type="dxa"/>
            <w:tcBorders>
              <w:top w:val="single" w:color="auto" w:sz="6" w:space="0"/>
              <w:bottom w:val="single" w:color="auto" w:sz="6" w:space="0"/>
              <w:right w:val="single" w:color="auto" w:sz="6" w:space="0"/>
            </w:tcBorders>
            <w:noWrap w:val="0"/>
            <w:vAlign w:val="center"/>
          </w:tcPr>
          <w:p w14:paraId="03A8AE43">
            <w:pPr>
              <w:keepNext w:val="0"/>
              <w:keepLines w:val="0"/>
              <w:pageBreakBefore w:val="0"/>
              <w:widowControl w:val="0"/>
              <w:kinsoku/>
              <w:overflowPunct/>
              <w:topLinePunct w:val="0"/>
              <w:autoSpaceDE/>
              <w:autoSpaceDN/>
              <w:bidi w:val="0"/>
              <w:adjustRightInd w:val="0"/>
              <w:spacing w:line="288" w:lineRule="auto"/>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6</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56F1C81A">
            <w:pPr>
              <w:keepNext w:val="0"/>
              <w:keepLines w:val="0"/>
              <w:pageBreakBefore w:val="0"/>
              <w:widowControl w:val="0"/>
              <w:kinsoku/>
              <w:overflowPunct/>
              <w:topLinePunct w:val="0"/>
              <w:autoSpaceDE/>
              <w:autoSpaceDN/>
              <w:bidi w:val="0"/>
              <w:adjustRightInd w:val="0"/>
              <w:spacing w:line="288" w:lineRule="auto"/>
              <w:jc w:val="center"/>
              <w:textAlignment w:val="auto"/>
              <w:rPr>
                <w:rFonts w:ascii="宋体" w:hAnsi="宋体" w:cs="宋体"/>
                <w:color w:val="auto"/>
                <w:spacing w:val="-10"/>
                <w:kern w:val="2"/>
                <w:sz w:val="24"/>
                <w:szCs w:val="24"/>
                <w:highlight w:val="none"/>
              </w:rPr>
            </w:pPr>
            <w:r>
              <w:rPr>
                <w:rFonts w:ascii="宋体" w:hAnsi="宋体" w:cs="宋体"/>
                <w:color w:val="auto"/>
                <w:spacing w:val="-10"/>
                <w:kern w:val="2"/>
                <w:sz w:val="24"/>
                <w:szCs w:val="24"/>
                <w:highlight w:val="none"/>
              </w:rPr>
              <w:t>磋商</w:t>
            </w:r>
            <w:r>
              <w:rPr>
                <w:rFonts w:hint="eastAsia" w:ascii="宋体" w:hAnsi="宋体" w:cs="宋体"/>
                <w:color w:val="auto"/>
                <w:spacing w:val="-10"/>
                <w:kern w:val="2"/>
                <w:sz w:val="24"/>
                <w:szCs w:val="24"/>
                <w:highlight w:val="none"/>
              </w:rPr>
              <w:t>文件递交截止时间</w:t>
            </w:r>
          </w:p>
        </w:tc>
        <w:tc>
          <w:tcPr>
            <w:tcW w:w="6285" w:type="dxa"/>
            <w:tcBorders>
              <w:top w:val="single" w:color="auto" w:sz="6" w:space="0"/>
              <w:left w:val="single" w:color="auto" w:sz="6" w:space="0"/>
              <w:bottom w:val="single" w:color="auto" w:sz="6" w:space="0"/>
            </w:tcBorders>
            <w:noWrap w:val="0"/>
            <w:vAlign w:val="center"/>
          </w:tcPr>
          <w:p w14:paraId="16C053EA">
            <w:pPr>
              <w:keepNext w:val="0"/>
              <w:keepLines w:val="0"/>
              <w:pageBreakBefore w:val="0"/>
              <w:widowControl w:val="0"/>
              <w:kinsoku/>
              <w:overflowPunct/>
              <w:topLinePunct w:val="0"/>
              <w:autoSpaceDE/>
              <w:autoSpaceDN/>
              <w:bidi w:val="0"/>
              <w:spacing w:line="288" w:lineRule="auto"/>
              <w:jc w:val="both"/>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具体详见公告部分</w:t>
            </w:r>
          </w:p>
        </w:tc>
      </w:tr>
      <w:tr w14:paraId="7C03D2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952" w:type="dxa"/>
            <w:tcBorders>
              <w:top w:val="single" w:color="auto" w:sz="6" w:space="0"/>
              <w:bottom w:val="single" w:color="auto" w:sz="6" w:space="0"/>
              <w:right w:val="single" w:color="auto" w:sz="6" w:space="0"/>
            </w:tcBorders>
            <w:noWrap w:val="0"/>
            <w:vAlign w:val="center"/>
          </w:tcPr>
          <w:p w14:paraId="5DD9D572">
            <w:pPr>
              <w:keepNext w:val="0"/>
              <w:keepLines w:val="0"/>
              <w:pageBreakBefore w:val="0"/>
              <w:widowControl w:val="0"/>
              <w:kinsoku/>
              <w:overflowPunct/>
              <w:topLinePunct w:val="0"/>
              <w:autoSpaceDE/>
              <w:autoSpaceDN/>
              <w:bidi w:val="0"/>
              <w:adjustRightInd w:val="0"/>
              <w:spacing w:line="288" w:lineRule="auto"/>
              <w:jc w:val="center"/>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7</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5EB2F358">
            <w:pPr>
              <w:keepNext w:val="0"/>
              <w:keepLines w:val="0"/>
              <w:pageBreakBefore w:val="0"/>
              <w:widowControl w:val="0"/>
              <w:kinsoku/>
              <w:overflowPunct/>
              <w:topLinePunct w:val="0"/>
              <w:autoSpaceDE/>
              <w:autoSpaceDN/>
              <w:bidi w:val="0"/>
              <w:spacing w:line="288" w:lineRule="auto"/>
              <w:jc w:val="center"/>
              <w:textAlignment w:val="auto"/>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磋商小组的组建</w:t>
            </w:r>
          </w:p>
        </w:tc>
        <w:tc>
          <w:tcPr>
            <w:tcW w:w="6285" w:type="dxa"/>
            <w:tcBorders>
              <w:top w:val="single" w:color="auto" w:sz="6" w:space="0"/>
              <w:left w:val="single" w:color="auto" w:sz="6" w:space="0"/>
              <w:bottom w:val="single" w:color="auto" w:sz="6" w:space="0"/>
            </w:tcBorders>
            <w:noWrap w:val="0"/>
            <w:vAlign w:val="center"/>
          </w:tcPr>
          <w:p w14:paraId="0F7716E1">
            <w:pPr>
              <w:keepNext w:val="0"/>
              <w:keepLines w:val="0"/>
              <w:pageBreakBefore w:val="0"/>
              <w:widowControl w:val="0"/>
              <w:kinsoku/>
              <w:overflowPunct/>
              <w:topLinePunct w:val="0"/>
              <w:autoSpaceDE/>
              <w:autoSpaceDN/>
              <w:bidi w:val="0"/>
              <w:spacing w:line="288" w:lineRule="auto"/>
              <w:jc w:val="both"/>
              <w:textAlignment w:val="auto"/>
              <w:rPr>
                <w:rFonts w:hint="eastAsia" w:ascii="宋体" w:hAnsi="宋体" w:eastAsia="宋体" w:cs="宋体"/>
                <w:color w:val="auto"/>
                <w:spacing w:val="6"/>
                <w:kern w:val="2"/>
                <w:sz w:val="24"/>
                <w:szCs w:val="24"/>
                <w:highlight w:val="none"/>
                <w:lang w:eastAsia="zh-CN"/>
              </w:rPr>
            </w:pPr>
            <w:r>
              <w:rPr>
                <w:rFonts w:ascii="宋体" w:hAnsi="宋体" w:cs="宋体"/>
                <w:color w:val="auto"/>
                <w:spacing w:val="6"/>
                <w:kern w:val="2"/>
                <w:sz w:val="24"/>
                <w:szCs w:val="24"/>
                <w:highlight w:val="none"/>
              </w:rPr>
              <w:t>磋商小组成员为3人，采购人代表1人，其余</w:t>
            </w:r>
            <w:r>
              <w:rPr>
                <w:rFonts w:hint="eastAsia" w:ascii="宋体" w:hAnsi="宋体" w:cs="宋体"/>
                <w:color w:val="auto"/>
                <w:spacing w:val="6"/>
                <w:kern w:val="2"/>
                <w:sz w:val="24"/>
                <w:szCs w:val="24"/>
                <w:highlight w:val="none"/>
                <w:lang w:val="en-US" w:eastAsia="zh-CN"/>
              </w:rPr>
              <w:t>相关经济、技术</w:t>
            </w:r>
            <w:r>
              <w:rPr>
                <w:rFonts w:ascii="宋体" w:hAnsi="宋体" w:cs="宋体"/>
                <w:color w:val="auto"/>
                <w:spacing w:val="6"/>
                <w:kern w:val="2"/>
                <w:sz w:val="24"/>
                <w:szCs w:val="24"/>
                <w:highlight w:val="none"/>
              </w:rPr>
              <w:t>专家2人</w:t>
            </w:r>
            <w:r>
              <w:rPr>
                <w:rFonts w:hint="eastAsia" w:ascii="宋体" w:hAnsi="宋体" w:cs="宋体"/>
                <w:color w:val="auto"/>
                <w:spacing w:val="6"/>
                <w:kern w:val="2"/>
                <w:sz w:val="24"/>
                <w:szCs w:val="24"/>
                <w:highlight w:val="none"/>
              </w:rPr>
              <w:t>，开标后从相关专家库中随机抽取</w:t>
            </w:r>
            <w:r>
              <w:rPr>
                <w:rFonts w:hint="eastAsia" w:ascii="宋体" w:hAnsi="宋体" w:cs="宋体"/>
                <w:color w:val="auto"/>
                <w:spacing w:val="6"/>
                <w:kern w:val="2"/>
                <w:sz w:val="24"/>
                <w:szCs w:val="24"/>
                <w:highlight w:val="none"/>
                <w:lang w:eastAsia="zh-CN"/>
              </w:rPr>
              <w:t>。</w:t>
            </w:r>
          </w:p>
        </w:tc>
      </w:tr>
      <w:tr w14:paraId="3E5967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2" w:type="dxa"/>
            <w:tcBorders>
              <w:top w:val="single" w:color="auto" w:sz="6" w:space="0"/>
              <w:bottom w:val="single" w:color="auto" w:sz="6" w:space="0"/>
              <w:right w:val="single" w:color="auto" w:sz="6" w:space="0"/>
            </w:tcBorders>
            <w:noWrap w:val="0"/>
            <w:vAlign w:val="center"/>
          </w:tcPr>
          <w:p w14:paraId="0A1E05B9">
            <w:pPr>
              <w:keepNext w:val="0"/>
              <w:keepLines w:val="0"/>
              <w:pageBreakBefore w:val="0"/>
              <w:widowControl w:val="0"/>
              <w:kinsoku/>
              <w:overflowPunct/>
              <w:topLinePunct w:val="0"/>
              <w:autoSpaceDE/>
              <w:autoSpaceDN/>
              <w:bidi w:val="0"/>
              <w:adjustRightInd w:val="0"/>
              <w:spacing w:line="288" w:lineRule="auto"/>
              <w:jc w:val="center"/>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8</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6B30A91A">
            <w:pPr>
              <w:keepNext w:val="0"/>
              <w:keepLines w:val="0"/>
              <w:pageBreakBefore w:val="0"/>
              <w:widowControl w:val="0"/>
              <w:kinsoku/>
              <w:overflowPunct/>
              <w:topLinePunct w:val="0"/>
              <w:autoSpaceDE/>
              <w:autoSpaceDN/>
              <w:bidi w:val="0"/>
              <w:spacing w:line="288" w:lineRule="auto"/>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是否授权磋商小组确定中标人</w:t>
            </w:r>
          </w:p>
        </w:tc>
        <w:tc>
          <w:tcPr>
            <w:tcW w:w="6285" w:type="dxa"/>
            <w:tcBorders>
              <w:top w:val="single" w:color="auto" w:sz="6" w:space="0"/>
              <w:left w:val="single" w:color="auto" w:sz="6" w:space="0"/>
              <w:bottom w:val="single" w:color="auto" w:sz="6" w:space="0"/>
            </w:tcBorders>
            <w:noWrap w:val="0"/>
            <w:vAlign w:val="center"/>
          </w:tcPr>
          <w:p w14:paraId="5E5E09FA">
            <w:pPr>
              <w:keepNext w:val="0"/>
              <w:keepLines w:val="0"/>
              <w:pageBreakBefore w:val="0"/>
              <w:widowControl w:val="0"/>
              <w:kinsoku/>
              <w:overflowPunct/>
              <w:topLinePunct w:val="0"/>
              <w:autoSpaceDE/>
              <w:autoSpaceDN/>
              <w:bidi w:val="0"/>
              <w:spacing w:line="288" w:lineRule="auto"/>
              <w:jc w:val="both"/>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否，磋商小组推选三名</w:t>
            </w:r>
            <w:r>
              <w:rPr>
                <w:rFonts w:hint="eastAsia" w:ascii="宋体" w:hAnsi="宋体" w:cs="宋体"/>
                <w:color w:val="auto"/>
                <w:spacing w:val="6"/>
                <w:sz w:val="24"/>
                <w:szCs w:val="24"/>
                <w:highlight w:val="none"/>
              </w:rPr>
              <w:t>成交</w:t>
            </w:r>
            <w:r>
              <w:rPr>
                <w:rFonts w:hint="eastAsia" w:ascii="宋体" w:hAnsi="宋体" w:cs="宋体"/>
                <w:color w:val="auto"/>
                <w:spacing w:val="6"/>
                <w:kern w:val="2"/>
                <w:sz w:val="24"/>
                <w:szCs w:val="24"/>
                <w:highlight w:val="none"/>
              </w:rPr>
              <w:t>候选人</w:t>
            </w:r>
          </w:p>
        </w:tc>
      </w:tr>
      <w:tr w14:paraId="2BE089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952" w:type="dxa"/>
            <w:tcBorders>
              <w:top w:val="single" w:color="auto" w:sz="6" w:space="0"/>
              <w:bottom w:val="single" w:color="auto" w:sz="6" w:space="0"/>
              <w:right w:val="single" w:color="auto" w:sz="6" w:space="0"/>
            </w:tcBorders>
            <w:noWrap w:val="0"/>
            <w:vAlign w:val="center"/>
          </w:tcPr>
          <w:p w14:paraId="06DA90FF">
            <w:pPr>
              <w:keepNext w:val="0"/>
              <w:keepLines w:val="0"/>
              <w:pageBreakBefore w:val="0"/>
              <w:widowControl w:val="0"/>
              <w:kinsoku/>
              <w:overflowPunct/>
              <w:topLinePunct w:val="0"/>
              <w:autoSpaceDE/>
              <w:autoSpaceDN/>
              <w:bidi w:val="0"/>
              <w:adjustRightInd w:val="0"/>
              <w:spacing w:line="288" w:lineRule="auto"/>
              <w:jc w:val="center"/>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9</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720AD389">
            <w:pPr>
              <w:keepNext w:val="0"/>
              <w:keepLines w:val="0"/>
              <w:pageBreakBefore w:val="0"/>
              <w:widowControl w:val="0"/>
              <w:kinsoku/>
              <w:overflowPunct/>
              <w:topLinePunct w:val="0"/>
              <w:autoSpaceDE/>
              <w:autoSpaceDN/>
              <w:bidi w:val="0"/>
              <w:spacing w:line="288" w:lineRule="auto"/>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履约保证金</w:t>
            </w:r>
          </w:p>
        </w:tc>
        <w:tc>
          <w:tcPr>
            <w:tcW w:w="6285" w:type="dxa"/>
            <w:tcBorders>
              <w:top w:val="single" w:color="auto" w:sz="6" w:space="0"/>
              <w:left w:val="single" w:color="auto" w:sz="6" w:space="0"/>
              <w:bottom w:val="single" w:color="auto" w:sz="6" w:space="0"/>
            </w:tcBorders>
            <w:noWrap w:val="0"/>
            <w:vAlign w:val="center"/>
          </w:tcPr>
          <w:p w14:paraId="41BC4F0D">
            <w:pPr>
              <w:keepNext w:val="0"/>
              <w:keepLines w:val="0"/>
              <w:pageBreakBefore w:val="0"/>
              <w:widowControl w:val="0"/>
              <w:kinsoku/>
              <w:overflowPunct/>
              <w:topLinePunct w:val="0"/>
              <w:autoSpaceDE/>
              <w:autoSpaceDN/>
              <w:bidi w:val="0"/>
              <w:spacing w:line="288" w:lineRule="auto"/>
              <w:jc w:val="both"/>
              <w:textAlignment w:val="auto"/>
              <w:rPr>
                <w:rFonts w:ascii="宋体" w:hAnsi="宋体" w:cs="宋体"/>
                <w:color w:val="auto"/>
                <w:spacing w:val="6"/>
                <w:kern w:val="2"/>
                <w:sz w:val="24"/>
                <w:szCs w:val="24"/>
                <w:highlight w:val="none"/>
              </w:rPr>
            </w:pPr>
            <w:r>
              <w:rPr>
                <w:rFonts w:hint="eastAsia" w:ascii="宋体" w:hAnsi="宋体" w:eastAsia="宋体" w:cs="宋体"/>
                <w:color w:val="auto"/>
                <w:spacing w:val="6"/>
                <w:kern w:val="2"/>
                <w:sz w:val="24"/>
                <w:szCs w:val="24"/>
                <w:highlight w:val="none"/>
              </w:rPr>
              <w:t>不收取</w:t>
            </w:r>
          </w:p>
        </w:tc>
      </w:tr>
      <w:tr w14:paraId="197872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952" w:type="dxa"/>
            <w:tcBorders>
              <w:top w:val="single" w:color="auto" w:sz="6" w:space="0"/>
              <w:bottom w:val="single" w:color="auto" w:sz="6" w:space="0"/>
              <w:right w:val="single" w:color="auto" w:sz="6" w:space="0"/>
            </w:tcBorders>
            <w:noWrap w:val="0"/>
            <w:vAlign w:val="center"/>
          </w:tcPr>
          <w:p w14:paraId="76E91592">
            <w:pPr>
              <w:keepNext w:val="0"/>
              <w:keepLines w:val="0"/>
              <w:pageBreakBefore w:val="0"/>
              <w:widowControl w:val="0"/>
              <w:kinsoku/>
              <w:overflowPunct/>
              <w:topLinePunct w:val="0"/>
              <w:autoSpaceDE/>
              <w:autoSpaceDN/>
              <w:bidi w:val="0"/>
              <w:adjustRightInd w:val="0"/>
              <w:spacing w:line="288" w:lineRule="auto"/>
              <w:jc w:val="center"/>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val="en-US" w:eastAsia="zh-CN"/>
              </w:rPr>
              <w:t>40</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0C585B89">
            <w:pPr>
              <w:keepNext w:val="0"/>
              <w:keepLines w:val="0"/>
              <w:pageBreakBefore w:val="0"/>
              <w:widowControl w:val="0"/>
              <w:kinsoku/>
              <w:overflowPunct/>
              <w:topLinePunct w:val="0"/>
              <w:autoSpaceDE/>
              <w:autoSpaceDN/>
              <w:bidi w:val="0"/>
              <w:spacing w:line="288" w:lineRule="auto"/>
              <w:jc w:val="center"/>
              <w:textAlignment w:val="auto"/>
              <w:rPr>
                <w:rFonts w:hint="eastAsia" w:ascii="宋体" w:hAnsi="宋体" w:eastAsia="宋体" w:cs="宋体"/>
                <w:color w:val="auto"/>
                <w:spacing w:val="6"/>
                <w:kern w:val="2"/>
                <w:sz w:val="24"/>
                <w:szCs w:val="24"/>
                <w:highlight w:val="none"/>
              </w:rPr>
            </w:pPr>
            <w:r>
              <w:rPr>
                <w:rFonts w:hint="eastAsia" w:ascii="宋体" w:hAnsi="宋体" w:eastAsia="宋体" w:cs="宋体"/>
                <w:color w:val="auto"/>
                <w:spacing w:val="6"/>
                <w:kern w:val="2"/>
                <w:sz w:val="24"/>
                <w:szCs w:val="24"/>
                <w:highlight w:val="none"/>
              </w:rPr>
              <w:t>付款方式</w:t>
            </w:r>
          </w:p>
        </w:tc>
        <w:tc>
          <w:tcPr>
            <w:tcW w:w="6285" w:type="dxa"/>
            <w:tcBorders>
              <w:top w:val="single" w:color="auto" w:sz="6" w:space="0"/>
              <w:left w:val="single" w:color="auto" w:sz="6" w:space="0"/>
              <w:bottom w:val="single" w:color="auto" w:sz="6" w:space="0"/>
            </w:tcBorders>
            <w:noWrap w:val="0"/>
            <w:vAlign w:val="center"/>
          </w:tcPr>
          <w:p w14:paraId="56C17C5C">
            <w:pPr>
              <w:keepNext w:val="0"/>
              <w:keepLines w:val="0"/>
              <w:pageBreakBefore w:val="0"/>
              <w:widowControl w:val="0"/>
              <w:kinsoku/>
              <w:overflowPunct/>
              <w:topLinePunct w:val="0"/>
              <w:autoSpaceDE/>
              <w:autoSpaceDN/>
              <w:bidi w:val="0"/>
              <w:spacing w:line="288" w:lineRule="auto"/>
              <w:jc w:val="both"/>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val="en-US" w:eastAsia="zh-CN"/>
              </w:rPr>
              <w:t>提交</w:t>
            </w:r>
            <w:r>
              <w:rPr>
                <w:rFonts w:hint="eastAsia" w:ascii="宋体" w:hAnsi="宋体" w:cs="宋体"/>
                <w:color w:val="auto"/>
                <w:spacing w:val="6"/>
                <w:kern w:val="2"/>
                <w:sz w:val="24"/>
                <w:szCs w:val="24"/>
                <w:highlight w:val="none"/>
                <w:lang w:val="en-US" w:eastAsia="zh-CN"/>
              </w:rPr>
              <w:t>成果</w:t>
            </w:r>
            <w:r>
              <w:rPr>
                <w:rFonts w:hint="eastAsia" w:ascii="宋体" w:hAnsi="宋体" w:eastAsia="宋体" w:cs="宋体"/>
                <w:color w:val="auto"/>
                <w:spacing w:val="6"/>
                <w:kern w:val="2"/>
                <w:sz w:val="24"/>
                <w:szCs w:val="24"/>
                <w:highlight w:val="none"/>
                <w:lang w:val="en-US" w:eastAsia="zh-CN"/>
              </w:rPr>
              <w:t>并通过评审后，一次性付清全部服务款项</w:t>
            </w:r>
            <w:r>
              <w:rPr>
                <w:rFonts w:hint="eastAsia" w:ascii="宋体" w:hAnsi="宋体" w:cs="宋体"/>
                <w:color w:val="auto"/>
                <w:spacing w:val="6"/>
                <w:kern w:val="2"/>
                <w:sz w:val="24"/>
                <w:szCs w:val="24"/>
                <w:highlight w:val="none"/>
                <w:lang w:val="en-US" w:eastAsia="zh-CN"/>
              </w:rPr>
              <w:t>（</w:t>
            </w:r>
            <w:r>
              <w:rPr>
                <w:rFonts w:hint="eastAsia" w:ascii="宋体" w:hAnsi="宋体" w:eastAsia="宋体" w:cs="宋体"/>
                <w:color w:val="auto"/>
                <w:spacing w:val="6"/>
                <w:kern w:val="2"/>
                <w:sz w:val="24"/>
                <w:szCs w:val="24"/>
                <w:highlight w:val="none"/>
                <w:lang w:val="en-US" w:eastAsia="zh-CN"/>
              </w:rPr>
              <w:t>具体</w:t>
            </w:r>
            <w:r>
              <w:rPr>
                <w:rFonts w:hint="eastAsia" w:ascii="宋体" w:hAnsi="宋体" w:cs="宋体"/>
                <w:color w:val="auto"/>
                <w:spacing w:val="6"/>
                <w:kern w:val="2"/>
                <w:sz w:val="24"/>
                <w:szCs w:val="24"/>
                <w:highlight w:val="none"/>
                <w:lang w:val="en-US" w:eastAsia="zh-CN"/>
              </w:rPr>
              <w:t>内容</w:t>
            </w:r>
            <w:r>
              <w:rPr>
                <w:rFonts w:hint="eastAsia" w:ascii="宋体" w:hAnsi="宋体" w:eastAsia="宋体" w:cs="宋体"/>
                <w:color w:val="auto"/>
                <w:spacing w:val="6"/>
                <w:kern w:val="2"/>
                <w:sz w:val="24"/>
                <w:szCs w:val="24"/>
                <w:highlight w:val="none"/>
                <w:lang w:val="en-US" w:eastAsia="zh-CN"/>
              </w:rPr>
              <w:t>以</w:t>
            </w:r>
            <w:r>
              <w:rPr>
                <w:rFonts w:hint="eastAsia" w:ascii="宋体" w:hAnsi="宋体" w:cs="宋体"/>
                <w:color w:val="auto"/>
                <w:spacing w:val="6"/>
                <w:kern w:val="2"/>
                <w:sz w:val="24"/>
                <w:szCs w:val="24"/>
                <w:highlight w:val="none"/>
                <w:lang w:val="en-US" w:eastAsia="zh-CN"/>
              </w:rPr>
              <w:t>实际</w:t>
            </w:r>
            <w:r>
              <w:rPr>
                <w:rFonts w:hint="eastAsia" w:ascii="宋体" w:hAnsi="宋体" w:eastAsia="宋体" w:cs="宋体"/>
                <w:color w:val="auto"/>
                <w:spacing w:val="6"/>
                <w:kern w:val="2"/>
                <w:sz w:val="24"/>
                <w:szCs w:val="24"/>
                <w:highlight w:val="none"/>
                <w:lang w:val="en-US" w:eastAsia="zh-CN"/>
              </w:rPr>
              <w:t>签订合同为准</w:t>
            </w:r>
            <w:r>
              <w:rPr>
                <w:rFonts w:hint="eastAsia" w:ascii="宋体" w:hAnsi="宋体" w:cs="宋体"/>
                <w:color w:val="auto"/>
                <w:spacing w:val="6"/>
                <w:kern w:val="2"/>
                <w:sz w:val="24"/>
                <w:szCs w:val="24"/>
                <w:highlight w:val="none"/>
                <w:lang w:val="en-US" w:eastAsia="zh-CN"/>
              </w:rPr>
              <w:t>）</w:t>
            </w:r>
          </w:p>
        </w:tc>
      </w:tr>
      <w:tr w14:paraId="7FC281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27" w:hRule="atLeast"/>
        </w:trPr>
        <w:tc>
          <w:tcPr>
            <w:tcW w:w="952" w:type="dxa"/>
            <w:tcBorders>
              <w:top w:val="single" w:color="auto" w:sz="6" w:space="0"/>
              <w:bottom w:val="single" w:color="auto" w:sz="6" w:space="0"/>
              <w:right w:val="single" w:color="auto" w:sz="6" w:space="0"/>
            </w:tcBorders>
            <w:noWrap w:val="0"/>
            <w:vAlign w:val="center"/>
          </w:tcPr>
          <w:p w14:paraId="0BD70837">
            <w:pPr>
              <w:keepNext w:val="0"/>
              <w:keepLines w:val="0"/>
              <w:pageBreakBefore w:val="0"/>
              <w:widowControl w:val="0"/>
              <w:kinsoku/>
              <w:overflowPunct/>
              <w:topLinePunct w:val="0"/>
              <w:autoSpaceDE/>
              <w:autoSpaceDN/>
              <w:bidi w:val="0"/>
              <w:adjustRightInd w:val="0"/>
              <w:spacing w:line="288" w:lineRule="auto"/>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4</w:t>
            </w:r>
            <w:r>
              <w:rPr>
                <w:rFonts w:hint="eastAsia" w:ascii="宋体" w:hAnsi="宋体" w:cs="宋体"/>
                <w:color w:val="auto"/>
                <w:spacing w:val="6"/>
                <w:kern w:val="2"/>
                <w:sz w:val="24"/>
                <w:szCs w:val="24"/>
                <w:highlight w:val="none"/>
                <w:lang w:val="en-US" w:eastAsia="zh-CN"/>
              </w:rPr>
              <w:t>1</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4100DB15">
            <w:pPr>
              <w:keepNext w:val="0"/>
              <w:keepLines w:val="0"/>
              <w:pageBreakBefore w:val="0"/>
              <w:widowControl w:val="0"/>
              <w:kinsoku/>
              <w:overflowPunct/>
              <w:topLinePunct w:val="0"/>
              <w:autoSpaceDE/>
              <w:autoSpaceDN/>
              <w:bidi w:val="0"/>
              <w:spacing w:line="288" w:lineRule="auto"/>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其他事项</w:t>
            </w:r>
          </w:p>
        </w:tc>
        <w:tc>
          <w:tcPr>
            <w:tcW w:w="6285" w:type="dxa"/>
            <w:tcBorders>
              <w:top w:val="single" w:color="auto" w:sz="6" w:space="0"/>
              <w:left w:val="single" w:color="auto" w:sz="6" w:space="0"/>
              <w:bottom w:val="single" w:color="auto" w:sz="6" w:space="0"/>
            </w:tcBorders>
            <w:noWrap w:val="0"/>
            <w:vAlign w:val="center"/>
          </w:tcPr>
          <w:p w14:paraId="533DF0A4">
            <w:pPr>
              <w:keepNext w:val="0"/>
              <w:keepLines w:val="0"/>
              <w:pageBreakBefore w:val="0"/>
              <w:widowControl w:val="0"/>
              <w:kinsoku/>
              <w:overflowPunct/>
              <w:topLinePunct w:val="0"/>
              <w:autoSpaceDE/>
              <w:autoSpaceDN/>
              <w:bidi w:val="0"/>
              <w:spacing w:line="288" w:lineRule="auto"/>
              <w:jc w:val="both"/>
              <w:textAlignment w:val="auto"/>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电子化响应文件应在投标截止时间前成功上传至三门峡市公共资源电子化交易系统。至递交截止时间止，仍未上传成功的电子化响应文件，将不予接受</w:t>
            </w:r>
            <w:r>
              <w:rPr>
                <w:rFonts w:hint="eastAsia" w:ascii="宋体" w:hAnsi="宋体" w:cs="宋体"/>
                <w:color w:val="auto"/>
                <w:kern w:val="2"/>
                <w:sz w:val="24"/>
                <w:szCs w:val="24"/>
                <w:highlight w:val="none"/>
                <w:lang w:eastAsia="zh-CN"/>
              </w:rPr>
              <w:t>。</w:t>
            </w:r>
          </w:p>
        </w:tc>
      </w:tr>
      <w:tr w14:paraId="64E204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trPr>
        <w:tc>
          <w:tcPr>
            <w:tcW w:w="952" w:type="dxa"/>
            <w:tcBorders>
              <w:top w:val="single" w:color="auto" w:sz="6" w:space="0"/>
              <w:bottom w:val="single" w:color="auto" w:sz="6" w:space="0"/>
              <w:right w:val="single" w:color="auto" w:sz="6" w:space="0"/>
            </w:tcBorders>
            <w:noWrap w:val="0"/>
            <w:vAlign w:val="center"/>
          </w:tcPr>
          <w:p w14:paraId="72A81596">
            <w:pPr>
              <w:keepNext w:val="0"/>
              <w:keepLines w:val="0"/>
              <w:pageBreakBefore w:val="0"/>
              <w:widowControl w:val="0"/>
              <w:kinsoku/>
              <w:overflowPunct/>
              <w:topLinePunct w:val="0"/>
              <w:autoSpaceDE/>
              <w:autoSpaceDN/>
              <w:bidi w:val="0"/>
              <w:adjustRightInd w:val="0"/>
              <w:spacing w:line="288" w:lineRule="auto"/>
              <w:jc w:val="center"/>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4</w:t>
            </w:r>
            <w:r>
              <w:rPr>
                <w:rFonts w:hint="eastAsia" w:ascii="宋体" w:hAnsi="宋体" w:cs="宋体"/>
                <w:color w:val="auto"/>
                <w:spacing w:val="6"/>
                <w:kern w:val="2"/>
                <w:sz w:val="24"/>
                <w:szCs w:val="24"/>
                <w:highlight w:val="none"/>
                <w:lang w:val="en-US" w:eastAsia="zh-CN"/>
              </w:rPr>
              <w:t>2</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24B12C3F">
            <w:pPr>
              <w:keepNext w:val="0"/>
              <w:keepLines w:val="0"/>
              <w:pageBreakBefore w:val="0"/>
              <w:widowControl w:val="0"/>
              <w:kinsoku/>
              <w:overflowPunct/>
              <w:topLinePunct w:val="0"/>
              <w:autoSpaceDE/>
              <w:autoSpaceDN/>
              <w:bidi w:val="0"/>
              <w:spacing w:line="288" w:lineRule="auto"/>
              <w:jc w:val="center"/>
              <w:textAlignment w:val="auto"/>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代理服务费</w:t>
            </w:r>
          </w:p>
        </w:tc>
        <w:tc>
          <w:tcPr>
            <w:tcW w:w="6285" w:type="dxa"/>
            <w:tcBorders>
              <w:top w:val="single" w:color="auto" w:sz="6" w:space="0"/>
              <w:left w:val="single" w:color="auto" w:sz="6" w:space="0"/>
              <w:bottom w:val="single" w:color="auto" w:sz="6" w:space="0"/>
            </w:tcBorders>
            <w:noWrap w:val="0"/>
            <w:vAlign w:val="center"/>
          </w:tcPr>
          <w:p w14:paraId="6A86DC29">
            <w:pPr>
              <w:keepNext w:val="0"/>
              <w:keepLines w:val="0"/>
              <w:pageBreakBefore w:val="0"/>
              <w:widowControl w:val="0"/>
              <w:kinsoku/>
              <w:overflowPunct/>
              <w:topLinePunct w:val="0"/>
              <w:autoSpaceDE/>
              <w:autoSpaceDN/>
              <w:bidi w:val="0"/>
              <w:spacing w:line="288" w:lineRule="auto"/>
              <w:jc w:val="both"/>
              <w:textAlignment w:val="auto"/>
              <w:rPr>
                <w:rFonts w:hint="default"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w:t>
            </w:r>
            <w:r>
              <w:rPr>
                <w:rFonts w:hint="eastAsia" w:ascii="宋体" w:hAnsi="宋体" w:cs="宋体"/>
                <w:color w:val="auto"/>
                <w:spacing w:val="6"/>
                <w:kern w:val="2"/>
                <w:sz w:val="24"/>
                <w:szCs w:val="24"/>
                <w:highlight w:val="none"/>
                <w:lang w:val="en-US" w:eastAsia="en-US"/>
              </w:rPr>
              <w:t>招标代理服务收费参照豫招协[2023]002号河南省招标投标协会关于印发《河南省招标代理服务收费指导意见》规定的收费标准收取</w:t>
            </w:r>
            <w:r>
              <w:rPr>
                <w:rFonts w:hint="eastAsia" w:ascii="宋体" w:hAnsi="宋体" w:cs="宋体"/>
                <w:color w:val="auto"/>
                <w:spacing w:val="6"/>
                <w:kern w:val="2"/>
                <w:sz w:val="24"/>
                <w:szCs w:val="24"/>
                <w:highlight w:val="none"/>
                <w:lang w:val="en-US" w:eastAsia="zh-CN"/>
              </w:rPr>
              <w:t>中标代理</w:t>
            </w:r>
            <w:r>
              <w:rPr>
                <w:rFonts w:hint="eastAsia" w:ascii="宋体" w:hAnsi="宋体" w:cs="宋体"/>
                <w:color w:val="auto"/>
                <w:spacing w:val="6"/>
                <w:kern w:val="2"/>
                <w:sz w:val="24"/>
                <w:szCs w:val="24"/>
                <w:highlight w:val="none"/>
                <w:lang w:val="en-US" w:eastAsia="en-US"/>
              </w:rPr>
              <w:t>服务费</w:t>
            </w:r>
            <w:r>
              <w:rPr>
                <w:rFonts w:hint="eastAsia" w:ascii="宋体" w:hAnsi="宋体" w:cs="宋体"/>
                <w:color w:val="auto"/>
                <w:spacing w:val="6"/>
                <w:kern w:val="2"/>
                <w:sz w:val="24"/>
                <w:szCs w:val="24"/>
                <w:highlight w:val="none"/>
              </w:rPr>
              <w:t>。</w:t>
            </w:r>
            <w:r>
              <w:rPr>
                <w:rFonts w:hint="eastAsia" w:ascii="宋体" w:hAnsi="宋体" w:cs="宋体"/>
                <w:color w:val="auto"/>
                <w:spacing w:val="6"/>
                <w:kern w:val="2"/>
                <w:sz w:val="24"/>
                <w:szCs w:val="24"/>
                <w:highlight w:val="none"/>
                <w:lang w:val="en-US" w:eastAsia="zh-CN"/>
              </w:rPr>
              <w:t>（按照100万元以下1.7%）由中标供应商一次性支付</w:t>
            </w:r>
            <w:r>
              <w:rPr>
                <w:rFonts w:hint="eastAsia" w:ascii="宋体" w:hAnsi="宋体" w:cs="宋体"/>
                <w:color w:val="auto"/>
                <w:spacing w:val="6"/>
                <w:kern w:val="2"/>
                <w:sz w:val="24"/>
                <w:szCs w:val="24"/>
                <w:highlight w:val="none"/>
              </w:rPr>
              <w:t>。</w:t>
            </w:r>
          </w:p>
          <w:p w14:paraId="70DF2820">
            <w:pPr>
              <w:keepNext w:val="0"/>
              <w:keepLines w:val="0"/>
              <w:pageBreakBefore w:val="0"/>
              <w:widowControl w:val="0"/>
              <w:kinsoku/>
              <w:overflowPunct/>
              <w:topLinePunct w:val="0"/>
              <w:autoSpaceDE/>
              <w:autoSpaceDN/>
              <w:bidi w:val="0"/>
              <w:spacing w:line="288" w:lineRule="auto"/>
              <w:jc w:val="both"/>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2.中标</w:t>
            </w:r>
            <w:r>
              <w:rPr>
                <w:rFonts w:hint="eastAsia" w:ascii="宋体" w:hAnsi="宋体" w:cs="宋体"/>
                <w:color w:val="auto"/>
                <w:spacing w:val="6"/>
                <w:kern w:val="2"/>
                <w:sz w:val="24"/>
                <w:szCs w:val="24"/>
                <w:highlight w:val="none"/>
                <w:lang w:val="en-US" w:eastAsia="en-US"/>
              </w:rPr>
              <w:t>供应商在领取中标通知书时，须提供</w:t>
            </w:r>
            <w:r>
              <w:rPr>
                <w:rFonts w:hint="eastAsia" w:ascii="宋体" w:hAnsi="宋体" w:cs="宋体"/>
                <w:color w:val="auto"/>
                <w:spacing w:val="6"/>
                <w:kern w:val="2"/>
                <w:sz w:val="24"/>
                <w:szCs w:val="24"/>
                <w:highlight w:val="none"/>
                <w:lang w:val="en-US" w:eastAsia="zh-CN"/>
              </w:rPr>
              <w:t>投标</w:t>
            </w:r>
            <w:r>
              <w:rPr>
                <w:rFonts w:hint="eastAsia" w:ascii="宋体" w:hAnsi="宋体" w:cs="宋体"/>
                <w:color w:val="auto"/>
                <w:spacing w:val="6"/>
                <w:kern w:val="2"/>
                <w:sz w:val="24"/>
                <w:szCs w:val="24"/>
                <w:highlight w:val="none"/>
                <w:lang w:val="en-US" w:eastAsia="en-US"/>
              </w:rPr>
              <w:t>文件（上传稿）纸质资料</w:t>
            </w:r>
            <w:r>
              <w:rPr>
                <w:rFonts w:hint="eastAsia" w:ascii="宋体" w:hAnsi="宋体" w:cs="宋体"/>
                <w:color w:val="auto"/>
                <w:spacing w:val="6"/>
                <w:kern w:val="2"/>
                <w:sz w:val="24"/>
                <w:szCs w:val="24"/>
                <w:highlight w:val="none"/>
                <w:lang w:val="en-US" w:eastAsia="zh-CN"/>
              </w:rPr>
              <w:t>一</w:t>
            </w:r>
            <w:r>
              <w:rPr>
                <w:rFonts w:hint="eastAsia" w:ascii="宋体" w:hAnsi="宋体" w:cs="宋体"/>
                <w:color w:val="auto"/>
                <w:spacing w:val="6"/>
                <w:kern w:val="2"/>
                <w:sz w:val="24"/>
                <w:szCs w:val="24"/>
                <w:highlight w:val="none"/>
                <w:lang w:val="en-US" w:eastAsia="en-US"/>
              </w:rPr>
              <w:t>套，需加盖单位公章，胶装成册。</w:t>
            </w:r>
          </w:p>
        </w:tc>
      </w:tr>
      <w:tr w14:paraId="207A2F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71" w:hRule="atLeast"/>
        </w:trPr>
        <w:tc>
          <w:tcPr>
            <w:tcW w:w="952" w:type="dxa"/>
            <w:tcBorders>
              <w:top w:val="single" w:color="auto" w:sz="6" w:space="0"/>
              <w:bottom w:val="single" w:color="auto" w:sz="6" w:space="0"/>
              <w:right w:val="single" w:color="auto" w:sz="6" w:space="0"/>
            </w:tcBorders>
            <w:noWrap w:val="0"/>
            <w:vAlign w:val="center"/>
          </w:tcPr>
          <w:p w14:paraId="30B47500">
            <w:pPr>
              <w:keepNext w:val="0"/>
              <w:keepLines w:val="0"/>
              <w:pageBreakBefore w:val="0"/>
              <w:widowControl w:val="0"/>
              <w:kinsoku/>
              <w:overflowPunct/>
              <w:topLinePunct w:val="0"/>
              <w:autoSpaceDE/>
              <w:autoSpaceDN/>
              <w:bidi w:val="0"/>
              <w:adjustRightInd w:val="0"/>
              <w:spacing w:line="288" w:lineRule="auto"/>
              <w:jc w:val="center"/>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val="en-US" w:eastAsia="zh-CN"/>
              </w:rPr>
              <w:t>43</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0779160F">
            <w:pPr>
              <w:keepNext w:val="0"/>
              <w:keepLines w:val="0"/>
              <w:pageBreakBefore w:val="0"/>
              <w:widowControl w:val="0"/>
              <w:kinsoku/>
              <w:overflowPunct/>
              <w:topLinePunct w:val="0"/>
              <w:autoSpaceDE/>
              <w:autoSpaceDN/>
              <w:bidi w:val="0"/>
              <w:spacing w:line="288" w:lineRule="auto"/>
              <w:jc w:val="center"/>
              <w:textAlignment w:val="auto"/>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竞争性磋商文件的解释</w:t>
            </w:r>
          </w:p>
        </w:tc>
        <w:tc>
          <w:tcPr>
            <w:tcW w:w="6285" w:type="dxa"/>
            <w:tcBorders>
              <w:top w:val="single" w:color="auto" w:sz="6" w:space="0"/>
              <w:left w:val="single" w:color="auto" w:sz="6" w:space="0"/>
              <w:bottom w:val="single" w:color="auto" w:sz="6" w:space="0"/>
            </w:tcBorders>
            <w:noWrap w:val="0"/>
            <w:vAlign w:val="center"/>
          </w:tcPr>
          <w:p w14:paraId="63478EB6">
            <w:pPr>
              <w:keepNext w:val="0"/>
              <w:keepLines w:val="0"/>
              <w:pageBreakBefore w:val="0"/>
              <w:widowControl w:val="0"/>
              <w:kinsoku/>
              <w:overflowPunct/>
              <w:topLinePunct w:val="0"/>
              <w:autoSpaceDE/>
              <w:autoSpaceDN/>
              <w:bidi w:val="0"/>
              <w:spacing w:line="288" w:lineRule="auto"/>
              <w:ind w:right="-153" w:rightChars="-73"/>
              <w:textAlignment w:val="auto"/>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在符合相关法律法规的前题下，竞争性磋商文件的解释权归采购人所有。本竞争性磋商文件中其他部分内容与</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须知前附表不一致的，以</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须知前附表为准。</w:t>
            </w:r>
          </w:p>
        </w:tc>
      </w:tr>
      <w:tr w14:paraId="267CD5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71" w:hRule="atLeast"/>
        </w:trPr>
        <w:tc>
          <w:tcPr>
            <w:tcW w:w="952" w:type="dxa"/>
            <w:tcBorders>
              <w:top w:val="single" w:color="auto" w:sz="6" w:space="0"/>
              <w:bottom w:val="single" w:color="auto" w:sz="6" w:space="0"/>
              <w:right w:val="single" w:color="auto" w:sz="6" w:space="0"/>
            </w:tcBorders>
            <w:noWrap w:val="0"/>
            <w:vAlign w:val="center"/>
          </w:tcPr>
          <w:p w14:paraId="3F374F25">
            <w:pPr>
              <w:keepNext w:val="0"/>
              <w:keepLines w:val="0"/>
              <w:pageBreakBefore w:val="0"/>
              <w:widowControl w:val="0"/>
              <w:kinsoku/>
              <w:overflowPunct/>
              <w:topLinePunct w:val="0"/>
              <w:autoSpaceDE/>
              <w:autoSpaceDN/>
              <w:bidi w:val="0"/>
              <w:adjustRightInd w:val="0"/>
              <w:spacing w:line="288" w:lineRule="auto"/>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44</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60FEEEB0">
            <w:pPr>
              <w:keepNext w:val="0"/>
              <w:keepLines w:val="0"/>
              <w:pageBreakBefore w:val="0"/>
              <w:widowControl w:val="0"/>
              <w:kinsoku/>
              <w:overflowPunct/>
              <w:topLinePunct w:val="0"/>
              <w:autoSpaceDE/>
              <w:autoSpaceDN/>
              <w:bidi w:val="0"/>
              <w:spacing w:line="288" w:lineRule="auto"/>
              <w:jc w:val="center"/>
              <w:textAlignment w:val="auto"/>
              <w:rPr>
                <w:rFonts w:ascii="宋体" w:hAnsi="宋体" w:cs="宋体"/>
                <w:color w:val="auto"/>
                <w:spacing w:val="6"/>
                <w:kern w:val="2"/>
                <w:sz w:val="24"/>
                <w:szCs w:val="24"/>
                <w:highlight w:val="none"/>
              </w:rPr>
            </w:pPr>
            <w:r>
              <w:rPr>
                <w:rFonts w:hint="eastAsia" w:ascii="宋体" w:hAnsi="宋体"/>
                <w:color w:val="auto"/>
                <w:sz w:val="24"/>
                <w:szCs w:val="24"/>
                <w:highlight w:val="none"/>
              </w:rPr>
              <w:t>解释权</w:t>
            </w:r>
          </w:p>
        </w:tc>
        <w:tc>
          <w:tcPr>
            <w:tcW w:w="6285" w:type="dxa"/>
            <w:tcBorders>
              <w:top w:val="single" w:color="auto" w:sz="6" w:space="0"/>
              <w:left w:val="single" w:color="auto" w:sz="6" w:space="0"/>
              <w:bottom w:val="single" w:color="auto" w:sz="6" w:space="0"/>
            </w:tcBorders>
            <w:noWrap w:val="0"/>
            <w:vAlign w:val="center"/>
          </w:tcPr>
          <w:p w14:paraId="57F35CFA">
            <w:pPr>
              <w:keepNext w:val="0"/>
              <w:keepLines w:val="0"/>
              <w:pageBreakBefore w:val="0"/>
              <w:widowControl w:val="0"/>
              <w:kinsoku/>
              <w:overflowPunct/>
              <w:topLinePunct w:val="0"/>
              <w:autoSpaceDE/>
              <w:autoSpaceDN/>
              <w:bidi w:val="0"/>
              <w:spacing w:line="288" w:lineRule="auto"/>
              <w:ind w:right="-153" w:rightChars="-73"/>
              <w:jc w:val="both"/>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w:t>
            </w:r>
            <w:r>
              <w:rPr>
                <w:rFonts w:hint="eastAsia" w:ascii="宋体" w:hAnsi="宋体" w:cs="宋体"/>
                <w:color w:val="auto"/>
                <w:spacing w:val="6"/>
                <w:kern w:val="2"/>
                <w:sz w:val="24"/>
                <w:szCs w:val="24"/>
                <w:highlight w:val="none"/>
                <w:lang w:val="en-US" w:eastAsia="zh-CN"/>
              </w:rPr>
              <w:t>磋商</w:t>
            </w:r>
            <w:r>
              <w:rPr>
                <w:rFonts w:hint="eastAsia" w:ascii="宋体" w:hAnsi="宋体" w:cs="宋体"/>
                <w:color w:val="auto"/>
                <w:spacing w:val="6"/>
                <w:kern w:val="2"/>
                <w:sz w:val="24"/>
                <w:szCs w:val="24"/>
                <w:highlight w:val="none"/>
              </w:rPr>
              <w:t>公告、供应商须知、评</w:t>
            </w:r>
            <w:r>
              <w:rPr>
                <w:rFonts w:hint="eastAsia" w:ascii="宋体" w:hAnsi="宋体" w:cs="宋体"/>
                <w:color w:val="auto"/>
                <w:spacing w:val="6"/>
                <w:kern w:val="2"/>
                <w:sz w:val="24"/>
                <w:szCs w:val="24"/>
                <w:highlight w:val="none"/>
                <w:lang w:val="en-US" w:eastAsia="zh-CN"/>
              </w:rPr>
              <w:t>审</w:t>
            </w:r>
            <w:r>
              <w:rPr>
                <w:rFonts w:hint="eastAsia" w:ascii="宋体" w:hAnsi="宋体" w:cs="宋体"/>
                <w:color w:val="auto"/>
                <w:spacing w:val="6"/>
                <w:kern w:val="2"/>
                <w:sz w:val="24"/>
                <w:szCs w:val="24"/>
                <w:highlight w:val="none"/>
              </w:rPr>
              <w:t>办法、</w:t>
            </w:r>
            <w:r>
              <w:rPr>
                <w:rFonts w:hint="eastAsia" w:ascii="宋体" w:hAnsi="宋体" w:cs="宋体"/>
                <w:color w:val="auto"/>
                <w:spacing w:val="6"/>
                <w:kern w:val="2"/>
                <w:sz w:val="24"/>
                <w:szCs w:val="24"/>
                <w:highlight w:val="none"/>
                <w:lang w:val="en-US" w:eastAsia="zh-CN"/>
              </w:rPr>
              <w:t>响应</w:t>
            </w:r>
            <w:r>
              <w:rPr>
                <w:rFonts w:hint="eastAsia" w:ascii="宋体" w:hAnsi="宋体" w:cs="宋体"/>
                <w:color w:val="auto"/>
                <w:spacing w:val="6"/>
                <w:kern w:val="2"/>
                <w:sz w:val="24"/>
                <w:szCs w:val="24"/>
                <w:highlight w:val="none"/>
              </w:rPr>
              <w:t>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E1C11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72" w:hRule="atLeast"/>
        </w:trPr>
        <w:tc>
          <w:tcPr>
            <w:tcW w:w="952" w:type="dxa"/>
            <w:tcBorders>
              <w:top w:val="single" w:color="auto" w:sz="6" w:space="0"/>
              <w:bottom w:val="single" w:color="auto" w:sz="6" w:space="0"/>
              <w:right w:val="single" w:color="auto" w:sz="6" w:space="0"/>
            </w:tcBorders>
            <w:noWrap w:val="0"/>
            <w:vAlign w:val="center"/>
          </w:tcPr>
          <w:p w14:paraId="4927A7D1">
            <w:pPr>
              <w:keepNext w:val="0"/>
              <w:keepLines w:val="0"/>
              <w:pageBreakBefore w:val="0"/>
              <w:widowControl w:val="0"/>
              <w:kinsoku/>
              <w:overflowPunct/>
              <w:topLinePunct w:val="0"/>
              <w:autoSpaceDE/>
              <w:autoSpaceDN/>
              <w:bidi w:val="0"/>
              <w:adjustRightInd w:val="0"/>
              <w:spacing w:line="288" w:lineRule="auto"/>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4</w:t>
            </w:r>
            <w:r>
              <w:rPr>
                <w:rFonts w:hint="eastAsia" w:ascii="宋体" w:hAnsi="宋体" w:cs="宋体"/>
                <w:color w:val="auto"/>
                <w:spacing w:val="6"/>
                <w:kern w:val="2"/>
                <w:sz w:val="24"/>
                <w:szCs w:val="24"/>
                <w:highlight w:val="none"/>
                <w:lang w:val="en-US" w:eastAsia="zh-CN"/>
              </w:rPr>
              <w:t>5</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1AB901C4">
            <w:pPr>
              <w:keepNext w:val="0"/>
              <w:keepLines w:val="0"/>
              <w:pageBreakBefore w:val="0"/>
              <w:widowControl w:val="0"/>
              <w:kinsoku/>
              <w:overflowPunct/>
              <w:topLinePunct w:val="0"/>
              <w:autoSpaceDE/>
              <w:autoSpaceDN/>
              <w:bidi w:val="0"/>
              <w:spacing w:line="288" w:lineRule="auto"/>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z w:val="24"/>
                <w:szCs w:val="24"/>
                <w:highlight w:val="none"/>
              </w:rPr>
              <w:t>结果公告</w:t>
            </w:r>
            <w:r>
              <w:rPr>
                <w:rFonts w:hint="eastAsia" w:ascii="宋体" w:hAnsi="宋体" w:cs="宋体"/>
                <w:color w:val="auto"/>
                <w:sz w:val="24"/>
                <w:szCs w:val="24"/>
                <w:highlight w:val="none"/>
                <w:lang w:val="en-US" w:eastAsia="zh-CN"/>
              </w:rPr>
              <w:t>发布媒介</w:t>
            </w:r>
          </w:p>
        </w:tc>
        <w:tc>
          <w:tcPr>
            <w:tcW w:w="6285" w:type="dxa"/>
            <w:tcBorders>
              <w:top w:val="single" w:color="auto" w:sz="6" w:space="0"/>
              <w:left w:val="single" w:color="auto" w:sz="6" w:space="0"/>
              <w:bottom w:val="single" w:color="auto" w:sz="6" w:space="0"/>
            </w:tcBorders>
            <w:noWrap w:val="0"/>
            <w:vAlign w:val="center"/>
          </w:tcPr>
          <w:p w14:paraId="7C12542C">
            <w:pPr>
              <w:keepNext w:val="0"/>
              <w:keepLines w:val="0"/>
              <w:pageBreakBefore w:val="0"/>
              <w:widowControl w:val="0"/>
              <w:kinsoku/>
              <w:overflowPunct/>
              <w:topLinePunct w:val="0"/>
              <w:autoSpaceDE/>
              <w:autoSpaceDN/>
              <w:bidi w:val="0"/>
              <w:spacing w:line="288" w:lineRule="auto"/>
              <w:textAlignment w:val="auto"/>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在《河南省政府采购网》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《三门峡市公共资源交易中心网》和《中国招标投标公共服务平台》同时进行公告，公示期1个工作日。</w:t>
            </w:r>
          </w:p>
        </w:tc>
      </w:tr>
      <w:tr w14:paraId="0B8420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43" w:hRule="atLeast"/>
        </w:trPr>
        <w:tc>
          <w:tcPr>
            <w:tcW w:w="952" w:type="dxa"/>
            <w:tcBorders>
              <w:top w:val="single" w:color="auto" w:sz="6" w:space="0"/>
              <w:bottom w:val="single" w:color="auto" w:sz="6" w:space="0"/>
              <w:right w:val="single" w:color="auto" w:sz="6" w:space="0"/>
            </w:tcBorders>
            <w:noWrap w:val="0"/>
            <w:vAlign w:val="center"/>
          </w:tcPr>
          <w:p w14:paraId="7455F1A0">
            <w:pPr>
              <w:keepNext w:val="0"/>
              <w:keepLines w:val="0"/>
              <w:pageBreakBefore w:val="0"/>
              <w:widowControl w:val="0"/>
              <w:kinsoku/>
              <w:overflowPunct/>
              <w:topLinePunct w:val="0"/>
              <w:autoSpaceDE/>
              <w:autoSpaceDN/>
              <w:bidi w:val="0"/>
              <w:adjustRightInd w:val="0"/>
              <w:spacing w:line="288" w:lineRule="auto"/>
              <w:jc w:val="center"/>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val="en-US" w:eastAsia="zh-CN"/>
              </w:rPr>
              <w:t>46</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10DB7F1A">
            <w:pPr>
              <w:keepNext w:val="0"/>
              <w:keepLines w:val="0"/>
              <w:pageBreakBefore w:val="0"/>
              <w:widowControl w:val="0"/>
              <w:kinsoku/>
              <w:overflowPunct/>
              <w:topLinePunct w:val="0"/>
              <w:autoSpaceDE/>
              <w:autoSpaceDN/>
              <w:bidi w:val="0"/>
              <w:spacing w:line="288" w:lineRule="auto"/>
              <w:jc w:val="center"/>
              <w:textAlignment w:val="auto"/>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知识产权</w:t>
            </w:r>
          </w:p>
        </w:tc>
        <w:tc>
          <w:tcPr>
            <w:tcW w:w="6285" w:type="dxa"/>
            <w:tcBorders>
              <w:top w:val="single" w:color="auto" w:sz="6" w:space="0"/>
              <w:left w:val="single" w:color="auto" w:sz="6" w:space="0"/>
              <w:bottom w:val="single" w:color="auto" w:sz="6" w:space="0"/>
            </w:tcBorders>
            <w:noWrap w:val="0"/>
            <w:vAlign w:val="center"/>
          </w:tcPr>
          <w:p w14:paraId="09E6E220">
            <w:pPr>
              <w:keepNext w:val="0"/>
              <w:keepLines w:val="0"/>
              <w:pageBreakBefore w:val="0"/>
              <w:widowControl w:val="0"/>
              <w:kinsoku/>
              <w:overflowPunct/>
              <w:topLinePunct w:val="0"/>
              <w:autoSpaceDE/>
              <w:autoSpaceDN/>
              <w:bidi w:val="0"/>
              <w:spacing w:line="288" w:lineRule="auto"/>
              <w:textAlignment w:val="auto"/>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构成本竞争性磋商文件各个组成部分的文件，未经采购人书面同意，</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不得擅自复印和用于非本招标项目所需的其他目的。采购人全部或者部分使用未中标人响应文件中的技术成果或技术方案时，需征得其书面同意，并不得擅自复印或提供给第三人。</w:t>
            </w:r>
          </w:p>
        </w:tc>
      </w:tr>
      <w:tr w14:paraId="431B53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952" w:type="dxa"/>
            <w:tcBorders>
              <w:top w:val="single" w:color="auto" w:sz="6" w:space="0"/>
              <w:bottom w:val="single" w:color="auto" w:sz="6" w:space="0"/>
              <w:right w:val="single" w:color="auto" w:sz="6" w:space="0"/>
            </w:tcBorders>
            <w:noWrap w:val="0"/>
            <w:vAlign w:val="center"/>
          </w:tcPr>
          <w:p w14:paraId="078D6864">
            <w:pPr>
              <w:keepNext w:val="0"/>
              <w:keepLines w:val="0"/>
              <w:pageBreakBefore w:val="0"/>
              <w:widowControl w:val="0"/>
              <w:kinsoku/>
              <w:overflowPunct/>
              <w:topLinePunct w:val="0"/>
              <w:autoSpaceDE/>
              <w:autoSpaceDN/>
              <w:bidi w:val="0"/>
              <w:adjustRightInd w:val="0"/>
              <w:spacing w:line="288" w:lineRule="auto"/>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47</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032C8DF8">
            <w:pPr>
              <w:keepNext w:val="0"/>
              <w:keepLines w:val="0"/>
              <w:pageBreakBefore w:val="0"/>
              <w:widowControl w:val="0"/>
              <w:kinsoku/>
              <w:overflowPunct/>
              <w:topLinePunct w:val="0"/>
              <w:autoSpaceDE/>
              <w:autoSpaceDN/>
              <w:bidi w:val="0"/>
              <w:spacing w:line="288" w:lineRule="auto"/>
              <w:jc w:val="center"/>
              <w:textAlignment w:val="auto"/>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监  督</w:t>
            </w:r>
          </w:p>
        </w:tc>
        <w:tc>
          <w:tcPr>
            <w:tcW w:w="6285" w:type="dxa"/>
            <w:tcBorders>
              <w:top w:val="single" w:color="auto" w:sz="6" w:space="0"/>
              <w:left w:val="single" w:color="auto" w:sz="6" w:space="0"/>
              <w:bottom w:val="single" w:color="auto" w:sz="6" w:space="0"/>
            </w:tcBorders>
            <w:noWrap w:val="0"/>
            <w:vAlign w:val="center"/>
          </w:tcPr>
          <w:p w14:paraId="5B0EC019">
            <w:pPr>
              <w:keepNext w:val="0"/>
              <w:keepLines w:val="0"/>
              <w:pageBreakBefore w:val="0"/>
              <w:widowControl w:val="0"/>
              <w:kinsoku/>
              <w:overflowPunct/>
              <w:topLinePunct w:val="0"/>
              <w:autoSpaceDE/>
              <w:autoSpaceDN/>
              <w:bidi w:val="0"/>
              <w:spacing w:line="288" w:lineRule="auto"/>
              <w:textAlignment w:val="auto"/>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本项目的招标磋商活动及其相关当事人应当接受有管辖权的招标投标行政监督部门依法实施的监督。</w:t>
            </w:r>
          </w:p>
        </w:tc>
      </w:tr>
      <w:tr w14:paraId="58AB5B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89" w:hRule="atLeast"/>
        </w:trPr>
        <w:tc>
          <w:tcPr>
            <w:tcW w:w="952" w:type="dxa"/>
            <w:tcBorders>
              <w:top w:val="single" w:color="auto" w:sz="6" w:space="0"/>
              <w:bottom w:val="single" w:color="auto" w:sz="6" w:space="0"/>
              <w:right w:val="single" w:color="auto" w:sz="6" w:space="0"/>
            </w:tcBorders>
            <w:noWrap w:val="0"/>
            <w:vAlign w:val="center"/>
          </w:tcPr>
          <w:p w14:paraId="271489BF">
            <w:pPr>
              <w:keepNext w:val="0"/>
              <w:keepLines w:val="0"/>
              <w:pageBreakBefore w:val="0"/>
              <w:widowControl w:val="0"/>
              <w:kinsoku/>
              <w:overflowPunct/>
              <w:topLinePunct w:val="0"/>
              <w:autoSpaceDE/>
              <w:autoSpaceDN/>
              <w:bidi w:val="0"/>
              <w:adjustRightInd w:val="0"/>
              <w:spacing w:line="288" w:lineRule="auto"/>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4</w:t>
            </w:r>
            <w:r>
              <w:rPr>
                <w:rFonts w:hint="eastAsia" w:ascii="宋体" w:hAnsi="宋体" w:cs="宋体"/>
                <w:color w:val="auto"/>
                <w:spacing w:val="6"/>
                <w:kern w:val="2"/>
                <w:sz w:val="24"/>
                <w:szCs w:val="24"/>
                <w:highlight w:val="none"/>
                <w:lang w:val="en-US" w:eastAsia="zh-CN"/>
              </w:rPr>
              <w:t>8</w:t>
            </w:r>
          </w:p>
        </w:tc>
        <w:tc>
          <w:tcPr>
            <w:tcW w:w="2528" w:type="dxa"/>
            <w:tcBorders>
              <w:top w:val="single" w:color="auto" w:sz="6" w:space="0"/>
              <w:left w:val="single" w:color="auto" w:sz="6" w:space="0"/>
              <w:bottom w:val="single" w:color="auto" w:sz="6" w:space="0"/>
              <w:right w:val="single" w:color="auto" w:sz="6" w:space="0"/>
            </w:tcBorders>
            <w:noWrap w:val="0"/>
            <w:vAlign w:val="center"/>
          </w:tcPr>
          <w:p w14:paraId="035FB980">
            <w:pPr>
              <w:keepNext w:val="0"/>
              <w:keepLines w:val="0"/>
              <w:pageBreakBefore w:val="0"/>
              <w:widowControl w:val="0"/>
              <w:kinsoku/>
              <w:overflowPunct/>
              <w:topLinePunct w:val="0"/>
              <w:autoSpaceDE/>
              <w:autoSpaceDN/>
              <w:bidi w:val="0"/>
              <w:spacing w:line="288"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本项目所属行业</w:t>
            </w:r>
          </w:p>
        </w:tc>
        <w:tc>
          <w:tcPr>
            <w:tcW w:w="6285" w:type="dxa"/>
            <w:tcBorders>
              <w:top w:val="single" w:color="auto" w:sz="6" w:space="0"/>
              <w:left w:val="single" w:color="auto" w:sz="6" w:space="0"/>
              <w:bottom w:val="single" w:color="auto" w:sz="6" w:space="0"/>
            </w:tcBorders>
            <w:noWrap w:val="0"/>
            <w:vAlign w:val="center"/>
          </w:tcPr>
          <w:p w14:paraId="74B93701">
            <w:pPr>
              <w:keepNext w:val="0"/>
              <w:keepLines w:val="0"/>
              <w:pageBreakBefore w:val="0"/>
              <w:widowControl w:val="0"/>
              <w:kinsoku/>
              <w:overflowPunct/>
              <w:topLinePunct w:val="0"/>
              <w:autoSpaceDE/>
              <w:autoSpaceDN/>
              <w:bidi w:val="0"/>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划定标准</w:t>
            </w:r>
            <w:r>
              <w:rPr>
                <w:rFonts w:hint="eastAsia" w:ascii="宋体" w:hAnsi="宋体" w:cs="宋体"/>
                <w:color w:val="auto"/>
                <w:sz w:val="24"/>
                <w:szCs w:val="24"/>
                <w:highlight w:val="none"/>
                <w:lang w:val="en-US" w:eastAsia="zh-CN"/>
              </w:rPr>
              <w:t>为：其他未列明行业</w:t>
            </w:r>
          </w:p>
          <w:p w14:paraId="577AE798">
            <w:pPr>
              <w:keepNext w:val="0"/>
              <w:keepLines w:val="0"/>
              <w:pageBreakBefore w:val="0"/>
              <w:widowControl w:val="0"/>
              <w:kinsoku/>
              <w:overflowPunct/>
              <w:topLinePunct w:val="0"/>
              <w:autoSpaceDE/>
              <w:autoSpaceDN/>
              <w:bidi w:val="0"/>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《工业和信息化部、国家统计局、国家发展和改革委员会、财政部关于印发&lt;中小企业划型标准规定的通知&gt;（工信部联企业〔2011〕300号）规定的划分标准为依据。</w:t>
            </w:r>
          </w:p>
        </w:tc>
      </w:tr>
      <w:tr w14:paraId="1C3CAC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2" w:hRule="atLeast"/>
        </w:trPr>
        <w:tc>
          <w:tcPr>
            <w:tcW w:w="952" w:type="dxa"/>
            <w:tcBorders>
              <w:top w:val="single" w:color="auto" w:sz="6" w:space="0"/>
              <w:right w:val="single" w:color="auto" w:sz="6" w:space="0"/>
            </w:tcBorders>
            <w:noWrap w:val="0"/>
            <w:vAlign w:val="center"/>
          </w:tcPr>
          <w:p w14:paraId="4F556071">
            <w:pPr>
              <w:keepNext w:val="0"/>
              <w:keepLines w:val="0"/>
              <w:pageBreakBefore w:val="0"/>
              <w:widowControl w:val="0"/>
              <w:kinsoku/>
              <w:overflowPunct/>
              <w:topLinePunct w:val="0"/>
              <w:autoSpaceDE/>
              <w:autoSpaceDN/>
              <w:bidi w:val="0"/>
              <w:adjustRightInd w:val="0"/>
              <w:spacing w:line="288" w:lineRule="auto"/>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49</w:t>
            </w:r>
          </w:p>
        </w:tc>
        <w:tc>
          <w:tcPr>
            <w:tcW w:w="2528" w:type="dxa"/>
            <w:tcBorders>
              <w:top w:val="single" w:color="auto" w:sz="6" w:space="0"/>
              <w:left w:val="single" w:color="auto" w:sz="6" w:space="0"/>
              <w:right w:val="single" w:color="auto" w:sz="6" w:space="0"/>
            </w:tcBorders>
            <w:noWrap w:val="0"/>
            <w:vAlign w:val="center"/>
          </w:tcPr>
          <w:p w14:paraId="1723AEB0">
            <w:pPr>
              <w:keepNext w:val="0"/>
              <w:keepLines w:val="0"/>
              <w:pageBreakBefore w:val="0"/>
              <w:widowControl w:val="0"/>
              <w:kinsoku/>
              <w:overflowPunct/>
              <w:topLinePunct w:val="0"/>
              <w:autoSpaceDE/>
              <w:autoSpaceDN/>
              <w:bidi w:val="0"/>
              <w:adjustRightInd w:val="0"/>
              <w:spacing w:line="288" w:lineRule="auto"/>
              <w:jc w:val="center"/>
              <w:textAlignment w:val="auto"/>
              <w:rPr>
                <w:rFonts w:ascii="宋体" w:hAnsi="宋体" w:cs="宋体"/>
                <w:color w:val="auto"/>
                <w:spacing w:val="6"/>
                <w:kern w:val="2"/>
                <w:sz w:val="24"/>
                <w:szCs w:val="24"/>
                <w:highlight w:val="none"/>
              </w:rPr>
            </w:pPr>
            <w:r>
              <w:rPr>
                <w:rFonts w:ascii="宋体" w:hAnsi="宋体" w:cs="宋体"/>
                <w:b w:val="0"/>
                <w:bCs/>
                <w:color w:val="auto"/>
                <w:kern w:val="2"/>
                <w:sz w:val="24"/>
                <w:szCs w:val="24"/>
                <w:highlight w:val="none"/>
              </w:rPr>
              <w:t>电子化注意事项</w:t>
            </w:r>
          </w:p>
        </w:tc>
        <w:tc>
          <w:tcPr>
            <w:tcW w:w="6285" w:type="dxa"/>
            <w:tcBorders>
              <w:top w:val="single" w:color="auto" w:sz="6" w:space="0"/>
              <w:left w:val="single" w:color="auto" w:sz="6" w:space="0"/>
            </w:tcBorders>
            <w:noWrap w:val="0"/>
            <w:vAlign w:val="center"/>
          </w:tcPr>
          <w:p w14:paraId="5A947542">
            <w:pPr>
              <w:keepNext w:val="0"/>
              <w:keepLines w:val="0"/>
              <w:pageBreakBefore w:val="0"/>
              <w:widowControl w:val="0"/>
              <w:kinsoku/>
              <w:wordWrap w:val="0"/>
              <w:overflowPunct/>
              <w:topLinePunct w:val="0"/>
              <w:autoSpaceDE/>
              <w:autoSpaceDN/>
              <w:bidi w:val="0"/>
              <w:adjustRightInd/>
              <w:snapToGrid/>
              <w:spacing w:after="0" w:line="288" w:lineRule="auto"/>
              <w:ind w:firstLine="480" w:firstLineChars="200"/>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项目为电子化、无纸化交易项目，投标文件是供应商（以下简称“供应商”）通过中心投标文件制作系统制作，并经过电子签章和加密后生成的电子版投标文件。供应商投标时，将不再接受任何纸质文件资料。</w:t>
            </w:r>
          </w:p>
          <w:p w14:paraId="30C3C553">
            <w:pPr>
              <w:keepNext w:val="0"/>
              <w:keepLines w:val="0"/>
              <w:pageBreakBefore w:val="0"/>
              <w:widowControl w:val="0"/>
              <w:kinsoku/>
              <w:wordWrap w:val="0"/>
              <w:overflowPunct/>
              <w:topLinePunct w:val="0"/>
              <w:autoSpaceDE/>
              <w:autoSpaceDN/>
              <w:bidi w:val="0"/>
              <w:adjustRightInd/>
              <w:snapToGrid/>
              <w:spacing w:after="0" w:line="288" w:lineRule="auto"/>
              <w:ind w:firstLine="480" w:firstLineChars="200"/>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电子化投标文件具体制作文件请点击</w:t>
            </w:r>
            <w:r>
              <w:rPr>
                <w:rFonts w:hint="eastAsia" w:ascii="宋体" w:hAnsi="宋体" w:eastAsia="宋体" w:cs="宋体"/>
                <w:color w:val="auto"/>
                <w:sz w:val="24"/>
                <w:szCs w:val="24"/>
                <w:highlight w:val="none"/>
              </w:rPr>
              <w:t>https://download.bqpoint.com/download/downloaddetail.html?SourceFrom=Ztb&amp;ZtbSoftXiaQuCode=1506&amp;ZtbSoftType=tballinclusive</w:t>
            </w:r>
            <w:r>
              <w:rPr>
                <w:rFonts w:hint="eastAsia" w:ascii="宋体" w:hAnsi="宋体" w:eastAsia="宋体" w:cs="宋体"/>
                <w:color w:val="auto"/>
                <w:kern w:val="2"/>
                <w:sz w:val="24"/>
                <w:szCs w:val="24"/>
                <w:highlight w:val="none"/>
              </w:rPr>
              <w:t>进行下载。</w:t>
            </w:r>
          </w:p>
          <w:p w14:paraId="0CE14843">
            <w:pPr>
              <w:keepNext w:val="0"/>
              <w:keepLines w:val="0"/>
              <w:pageBreakBefore w:val="0"/>
              <w:widowControl w:val="0"/>
              <w:kinsoku/>
              <w:wordWrap w:val="0"/>
              <w:overflowPunct/>
              <w:topLinePunct w:val="0"/>
              <w:autoSpaceDE/>
              <w:autoSpaceDN/>
              <w:bidi w:val="0"/>
              <w:adjustRightInd/>
              <w:snapToGrid/>
              <w:spacing w:after="0" w:line="288" w:lineRule="auto"/>
              <w:ind w:firstLine="480" w:firstLineChars="200"/>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温馨提示：本项目为电子化、无纸化交易项目，供应商时不接受任何纸质资料，为保证您能投标成功，请需仔细阅读以下条款。</w:t>
            </w:r>
          </w:p>
          <w:p w14:paraId="19EBC582">
            <w:pPr>
              <w:keepNext w:val="0"/>
              <w:keepLines w:val="0"/>
              <w:pageBreakBefore w:val="0"/>
              <w:widowControl w:val="0"/>
              <w:numPr>
                <w:ilvl w:val="0"/>
                <w:numId w:val="5"/>
              </w:numPr>
              <w:kinsoku/>
              <w:wordWrap w:val="0"/>
              <w:overflowPunct/>
              <w:topLinePunct w:val="0"/>
              <w:autoSpaceDE/>
              <w:autoSpaceDN/>
              <w:bidi w:val="0"/>
              <w:adjustRightInd/>
              <w:snapToGrid/>
              <w:spacing w:after="0" w:line="288" w:lineRule="auto"/>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电子化投标</w:t>
            </w:r>
          </w:p>
          <w:p w14:paraId="6CA80AA7">
            <w:pPr>
              <w:keepNext w:val="0"/>
              <w:keepLines w:val="0"/>
              <w:pageBreakBefore w:val="0"/>
              <w:widowControl w:val="0"/>
              <w:numPr>
                <w:ilvl w:val="0"/>
                <w:numId w:val="0"/>
              </w:numPr>
              <w:kinsoku/>
              <w:wordWrap w:val="0"/>
              <w:overflowPunct/>
              <w:topLinePunct w:val="0"/>
              <w:autoSpaceDE/>
              <w:autoSpaceDN/>
              <w:bidi w:val="0"/>
              <w:adjustRightInd/>
              <w:snapToGrid/>
              <w:spacing w:after="0" w:line="288" w:lineRule="auto"/>
              <w:ind w:firstLine="480" w:firstLineChars="200"/>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（一）电子化投标文件的签章</w:t>
            </w:r>
          </w:p>
          <w:p w14:paraId="34B11970">
            <w:pPr>
              <w:keepNext w:val="0"/>
              <w:keepLines w:val="0"/>
              <w:pageBreakBefore w:val="0"/>
              <w:widowControl w:val="0"/>
              <w:kinsoku/>
              <w:wordWrap w:val="0"/>
              <w:overflowPunct/>
              <w:topLinePunct w:val="0"/>
              <w:autoSpaceDE/>
              <w:autoSpaceDN/>
              <w:bidi w:val="0"/>
              <w:adjustRightInd/>
              <w:snapToGrid/>
              <w:spacing w:after="0" w:line="288" w:lineRule="auto"/>
              <w:ind w:firstLine="480" w:firstLineChars="200"/>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1、供应商在生成电子化投标文件后，应对电子化投标文件进行签章，未进行签章的视为无效投标。</w:t>
            </w:r>
          </w:p>
          <w:p w14:paraId="782AE7B0">
            <w:pPr>
              <w:keepNext w:val="0"/>
              <w:keepLines w:val="0"/>
              <w:pageBreakBefore w:val="0"/>
              <w:widowControl w:val="0"/>
              <w:kinsoku/>
              <w:wordWrap w:val="0"/>
              <w:overflowPunct/>
              <w:topLinePunct w:val="0"/>
              <w:autoSpaceDE/>
              <w:autoSpaceDN/>
              <w:bidi w:val="0"/>
              <w:adjustRightInd/>
              <w:snapToGrid/>
              <w:spacing w:after="0" w:line="288" w:lineRule="auto"/>
              <w:ind w:firstLine="480" w:firstLineChars="200"/>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2、投标文件中要求法定代表人或授权委托人签字或盖章的，供应商在进行电子化投标文件签章时，以签盖法定代表人签章为准。</w:t>
            </w:r>
          </w:p>
          <w:p w14:paraId="60388897">
            <w:pPr>
              <w:keepNext w:val="0"/>
              <w:keepLines w:val="0"/>
              <w:pageBreakBefore w:val="0"/>
              <w:widowControl w:val="0"/>
              <w:kinsoku/>
              <w:wordWrap w:val="0"/>
              <w:overflowPunct/>
              <w:topLinePunct w:val="0"/>
              <w:autoSpaceDE/>
              <w:autoSpaceDN/>
              <w:bidi w:val="0"/>
              <w:adjustRightInd/>
              <w:snapToGrid/>
              <w:spacing w:after="0" w:line="288" w:lineRule="auto"/>
              <w:ind w:firstLine="480" w:firstLineChars="200"/>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（二）电子化投标文件的格式及上传投标</w:t>
            </w:r>
          </w:p>
          <w:p w14:paraId="16B22D3C">
            <w:pPr>
              <w:keepNext w:val="0"/>
              <w:keepLines w:val="0"/>
              <w:pageBreakBefore w:val="0"/>
              <w:widowControl w:val="0"/>
              <w:kinsoku/>
              <w:wordWrap w:val="0"/>
              <w:overflowPunct/>
              <w:topLinePunct w:val="0"/>
              <w:autoSpaceDE/>
              <w:autoSpaceDN/>
              <w:bidi w:val="0"/>
              <w:adjustRightInd/>
              <w:snapToGrid/>
              <w:spacing w:after="0" w:line="288" w:lineRule="auto"/>
              <w:ind w:firstLine="573"/>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生成的电子版投标文件包含用于投标文件上传的主文件（后缀为.smxtf），和用于应急补救的投标文件备份文件（后缀为.nsmxtf），备份文件主要用于电子化开标出现技术问题后的补救，请供应商随身携带。</w:t>
            </w:r>
          </w:p>
          <w:p w14:paraId="11EC8946">
            <w:pPr>
              <w:keepNext w:val="0"/>
              <w:keepLines w:val="0"/>
              <w:pageBreakBefore w:val="0"/>
              <w:widowControl w:val="0"/>
              <w:kinsoku/>
              <w:wordWrap w:val="0"/>
              <w:overflowPunct/>
              <w:topLinePunct w:val="0"/>
              <w:autoSpaceDE/>
              <w:autoSpaceDN/>
              <w:bidi w:val="0"/>
              <w:adjustRightInd/>
              <w:snapToGrid/>
              <w:spacing w:after="0" w:line="288" w:lineRule="auto"/>
              <w:ind w:firstLine="573"/>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注：（1）供应商投报多个标段的，需要每个标段单独制作电子投标文件。</w:t>
            </w:r>
          </w:p>
          <w:p w14:paraId="0A890C7F">
            <w:pPr>
              <w:keepNext w:val="0"/>
              <w:keepLines w:val="0"/>
              <w:pageBreakBefore w:val="0"/>
              <w:widowControl w:val="0"/>
              <w:kinsoku/>
              <w:wordWrap w:val="0"/>
              <w:overflowPunct/>
              <w:topLinePunct w:val="0"/>
              <w:autoSpaceDE/>
              <w:autoSpaceDN/>
              <w:bidi w:val="0"/>
              <w:adjustRightInd/>
              <w:snapToGrid/>
              <w:spacing w:after="0" w:line="288" w:lineRule="auto"/>
              <w:ind w:firstLine="573"/>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2、电子化投标文件应在投标截止时间前成功上传至三门峡市公共资源电子化交易系统。至投标截止时间止，仍未上传成功的电子化投标文件将不予接收。</w:t>
            </w:r>
          </w:p>
          <w:p w14:paraId="4C194D7C">
            <w:pPr>
              <w:keepNext w:val="0"/>
              <w:keepLines w:val="0"/>
              <w:pageBreakBefore w:val="0"/>
              <w:widowControl w:val="0"/>
              <w:kinsoku/>
              <w:wordWrap w:val="0"/>
              <w:overflowPunct/>
              <w:topLinePunct w:val="0"/>
              <w:autoSpaceDE/>
              <w:autoSpaceDN/>
              <w:bidi w:val="0"/>
              <w:adjustRightInd/>
              <w:snapToGrid/>
              <w:spacing w:after="0" w:line="288" w:lineRule="auto"/>
              <w:ind w:firstLine="573"/>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1BFCF0BD">
            <w:pPr>
              <w:keepNext w:val="0"/>
              <w:keepLines w:val="0"/>
              <w:pageBreakBefore w:val="0"/>
              <w:widowControl w:val="0"/>
              <w:kinsoku/>
              <w:wordWrap w:val="0"/>
              <w:overflowPunct/>
              <w:topLinePunct w:val="0"/>
              <w:autoSpaceDE/>
              <w:autoSpaceDN/>
              <w:bidi w:val="0"/>
              <w:adjustRightInd/>
              <w:snapToGrid/>
              <w:spacing w:after="0" w:line="288" w:lineRule="auto"/>
              <w:ind w:firstLine="480" w:firstLineChars="200"/>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技术联系电话：0398-3117871</w:t>
            </w:r>
          </w:p>
          <w:p w14:paraId="60E45E95">
            <w:pPr>
              <w:keepNext w:val="0"/>
              <w:keepLines w:val="0"/>
              <w:pageBreakBefore w:val="0"/>
              <w:widowControl w:val="0"/>
              <w:kinsoku/>
              <w:wordWrap w:val="0"/>
              <w:overflowPunct/>
              <w:topLinePunct w:val="0"/>
              <w:autoSpaceDE/>
              <w:autoSpaceDN/>
              <w:bidi w:val="0"/>
              <w:adjustRightInd/>
              <w:snapToGrid/>
              <w:spacing w:after="0" w:line="288" w:lineRule="auto"/>
              <w:ind w:firstLine="480" w:firstLineChars="200"/>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新点客服电话：4009980000</w:t>
            </w:r>
          </w:p>
          <w:p w14:paraId="6F1C788A">
            <w:pPr>
              <w:keepNext w:val="0"/>
              <w:keepLines w:val="0"/>
              <w:pageBreakBefore w:val="0"/>
              <w:widowControl w:val="0"/>
              <w:kinsoku/>
              <w:wordWrap w:val="0"/>
              <w:overflowPunct/>
              <w:topLinePunct w:val="0"/>
              <w:autoSpaceDE/>
              <w:autoSpaceDN/>
              <w:bidi w:val="0"/>
              <w:adjustRightInd/>
              <w:snapToGrid/>
              <w:spacing w:after="0" w:line="288" w:lineRule="auto"/>
              <w:ind w:firstLine="480" w:firstLineChars="200"/>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（三）电子化项目供应商、解密、唱标、评标</w:t>
            </w:r>
          </w:p>
          <w:p w14:paraId="324BC5DA">
            <w:pPr>
              <w:keepNext w:val="0"/>
              <w:keepLines w:val="0"/>
              <w:pageBreakBefore w:val="0"/>
              <w:widowControl w:val="0"/>
              <w:kinsoku/>
              <w:wordWrap w:val="0"/>
              <w:overflowPunct/>
              <w:topLinePunct w:val="0"/>
              <w:autoSpaceDE/>
              <w:autoSpaceDN/>
              <w:bidi w:val="0"/>
              <w:adjustRightInd/>
              <w:snapToGrid/>
              <w:spacing w:after="0" w:line="288" w:lineRule="auto"/>
              <w:ind w:firstLine="573"/>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02F9F9DD">
            <w:pPr>
              <w:keepNext w:val="0"/>
              <w:keepLines w:val="0"/>
              <w:pageBreakBefore w:val="0"/>
              <w:widowControl w:val="0"/>
              <w:kinsoku/>
              <w:wordWrap w:val="0"/>
              <w:overflowPunct/>
              <w:topLinePunct w:val="0"/>
              <w:autoSpaceDE/>
              <w:autoSpaceDN/>
              <w:bidi w:val="0"/>
              <w:adjustRightInd/>
              <w:snapToGrid/>
              <w:spacing w:after="0" w:line="288" w:lineRule="auto"/>
              <w:ind w:firstLine="573"/>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电子化投标文件采用一次加密方式。开标时，由供应商使用CA证书，在规定时间内对其电子化投标文件进行解密。每位供应商的解密时间为开标时间起30分钟内，如在规定时间内未完成解密的，其投标文件不予开标、唱标。</w:t>
            </w:r>
          </w:p>
          <w:p w14:paraId="2BF4E02A">
            <w:pPr>
              <w:keepNext w:val="0"/>
              <w:keepLines w:val="0"/>
              <w:pageBreakBefore w:val="0"/>
              <w:widowControl w:val="0"/>
              <w:kinsoku/>
              <w:wordWrap w:val="0"/>
              <w:overflowPunct/>
              <w:topLinePunct w:val="0"/>
              <w:autoSpaceDE/>
              <w:autoSpaceDN/>
              <w:bidi w:val="0"/>
              <w:adjustRightInd/>
              <w:snapToGrid/>
              <w:spacing w:after="0" w:line="288" w:lineRule="auto"/>
              <w:ind w:firstLine="573"/>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3、电子化投标文件异常情况的处理</w:t>
            </w:r>
          </w:p>
          <w:p w14:paraId="5109400B">
            <w:pPr>
              <w:keepNext w:val="0"/>
              <w:keepLines w:val="0"/>
              <w:pageBreakBefore w:val="0"/>
              <w:widowControl w:val="0"/>
              <w:kinsoku/>
              <w:wordWrap w:val="0"/>
              <w:overflowPunct/>
              <w:topLinePunct w:val="0"/>
              <w:autoSpaceDE/>
              <w:autoSpaceDN/>
              <w:bidi w:val="0"/>
              <w:adjustRightInd/>
              <w:snapToGrid/>
              <w:spacing w:after="0" w:line="288" w:lineRule="auto"/>
              <w:ind w:firstLine="480" w:firstLineChars="200"/>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如出现供应商的电子投标文件无法解密等异常情况，供应商应及时致电技术部门处理。投标文件异常，按以下步骤进行处理：</w:t>
            </w:r>
          </w:p>
          <w:p w14:paraId="5BD4555A">
            <w:pPr>
              <w:keepNext w:val="0"/>
              <w:keepLines w:val="0"/>
              <w:pageBreakBefore w:val="0"/>
              <w:widowControl w:val="0"/>
              <w:kinsoku/>
              <w:wordWrap w:val="0"/>
              <w:overflowPunct/>
              <w:topLinePunct w:val="0"/>
              <w:autoSpaceDE/>
              <w:autoSpaceDN/>
              <w:bidi w:val="0"/>
              <w:adjustRightInd/>
              <w:snapToGrid/>
              <w:spacing w:after="0" w:line="288" w:lineRule="auto"/>
              <w:ind w:firstLine="573"/>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（1）首先由技术人员进行问题排查。</w:t>
            </w:r>
          </w:p>
          <w:p w14:paraId="3EE0872E">
            <w:pPr>
              <w:keepNext w:val="0"/>
              <w:keepLines w:val="0"/>
              <w:pageBreakBefore w:val="0"/>
              <w:widowControl w:val="0"/>
              <w:kinsoku/>
              <w:wordWrap w:val="0"/>
              <w:overflowPunct/>
              <w:topLinePunct w:val="0"/>
              <w:autoSpaceDE/>
              <w:autoSpaceDN/>
              <w:bidi w:val="0"/>
              <w:adjustRightInd/>
              <w:snapToGrid/>
              <w:spacing w:after="0" w:line="288" w:lineRule="auto"/>
              <w:ind w:firstLine="573"/>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（2）经技术人员排查后，是供应商文件自身问题导致投标文件无法解密的，该投标文件将不予接收、解密和唱标。开标会议继续进行。</w:t>
            </w:r>
          </w:p>
          <w:p w14:paraId="321EAC9B">
            <w:pPr>
              <w:keepNext w:val="0"/>
              <w:keepLines w:val="0"/>
              <w:pageBreakBefore w:val="0"/>
              <w:widowControl w:val="0"/>
              <w:kinsoku/>
              <w:wordWrap w:val="0"/>
              <w:overflowPunct/>
              <w:topLinePunct w:val="0"/>
              <w:autoSpaceDE/>
              <w:autoSpaceDN/>
              <w:bidi w:val="0"/>
              <w:adjustRightInd/>
              <w:snapToGrid/>
              <w:spacing w:after="0" w:line="288" w:lineRule="auto"/>
              <w:ind w:firstLine="573"/>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（3）经技术人员排查后，如果是电子化交易系统问题造成投标文件无法解密的，将由技术人员对问题进行处理。</w:t>
            </w:r>
          </w:p>
          <w:p w14:paraId="38FC9301">
            <w:pPr>
              <w:keepNext w:val="0"/>
              <w:keepLines w:val="0"/>
              <w:pageBreakBefore w:val="0"/>
              <w:widowControl w:val="0"/>
              <w:kinsoku/>
              <w:wordWrap w:val="0"/>
              <w:overflowPunct/>
              <w:topLinePunct w:val="0"/>
              <w:autoSpaceDE/>
              <w:autoSpaceDN/>
              <w:bidi w:val="0"/>
              <w:adjustRightInd/>
              <w:snapToGrid/>
              <w:spacing w:after="0" w:line="288" w:lineRule="auto"/>
              <w:ind w:firstLine="573"/>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4、待所有供应商磋商响应文件解密完成后，由中介服务机构操作，对所有已解密投标文件进行唱标。</w:t>
            </w:r>
          </w:p>
          <w:p w14:paraId="14B520DD">
            <w:pPr>
              <w:keepNext w:val="0"/>
              <w:keepLines w:val="0"/>
              <w:pageBreakBefore w:val="0"/>
              <w:widowControl w:val="0"/>
              <w:kinsoku/>
              <w:wordWrap w:val="0"/>
              <w:overflowPunct/>
              <w:topLinePunct w:val="0"/>
              <w:autoSpaceDE/>
              <w:autoSpaceDN/>
              <w:bidi w:val="0"/>
              <w:adjustRightInd/>
              <w:snapToGrid/>
              <w:spacing w:after="0" w:line="288" w:lineRule="auto"/>
              <w:ind w:firstLine="573"/>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供应商应保证在开标期间电话、电脑、网络能够正常工作，</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kern w:val="2"/>
                <w:sz w:val="24"/>
                <w:szCs w:val="24"/>
                <w:highlight w:val="none"/>
              </w:rPr>
              <w:t>因停电、电脑病毒、网络堵塞等原因，未在规定的解密时间内对投标文件进行解密的，其投标文件不予接收、唱标。</w:t>
            </w:r>
          </w:p>
          <w:p w14:paraId="1F1649F4">
            <w:pPr>
              <w:keepNext w:val="0"/>
              <w:keepLines w:val="0"/>
              <w:pageBreakBefore w:val="0"/>
              <w:widowControl w:val="0"/>
              <w:kinsoku/>
              <w:wordWrap w:val="0"/>
              <w:overflowPunct/>
              <w:topLinePunct w:val="0"/>
              <w:autoSpaceDE/>
              <w:autoSpaceDN/>
              <w:bidi w:val="0"/>
              <w:adjustRightInd/>
              <w:snapToGrid/>
              <w:spacing w:after="0" w:line="288" w:lineRule="auto"/>
              <w:ind w:firstLine="573"/>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开标时供应商可登录到交易系统中在开标大厅中点击开标一览表查看自己的投标报价。如对自己的唱标内容有异议的，应在唱标内容显示后10分钟内向系统中质疑。供应商未在规定时间内提出质疑的，视为认可唱标内容。</w:t>
            </w:r>
          </w:p>
          <w:p w14:paraId="64D301C1">
            <w:pPr>
              <w:keepNext w:val="0"/>
              <w:keepLines w:val="0"/>
              <w:pageBreakBefore w:val="0"/>
              <w:widowControl w:val="0"/>
              <w:kinsoku/>
              <w:wordWrap w:val="0"/>
              <w:overflowPunct/>
              <w:topLinePunct w:val="0"/>
              <w:autoSpaceDE/>
              <w:autoSpaceDN/>
              <w:bidi w:val="0"/>
              <w:adjustRightInd/>
              <w:snapToGrid/>
              <w:spacing w:after="0" w:line="288" w:lineRule="auto"/>
              <w:ind w:firstLine="573"/>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6、评标时，磋商小组对电子化投标文件有质疑的，将通过电子化交易系统对供应商发起质疑。质疑回复内容确认后，供应商的回复文件必须以经过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kern w:val="2"/>
                <w:sz w:val="24"/>
                <w:szCs w:val="24"/>
                <w:highlight w:val="none"/>
              </w:rPr>
              <w:t>和其法定代表人签章的PDF格式文件为准，并通过电子化交易系统提交至磋商小组。</w:t>
            </w:r>
          </w:p>
          <w:p w14:paraId="04A18B81">
            <w:pPr>
              <w:keepNext w:val="0"/>
              <w:keepLines w:val="0"/>
              <w:pageBreakBefore w:val="0"/>
              <w:widowControl w:val="0"/>
              <w:kinsoku/>
              <w:wordWrap w:val="0"/>
              <w:overflowPunct/>
              <w:topLinePunct w:val="0"/>
              <w:autoSpaceDE/>
              <w:autoSpaceDN/>
              <w:bidi w:val="0"/>
              <w:adjustRightInd/>
              <w:snapToGrid/>
              <w:spacing w:after="0" w:line="288" w:lineRule="auto"/>
              <w:ind w:firstLine="573"/>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在开标结束后，应该守在系统前，进行二轮或多轮报价或者磋商小组提出的答疑，报价和答疑时间为30分钟，若供应商错过时间或时间不够无法延时而导致文件无效或废标，由供应商自行承担责任。代理机构无义务必须通知到每个供应商进行报价或答疑。在开标及评审过程中，代理机构、采购人及监督人是无法携带通讯工具，供应商若出现问题导致文件无效或废标，供应商自行承担责任。</w:t>
            </w:r>
          </w:p>
          <w:p w14:paraId="2933E193">
            <w:pPr>
              <w:keepNext w:val="0"/>
              <w:keepLines w:val="0"/>
              <w:pageBreakBefore w:val="0"/>
              <w:widowControl w:val="0"/>
              <w:kinsoku/>
              <w:wordWrap w:val="0"/>
              <w:overflowPunct/>
              <w:topLinePunct w:val="0"/>
              <w:autoSpaceDE/>
              <w:autoSpaceDN/>
              <w:bidi w:val="0"/>
              <w:adjustRightInd/>
              <w:snapToGrid/>
              <w:spacing w:after="0" w:line="288" w:lineRule="auto"/>
              <w:ind w:firstLine="573"/>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二、相关证书原件的提交</w:t>
            </w:r>
          </w:p>
          <w:p w14:paraId="51FA5A91">
            <w:pPr>
              <w:keepNext w:val="0"/>
              <w:keepLines w:val="0"/>
              <w:pageBreakBefore w:val="0"/>
              <w:widowControl w:val="0"/>
              <w:kinsoku/>
              <w:wordWrap w:val="0"/>
              <w:overflowPunct/>
              <w:topLinePunct w:val="0"/>
              <w:autoSpaceDE/>
              <w:autoSpaceDN/>
              <w:bidi w:val="0"/>
              <w:adjustRightInd/>
              <w:snapToGrid/>
              <w:spacing w:after="0" w:line="288" w:lineRule="auto"/>
              <w:ind w:firstLine="573"/>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本项目实行资格后审，审查内容以投标截止时间前在三门峡市公共资源交易系统上传的投标文件的信息为准。其上传资料真实性由</w:t>
            </w:r>
            <w:r>
              <w:rPr>
                <w:rFonts w:hint="eastAsia" w:ascii="宋体" w:hAnsi="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自行承担。评标委员会对原件的核验工作按以下条款进行：</w:t>
            </w:r>
          </w:p>
          <w:p w14:paraId="3273D31A">
            <w:pPr>
              <w:keepNext w:val="0"/>
              <w:keepLines w:val="0"/>
              <w:pageBreakBefore w:val="0"/>
              <w:widowControl w:val="0"/>
              <w:kinsoku/>
              <w:wordWrap w:val="0"/>
              <w:overflowPunct/>
              <w:topLinePunct w:val="0"/>
              <w:autoSpaceDE/>
              <w:autoSpaceDN/>
              <w:bidi w:val="0"/>
              <w:adjustRightInd/>
              <w:snapToGrid/>
              <w:spacing w:after="0" w:line="288" w:lineRule="auto"/>
              <w:ind w:firstLine="573"/>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（一）评标时，评委以投标截止时间前在三门峡市公共资源交易系统上传的投标文件的信息为准。其上传资料真实性由</w:t>
            </w:r>
            <w:r>
              <w:rPr>
                <w:rFonts w:hint="eastAsia" w:ascii="宋体" w:hAnsi="宋体" w:cs="宋体"/>
                <w:color w:val="auto"/>
                <w:kern w:val="2"/>
                <w:sz w:val="24"/>
                <w:szCs w:val="24"/>
                <w:highlight w:val="none"/>
                <w:lang w:eastAsia="zh-CN"/>
              </w:rPr>
              <w:t>供应</w:t>
            </w:r>
            <w:r>
              <w:rPr>
                <w:rFonts w:hint="eastAsia" w:ascii="宋体" w:hAnsi="宋体" w:cs="宋体"/>
                <w:color w:val="auto"/>
                <w:kern w:val="2"/>
                <w:sz w:val="24"/>
                <w:szCs w:val="24"/>
                <w:highlight w:val="none"/>
                <w:lang w:val="en-US" w:eastAsia="zh-CN"/>
              </w:rPr>
              <w:t>商</w:t>
            </w:r>
            <w:r>
              <w:rPr>
                <w:rFonts w:hint="eastAsia" w:ascii="宋体" w:hAnsi="宋体" w:eastAsia="宋体" w:cs="宋体"/>
                <w:color w:val="auto"/>
                <w:kern w:val="2"/>
                <w:sz w:val="24"/>
                <w:szCs w:val="24"/>
                <w:highlight w:val="none"/>
              </w:rPr>
              <w:t>自行承担。否则，由此造成应得分而未得分或资格审查不合格等情况的，由供应商承担责任。开评标现场不接受</w:t>
            </w:r>
            <w:r>
              <w:rPr>
                <w:rFonts w:hint="eastAsia" w:ascii="宋体" w:hAnsi="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所提交的任何原件。</w:t>
            </w:r>
          </w:p>
          <w:p w14:paraId="657CB55F">
            <w:pPr>
              <w:keepNext w:val="0"/>
              <w:keepLines w:val="0"/>
              <w:pageBreakBefore w:val="0"/>
              <w:widowControl w:val="0"/>
              <w:kinsoku/>
              <w:wordWrap w:val="0"/>
              <w:overflowPunct/>
              <w:topLinePunct w:val="0"/>
              <w:autoSpaceDE/>
              <w:autoSpaceDN/>
              <w:bidi w:val="0"/>
              <w:adjustRightInd/>
              <w:snapToGrid/>
              <w:spacing w:after="0" w:line="288" w:lineRule="auto"/>
              <w:ind w:firstLine="573"/>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在项目开标时间起至评标结束至，市场主体库将处于锁定状态。如连续投报多个项目，市场主体库锁定时间也将延长，请供应商合理安排资料上传时间，尽可能早的将所有项目资料上传至三门峡市公共资源交易供应商市场主体库。</w:t>
            </w:r>
          </w:p>
          <w:p w14:paraId="0FCB95D3">
            <w:pPr>
              <w:keepNext w:val="0"/>
              <w:keepLines w:val="0"/>
              <w:pageBreakBefore w:val="0"/>
              <w:widowControl w:val="0"/>
              <w:kinsoku/>
              <w:wordWrap w:val="0"/>
              <w:overflowPunct/>
              <w:topLinePunct w:val="0"/>
              <w:autoSpaceDE/>
              <w:autoSpaceDN/>
              <w:bidi w:val="0"/>
              <w:adjustRightInd/>
              <w:snapToGrid/>
              <w:spacing w:after="0" w:line="288" w:lineRule="auto"/>
              <w:ind w:firstLine="573"/>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具体操作详见《三门峡市公共资源交易平台市场主体信息库操作手册》。链接地址：</w:t>
            </w:r>
            <w:r>
              <w:rPr>
                <w:color w:val="auto"/>
                <w:highlight w:val="none"/>
              </w:rPr>
              <w:fldChar w:fldCharType="begin"/>
            </w:r>
            <w:r>
              <w:rPr>
                <w:color w:val="auto"/>
                <w:highlight w:val="none"/>
              </w:rPr>
              <w:instrText xml:space="preserve"> HYPERLINK "http://gzjy.smx.gov.cn/bzzx/008001/20200325/4a2f9fa3-b923-4ddd-bd6f-138a0b63f7d1.html" </w:instrText>
            </w:r>
            <w:r>
              <w:rPr>
                <w:color w:val="auto"/>
                <w:highlight w:val="none"/>
              </w:rPr>
              <w:fldChar w:fldCharType="separate"/>
            </w:r>
            <w:r>
              <w:rPr>
                <w:rFonts w:hint="eastAsia" w:ascii="宋体" w:hAnsi="宋体" w:eastAsia="宋体" w:cs="宋体"/>
                <w:color w:val="auto"/>
                <w:kern w:val="2"/>
                <w:sz w:val="24"/>
                <w:szCs w:val="24"/>
                <w:highlight w:val="none"/>
              </w:rPr>
              <w:t>http://gzjy.smx.gov.cn/bzzx/008001/20200325/4a2f9fa3-b923-4ddd-bd6f-138a0b63f7d1.html</w:t>
            </w:r>
            <w:r>
              <w:rPr>
                <w:rFonts w:hint="eastAsia" w:ascii="宋体" w:hAnsi="宋体" w:eastAsia="宋体" w:cs="宋体"/>
                <w:color w:val="auto"/>
                <w:kern w:val="2"/>
                <w:sz w:val="24"/>
                <w:szCs w:val="24"/>
                <w:highlight w:val="none"/>
              </w:rPr>
              <w:fldChar w:fldCharType="end"/>
            </w:r>
          </w:p>
          <w:p w14:paraId="5B3F22C5">
            <w:pPr>
              <w:keepNext w:val="0"/>
              <w:keepLines w:val="0"/>
              <w:pageBreakBefore w:val="0"/>
              <w:widowControl w:val="0"/>
              <w:kinsoku/>
              <w:wordWrap w:val="0"/>
              <w:overflowPunct/>
              <w:topLinePunct w:val="0"/>
              <w:autoSpaceDE/>
              <w:autoSpaceDN/>
              <w:bidi w:val="0"/>
              <w:adjustRightInd/>
              <w:snapToGrid/>
              <w:spacing w:after="0" w:line="288" w:lineRule="auto"/>
              <w:ind w:firstLine="573"/>
              <w:jc w:val="both"/>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cs="宋体"/>
                <w:color w:val="auto"/>
                <w:kern w:val="2"/>
                <w:sz w:val="24"/>
                <w:szCs w:val="24"/>
                <w:highlight w:val="none"/>
                <w:lang w:val="en-US" w:eastAsia="zh-CN"/>
              </w:rPr>
              <w:t>二</w:t>
            </w:r>
            <w:r>
              <w:rPr>
                <w:rFonts w:hint="eastAsia" w:ascii="宋体" w:hAnsi="宋体" w:eastAsia="宋体" w:cs="宋体"/>
                <w:color w:val="auto"/>
                <w:kern w:val="2"/>
                <w:sz w:val="24"/>
                <w:szCs w:val="24"/>
                <w:highlight w:val="none"/>
              </w:rPr>
              <w:t>）供应商需应仔细阅读操作手册，保证上传内容齐全，真实有效，原件扫描件清晰可辨。因供应商上传原因导致应得分项而未得分或资格审查不合格等情况的，由磋商</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kern w:val="2"/>
                <w:sz w:val="24"/>
                <w:szCs w:val="24"/>
                <w:highlight w:val="none"/>
              </w:rPr>
              <w:t>自行承担责任。</w:t>
            </w:r>
          </w:p>
          <w:p w14:paraId="0E15BFBA">
            <w:pPr>
              <w:keepNext w:val="0"/>
              <w:keepLines w:val="0"/>
              <w:pageBreakBefore w:val="0"/>
              <w:widowControl w:val="0"/>
              <w:kinsoku/>
              <w:overflowPunct/>
              <w:topLinePunct w:val="0"/>
              <w:autoSpaceDE/>
              <w:autoSpaceDN/>
              <w:bidi w:val="0"/>
              <w:snapToGrid w:val="0"/>
              <w:spacing w:line="288" w:lineRule="auto"/>
              <w:jc w:val="both"/>
              <w:textAlignment w:val="auto"/>
              <w:rPr>
                <w:rFonts w:ascii="宋体" w:hAnsi="宋体"/>
                <w:color w:val="auto"/>
                <w:kern w:val="2"/>
                <w:sz w:val="24"/>
                <w:szCs w:val="24"/>
                <w:highlight w:val="none"/>
              </w:rPr>
            </w:pPr>
            <w:r>
              <w:rPr>
                <w:rFonts w:hint="eastAsia" w:ascii="宋体" w:hAnsi="宋体" w:eastAsia="宋体" w:cs="宋体"/>
                <w:color w:val="auto"/>
                <w:kern w:val="2"/>
                <w:sz w:val="24"/>
                <w:szCs w:val="24"/>
                <w:highlight w:val="none"/>
              </w:rPr>
              <w:t>提示：本项目为电子化、无纸化交易项目，开标时不再接受任何纸质资料，为保证您能投标成功，请需仔细阅读以上条款。</w:t>
            </w:r>
          </w:p>
        </w:tc>
      </w:tr>
    </w:tbl>
    <w:p w14:paraId="336C3A1C">
      <w:pPr>
        <w:pStyle w:val="34"/>
        <w:keepNext w:val="0"/>
        <w:keepLines w:val="0"/>
        <w:pageBreakBefore w:val="0"/>
        <w:widowControl w:val="0"/>
        <w:kinsoku/>
        <w:wordWrap w:val="0"/>
        <w:overflowPunct/>
        <w:topLinePunct w:val="0"/>
        <w:autoSpaceDE w:val="0"/>
        <w:autoSpaceDN w:val="0"/>
        <w:bidi w:val="0"/>
        <w:adjustRightInd/>
        <w:snapToGrid/>
        <w:spacing w:before="0" w:line="480" w:lineRule="exact"/>
        <w:ind w:right="0" w:firstLine="482" w:firstLineChars="200"/>
        <w:jc w:val="left"/>
        <w:textAlignment w:val="auto"/>
        <w:outlineLvl w:val="0"/>
        <w:rPr>
          <w:rFonts w:hint="eastAsia" w:ascii="宋体" w:hAnsi="宋体" w:eastAsia="宋体" w:cs="宋体"/>
          <w:b/>
          <w:bCs/>
          <w:color w:val="auto"/>
          <w:sz w:val="24"/>
          <w:szCs w:val="24"/>
        </w:rPr>
      </w:pPr>
      <w:bookmarkStart w:id="4" w:name="_Toc21223"/>
      <w:bookmarkStart w:id="5" w:name="_Toc7628"/>
      <w:bookmarkStart w:id="6" w:name="_Toc20123_WPSOffice_Level2"/>
      <w:bookmarkStart w:id="7" w:name="_Toc488504474"/>
      <w:bookmarkStart w:id="8" w:name="_Toc22449"/>
      <w:bookmarkStart w:id="9" w:name="_Toc455080108"/>
      <w:bookmarkStart w:id="10" w:name="_Toc487498474"/>
      <w:bookmarkStart w:id="11" w:name="_Toc18212"/>
      <w:bookmarkStart w:id="12" w:name="_Toc469928905"/>
      <w:r>
        <w:rPr>
          <w:rFonts w:hint="eastAsia" w:ascii="宋体" w:hAnsi="宋体" w:eastAsia="宋体" w:cs="宋体"/>
          <w:b/>
          <w:bCs/>
          <w:color w:val="auto"/>
          <w:sz w:val="24"/>
          <w:szCs w:val="24"/>
        </w:rPr>
        <w:t>1. 总则</w:t>
      </w:r>
      <w:bookmarkEnd w:id="4"/>
      <w:bookmarkEnd w:id="5"/>
      <w:bookmarkEnd w:id="6"/>
      <w:bookmarkEnd w:id="7"/>
      <w:bookmarkEnd w:id="8"/>
      <w:bookmarkEnd w:id="9"/>
      <w:bookmarkEnd w:id="10"/>
    </w:p>
    <w:p w14:paraId="7B89FD12">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bookmarkStart w:id="13" w:name="_Toc318450675"/>
      <w:bookmarkStart w:id="14" w:name="_Toc455080109"/>
      <w:bookmarkStart w:id="15" w:name="_Toc21458"/>
      <w:bookmarkStart w:id="16" w:name="_Toc464035510"/>
      <w:bookmarkStart w:id="17" w:name="_Toc463701031"/>
      <w:bookmarkStart w:id="18" w:name="_Toc10273"/>
      <w:bookmarkStart w:id="19" w:name="_Toc21496_WPSOffice_Level3"/>
      <w:bookmarkStart w:id="20" w:name="_Toc281380952"/>
      <w:bookmarkStart w:id="21" w:name="_Toc1172"/>
      <w:bookmarkStart w:id="22" w:name="_Toc31404"/>
      <w:bookmarkStart w:id="23" w:name="_Toc15709"/>
      <w:bookmarkStart w:id="24" w:name="_Toc29023"/>
      <w:bookmarkStart w:id="25" w:name="_Toc274409866"/>
      <w:bookmarkStart w:id="26" w:name="_Toc152042307"/>
      <w:bookmarkStart w:id="27" w:name="_Toc152045531"/>
      <w:bookmarkStart w:id="28" w:name="_Toc144974499"/>
      <w:r>
        <w:rPr>
          <w:rFonts w:hint="eastAsia" w:ascii="宋体" w:hAnsi="宋体" w:eastAsia="宋体" w:cs="宋体"/>
          <w:color w:val="auto"/>
          <w:sz w:val="24"/>
          <w:szCs w:val="24"/>
        </w:rPr>
        <w:t>1.1 适用范围</w:t>
      </w:r>
      <w:bookmarkEnd w:id="13"/>
      <w:bookmarkEnd w:id="14"/>
      <w:bookmarkEnd w:id="15"/>
      <w:bookmarkEnd w:id="16"/>
      <w:bookmarkEnd w:id="17"/>
      <w:bookmarkEnd w:id="18"/>
      <w:bookmarkEnd w:id="19"/>
      <w:bookmarkEnd w:id="20"/>
      <w:bookmarkEnd w:id="21"/>
      <w:bookmarkEnd w:id="22"/>
      <w:bookmarkEnd w:id="23"/>
      <w:bookmarkEnd w:id="24"/>
      <w:bookmarkEnd w:id="25"/>
    </w:p>
    <w:p w14:paraId="16C93195">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根据《中华人民共和国政府采购法》等有关法律、法规和规章的规定，编制本项目磋商文件。</w:t>
      </w:r>
    </w:p>
    <w:p w14:paraId="569CE64C">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bookmarkStart w:id="29" w:name="_Toc25773"/>
      <w:bookmarkStart w:id="30" w:name="_Toc25399_WPSOffice_Level3"/>
      <w:bookmarkStart w:id="31" w:name="_Toc30891"/>
      <w:bookmarkStart w:id="32" w:name="_Toc2929"/>
      <w:bookmarkStart w:id="33" w:name="_Toc281405468"/>
      <w:bookmarkStart w:id="34" w:name="_Toc455080110"/>
      <w:bookmarkStart w:id="35" w:name="_Toc32619"/>
      <w:bookmarkStart w:id="36" w:name="_Toc464035511"/>
      <w:bookmarkStart w:id="37" w:name="_Toc274409867"/>
      <w:bookmarkStart w:id="38" w:name="_Toc318450676"/>
      <w:bookmarkStart w:id="39" w:name="_Toc463701032"/>
      <w:bookmarkStart w:id="40" w:name="_Toc3336"/>
      <w:bookmarkStart w:id="41" w:name="_Toc710"/>
      <w:r>
        <w:rPr>
          <w:rFonts w:hint="eastAsia" w:ascii="宋体" w:hAnsi="宋体" w:eastAsia="宋体" w:cs="宋体"/>
          <w:color w:val="auto"/>
          <w:sz w:val="24"/>
          <w:szCs w:val="24"/>
        </w:rPr>
        <w:t>1.2 采购项目说明</w:t>
      </w:r>
      <w:bookmarkEnd w:id="29"/>
      <w:bookmarkEnd w:id="30"/>
      <w:bookmarkEnd w:id="31"/>
      <w:bookmarkEnd w:id="32"/>
      <w:bookmarkEnd w:id="33"/>
      <w:bookmarkEnd w:id="34"/>
      <w:bookmarkEnd w:id="35"/>
      <w:bookmarkEnd w:id="36"/>
      <w:bookmarkEnd w:id="37"/>
      <w:bookmarkEnd w:id="38"/>
      <w:bookmarkEnd w:id="39"/>
      <w:bookmarkEnd w:id="40"/>
      <w:bookmarkEnd w:id="41"/>
    </w:p>
    <w:p w14:paraId="11723BDD">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 本项目采购人：见供应商须知前附表。</w:t>
      </w:r>
    </w:p>
    <w:p w14:paraId="74D4990F">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 本项目采购代理机构：见供应商须知前附表。</w:t>
      </w:r>
    </w:p>
    <w:p w14:paraId="0712DC5C">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 本项目名称：见供应商须知前附表。</w:t>
      </w:r>
    </w:p>
    <w:p w14:paraId="5AEE6774">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bookmarkStart w:id="42" w:name="_Toc274409868"/>
      <w:bookmarkStart w:id="43" w:name="_Toc4952"/>
      <w:bookmarkStart w:id="44" w:name="_Toc455080111"/>
      <w:bookmarkStart w:id="45" w:name="_Toc464035512"/>
      <w:bookmarkStart w:id="46" w:name="_Toc463701033"/>
      <w:bookmarkStart w:id="47" w:name="_Toc281405469"/>
      <w:bookmarkStart w:id="48" w:name="_Toc16931"/>
      <w:bookmarkStart w:id="49" w:name="_Toc3477"/>
      <w:bookmarkStart w:id="50" w:name="_Toc31122_WPSOffice_Level3"/>
      <w:bookmarkStart w:id="51" w:name="_Toc318450677"/>
      <w:bookmarkStart w:id="52" w:name="_Toc18960"/>
      <w:bookmarkStart w:id="53" w:name="_Toc1373"/>
      <w:bookmarkStart w:id="54" w:name="_Toc17016"/>
      <w:r>
        <w:rPr>
          <w:rFonts w:hint="eastAsia" w:ascii="宋体" w:hAnsi="宋体" w:eastAsia="宋体" w:cs="宋体"/>
          <w:color w:val="auto"/>
          <w:sz w:val="24"/>
          <w:szCs w:val="24"/>
        </w:rPr>
        <w:t>1.3 定义及解释</w:t>
      </w:r>
      <w:bookmarkEnd w:id="42"/>
      <w:bookmarkEnd w:id="43"/>
      <w:bookmarkEnd w:id="44"/>
      <w:bookmarkEnd w:id="45"/>
      <w:bookmarkEnd w:id="46"/>
      <w:bookmarkEnd w:id="47"/>
      <w:bookmarkEnd w:id="48"/>
      <w:bookmarkEnd w:id="49"/>
      <w:bookmarkEnd w:id="50"/>
      <w:bookmarkEnd w:id="51"/>
      <w:bookmarkEnd w:id="52"/>
      <w:bookmarkEnd w:id="53"/>
      <w:bookmarkEnd w:id="54"/>
    </w:p>
    <w:p w14:paraId="73974592">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采购人：依法进行政府采购的国家机关、事业单位、团体组织。</w:t>
      </w:r>
    </w:p>
    <w:p w14:paraId="3D83C9D9">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采购代理机构：取得政府采购招标代理资质，受采购人委托组织招标活动的社会中介组织。</w:t>
      </w:r>
    </w:p>
    <w:p w14:paraId="4AC3A24D">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服务：系指根据本磋商文件规定供应商须承担的方案编制以及其他类似的义务等。</w:t>
      </w:r>
    </w:p>
    <w:p w14:paraId="5B393395">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供应商：供应商是响应磋商文件、参加磋商竞争的中华人民共和国境内的法人、其它组织。</w:t>
      </w:r>
    </w:p>
    <w:p w14:paraId="58677B6B">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响应文件：指供应商根据磋商文件提交的所有文件。</w:t>
      </w:r>
    </w:p>
    <w:p w14:paraId="217F9FFE">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磋商小组：依据</w:t>
      </w:r>
      <w:r>
        <w:rPr>
          <w:rFonts w:hint="eastAsia" w:ascii="宋体" w:hAnsi="宋体" w:eastAsia="宋体" w:cs="宋体"/>
          <w:color w:val="auto"/>
          <w:sz w:val="24"/>
          <w:szCs w:val="24"/>
          <w:lang w:bidi="en-US"/>
        </w:rPr>
        <w:t>《中华人民共和国政府采购法》及有关法律、法规的规定依法组建的专门负责本次评标工作的临时机构</w:t>
      </w:r>
      <w:r>
        <w:rPr>
          <w:rFonts w:hint="eastAsia" w:ascii="宋体" w:hAnsi="宋体" w:eastAsia="宋体" w:cs="宋体"/>
          <w:color w:val="auto"/>
          <w:sz w:val="24"/>
          <w:szCs w:val="24"/>
        </w:rPr>
        <w:t>。</w:t>
      </w:r>
    </w:p>
    <w:p w14:paraId="610C68B1">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1.3.7</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偏离：响应文件的响应相对于磋商文件要求的偏差，该偏差优于磋商文件要求的为正偏离；劣于的，为负偏离。</w:t>
      </w:r>
    </w:p>
    <w:p w14:paraId="23A63352">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1.3.8</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“日期”或“天”：指日历天。</w:t>
      </w:r>
    </w:p>
    <w:p w14:paraId="1444DC6A">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1.3.9</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合同：指依据本次采购招标结果签订的协议或合约文件。</w:t>
      </w:r>
    </w:p>
    <w:p w14:paraId="077D56B2">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1.3.10</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磋商文件中的标题或题名仅起引导作用，而不应视为对磋商文件内容的理解和解释。</w:t>
      </w:r>
    </w:p>
    <w:bookmarkEnd w:id="26"/>
    <w:bookmarkEnd w:id="27"/>
    <w:bookmarkEnd w:id="28"/>
    <w:p w14:paraId="006721CE">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bookmarkStart w:id="55" w:name="_Toc19363"/>
      <w:bookmarkStart w:id="56" w:name="_Toc318450678"/>
      <w:bookmarkStart w:id="57" w:name="_Toc455080112"/>
      <w:bookmarkStart w:id="58" w:name="_Toc21766"/>
      <w:bookmarkStart w:id="59" w:name="_Toc14043"/>
      <w:bookmarkStart w:id="60" w:name="_Toc12752"/>
      <w:bookmarkStart w:id="61" w:name="_Toc463701034"/>
      <w:bookmarkStart w:id="62" w:name="_Toc152045532"/>
      <w:bookmarkStart w:id="63" w:name="_Toc152042308"/>
      <w:bookmarkStart w:id="64" w:name="_Toc144974500"/>
      <w:bookmarkStart w:id="65" w:name="_Toc3626_WPSOffice_Level3"/>
      <w:bookmarkStart w:id="66" w:name="_Toc464035513"/>
      <w:bookmarkStart w:id="67" w:name="_Toc27407"/>
      <w:bookmarkStart w:id="68" w:name="_Toc16470"/>
      <w:r>
        <w:rPr>
          <w:rFonts w:hint="eastAsia" w:ascii="宋体" w:hAnsi="宋体" w:eastAsia="宋体" w:cs="宋体"/>
          <w:color w:val="auto"/>
          <w:sz w:val="24"/>
          <w:szCs w:val="24"/>
        </w:rPr>
        <w:t xml:space="preserve">1.4 </w:t>
      </w: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内容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服务期限</w:t>
      </w:r>
      <w:r>
        <w:rPr>
          <w:rFonts w:hint="eastAsia" w:ascii="宋体" w:hAnsi="宋体" w:eastAsia="宋体" w:cs="宋体"/>
          <w:color w:val="auto"/>
          <w:sz w:val="24"/>
          <w:szCs w:val="24"/>
        </w:rPr>
        <w:t>和质量要求</w:t>
      </w:r>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5D39A45A">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 本次</w:t>
      </w:r>
      <w:r>
        <w:rPr>
          <w:rFonts w:hint="eastAsia" w:ascii="宋体" w:hAnsi="宋体" w:cs="宋体"/>
          <w:color w:val="auto"/>
          <w:sz w:val="24"/>
          <w:szCs w:val="24"/>
          <w:lang w:val="en-US" w:eastAsia="zh-CN"/>
        </w:rPr>
        <w:t>服务</w:t>
      </w:r>
      <w:r>
        <w:rPr>
          <w:rFonts w:hint="eastAsia" w:ascii="宋体" w:hAnsi="宋体" w:eastAsia="宋体" w:cs="宋体"/>
          <w:color w:val="auto"/>
          <w:sz w:val="24"/>
          <w:szCs w:val="24"/>
          <w:lang w:val="en-US" w:eastAsia="zh-CN"/>
        </w:rPr>
        <w:t>内容</w:t>
      </w:r>
      <w:r>
        <w:rPr>
          <w:rFonts w:hint="eastAsia" w:ascii="宋体" w:hAnsi="宋体" w:eastAsia="宋体" w:cs="宋体"/>
          <w:color w:val="auto"/>
          <w:sz w:val="24"/>
          <w:szCs w:val="24"/>
        </w:rPr>
        <w:t>：见供应商须知前附表。</w:t>
      </w:r>
    </w:p>
    <w:p w14:paraId="123DD010">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 本项目的</w:t>
      </w:r>
      <w:r>
        <w:rPr>
          <w:rFonts w:hint="eastAsia" w:ascii="宋体" w:hAnsi="宋体" w:eastAsia="宋体" w:cs="宋体"/>
          <w:color w:val="auto"/>
          <w:sz w:val="24"/>
          <w:szCs w:val="24"/>
          <w:lang w:val="en-US" w:eastAsia="zh-CN"/>
        </w:rPr>
        <w:t>服务期限</w:t>
      </w:r>
      <w:r>
        <w:rPr>
          <w:rFonts w:hint="eastAsia" w:ascii="宋体" w:hAnsi="宋体" w:eastAsia="宋体" w:cs="宋体"/>
          <w:color w:val="auto"/>
          <w:sz w:val="24"/>
          <w:szCs w:val="24"/>
        </w:rPr>
        <w:t>：见供应商须知前附表。</w:t>
      </w:r>
    </w:p>
    <w:p w14:paraId="1510E84E">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1.4.3 本项目的质量要求：见供应商须知前附表。</w:t>
      </w:r>
    </w:p>
    <w:p w14:paraId="163A60EF">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bookmarkStart w:id="69" w:name="_Toc32053"/>
      <w:bookmarkStart w:id="70" w:name="_Toc7579_WPSOffice_Level3"/>
      <w:bookmarkStart w:id="71" w:name="_Toc464035516"/>
      <w:bookmarkStart w:id="72" w:name="_Toc2622"/>
      <w:bookmarkStart w:id="73" w:name="_Toc318450681"/>
      <w:bookmarkStart w:id="74" w:name="_Toc5402"/>
      <w:bookmarkStart w:id="75" w:name="_Toc455080115"/>
      <w:bookmarkStart w:id="76" w:name="_Toc152042312"/>
      <w:bookmarkStart w:id="77" w:name="_Toc144974504"/>
      <w:bookmarkStart w:id="78" w:name="_Toc152045536"/>
      <w:bookmarkStart w:id="79" w:name="_Toc8055"/>
      <w:bookmarkStart w:id="80" w:name="_Toc6014"/>
      <w:bookmarkStart w:id="81" w:name="_Toc463701037"/>
      <w:bookmarkStart w:id="82" w:name="_Toc20145"/>
      <w:r>
        <w:rPr>
          <w:rFonts w:hint="eastAsia" w:ascii="宋体" w:hAnsi="宋体" w:eastAsia="宋体" w:cs="宋体"/>
          <w:color w:val="auto"/>
          <w:sz w:val="24"/>
          <w:szCs w:val="24"/>
        </w:rPr>
        <w:t>1.</w:t>
      </w:r>
      <w:r>
        <w:rPr>
          <w:rFonts w:hint="eastAsia" w:ascii="宋体" w:hAnsi="宋体" w:eastAsia="宋体" w:cs="宋体"/>
          <w:color w:val="auto"/>
          <w:sz w:val="24"/>
          <w:szCs w:val="24"/>
          <w:lang w:val="en-US"/>
        </w:rPr>
        <w:t>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保密</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E4AB338">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参与磋商活动的各方应对磋商文件和响应文件中的商业和技术等秘密保密，违者应对由此造成的后果承担法律责任。 </w:t>
      </w:r>
    </w:p>
    <w:p w14:paraId="6D64FFF5">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bookmarkStart w:id="83" w:name="_Toc144974505"/>
      <w:bookmarkStart w:id="84" w:name="_Toc19210_WPSOffice_Level3"/>
      <w:bookmarkStart w:id="85" w:name="_Toc21089"/>
      <w:bookmarkStart w:id="86" w:name="_Toc152045537"/>
      <w:bookmarkStart w:id="87" w:name="_Toc30747"/>
      <w:bookmarkStart w:id="88" w:name="_Toc3628"/>
      <w:bookmarkStart w:id="89" w:name="_Toc463701038"/>
      <w:bookmarkStart w:id="90" w:name="_Toc152042313"/>
      <w:bookmarkStart w:id="91" w:name="_Toc455080116"/>
      <w:bookmarkStart w:id="92" w:name="_Toc30583"/>
      <w:bookmarkStart w:id="93" w:name="_Toc14775"/>
      <w:bookmarkStart w:id="94" w:name="_Toc25517"/>
      <w:bookmarkStart w:id="95" w:name="_Toc318450682"/>
      <w:bookmarkStart w:id="96" w:name="_Toc464035517"/>
      <w:r>
        <w:rPr>
          <w:rFonts w:hint="eastAsia" w:ascii="宋体" w:hAnsi="宋体" w:eastAsia="宋体" w:cs="宋体"/>
          <w:color w:val="auto"/>
          <w:sz w:val="24"/>
          <w:szCs w:val="24"/>
        </w:rPr>
        <w:t>1.</w:t>
      </w:r>
      <w:r>
        <w:rPr>
          <w:rFonts w:hint="eastAsia" w:ascii="宋体" w:hAnsi="宋体" w:eastAsia="宋体" w:cs="宋体"/>
          <w:color w:val="auto"/>
          <w:sz w:val="24"/>
          <w:szCs w:val="24"/>
          <w:lang w:val="en-US"/>
        </w:rPr>
        <w:t>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语言</w:t>
      </w:r>
      <w:bookmarkEnd w:id="83"/>
      <w:r>
        <w:rPr>
          <w:rFonts w:hint="eastAsia" w:ascii="宋体" w:hAnsi="宋体" w:eastAsia="宋体" w:cs="宋体"/>
          <w:color w:val="auto"/>
          <w:sz w:val="24"/>
          <w:szCs w:val="24"/>
        </w:rPr>
        <w:t>文字</w:t>
      </w:r>
      <w:bookmarkEnd w:id="84"/>
      <w:bookmarkEnd w:id="85"/>
      <w:bookmarkEnd w:id="86"/>
      <w:bookmarkEnd w:id="87"/>
      <w:bookmarkEnd w:id="88"/>
      <w:bookmarkEnd w:id="89"/>
      <w:bookmarkEnd w:id="90"/>
      <w:bookmarkEnd w:id="91"/>
      <w:bookmarkEnd w:id="92"/>
      <w:bookmarkEnd w:id="93"/>
      <w:bookmarkEnd w:id="94"/>
      <w:bookmarkEnd w:id="95"/>
      <w:bookmarkEnd w:id="96"/>
    </w:p>
    <w:p w14:paraId="5BCA51F6">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除专用术语外，与磋商有关的语言均使用中文。必要时专用术语应附有中文注释，</w:t>
      </w:r>
      <w:r>
        <w:rPr>
          <w:rFonts w:hint="eastAsia" w:ascii="宋体" w:hAnsi="宋体" w:eastAsia="宋体" w:cs="宋体"/>
          <w:color w:val="auto"/>
          <w:sz w:val="24"/>
          <w:szCs w:val="24"/>
          <w:lang w:bidi="en-US"/>
        </w:rPr>
        <w:t>对不同文字文本响应文件的解释发生异议的，以中文文本为准。</w:t>
      </w:r>
    </w:p>
    <w:p w14:paraId="071FBEE5">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bookmarkStart w:id="97" w:name="_Toc152045538"/>
      <w:bookmarkStart w:id="98" w:name="_Toc318450683"/>
      <w:bookmarkStart w:id="99" w:name="_Toc464035518"/>
      <w:bookmarkStart w:id="100" w:name="_Toc144974506"/>
      <w:bookmarkStart w:id="101" w:name="_Toc2702"/>
      <w:bookmarkStart w:id="102" w:name="_Toc9511_WPSOffice_Level3"/>
      <w:bookmarkStart w:id="103" w:name="_Toc32507"/>
      <w:bookmarkStart w:id="104" w:name="_Toc152042314"/>
      <w:bookmarkStart w:id="105" w:name="_Toc9446"/>
      <w:bookmarkStart w:id="106" w:name="_Toc455080117"/>
      <w:bookmarkStart w:id="107" w:name="_Toc463701039"/>
      <w:bookmarkStart w:id="108" w:name="_Toc4237"/>
      <w:bookmarkStart w:id="109" w:name="_Toc22378"/>
      <w:bookmarkStart w:id="110" w:name="_Toc24337"/>
      <w:r>
        <w:rPr>
          <w:rFonts w:hint="eastAsia" w:ascii="宋体" w:hAnsi="宋体" w:eastAsia="宋体" w:cs="宋体"/>
          <w:color w:val="auto"/>
          <w:sz w:val="24"/>
          <w:szCs w:val="24"/>
        </w:rPr>
        <w:t>1.</w:t>
      </w:r>
      <w:r>
        <w:rPr>
          <w:rFonts w:hint="eastAsia" w:ascii="宋体" w:hAnsi="宋体" w:eastAsia="宋体" w:cs="宋体"/>
          <w:color w:val="auto"/>
          <w:sz w:val="24"/>
          <w:szCs w:val="24"/>
          <w:lang w:val="en-US"/>
        </w:rPr>
        <w:t>7</w:t>
      </w:r>
      <w:r>
        <w:rPr>
          <w:rFonts w:hint="eastAsia" w:ascii="宋体" w:hAnsi="宋体" w:eastAsia="宋体" w:cs="宋体"/>
          <w:color w:val="auto"/>
          <w:sz w:val="24"/>
          <w:szCs w:val="24"/>
        </w:rPr>
        <w:t xml:space="preserve"> 计量单位</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7E8D7FE0">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所有计量均采用中华人民共和国法定计量单位。</w:t>
      </w:r>
    </w:p>
    <w:p w14:paraId="3D5D73DA">
      <w:pPr>
        <w:pStyle w:val="4"/>
        <w:keepNext w:val="0"/>
        <w:keepLines w:val="0"/>
        <w:pageBreakBefore w:val="0"/>
        <w:widowControl w:val="0"/>
        <w:kinsoku/>
        <w:wordWrap w:val="0"/>
        <w:overflowPunct/>
        <w:topLinePunct w:val="0"/>
        <w:bidi w:val="0"/>
        <w:adjustRightInd/>
        <w:snapToGrid/>
        <w:spacing w:line="480" w:lineRule="exact"/>
        <w:ind w:left="0" w:leftChars="0" w:right="0" w:firstLine="482" w:firstLineChars="200"/>
        <w:jc w:val="left"/>
        <w:textAlignment w:val="auto"/>
        <w:rPr>
          <w:rFonts w:hint="default" w:ascii="宋体" w:hAnsi="宋体" w:eastAsia="宋体" w:cs="宋体"/>
          <w:color w:val="auto"/>
          <w:sz w:val="24"/>
          <w:szCs w:val="24"/>
          <w:lang w:val="en-US" w:eastAsia="zh-CN"/>
        </w:rPr>
      </w:pPr>
      <w:bookmarkStart w:id="111" w:name="_Toc12366_WPSOffice_Level2"/>
      <w:r>
        <w:rPr>
          <w:rFonts w:hint="eastAsia" w:ascii="宋体" w:hAnsi="宋体" w:eastAsia="宋体" w:cs="宋体"/>
          <w:color w:val="auto"/>
          <w:sz w:val="24"/>
          <w:szCs w:val="24"/>
        </w:rPr>
        <w:t>2</w:t>
      </w:r>
      <w:bookmarkEnd w:id="111"/>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供应商资格要求</w:t>
      </w:r>
    </w:p>
    <w:p w14:paraId="0AAD4959">
      <w:pPr>
        <w:pStyle w:val="4"/>
        <w:keepNext w:val="0"/>
        <w:keepLines w:val="0"/>
        <w:pageBreakBefore w:val="0"/>
        <w:widowControl w:val="0"/>
        <w:kinsoku/>
        <w:wordWrap w:val="0"/>
        <w:overflowPunct/>
        <w:topLinePunct w:val="0"/>
        <w:bidi w:val="0"/>
        <w:adjustRightInd/>
        <w:snapToGrid/>
        <w:spacing w:line="48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rPr>
        <w:t>见供应商须知前附表</w:t>
      </w:r>
    </w:p>
    <w:p w14:paraId="1E0ACEE9">
      <w:pPr>
        <w:pStyle w:val="4"/>
        <w:keepNext w:val="0"/>
        <w:keepLines w:val="0"/>
        <w:pageBreakBefore w:val="0"/>
        <w:widowControl w:val="0"/>
        <w:kinsoku/>
        <w:wordWrap w:val="0"/>
        <w:overflowPunct/>
        <w:topLinePunct w:val="0"/>
        <w:bidi w:val="0"/>
        <w:adjustRightInd/>
        <w:snapToGrid/>
        <w:spacing w:line="480" w:lineRule="exact"/>
        <w:ind w:left="0" w:leftChars="0" w:right="0" w:firstLine="482" w:firstLineChars="200"/>
        <w:jc w:val="left"/>
        <w:textAlignment w:val="auto"/>
        <w:rPr>
          <w:rFonts w:hint="eastAsia" w:ascii="宋体" w:hAnsi="宋体" w:eastAsia="宋体" w:cs="宋体"/>
          <w:color w:val="auto"/>
          <w:sz w:val="24"/>
          <w:szCs w:val="24"/>
        </w:rPr>
      </w:pPr>
      <w:bookmarkStart w:id="112" w:name="_Toc8655_WPSOffice_Level2"/>
      <w:r>
        <w:rPr>
          <w:rFonts w:hint="eastAsia" w:ascii="宋体" w:hAnsi="宋体" w:eastAsia="宋体" w:cs="宋体"/>
          <w:color w:val="auto"/>
          <w:sz w:val="24"/>
          <w:szCs w:val="24"/>
        </w:rPr>
        <w:t>3</w:t>
      </w:r>
      <w:r>
        <w:rPr>
          <w:rFonts w:hint="eastAsia" w:ascii="宋体" w:hAnsi="宋体" w:cs="宋体"/>
          <w:color w:val="auto"/>
          <w:sz w:val="24"/>
          <w:szCs w:val="24"/>
          <w:lang w:eastAsia="zh-CN"/>
        </w:rPr>
        <w:t>.</w:t>
      </w:r>
      <w:r>
        <w:rPr>
          <w:rFonts w:hint="eastAsia" w:ascii="宋体" w:hAnsi="宋体" w:eastAsia="宋体" w:cs="宋体"/>
          <w:color w:val="auto"/>
          <w:sz w:val="24"/>
          <w:szCs w:val="24"/>
        </w:rPr>
        <w:t>费用</w:t>
      </w:r>
      <w:bookmarkEnd w:id="112"/>
    </w:p>
    <w:p w14:paraId="3556C391">
      <w:pPr>
        <w:pStyle w:val="5"/>
        <w:keepNext w:val="0"/>
        <w:keepLines w:val="0"/>
        <w:pageBreakBefore w:val="0"/>
        <w:widowControl w:val="0"/>
        <w:kinsoku/>
        <w:wordWrap w:val="0"/>
        <w:overflowPunct/>
        <w:topLinePunct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9"/>
          <w:sz w:val="24"/>
          <w:szCs w:val="24"/>
          <w:lang w:eastAsia="zh-CN"/>
        </w:rPr>
        <w:t>投标供应商</w:t>
      </w:r>
      <w:r>
        <w:rPr>
          <w:rFonts w:hint="eastAsia" w:ascii="宋体" w:hAnsi="宋体" w:eastAsia="宋体" w:cs="宋体"/>
          <w:color w:val="auto"/>
          <w:spacing w:val="-9"/>
          <w:sz w:val="24"/>
          <w:szCs w:val="24"/>
        </w:rPr>
        <w:t>应自行承担参加磋商活动有关的全部费用，采购人在任何情况下均</w:t>
      </w:r>
      <w:r>
        <w:rPr>
          <w:rFonts w:hint="eastAsia" w:ascii="宋体" w:hAnsi="宋体" w:eastAsia="宋体" w:cs="宋体"/>
          <w:color w:val="auto"/>
          <w:sz w:val="24"/>
          <w:szCs w:val="24"/>
        </w:rPr>
        <w:t>无义务和责任承担上述费用。</w:t>
      </w:r>
    </w:p>
    <w:p w14:paraId="13A2391A">
      <w:pPr>
        <w:keepNext w:val="0"/>
        <w:keepLines w:val="0"/>
        <w:pageBreakBefore w:val="0"/>
        <w:widowControl w:val="0"/>
        <w:kinsoku/>
        <w:wordWrap w:val="0"/>
        <w:overflowPunct/>
        <w:topLinePunct w:val="0"/>
        <w:autoSpaceDE w:val="0"/>
        <w:autoSpaceDN w:val="0"/>
        <w:bidi w:val="0"/>
        <w:adjustRightInd/>
        <w:snapToGrid/>
        <w:spacing w:line="480" w:lineRule="exact"/>
        <w:ind w:right="0" w:firstLine="482" w:firstLineChars="200"/>
        <w:jc w:val="left"/>
        <w:textAlignment w:val="auto"/>
        <w:rPr>
          <w:rFonts w:hint="eastAsia" w:ascii="宋体" w:hAnsi="宋体" w:eastAsia="宋体" w:cs="宋体"/>
          <w:b/>
          <w:color w:val="auto"/>
          <w:spacing w:val="-2"/>
          <w:sz w:val="24"/>
          <w:szCs w:val="24"/>
        </w:rPr>
      </w:pPr>
      <w:bookmarkStart w:id="113" w:name="_Toc4976_WPSOffice_Level2"/>
      <w:r>
        <w:rPr>
          <w:rFonts w:hint="eastAsia" w:ascii="宋体" w:hAnsi="宋体" w:eastAsia="宋体" w:cs="宋体"/>
          <w:b/>
          <w:color w:val="auto"/>
          <w:sz w:val="24"/>
          <w:szCs w:val="24"/>
        </w:rPr>
        <w:t>4</w:t>
      </w:r>
      <w:r>
        <w:rPr>
          <w:rFonts w:hint="eastAsia" w:ascii="宋体" w:hAnsi="宋体" w:cs="宋体"/>
          <w:b/>
          <w:color w:val="auto"/>
          <w:sz w:val="24"/>
          <w:szCs w:val="24"/>
          <w:lang w:eastAsia="zh-CN"/>
        </w:rPr>
        <w:t>.</w:t>
      </w:r>
      <w:r>
        <w:rPr>
          <w:rFonts w:hint="eastAsia" w:ascii="宋体" w:hAnsi="宋体" w:eastAsia="宋体" w:cs="宋体"/>
          <w:b/>
          <w:color w:val="auto"/>
          <w:spacing w:val="-2"/>
          <w:sz w:val="24"/>
          <w:szCs w:val="24"/>
        </w:rPr>
        <w:t>竞争性磋商文件的构成</w:t>
      </w:r>
    </w:p>
    <w:p w14:paraId="4814A557">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第一章 竞争性磋商公告</w:t>
      </w:r>
      <w:bookmarkEnd w:id="113"/>
    </w:p>
    <w:p w14:paraId="096E19AE">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bookmarkStart w:id="114" w:name="_Toc25399_WPSOffice_Level1"/>
      <w:r>
        <w:rPr>
          <w:rFonts w:hint="eastAsia" w:ascii="宋体" w:hAnsi="宋体" w:eastAsia="宋体" w:cs="宋体"/>
          <w:color w:val="auto"/>
          <w:sz w:val="24"/>
          <w:szCs w:val="24"/>
        </w:rPr>
        <w:t>第二章 供应商须知</w:t>
      </w:r>
    </w:p>
    <w:p w14:paraId="696781DA">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第三章</w:t>
      </w:r>
      <w:bookmarkEnd w:id="114"/>
      <w:r>
        <w:rPr>
          <w:rFonts w:hint="eastAsia" w:ascii="宋体" w:hAnsi="宋体" w:eastAsia="宋体" w:cs="宋体"/>
          <w:color w:val="auto"/>
          <w:sz w:val="24"/>
          <w:szCs w:val="24"/>
          <w:lang w:val="en-US" w:eastAsia="zh-CN"/>
        </w:rPr>
        <w:t xml:space="preserve"> 服务</w:t>
      </w:r>
      <w:r>
        <w:rPr>
          <w:rFonts w:hint="eastAsia" w:ascii="宋体" w:hAnsi="宋体" w:cs="宋体"/>
          <w:color w:val="auto"/>
          <w:sz w:val="24"/>
          <w:szCs w:val="24"/>
          <w:lang w:val="en-US" w:eastAsia="zh-CN"/>
        </w:rPr>
        <w:t>内容</w:t>
      </w:r>
      <w:r>
        <w:rPr>
          <w:rFonts w:hint="eastAsia" w:ascii="宋体" w:hAnsi="宋体" w:eastAsia="宋体" w:cs="宋体"/>
          <w:color w:val="auto"/>
          <w:sz w:val="24"/>
          <w:szCs w:val="24"/>
          <w:lang w:val="en-US" w:eastAsia="zh-CN"/>
        </w:rPr>
        <w:t>及要求</w:t>
      </w:r>
    </w:p>
    <w:p w14:paraId="3A848CBF">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bookmarkStart w:id="115" w:name="_Toc3669_WPSOffice_Level2"/>
      <w:r>
        <w:rPr>
          <w:rFonts w:hint="eastAsia" w:ascii="宋体" w:hAnsi="宋体" w:eastAsia="宋体" w:cs="宋体"/>
          <w:color w:val="auto"/>
          <w:sz w:val="24"/>
          <w:szCs w:val="24"/>
        </w:rPr>
        <w:t>第四章 评</w:t>
      </w:r>
      <w:r>
        <w:rPr>
          <w:rFonts w:hint="eastAsia" w:ascii="宋体" w:hAnsi="宋体" w:cs="宋体"/>
          <w:color w:val="auto"/>
          <w:sz w:val="24"/>
          <w:szCs w:val="24"/>
          <w:lang w:val="en-US" w:eastAsia="zh-CN"/>
        </w:rPr>
        <w:t>标</w:t>
      </w:r>
      <w:r>
        <w:rPr>
          <w:rFonts w:hint="eastAsia" w:ascii="宋体" w:hAnsi="宋体" w:eastAsia="宋体" w:cs="宋体"/>
          <w:color w:val="auto"/>
          <w:sz w:val="24"/>
          <w:szCs w:val="24"/>
        </w:rPr>
        <w:t>办法</w:t>
      </w:r>
      <w:bookmarkEnd w:id="115"/>
    </w:p>
    <w:p w14:paraId="566F21DE">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bookmarkStart w:id="116" w:name="_Toc1982_WPSOffice_Level2"/>
      <w:r>
        <w:rPr>
          <w:rFonts w:hint="eastAsia" w:ascii="宋体" w:hAnsi="宋体" w:eastAsia="宋体" w:cs="宋体"/>
          <w:color w:val="auto"/>
          <w:sz w:val="24"/>
          <w:szCs w:val="24"/>
        </w:rPr>
        <w:t>第五章 合同主要条款及格式</w:t>
      </w:r>
      <w:bookmarkEnd w:id="116"/>
    </w:p>
    <w:p w14:paraId="763E9642">
      <w:pPr>
        <w:keepNext w:val="0"/>
        <w:keepLines w:val="0"/>
        <w:pageBreakBefore w:val="0"/>
        <w:widowControl w:val="0"/>
        <w:kinsoku/>
        <w:wordWrap w:val="0"/>
        <w:overflowPunct/>
        <w:topLinePunct w:val="0"/>
        <w:autoSpaceDE w:val="0"/>
        <w:autoSpaceDN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bookmarkStart w:id="117" w:name="_Toc4328_WPSOffice_Level2"/>
      <w:r>
        <w:rPr>
          <w:rFonts w:hint="eastAsia" w:ascii="宋体" w:hAnsi="宋体" w:eastAsia="宋体" w:cs="宋体"/>
          <w:color w:val="auto"/>
          <w:sz w:val="24"/>
          <w:szCs w:val="24"/>
        </w:rPr>
        <w:t>第六章 响应文件格式</w:t>
      </w:r>
      <w:bookmarkEnd w:id="117"/>
    </w:p>
    <w:p w14:paraId="08E722D3">
      <w:pPr>
        <w:pStyle w:val="4"/>
        <w:keepNext w:val="0"/>
        <w:keepLines w:val="0"/>
        <w:pageBreakBefore w:val="0"/>
        <w:widowControl w:val="0"/>
        <w:kinsoku/>
        <w:wordWrap w:val="0"/>
        <w:overflowPunct/>
        <w:topLinePunct w:val="0"/>
        <w:bidi w:val="0"/>
        <w:adjustRightInd/>
        <w:snapToGrid/>
        <w:spacing w:line="480" w:lineRule="exact"/>
        <w:ind w:left="0" w:leftChars="0" w:right="0" w:firstLine="482" w:firstLineChars="200"/>
        <w:jc w:val="left"/>
        <w:textAlignment w:val="auto"/>
        <w:rPr>
          <w:rFonts w:hint="default" w:ascii="宋体" w:hAnsi="宋体" w:eastAsia="宋体" w:cs="宋体"/>
          <w:color w:val="auto"/>
          <w:sz w:val="24"/>
          <w:szCs w:val="24"/>
          <w:lang w:val="en-US" w:eastAsia="zh-CN"/>
        </w:rPr>
      </w:pPr>
      <w:bookmarkStart w:id="118" w:name="_Toc20095_WPSOffice_Level3"/>
      <w:r>
        <w:rPr>
          <w:rFonts w:hint="eastAsia" w:ascii="宋体" w:hAnsi="宋体" w:eastAsia="宋体" w:cs="宋体"/>
          <w:color w:val="auto"/>
          <w:sz w:val="24"/>
          <w:szCs w:val="24"/>
        </w:rPr>
        <w:t>5</w:t>
      </w:r>
      <w:r>
        <w:rPr>
          <w:rFonts w:hint="eastAsia" w:ascii="宋体" w:hAnsi="宋体" w:cs="宋体"/>
          <w:color w:val="auto"/>
          <w:sz w:val="24"/>
          <w:szCs w:val="24"/>
          <w:lang w:eastAsia="zh-CN"/>
        </w:rPr>
        <w:t>.</w:t>
      </w:r>
      <w:r>
        <w:rPr>
          <w:rFonts w:hint="eastAsia" w:ascii="宋体" w:hAnsi="宋体" w:eastAsia="宋体" w:cs="宋体"/>
          <w:color w:val="auto"/>
          <w:sz w:val="24"/>
          <w:szCs w:val="24"/>
        </w:rPr>
        <w:t>竞争性磋商文件的澄清</w:t>
      </w:r>
      <w:bookmarkEnd w:id="118"/>
      <w:r>
        <w:rPr>
          <w:rFonts w:hint="eastAsia" w:ascii="宋体" w:hAnsi="宋体" w:cs="宋体"/>
          <w:color w:val="auto"/>
          <w:sz w:val="24"/>
          <w:szCs w:val="24"/>
          <w:lang w:val="en-US" w:eastAsia="zh-CN"/>
        </w:rPr>
        <w:t>与修改</w:t>
      </w:r>
    </w:p>
    <w:p w14:paraId="7846860A">
      <w:pPr>
        <w:pStyle w:val="25"/>
        <w:keepNext w:val="0"/>
        <w:keepLines w:val="0"/>
        <w:pageBreakBefore w:val="0"/>
        <w:widowControl w:val="0"/>
        <w:tabs>
          <w:tab w:val="left" w:pos="1101"/>
        </w:tabs>
        <w:kinsoku/>
        <w:wordWrap w:val="0"/>
        <w:overflowPunct/>
        <w:topLinePunct w:val="0"/>
        <w:bidi w:val="0"/>
        <w:adjustRightInd/>
        <w:snapToGrid/>
        <w:spacing w:line="480" w:lineRule="exact"/>
        <w:ind w:left="0" w:leftChars="0" w:right="0" w:firstLine="472" w:firstLineChars="200"/>
        <w:jc w:val="left"/>
        <w:textAlignment w:val="auto"/>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 xml:space="preserve">5.1 </w:t>
      </w:r>
      <w:bookmarkStart w:id="119" w:name="_Toc12366_WPSOffice_Level3"/>
      <w:r>
        <w:rPr>
          <w:rFonts w:hint="eastAsia" w:ascii="宋体" w:hAnsi="宋体" w:eastAsia="宋体" w:cs="宋体"/>
          <w:color w:val="auto"/>
          <w:spacing w:val="-2"/>
          <w:sz w:val="24"/>
          <w:szCs w:val="24"/>
          <w:lang w:val="en-US" w:eastAsia="zh-CN"/>
        </w:rPr>
        <w:t>采购代理机构对已发出的竞争性磋商文件进行必要澄清、修改或补充的，应当在竞争性磋商文件要求提交响应性文件截止时间5日（如至原定截止时间不足5日，则需延长磋商开始时间）前，在相关媒体上发布更正公告。竞争性磋商文件公示期间对竞争性磋商文件进行的澄清、修改或补充不受上述限制。</w:t>
      </w:r>
    </w:p>
    <w:p w14:paraId="18251AAD">
      <w:pPr>
        <w:pStyle w:val="25"/>
        <w:keepNext w:val="0"/>
        <w:keepLines w:val="0"/>
        <w:pageBreakBefore w:val="0"/>
        <w:widowControl w:val="0"/>
        <w:tabs>
          <w:tab w:val="left" w:pos="1101"/>
        </w:tabs>
        <w:kinsoku/>
        <w:wordWrap w:val="0"/>
        <w:overflowPunct/>
        <w:topLinePunct w:val="0"/>
        <w:bidi w:val="0"/>
        <w:adjustRightInd/>
        <w:snapToGrid/>
        <w:spacing w:line="480" w:lineRule="exact"/>
        <w:ind w:left="0" w:leftChars="0" w:right="0" w:firstLine="472" w:firstLineChars="200"/>
        <w:jc w:val="left"/>
        <w:textAlignment w:val="auto"/>
        <w:rPr>
          <w:rFonts w:hint="eastAsia" w:ascii="宋体" w:hAnsi="宋体" w:eastAsia="宋体" w:cs="宋体"/>
          <w:color w:val="auto"/>
          <w:spacing w:val="-2"/>
          <w:sz w:val="24"/>
          <w:szCs w:val="24"/>
          <w:lang w:val="en-US" w:eastAsia="zh-CN"/>
        </w:rPr>
      </w:pPr>
      <w:r>
        <w:rPr>
          <w:rFonts w:hint="eastAsia" w:ascii="宋体" w:hAnsi="宋体" w:cs="宋体"/>
          <w:color w:val="auto"/>
          <w:spacing w:val="-2"/>
          <w:sz w:val="24"/>
          <w:szCs w:val="24"/>
          <w:lang w:val="en-US" w:eastAsia="zh-CN"/>
        </w:rPr>
        <w:t>5</w:t>
      </w:r>
      <w:r>
        <w:rPr>
          <w:rFonts w:hint="eastAsia" w:ascii="宋体" w:hAnsi="宋体" w:eastAsia="宋体" w:cs="宋体"/>
          <w:color w:val="auto"/>
          <w:spacing w:val="-2"/>
          <w:sz w:val="24"/>
          <w:szCs w:val="24"/>
          <w:lang w:val="en-US" w:eastAsia="zh-CN"/>
        </w:rPr>
        <w:t>.2 竞争性磋商文件澄清、修改或补充的内容为竞争性磋商文件的组成部分。</w:t>
      </w:r>
    </w:p>
    <w:p w14:paraId="5F9A1718">
      <w:pPr>
        <w:pStyle w:val="25"/>
        <w:keepNext w:val="0"/>
        <w:keepLines w:val="0"/>
        <w:pageBreakBefore w:val="0"/>
        <w:widowControl w:val="0"/>
        <w:tabs>
          <w:tab w:val="left" w:pos="1101"/>
        </w:tabs>
        <w:kinsoku/>
        <w:wordWrap w:val="0"/>
        <w:overflowPunct/>
        <w:topLinePunct w:val="0"/>
        <w:bidi w:val="0"/>
        <w:adjustRightInd/>
        <w:snapToGrid/>
        <w:spacing w:line="480" w:lineRule="exact"/>
        <w:ind w:left="0" w:leftChars="0" w:right="0" w:firstLine="472" w:firstLineChars="200"/>
        <w:jc w:val="left"/>
        <w:textAlignment w:val="auto"/>
        <w:rPr>
          <w:rFonts w:hint="eastAsia" w:ascii="宋体" w:hAnsi="宋体" w:eastAsia="宋体" w:cs="宋体"/>
          <w:color w:val="auto"/>
          <w:spacing w:val="-2"/>
          <w:sz w:val="24"/>
          <w:szCs w:val="24"/>
          <w:lang w:val="en-US" w:eastAsia="zh-CN"/>
        </w:rPr>
      </w:pPr>
      <w:r>
        <w:rPr>
          <w:rFonts w:hint="eastAsia" w:ascii="宋体" w:hAnsi="宋体" w:cs="宋体"/>
          <w:color w:val="auto"/>
          <w:spacing w:val="-2"/>
          <w:sz w:val="24"/>
          <w:szCs w:val="24"/>
          <w:lang w:val="en-US" w:eastAsia="zh-CN"/>
        </w:rPr>
        <w:t>5</w:t>
      </w:r>
      <w:r>
        <w:rPr>
          <w:rFonts w:hint="eastAsia" w:ascii="宋体" w:hAnsi="宋体" w:eastAsia="宋体" w:cs="宋体"/>
          <w:color w:val="auto"/>
          <w:spacing w:val="-2"/>
          <w:sz w:val="24"/>
          <w:szCs w:val="24"/>
          <w:lang w:val="en-US" w:eastAsia="zh-CN"/>
        </w:rPr>
        <w:t>.3 竞争性磋商文件的澄清、修改或补充都应通过本代理机构以法定形式发布。采购人未通过本代理机构对竞争性磋商文件进行的澄清、修改或补充无效，磋商时不予认可。</w:t>
      </w:r>
    </w:p>
    <w:p w14:paraId="3972837A">
      <w:pPr>
        <w:pStyle w:val="25"/>
        <w:keepNext w:val="0"/>
        <w:keepLines w:val="0"/>
        <w:pageBreakBefore w:val="0"/>
        <w:widowControl w:val="0"/>
        <w:tabs>
          <w:tab w:val="left" w:pos="1101"/>
        </w:tabs>
        <w:kinsoku/>
        <w:wordWrap w:val="0"/>
        <w:overflowPunct/>
        <w:topLinePunct w:val="0"/>
        <w:bidi w:val="0"/>
        <w:adjustRightInd/>
        <w:snapToGrid/>
        <w:spacing w:line="480" w:lineRule="exact"/>
        <w:ind w:left="0" w:leftChars="0" w:right="0" w:firstLine="472" w:firstLineChars="200"/>
        <w:jc w:val="left"/>
        <w:textAlignment w:val="auto"/>
        <w:rPr>
          <w:rFonts w:hint="eastAsia" w:ascii="宋体" w:hAnsi="宋体" w:eastAsia="宋体" w:cs="宋体"/>
          <w:color w:val="auto"/>
          <w:spacing w:val="-2"/>
          <w:sz w:val="24"/>
          <w:szCs w:val="24"/>
          <w:lang w:val="en-US" w:eastAsia="zh-CN"/>
        </w:rPr>
      </w:pPr>
      <w:r>
        <w:rPr>
          <w:rFonts w:hint="eastAsia" w:ascii="宋体" w:hAnsi="宋体" w:cs="宋体"/>
          <w:color w:val="auto"/>
          <w:spacing w:val="-2"/>
          <w:sz w:val="24"/>
          <w:szCs w:val="24"/>
          <w:lang w:val="en-US" w:eastAsia="zh-CN"/>
        </w:rPr>
        <w:t>5</w:t>
      </w:r>
      <w:r>
        <w:rPr>
          <w:rFonts w:hint="eastAsia" w:ascii="宋体" w:hAnsi="宋体" w:eastAsia="宋体" w:cs="宋体"/>
          <w:color w:val="auto"/>
          <w:spacing w:val="-2"/>
          <w:sz w:val="24"/>
          <w:szCs w:val="24"/>
          <w:lang w:val="en-US" w:eastAsia="zh-CN"/>
        </w:rPr>
        <w:t>.4 采购代理机构可以视磋商具体情况，延长递交响应性文件截止</w:t>
      </w:r>
      <w:r>
        <w:rPr>
          <w:rFonts w:hint="eastAsia" w:ascii="宋体" w:hAnsi="宋体" w:cs="宋体"/>
          <w:color w:val="auto"/>
          <w:spacing w:val="-2"/>
          <w:sz w:val="24"/>
          <w:szCs w:val="24"/>
          <w:lang w:val="en-US" w:eastAsia="zh-CN"/>
        </w:rPr>
        <w:t>时</w:t>
      </w:r>
      <w:r>
        <w:rPr>
          <w:rFonts w:hint="eastAsia" w:ascii="宋体" w:hAnsi="宋体" w:eastAsia="宋体" w:cs="宋体"/>
          <w:color w:val="auto"/>
          <w:spacing w:val="-2"/>
          <w:sz w:val="24"/>
          <w:szCs w:val="24"/>
          <w:lang w:val="en-US" w:eastAsia="zh-CN"/>
        </w:rPr>
        <w:t>间和开始磋商时间，但至少应当在竞争性磋商文件要求提交响应性文件的截止时间5日前，将变更时间书面通知所有竞争性磋商文件收受人，并在相关媒体上发布更正公告</w:t>
      </w:r>
      <w:r>
        <w:rPr>
          <w:rFonts w:hint="eastAsia" w:ascii="宋体" w:hAnsi="宋体" w:cs="宋体"/>
          <w:color w:val="auto"/>
          <w:spacing w:val="-2"/>
          <w:sz w:val="24"/>
          <w:szCs w:val="24"/>
          <w:lang w:val="en-US" w:eastAsia="zh-CN"/>
        </w:rPr>
        <w:t>。</w:t>
      </w:r>
    </w:p>
    <w:p w14:paraId="273FBAC0">
      <w:pPr>
        <w:pStyle w:val="25"/>
        <w:keepNext w:val="0"/>
        <w:keepLines w:val="0"/>
        <w:pageBreakBefore w:val="0"/>
        <w:widowControl w:val="0"/>
        <w:tabs>
          <w:tab w:val="left" w:pos="1101"/>
        </w:tabs>
        <w:kinsoku/>
        <w:wordWrap w:val="0"/>
        <w:overflowPunct/>
        <w:topLinePunct w:val="0"/>
        <w:bidi w:val="0"/>
        <w:adjustRightInd/>
        <w:snapToGrid/>
        <w:spacing w:line="480" w:lineRule="exact"/>
        <w:ind w:left="0" w:leftChars="0" w:right="0" w:firstLine="482" w:firstLineChars="200"/>
        <w:jc w:val="left"/>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rPr>
        <w:t>要求</w:t>
      </w:r>
      <w:bookmarkEnd w:id="119"/>
    </w:p>
    <w:p w14:paraId="63EB7AB4">
      <w:pPr>
        <w:pStyle w:val="5"/>
        <w:keepNext w:val="0"/>
        <w:keepLines w:val="0"/>
        <w:pageBreakBefore w:val="0"/>
        <w:widowControl w:val="0"/>
        <w:kinsoku/>
        <w:wordWrap w:val="0"/>
        <w:overflowPunct/>
        <w:topLinePunct w:val="0"/>
        <w:bidi w:val="0"/>
        <w:adjustRightInd/>
        <w:snapToGrid/>
        <w:spacing w:line="480" w:lineRule="exact"/>
        <w:ind w:right="0" w:firstLine="472" w:firstLineChars="200"/>
        <w:jc w:val="left"/>
        <w:textAlignment w:val="auto"/>
        <w:rPr>
          <w:rFonts w:hint="eastAsia" w:ascii="宋体" w:hAnsi="宋体" w:eastAsia="宋体" w:cs="宋体"/>
          <w:color w:val="auto"/>
          <w:sz w:val="24"/>
          <w:szCs w:val="24"/>
        </w:rPr>
      </w:pPr>
      <w:r>
        <w:rPr>
          <w:rFonts w:hint="eastAsia" w:ascii="宋体" w:hAnsi="宋体" w:cs="宋体"/>
          <w:color w:val="auto"/>
          <w:spacing w:val="-2"/>
          <w:sz w:val="24"/>
          <w:szCs w:val="24"/>
          <w:lang w:val="en-US" w:eastAsia="zh-CN"/>
        </w:rPr>
        <w:t>6</w:t>
      </w:r>
      <w:r>
        <w:rPr>
          <w:rFonts w:hint="eastAsia" w:ascii="宋体" w:hAnsi="宋体" w:eastAsia="宋体" w:cs="宋体"/>
          <w:color w:val="auto"/>
          <w:spacing w:val="-2"/>
          <w:sz w:val="24"/>
          <w:szCs w:val="24"/>
        </w:rPr>
        <w:t xml:space="preserve">.1 </w:t>
      </w:r>
      <w:r>
        <w:rPr>
          <w:rFonts w:hint="eastAsia" w:ascii="宋体" w:hAnsi="宋体" w:eastAsia="宋体" w:cs="宋体"/>
          <w:color w:val="auto"/>
          <w:spacing w:val="-2"/>
          <w:sz w:val="24"/>
          <w:szCs w:val="24"/>
          <w:lang w:val="en-US" w:eastAsia="zh-CN"/>
        </w:rPr>
        <w:t>投标</w:t>
      </w:r>
      <w:r>
        <w:rPr>
          <w:rFonts w:hint="eastAsia" w:ascii="宋体" w:hAnsi="宋体" w:eastAsia="宋体" w:cs="宋体"/>
          <w:color w:val="auto"/>
          <w:spacing w:val="-2"/>
          <w:sz w:val="24"/>
          <w:szCs w:val="24"/>
        </w:rPr>
        <w:t>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1BEC9550">
      <w:pPr>
        <w:pStyle w:val="25"/>
        <w:keepNext w:val="0"/>
        <w:keepLines w:val="0"/>
        <w:pageBreakBefore w:val="0"/>
        <w:widowControl w:val="0"/>
        <w:tabs>
          <w:tab w:val="left" w:pos="1101"/>
        </w:tabs>
        <w:kinsoku/>
        <w:wordWrap w:val="0"/>
        <w:overflowPunct/>
        <w:topLinePunct w:val="0"/>
        <w:bidi w:val="0"/>
        <w:adjustRightInd/>
        <w:snapToGrid/>
        <w:spacing w:line="480" w:lineRule="exact"/>
        <w:ind w:left="0" w:leftChars="0" w:right="0" w:firstLine="482" w:firstLineChars="200"/>
        <w:jc w:val="left"/>
        <w:textAlignment w:val="auto"/>
        <w:rPr>
          <w:rFonts w:hint="eastAsia" w:ascii="宋体" w:hAnsi="宋体" w:eastAsia="宋体" w:cs="宋体"/>
          <w:b/>
          <w:bCs/>
          <w:color w:val="auto"/>
          <w:sz w:val="24"/>
          <w:szCs w:val="24"/>
        </w:rPr>
      </w:pPr>
      <w:bookmarkStart w:id="120" w:name="_Toc8655_WPSOffice_Level3"/>
      <w:r>
        <w:rPr>
          <w:rFonts w:hint="eastAsia" w:ascii="宋体" w:hAnsi="宋体" w:cs="宋体"/>
          <w:b/>
          <w:bCs/>
          <w:color w:val="auto"/>
          <w:sz w:val="24"/>
          <w:szCs w:val="24"/>
          <w:lang w:val="en-US" w:eastAsia="zh-CN"/>
        </w:rPr>
        <w:t>7.</w:t>
      </w:r>
      <w:r>
        <w:rPr>
          <w:rFonts w:hint="eastAsia" w:ascii="宋体" w:hAnsi="宋体" w:eastAsia="宋体" w:cs="宋体"/>
          <w:b/>
          <w:bCs/>
          <w:color w:val="auto"/>
          <w:sz w:val="24"/>
          <w:szCs w:val="24"/>
        </w:rPr>
        <w:t>电子化响应文件的组成</w:t>
      </w:r>
      <w:bookmarkEnd w:id="120"/>
    </w:p>
    <w:p w14:paraId="09B62AAA">
      <w:pPr>
        <w:pStyle w:val="25"/>
        <w:keepNext w:val="0"/>
        <w:keepLines w:val="0"/>
        <w:pageBreakBefore w:val="0"/>
        <w:widowControl w:val="0"/>
        <w:tabs>
          <w:tab w:val="left" w:pos="1101"/>
        </w:tabs>
        <w:kinsoku/>
        <w:wordWrap w:val="0"/>
        <w:overflowPunct/>
        <w:topLinePunct w:val="0"/>
        <w:bidi w:val="0"/>
        <w:adjustRightInd/>
        <w:snapToGrid/>
        <w:spacing w:line="48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详见第六章响应文件格式</w:t>
      </w:r>
    </w:p>
    <w:p w14:paraId="0A3BB8FD">
      <w:pPr>
        <w:pStyle w:val="25"/>
        <w:keepNext w:val="0"/>
        <w:keepLines w:val="0"/>
        <w:pageBreakBefore w:val="0"/>
        <w:widowControl w:val="0"/>
        <w:tabs>
          <w:tab w:val="left" w:pos="1101"/>
        </w:tabs>
        <w:kinsoku/>
        <w:wordWrap w:val="0"/>
        <w:overflowPunct/>
        <w:topLinePunct w:val="0"/>
        <w:bidi w:val="0"/>
        <w:adjustRightInd/>
        <w:snapToGrid/>
        <w:spacing w:line="480" w:lineRule="exact"/>
        <w:ind w:left="0" w:leftChars="0" w:right="0" w:firstLine="482" w:firstLineChars="200"/>
        <w:jc w:val="left"/>
        <w:textAlignment w:val="auto"/>
        <w:rPr>
          <w:rFonts w:hint="eastAsia" w:ascii="宋体" w:hAnsi="宋体" w:eastAsia="宋体" w:cs="宋体"/>
          <w:b/>
          <w:bCs/>
          <w:color w:val="auto"/>
          <w:sz w:val="24"/>
          <w:szCs w:val="24"/>
        </w:rPr>
      </w:pPr>
      <w:bookmarkStart w:id="121" w:name="_Toc4976_WPSOffice_Level3"/>
      <w:r>
        <w:rPr>
          <w:rFonts w:hint="eastAsia" w:ascii="宋体" w:hAnsi="宋体" w:cs="宋体"/>
          <w:b/>
          <w:bCs/>
          <w:color w:val="auto"/>
          <w:sz w:val="24"/>
          <w:szCs w:val="24"/>
          <w:lang w:val="en-US" w:eastAsia="zh-CN"/>
        </w:rPr>
        <w:t>8.</w:t>
      </w:r>
      <w:r>
        <w:rPr>
          <w:rFonts w:hint="eastAsia" w:ascii="宋体" w:hAnsi="宋体" w:eastAsia="宋体" w:cs="宋体"/>
          <w:b/>
          <w:bCs/>
          <w:color w:val="auto"/>
          <w:sz w:val="24"/>
          <w:szCs w:val="24"/>
        </w:rPr>
        <w:t>电子化响应文件的格式</w:t>
      </w:r>
      <w:bookmarkEnd w:id="121"/>
    </w:p>
    <w:p w14:paraId="777126BC">
      <w:pPr>
        <w:pStyle w:val="5"/>
        <w:keepNext w:val="0"/>
        <w:keepLines w:val="0"/>
        <w:pageBreakBefore w:val="0"/>
        <w:widowControl w:val="0"/>
        <w:kinsoku/>
        <w:wordWrap w:val="0"/>
        <w:overflowPunct/>
        <w:topLinePunct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pacing w:val="-12"/>
          <w:sz w:val="24"/>
          <w:szCs w:val="24"/>
        </w:rPr>
        <w:t>投标供应商所上传的电子化响应文件，应是通过中心响应文件制作系统制作的，经过签章和加密后生成的电子版响应文件。上传投标文件格式后缀为SMXTF。上传完后，为了验证CA锁是否正常，建议模拟解密下</w:t>
      </w:r>
      <w:r>
        <w:rPr>
          <w:rFonts w:hint="eastAsia" w:ascii="宋体" w:hAnsi="宋体" w:eastAsia="宋体" w:cs="宋体"/>
          <w:color w:val="auto"/>
          <w:sz w:val="24"/>
          <w:szCs w:val="24"/>
        </w:rPr>
        <w:t>。</w:t>
      </w:r>
    </w:p>
    <w:p w14:paraId="4F27A1D0">
      <w:pPr>
        <w:pStyle w:val="25"/>
        <w:keepNext w:val="0"/>
        <w:keepLines w:val="0"/>
        <w:pageBreakBefore w:val="0"/>
        <w:widowControl w:val="0"/>
        <w:tabs>
          <w:tab w:val="left" w:pos="1101"/>
        </w:tabs>
        <w:kinsoku/>
        <w:wordWrap w:val="0"/>
        <w:overflowPunct/>
        <w:topLinePunct w:val="0"/>
        <w:bidi w:val="0"/>
        <w:adjustRightInd/>
        <w:snapToGrid/>
        <w:spacing w:line="480" w:lineRule="exact"/>
        <w:ind w:left="0" w:leftChars="0" w:right="0" w:firstLine="482" w:firstLineChars="200"/>
        <w:jc w:val="left"/>
        <w:textAlignment w:val="auto"/>
        <w:rPr>
          <w:rFonts w:hint="eastAsia" w:ascii="宋体" w:hAnsi="宋体" w:eastAsia="宋体" w:cs="宋体"/>
          <w:b/>
          <w:bCs/>
          <w:color w:val="auto"/>
          <w:sz w:val="24"/>
          <w:szCs w:val="24"/>
        </w:rPr>
      </w:pPr>
      <w:bookmarkStart w:id="122" w:name="_Toc3669_WPSOffice_Level3"/>
      <w:r>
        <w:rPr>
          <w:rFonts w:hint="eastAsia" w:ascii="宋体" w:hAnsi="宋体" w:cs="宋体"/>
          <w:b/>
          <w:bCs/>
          <w:color w:val="auto"/>
          <w:sz w:val="24"/>
          <w:szCs w:val="24"/>
          <w:lang w:val="en-US" w:eastAsia="zh-CN"/>
        </w:rPr>
        <w:t>9.</w:t>
      </w:r>
      <w:r>
        <w:rPr>
          <w:rFonts w:hint="eastAsia" w:ascii="宋体" w:hAnsi="宋体" w:eastAsia="宋体" w:cs="宋体"/>
          <w:b/>
          <w:bCs/>
          <w:color w:val="auto"/>
          <w:sz w:val="24"/>
          <w:szCs w:val="24"/>
        </w:rPr>
        <w:t>电子化响应文件的签署</w:t>
      </w:r>
      <w:bookmarkEnd w:id="122"/>
    </w:p>
    <w:p w14:paraId="54264B7E">
      <w:pPr>
        <w:pStyle w:val="25"/>
        <w:keepNext w:val="0"/>
        <w:keepLines w:val="0"/>
        <w:pageBreakBefore w:val="0"/>
        <w:widowControl w:val="0"/>
        <w:tabs>
          <w:tab w:val="left" w:pos="1101"/>
        </w:tabs>
        <w:kinsoku/>
        <w:wordWrap w:val="0"/>
        <w:overflowPunct/>
        <w:topLinePunct w:val="0"/>
        <w:bidi w:val="0"/>
        <w:adjustRightInd/>
        <w:snapToGrid/>
        <w:spacing w:line="480" w:lineRule="exact"/>
        <w:ind w:left="0" w:leftChars="0" w:right="0" w:firstLine="432" w:firstLineChars="200"/>
        <w:jc w:val="left"/>
        <w:textAlignment w:val="auto"/>
        <w:rPr>
          <w:rFonts w:hint="eastAsia" w:ascii="宋体" w:hAnsi="宋体" w:eastAsia="宋体" w:cs="宋体"/>
          <w:color w:val="auto"/>
          <w:spacing w:val="-12"/>
          <w:sz w:val="24"/>
          <w:szCs w:val="24"/>
        </w:rPr>
      </w:pPr>
      <w:r>
        <w:rPr>
          <w:rFonts w:hint="eastAsia" w:ascii="宋体" w:hAnsi="宋体" w:cs="宋体"/>
          <w:color w:val="auto"/>
          <w:spacing w:val="-12"/>
          <w:sz w:val="24"/>
          <w:szCs w:val="24"/>
          <w:lang w:val="en-US" w:eastAsia="zh-CN"/>
        </w:rPr>
        <w:t>9</w:t>
      </w:r>
      <w:r>
        <w:rPr>
          <w:rFonts w:hint="eastAsia" w:ascii="宋体" w:hAnsi="宋体" w:eastAsia="宋体" w:cs="宋体"/>
          <w:color w:val="auto"/>
          <w:spacing w:val="-12"/>
          <w:sz w:val="24"/>
          <w:szCs w:val="24"/>
        </w:rPr>
        <w:t xml:space="preserve">.1 </w:t>
      </w:r>
      <w:r>
        <w:rPr>
          <w:rFonts w:hint="eastAsia" w:ascii="宋体" w:hAnsi="宋体" w:eastAsia="宋体" w:cs="宋体"/>
          <w:color w:val="auto"/>
          <w:spacing w:val="-12"/>
          <w:sz w:val="24"/>
          <w:szCs w:val="24"/>
          <w:lang w:eastAsia="zh-CN"/>
        </w:rPr>
        <w:t>投标供应商</w:t>
      </w:r>
      <w:r>
        <w:rPr>
          <w:rFonts w:hint="eastAsia" w:ascii="宋体" w:hAnsi="宋体" w:eastAsia="宋体" w:cs="宋体"/>
          <w:color w:val="auto"/>
          <w:spacing w:val="-12"/>
          <w:sz w:val="24"/>
          <w:szCs w:val="24"/>
        </w:rPr>
        <w:t>在进行电子化响应文件签章时，竞争性磋商文件中要求</w:t>
      </w:r>
      <w:r>
        <w:rPr>
          <w:rFonts w:hint="eastAsia" w:ascii="宋体" w:hAnsi="宋体" w:eastAsia="宋体" w:cs="宋体"/>
          <w:color w:val="auto"/>
          <w:spacing w:val="-12"/>
          <w:sz w:val="24"/>
          <w:szCs w:val="24"/>
          <w:lang w:eastAsia="zh-CN"/>
        </w:rPr>
        <w:t>投标供应商</w:t>
      </w:r>
      <w:r>
        <w:rPr>
          <w:rFonts w:hint="eastAsia" w:ascii="宋体" w:hAnsi="宋体" w:eastAsia="宋体" w:cs="宋体"/>
          <w:color w:val="auto"/>
          <w:spacing w:val="-12"/>
          <w:sz w:val="24"/>
          <w:szCs w:val="24"/>
        </w:rPr>
        <w:t>盖章的，以签盖单位章为准；要求法定代表人</w:t>
      </w:r>
      <w:r>
        <w:rPr>
          <w:rFonts w:hint="eastAsia" w:ascii="宋体" w:hAnsi="宋体" w:eastAsia="宋体" w:cs="宋体"/>
          <w:color w:val="auto"/>
          <w:spacing w:val="-12"/>
          <w:sz w:val="24"/>
          <w:szCs w:val="24"/>
          <w:lang w:val="en-US" w:eastAsia="zh-CN"/>
        </w:rPr>
        <w:t>或授权委托人</w:t>
      </w:r>
      <w:r>
        <w:rPr>
          <w:rFonts w:hint="eastAsia" w:ascii="宋体" w:hAnsi="宋体" w:eastAsia="宋体" w:cs="宋体"/>
          <w:color w:val="auto"/>
          <w:spacing w:val="-12"/>
          <w:sz w:val="24"/>
          <w:szCs w:val="24"/>
        </w:rPr>
        <w:t>签章的，以签盖法定代表人签章为准。电子化响应文件具体制作教材请供应商通过三门峡市公共资源交易平台网首页“下载专区”中查看。</w:t>
      </w:r>
    </w:p>
    <w:p w14:paraId="62EEEDFB">
      <w:pPr>
        <w:pStyle w:val="4"/>
        <w:keepNext w:val="0"/>
        <w:keepLines w:val="0"/>
        <w:pageBreakBefore w:val="0"/>
        <w:widowControl w:val="0"/>
        <w:tabs>
          <w:tab w:val="left" w:pos="687"/>
        </w:tabs>
        <w:kinsoku/>
        <w:wordWrap w:val="0"/>
        <w:overflowPunct/>
        <w:topLinePunct w:val="0"/>
        <w:bidi w:val="0"/>
        <w:adjustRightInd/>
        <w:snapToGrid/>
        <w:spacing w:line="480" w:lineRule="exact"/>
        <w:ind w:left="0" w:leftChars="0" w:right="0" w:firstLine="482" w:firstLineChars="200"/>
        <w:jc w:val="left"/>
        <w:textAlignment w:val="auto"/>
        <w:rPr>
          <w:rFonts w:hint="eastAsia" w:ascii="宋体" w:hAnsi="宋体" w:eastAsia="宋体" w:cs="宋体"/>
          <w:color w:val="auto"/>
          <w:sz w:val="24"/>
          <w:szCs w:val="24"/>
        </w:rPr>
      </w:pPr>
      <w:bookmarkStart w:id="123" w:name="_Toc1982_WPSOffice_Level3"/>
      <w:r>
        <w:rPr>
          <w:rFonts w:hint="eastAsia" w:ascii="宋体" w:hAnsi="宋体" w:eastAsia="宋体" w:cs="宋体"/>
          <w:color w:val="auto"/>
          <w:sz w:val="24"/>
          <w:szCs w:val="24"/>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电子化响应文件的上传</w:t>
      </w:r>
      <w:bookmarkEnd w:id="123"/>
    </w:p>
    <w:p w14:paraId="004F4D7E">
      <w:pPr>
        <w:pStyle w:val="5"/>
        <w:keepNext w:val="0"/>
        <w:keepLines w:val="0"/>
        <w:pageBreakBefore w:val="0"/>
        <w:widowControl w:val="0"/>
        <w:kinsoku/>
        <w:wordWrap w:val="0"/>
        <w:overflowPunct/>
        <w:topLinePunct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.1</w:t>
      </w:r>
      <w:r>
        <w:rPr>
          <w:rFonts w:hint="eastAsia" w:ascii="宋体" w:hAnsi="宋体" w:eastAsia="宋体" w:cs="宋体"/>
          <w:color w:val="auto"/>
          <w:spacing w:val="-9"/>
          <w:sz w:val="24"/>
          <w:szCs w:val="24"/>
        </w:rPr>
        <w:t xml:space="preserve"> 电子化响应文件应在磋商截止时间前成功上传至三门峡市公共资源电子化</w:t>
      </w:r>
      <w:r>
        <w:rPr>
          <w:rFonts w:hint="eastAsia" w:ascii="宋体" w:hAnsi="宋体" w:eastAsia="宋体" w:cs="宋体"/>
          <w:color w:val="auto"/>
          <w:sz w:val="24"/>
          <w:szCs w:val="24"/>
        </w:rPr>
        <w:t>交易系统。至磋商截止时间止，仍未上传成功的电子化磋商响应文件将不予接收。</w:t>
      </w:r>
    </w:p>
    <w:p w14:paraId="49FCE013">
      <w:pPr>
        <w:pStyle w:val="5"/>
        <w:keepNext w:val="0"/>
        <w:keepLines w:val="0"/>
        <w:pageBreakBefore w:val="0"/>
        <w:widowControl w:val="0"/>
        <w:kinsoku/>
        <w:wordWrap w:val="0"/>
        <w:overflowPunct/>
        <w:topLinePunct w:val="0"/>
        <w:bidi w:val="0"/>
        <w:adjustRightInd/>
        <w:snapToGrid/>
        <w:spacing w:line="480" w:lineRule="exact"/>
        <w:ind w:right="0" w:firstLine="366"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pacing w:val="-29"/>
          <w:sz w:val="24"/>
          <w:szCs w:val="24"/>
        </w:rPr>
        <w:t>注：</w:t>
      </w:r>
      <w:r>
        <w:rPr>
          <w:rFonts w:hint="eastAsia" w:ascii="宋体" w:hAnsi="宋体" w:eastAsia="宋体" w:cs="宋体"/>
          <w:color w:val="auto"/>
          <w:spacing w:val="-3"/>
          <w:sz w:val="24"/>
          <w:szCs w:val="24"/>
        </w:rPr>
        <w:t>如按照电子化投标操作教材制作完成的电子化响应文件无法上传的，</w:t>
      </w:r>
      <w:r>
        <w:rPr>
          <w:rFonts w:hint="eastAsia" w:ascii="宋体" w:hAnsi="宋体" w:eastAsia="宋体" w:cs="宋体"/>
          <w:color w:val="auto"/>
          <w:spacing w:val="-3"/>
          <w:sz w:val="24"/>
          <w:szCs w:val="24"/>
          <w:lang w:eastAsia="zh-CN"/>
        </w:rPr>
        <w:t>投标供应商</w:t>
      </w:r>
      <w:r>
        <w:rPr>
          <w:rFonts w:hint="eastAsia" w:ascii="宋体" w:hAnsi="宋体" w:eastAsia="宋体" w:cs="宋体"/>
          <w:color w:val="auto"/>
          <w:sz w:val="24"/>
          <w:szCs w:val="24"/>
        </w:rPr>
        <w:t>应在磋商截止时间前尽早的联系中心技术人员，以便有充分的时间进行处理。</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应充分考虑到处理技术问题和上传数据等工作的时间问题，响应文件未在磋商截止时间前成功上传的，其响应文件不予接收。</w:t>
      </w:r>
    </w:p>
    <w:p w14:paraId="40800A2A">
      <w:pPr>
        <w:pStyle w:val="4"/>
        <w:keepNext w:val="0"/>
        <w:keepLines w:val="0"/>
        <w:pageBreakBefore w:val="0"/>
        <w:widowControl w:val="0"/>
        <w:numPr>
          <w:ilvl w:val="0"/>
          <w:numId w:val="0"/>
        </w:numPr>
        <w:kinsoku/>
        <w:wordWrap w:val="0"/>
        <w:overflowPunct/>
        <w:topLinePunct w:val="0"/>
        <w:bidi w:val="0"/>
        <w:adjustRightInd/>
        <w:snapToGrid/>
        <w:spacing w:line="480" w:lineRule="exact"/>
        <w:ind w:right="0" w:rightChars="0" w:firstLine="482" w:firstLineChars="200"/>
        <w:jc w:val="left"/>
        <w:textAlignment w:val="auto"/>
        <w:rPr>
          <w:rFonts w:hint="eastAsia" w:ascii="宋体" w:hAnsi="宋体" w:eastAsia="宋体" w:cs="宋体"/>
          <w:color w:val="auto"/>
          <w:sz w:val="24"/>
          <w:szCs w:val="24"/>
        </w:rPr>
      </w:pPr>
      <w:bookmarkStart w:id="124" w:name="_Toc4328_WPSOffice_Level3"/>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磋商截止时间</w:t>
      </w:r>
      <w:bookmarkEnd w:id="124"/>
    </w:p>
    <w:p w14:paraId="1EDA1B13">
      <w:pPr>
        <w:pStyle w:val="4"/>
        <w:keepNext w:val="0"/>
        <w:keepLines w:val="0"/>
        <w:pageBreakBefore w:val="0"/>
        <w:widowControl w:val="0"/>
        <w:numPr>
          <w:ilvl w:val="0"/>
          <w:numId w:val="0"/>
        </w:numPr>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.1 电子化响应文件的截止时间见本须知前附表规定。</w:t>
      </w:r>
      <w:bookmarkStart w:id="125" w:name="_Toc14892_WPSOffice_Level3"/>
    </w:p>
    <w:p w14:paraId="14D1F411">
      <w:pPr>
        <w:pStyle w:val="4"/>
        <w:keepNext w:val="0"/>
        <w:keepLines w:val="0"/>
        <w:pageBreakBefore w:val="0"/>
        <w:widowControl w:val="0"/>
        <w:numPr>
          <w:ilvl w:val="0"/>
          <w:numId w:val="0"/>
        </w:numPr>
        <w:kinsoku/>
        <w:wordWrap w:val="0"/>
        <w:overflowPunct/>
        <w:topLinePunct w:val="0"/>
        <w:bidi w:val="0"/>
        <w:adjustRightInd/>
        <w:snapToGrid/>
        <w:spacing w:line="480" w:lineRule="exact"/>
        <w:ind w:right="0" w:rightChars="0" w:firstLine="482"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12.</w:t>
      </w:r>
      <w:r>
        <w:rPr>
          <w:rFonts w:hint="eastAsia" w:ascii="宋体" w:hAnsi="宋体" w:eastAsia="宋体" w:cs="宋体"/>
          <w:color w:val="auto"/>
          <w:sz w:val="24"/>
          <w:szCs w:val="24"/>
        </w:rPr>
        <w:t>电子化响应文件的补充、修改与撤回</w:t>
      </w:r>
      <w:bookmarkEnd w:id="125"/>
    </w:p>
    <w:p w14:paraId="018D6B8A">
      <w:pPr>
        <w:pStyle w:val="4"/>
        <w:keepNext w:val="0"/>
        <w:keepLines w:val="0"/>
        <w:pageBreakBefore w:val="0"/>
        <w:widowControl w:val="0"/>
        <w:numPr>
          <w:ilvl w:val="0"/>
          <w:numId w:val="0"/>
        </w:numPr>
        <w:kinsoku/>
        <w:wordWrap w:val="0"/>
        <w:overflowPunct/>
        <w:topLinePunct w:val="0"/>
        <w:bidi w:val="0"/>
        <w:adjustRightInd/>
        <w:snapToGrid/>
        <w:spacing w:line="480" w:lineRule="exact"/>
        <w:ind w:right="0" w:rightChars="0" w:firstLine="432" w:firstLineChars="200"/>
        <w:jc w:val="left"/>
        <w:textAlignment w:val="auto"/>
        <w:rPr>
          <w:rFonts w:hint="eastAsia" w:ascii="宋体" w:hAnsi="宋体" w:eastAsia="宋体" w:cs="宋体"/>
          <w:b w:val="0"/>
          <w:bCs w:val="0"/>
          <w:color w:val="auto"/>
          <w:spacing w:val="-12"/>
          <w:sz w:val="24"/>
          <w:szCs w:val="24"/>
        </w:rPr>
      </w:pPr>
      <w:r>
        <w:rPr>
          <w:rFonts w:hint="eastAsia" w:ascii="宋体" w:hAnsi="宋体" w:cs="宋体"/>
          <w:b w:val="0"/>
          <w:bCs w:val="0"/>
          <w:color w:val="auto"/>
          <w:spacing w:val="-12"/>
          <w:sz w:val="24"/>
          <w:szCs w:val="24"/>
          <w:lang w:val="en-US" w:eastAsia="zh-CN"/>
        </w:rPr>
        <w:t>12</w:t>
      </w:r>
      <w:r>
        <w:rPr>
          <w:rFonts w:hint="eastAsia" w:ascii="宋体" w:hAnsi="宋体" w:eastAsia="宋体" w:cs="宋体"/>
          <w:b w:val="0"/>
          <w:bCs w:val="0"/>
          <w:color w:val="auto"/>
          <w:spacing w:val="-12"/>
          <w:sz w:val="24"/>
          <w:szCs w:val="24"/>
        </w:rPr>
        <w:t>.1 在磋商截止时间之后，</w:t>
      </w:r>
      <w:r>
        <w:rPr>
          <w:rFonts w:hint="eastAsia" w:ascii="宋体" w:hAnsi="宋体" w:eastAsia="宋体" w:cs="宋体"/>
          <w:b w:val="0"/>
          <w:bCs w:val="0"/>
          <w:color w:val="auto"/>
          <w:spacing w:val="-12"/>
          <w:sz w:val="24"/>
          <w:szCs w:val="24"/>
          <w:lang w:eastAsia="zh-CN"/>
        </w:rPr>
        <w:t>投标供应商</w:t>
      </w:r>
      <w:r>
        <w:rPr>
          <w:rFonts w:hint="eastAsia" w:ascii="宋体" w:hAnsi="宋体" w:eastAsia="宋体" w:cs="宋体"/>
          <w:b w:val="0"/>
          <w:bCs w:val="0"/>
          <w:color w:val="auto"/>
          <w:spacing w:val="-12"/>
          <w:sz w:val="24"/>
          <w:szCs w:val="24"/>
        </w:rPr>
        <w:t>不得补充、修改电子化响应文件。</w:t>
      </w:r>
      <w:bookmarkStart w:id="126" w:name="_Toc16713_WPSOffice_Level3"/>
    </w:p>
    <w:p w14:paraId="2AF238F6">
      <w:pPr>
        <w:pStyle w:val="4"/>
        <w:keepNext w:val="0"/>
        <w:keepLines w:val="0"/>
        <w:pageBreakBefore w:val="0"/>
        <w:widowControl w:val="0"/>
        <w:numPr>
          <w:ilvl w:val="0"/>
          <w:numId w:val="0"/>
        </w:numPr>
        <w:kinsoku/>
        <w:wordWrap w:val="0"/>
        <w:overflowPunct/>
        <w:topLinePunct w:val="0"/>
        <w:bidi w:val="0"/>
        <w:adjustRightInd/>
        <w:snapToGrid/>
        <w:spacing w:line="480" w:lineRule="exact"/>
        <w:ind w:right="0" w:rightChars="0" w:firstLine="482" w:firstLineChars="200"/>
        <w:jc w:val="left"/>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13.</w:t>
      </w:r>
      <w:r>
        <w:rPr>
          <w:rFonts w:hint="eastAsia" w:ascii="宋体" w:hAnsi="宋体" w:eastAsia="宋体" w:cs="宋体"/>
          <w:b/>
          <w:bCs/>
          <w:color w:val="auto"/>
          <w:sz w:val="24"/>
          <w:szCs w:val="24"/>
        </w:rPr>
        <w:t>磋商报价</w:t>
      </w:r>
      <w:bookmarkEnd w:id="126"/>
    </w:p>
    <w:p w14:paraId="0605FC93">
      <w:pPr>
        <w:pStyle w:val="5"/>
        <w:keepNext w:val="0"/>
        <w:keepLines w:val="0"/>
        <w:pageBreakBefore w:val="0"/>
        <w:widowControl w:val="0"/>
        <w:kinsoku/>
        <w:wordWrap w:val="0"/>
        <w:overflowPunct/>
        <w:topLinePunct w:val="0"/>
        <w:bidi w:val="0"/>
        <w:adjustRightInd/>
        <w:snapToGrid/>
        <w:spacing w:line="480" w:lineRule="exact"/>
        <w:ind w:right="0" w:firstLine="432" w:firstLineChars="200"/>
        <w:jc w:val="left"/>
        <w:textAlignment w:val="auto"/>
        <w:rPr>
          <w:rFonts w:hint="eastAsia" w:ascii="宋体" w:hAnsi="宋体" w:eastAsia="宋体" w:cs="宋体"/>
          <w:b/>
          <w:bCs/>
          <w:color w:val="auto"/>
          <w:sz w:val="24"/>
          <w:szCs w:val="24"/>
        </w:rPr>
      </w:pPr>
      <w:r>
        <w:rPr>
          <w:rFonts w:hint="eastAsia" w:ascii="宋体" w:hAnsi="宋体" w:eastAsia="宋体" w:cs="宋体"/>
          <w:color w:val="auto"/>
          <w:spacing w:val="-12"/>
          <w:sz w:val="24"/>
          <w:szCs w:val="24"/>
          <w:lang w:val="en-US"/>
        </w:rPr>
        <w:t>1</w:t>
      </w:r>
      <w:r>
        <w:rPr>
          <w:rFonts w:hint="eastAsia" w:ascii="宋体" w:hAnsi="宋体" w:cs="宋体"/>
          <w:color w:val="auto"/>
          <w:spacing w:val="-12"/>
          <w:sz w:val="24"/>
          <w:szCs w:val="24"/>
          <w:lang w:val="en-US" w:eastAsia="zh-CN"/>
        </w:rPr>
        <w:t>3</w:t>
      </w:r>
      <w:r>
        <w:rPr>
          <w:rFonts w:hint="eastAsia" w:ascii="宋体" w:hAnsi="宋体" w:eastAsia="宋体" w:cs="宋体"/>
          <w:color w:val="auto"/>
          <w:spacing w:val="-12"/>
          <w:sz w:val="24"/>
          <w:szCs w:val="24"/>
          <w:lang w:val="en-US"/>
        </w:rPr>
        <w:t xml:space="preserve">.1 </w:t>
      </w:r>
      <w:r>
        <w:rPr>
          <w:rFonts w:hint="eastAsia" w:ascii="宋体" w:hAnsi="宋体" w:eastAsia="宋体" w:cs="宋体"/>
          <w:color w:val="auto"/>
          <w:spacing w:val="-12"/>
          <w:sz w:val="24"/>
          <w:szCs w:val="24"/>
        </w:rPr>
        <w:t>本次磋商采购的均须以</w:t>
      </w:r>
      <w:r>
        <w:rPr>
          <w:rFonts w:hint="eastAsia" w:ascii="宋体" w:hAnsi="宋体" w:eastAsia="宋体" w:cs="宋体"/>
          <w:color w:val="auto"/>
          <w:spacing w:val="-12"/>
          <w:sz w:val="24"/>
          <w:szCs w:val="24"/>
          <w:lang w:val="en-US" w:eastAsia="zh-CN"/>
        </w:rPr>
        <w:t>总价方式报价</w:t>
      </w:r>
      <w:r>
        <w:rPr>
          <w:rFonts w:hint="eastAsia" w:ascii="宋体" w:hAnsi="宋体" w:eastAsia="宋体" w:cs="宋体"/>
          <w:color w:val="auto"/>
          <w:spacing w:val="-12"/>
          <w:sz w:val="24"/>
          <w:szCs w:val="24"/>
        </w:rPr>
        <w:t>。</w:t>
      </w:r>
    </w:p>
    <w:p w14:paraId="73F5142A">
      <w:pPr>
        <w:pStyle w:val="5"/>
        <w:keepNext w:val="0"/>
        <w:keepLines w:val="0"/>
        <w:pageBreakBefore w:val="0"/>
        <w:widowControl w:val="0"/>
        <w:kinsoku/>
        <w:wordWrap w:val="0"/>
        <w:overflowPunct/>
        <w:topLinePunct w:val="0"/>
        <w:bidi w:val="0"/>
        <w:adjustRightInd/>
        <w:snapToGrid/>
        <w:spacing w:line="480" w:lineRule="exact"/>
        <w:ind w:right="0" w:firstLine="432" w:firstLineChars="200"/>
        <w:jc w:val="left"/>
        <w:textAlignment w:val="auto"/>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lang w:val="en-US"/>
        </w:rPr>
        <w:t>1</w:t>
      </w:r>
      <w:r>
        <w:rPr>
          <w:rFonts w:hint="eastAsia" w:ascii="宋体" w:hAnsi="宋体" w:cs="宋体"/>
          <w:color w:val="auto"/>
          <w:spacing w:val="-12"/>
          <w:sz w:val="24"/>
          <w:szCs w:val="24"/>
          <w:lang w:val="en-US" w:eastAsia="zh-CN"/>
        </w:rPr>
        <w:t>3</w:t>
      </w:r>
      <w:r>
        <w:rPr>
          <w:rFonts w:hint="eastAsia" w:ascii="宋体" w:hAnsi="宋体" w:eastAsia="宋体" w:cs="宋体"/>
          <w:color w:val="auto"/>
          <w:spacing w:val="-12"/>
          <w:sz w:val="24"/>
          <w:szCs w:val="24"/>
          <w:lang w:val="en-US"/>
        </w:rPr>
        <w:t xml:space="preserve">.2 </w:t>
      </w:r>
      <w:r>
        <w:rPr>
          <w:rFonts w:hint="eastAsia" w:ascii="宋体" w:hAnsi="宋体" w:eastAsia="宋体" w:cs="宋体"/>
          <w:color w:val="auto"/>
          <w:spacing w:val="-12"/>
          <w:sz w:val="24"/>
          <w:szCs w:val="24"/>
          <w:lang w:eastAsia="zh-CN"/>
        </w:rPr>
        <w:t>投标供应商</w:t>
      </w:r>
      <w:r>
        <w:rPr>
          <w:rFonts w:hint="eastAsia" w:ascii="宋体" w:hAnsi="宋体" w:eastAsia="宋体" w:cs="宋体"/>
          <w:color w:val="auto"/>
          <w:spacing w:val="-12"/>
          <w:sz w:val="24"/>
          <w:szCs w:val="24"/>
          <w:lang w:val="en-US"/>
        </w:rPr>
        <w:t>所报总价包含此项目中</w:t>
      </w:r>
      <w:r>
        <w:rPr>
          <w:rFonts w:hint="eastAsia" w:ascii="宋体" w:hAnsi="宋体" w:eastAsia="宋体" w:cs="宋体"/>
          <w:color w:val="auto"/>
          <w:spacing w:val="-12"/>
          <w:sz w:val="24"/>
          <w:szCs w:val="24"/>
          <w:lang w:val="en-US" w:eastAsia="zh-CN"/>
        </w:rPr>
        <w:t>所有服务内容</w:t>
      </w:r>
      <w:r>
        <w:rPr>
          <w:rFonts w:hint="eastAsia" w:ascii="宋体" w:hAnsi="宋体" w:eastAsia="宋体" w:cs="宋体"/>
          <w:color w:val="auto"/>
          <w:spacing w:val="-12"/>
          <w:sz w:val="24"/>
          <w:szCs w:val="24"/>
          <w:lang w:val="en-US"/>
        </w:rPr>
        <w:t>、税金、等所有费用</w:t>
      </w:r>
      <w:r>
        <w:rPr>
          <w:rFonts w:hint="eastAsia" w:ascii="宋体" w:hAnsi="宋体" w:eastAsia="宋体" w:cs="宋体"/>
          <w:color w:val="auto"/>
          <w:spacing w:val="-12"/>
          <w:sz w:val="24"/>
          <w:szCs w:val="24"/>
        </w:rPr>
        <w:t>。</w:t>
      </w:r>
    </w:p>
    <w:p w14:paraId="7F1D866E">
      <w:pPr>
        <w:pStyle w:val="5"/>
        <w:keepNext w:val="0"/>
        <w:keepLines w:val="0"/>
        <w:pageBreakBefore w:val="0"/>
        <w:widowControl w:val="0"/>
        <w:kinsoku/>
        <w:wordWrap w:val="0"/>
        <w:overflowPunct/>
        <w:topLinePunct w:val="0"/>
        <w:bidi w:val="0"/>
        <w:adjustRightInd/>
        <w:snapToGrid/>
        <w:spacing w:line="480" w:lineRule="exact"/>
        <w:ind w:right="0" w:firstLine="432" w:firstLineChars="200"/>
        <w:jc w:val="left"/>
        <w:textAlignment w:val="auto"/>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lang w:val="en-US"/>
        </w:rPr>
        <w:t>1</w:t>
      </w:r>
      <w:r>
        <w:rPr>
          <w:rFonts w:hint="eastAsia" w:ascii="宋体" w:hAnsi="宋体" w:cs="宋体"/>
          <w:color w:val="auto"/>
          <w:spacing w:val="-12"/>
          <w:sz w:val="24"/>
          <w:szCs w:val="24"/>
          <w:lang w:val="en-US" w:eastAsia="zh-CN"/>
        </w:rPr>
        <w:t>3</w:t>
      </w:r>
      <w:r>
        <w:rPr>
          <w:rFonts w:hint="eastAsia" w:ascii="宋体" w:hAnsi="宋体" w:eastAsia="宋体" w:cs="宋体"/>
          <w:color w:val="auto"/>
          <w:spacing w:val="-12"/>
          <w:sz w:val="24"/>
          <w:szCs w:val="24"/>
          <w:lang w:val="en-US"/>
        </w:rPr>
        <w:t xml:space="preserve">.3 </w:t>
      </w:r>
      <w:r>
        <w:rPr>
          <w:rFonts w:hint="eastAsia" w:ascii="宋体" w:hAnsi="宋体" w:eastAsia="宋体" w:cs="宋体"/>
          <w:color w:val="auto"/>
          <w:spacing w:val="-12"/>
          <w:sz w:val="24"/>
          <w:szCs w:val="24"/>
          <w:lang w:eastAsia="zh-CN"/>
        </w:rPr>
        <w:t>投标供应商</w:t>
      </w:r>
      <w:r>
        <w:rPr>
          <w:rFonts w:hint="eastAsia" w:ascii="宋体" w:hAnsi="宋体" w:eastAsia="宋体" w:cs="宋体"/>
          <w:color w:val="auto"/>
          <w:spacing w:val="-12"/>
          <w:sz w:val="24"/>
          <w:szCs w:val="24"/>
        </w:rPr>
        <w:t>应充分考虑市场风险和国家政策性风险系数，根据企业具体情况在合理的范围内自主报价，但不得低于企业实际成本。</w:t>
      </w:r>
    </w:p>
    <w:p w14:paraId="59257699">
      <w:pPr>
        <w:pStyle w:val="5"/>
        <w:keepNext w:val="0"/>
        <w:keepLines w:val="0"/>
        <w:pageBreakBefore w:val="0"/>
        <w:widowControl w:val="0"/>
        <w:kinsoku/>
        <w:wordWrap w:val="0"/>
        <w:overflowPunct/>
        <w:topLinePunct w:val="0"/>
        <w:bidi w:val="0"/>
        <w:adjustRightInd/>
        <w:snapToGrid/>
        <w:spacing w:line="480" w:lineRule="exact"/>
        <w:ind w:right="0" w:firstLine="432" w:firstLineChars="200"/>
        <w:jc w:val="left"/>
        <w:textAlignment w:val="auto"/>
        <w:rPr>
          <w:rFonts w:hint="eastAsia" w:ascii="宋体" w:hAnsi="宋体" w:eastAsia="宋体" w:cs="宋体"/>
          <w:color w:val="auto"/>
          <w:spacing w:val="-12"/>
          <w:sz w:val="24"/>
          <w:szCs w:val="24"/>
        </w:rPr>
      </w:pPr>
      <w:r>
        <w:rPr>
          <w:rFonts w:hint="eastAsia" w:ascii="宋体" w:hAnsi="宋体" w:cs="宋体"/>
          <w:color w:val="auto"/>
          <w:spacing w:val="-12"/>
          <w:sz w:val="24"/>
          <w:szCs w:val="24"/>
          <w:lang w:val="en-US" w:eastAsia="zh-CN"/>
        </w:rPr>
        <w:t>13</w:t>
      </w:r>
      <w:r>
        <w:rPr>
          <w:rFonts w:hint="eastAsia" w:ascii="宋体" w:hAnsi="宋体" w:eastAsia="宋体" w:cs="宋体"/>
          <w:color w:val="auto"/>
          <w:spacing w:val="-12"/>
          <w:sz w:val="24"/>
          <w:szCs w:val="24"/>
          <w:lang w:val="en-US"/>
        </w:rPr>
        <w:t xml:space="preserve">.4 </w:t>
      </w:r>
      <w:r>
        <w:rPr>
          <w:rFonts w:hint="eastAsia" w:ascii="宋体" w:hAnsi="宋体" w:eastAsia="宋体" w:cs="宋体"/>
          <w:color w:val="auto"/>
          <w:spacing w:val="-12"/>
          <w:sz w:val="24"/>
          <w:szCs w:val="24"/>
          <w:lang w:eastAsia="zh-CN"/>
        </w:rPr>
        <w:t>投标供应商</w:t>
      </w:r>
      <w:r>
        <w:rPr>
          <w:rFonts w:hint="eastAsia" w:ascii="宋体" w:hAnsi="宋体" w:eastAsia="宋体" w:cs="宋体"/>
          <w:color w:val="auto"/>
          <w:spacing w:val="-12"/>
          <w:sz w:val="24"/>
          <w:szCs w:val="24"/>
        </w:rPr>
        <w:t>的磋商报价应包含验收合格正式交付使用前所发生的一切费用，且</w:t>
      </w:r>
      <w:r>
        <w:rPr>
          <w:rFonts w:hint="eastAsia" w:ascii="宋体" w:hAnsi="宋体" w:eastAsia="宋体" w:cs="宋体"/>
          <w:color w:val="auto"/>
          <w:spacing w:val="-12"/>
          <w:sz w:val="24"/>
          <w:szCs w:val="24"/>
          <w:lang w:eastAsia="zh-CN"/>
        </w:rPr>
        <w:t>投标供应商</w:t>
      </w:r>
      <w:r>
        <w:rPr>
          <w:rFonts w:hint="eastAsia" w:ascii="宋体" w:hAnsi="宋体" w:eastAsia="宋体" w:cs="宋体"/>
          <w:color w:val="auto"/>
          <w:spacing w:val="-12"/>
          <w:sz w:val="24"/>
          <w:szCs w:val="24"/>
        </w:rPr>
        <w:t>只能提出一个报价，采购人不接受任何有选择的报价，最后报价不得超过采购预算</w:t>
      </w:r>
      <w:r>
        <w:rPr>
          <w:rFonts w:hint="eastAsia" w:ascii="宋体" w:hAnsi="宋体" w:cs="宋体"/>
          <w:color w:val="auto"/>
          <w:spacing w:val="-12"/>
          <w:sz w:val="24"/>
          <w:szCs w:val="24"/>
          <w:lang w:val="en-US" w:eastAsia="zh-CN"/>
        </w:rPr>
        <w:t>金额</w:t>
      </w:r>
      <w:r>
        <w:rPr>
          <w:rFonts w:hint="eastAsia" w:ascii="宋体" w:hAnsi="宋体" w:eastAsia="宋体" w:cs="宋体"/>
          <w:color w:val="auto"/>
          <w:spacing w:val="-12"/>
          <w:sz w:val="24"/>
          <w:szCs w:val="24"/>
        </w:rPr>
        <w:t>。</w:t>
      </w:r>
    </w:p>
    <w:p w14:paraId="6D5D08B5">
      <w:pPr>
        <w:pStyle w:val="5"/>
        <w:keepNext w:val="0"/>
        <w:keepLines w:val="0"/>
        <w:pageBreakBefore w:val="0"/>
        <w:widowControl w:val="0"/>
        <w:kinsoku/>
        <w:wordWrap w:val="0"/>
        <w:overflowPunct/>
        <w:topLinePunct w:val="0"/>
        <w:bidi w:val="0"/>
        <w:adjustRightInd/>
        <w:snapToGrid/>
        <w:spacing w:line="480" w:lineRule="exact"/>
        <w:ind w:right="0" w:firstLine="432" w:firstLineChars="200"/>
        <w:jc w:val="left"/>
        <w:textAlignment w:val="auto"/>
        <w:rPr>
          <w:rFonts w:hint="eastAsia" w:ascii="宋体" w:hAnsi="宋体" w:eastAsia="宋体" w:cs="宋体"/>
          <w:color w:val="auto"/>
          <w:spacing w:val="-12"/>
          <w:sz w:val="24"/>
          <w:szCs w:val="24"/>
        </w:rPr>
      </w:pPr>
      <w:r>
        <w:rPr>
          <w:rFonts w:hint="eastAsia" w:ascii="宋体" w:hAnsi="宋体" w:cs="宋体"/>
          <w:color w:val="auto"/>
          <w:spacing w:val="-12"/>
          <w:sz w:val="24"/>
          <w:szCs w:val="24"/>
          <w:lang w:val="en-US" w:eastAsia="zh-CN"/>
        </w:rPr>
        <w:t>13</w:t>
      </w:r>
      <w:r>
        <w:rPr>
          <w:rFonts w:hint="eastAsia" w:ascii="宋体" w:hAnsi="宋体" w:eastAsia="宋体" w:cs="宋体"/>
          <w:color w:val="auto"/>
          <w:spacing w:val="-12"/>
          <w:sz w:val="24"/>
          <w:szCs w:val="24"/>
          <w:lang w:val="en-US"/>
        </w:rPr>
        <w:t xml:space="preserve">.5 </w:t>
      </w:r>
      <w:r>
        <w:rPr>
          <w:rFonts w:hint="eastAsia" w:ascii="宋体" w:hAnsi="宋体" w:eastAsia="宋体" w:cs="宋体"/>
          <w:color w:val="auto"/>
          <w:spacing w:val="-12"/>
          <w:sz w:val="24"/>
          <w:szCs w:val="24"/>
          <w:lang w:eastAsia="zh-CN"/>
        </w:rPr>
        <w:t>投标供应商</w:t>
      </w:r>
      <w:r>
        <w:rPr>
          <w:rFonts w:hint="eastAsia" w:ascii="宋体" w:hAnsi="宋体" w:eastAsia="宋体" w:cs="宋体"/>
          <w:color w:val="auto"/>
          <w:spacing w:val="-12"/>
          <w:sz w:val="24"/>
          <w:szCs w:val="24"/>
        </w:rPr>
        <w:t>的报价明显低于其他报价，使得其报价可能低于其个别成本的，有可能影响</w:t>
      </w:r>
      <w:r>
        <w:rPr>
          <w:rFonts w:hint="eastAsia" w:ascii="宋体" w:hAnsi="宋体" w:eastAsia="宋体" w:cs="宋体"/>
          <w:color w:val="auto"/>
          <w:spacing w:val="-12"/>
          <w:sz w:val="24"/>
          <w:szCs w:val="24"/>
          <w:lang w:val="en-US" w:eastAsia="zh-CN"/>
        </w:rPr>
        <w:t>项目实施</w:t>
      </w:r>
      <w:r>
        <w:rPr>
          <w:rFonts w:hint="eastAsia" w:ascii="宋体" w:hAnsi="宋体" w:eastAsia="宋体" w:cs="宋体"/>
          <w:color w:val="auto"/>
          <w:spacing w:val="-12"/>
          <w:sz w:val="24"/>
          <w:szCs w:val="24"/>
        </w:rPr>
        <w:t>和不能诚信履约的，应当要求该报价人作出书面说明并提供相关证明材料。报价人不能合理说明或者不能提供相关证明材料的，由磋商小组认定该报价人以低于成本报价，其报价应作无效报价处理。</w:t>
      </w:r>
    </w:p>
    <w:p w14:paraId="55055F72">
      <w:pPr>
        <w:pStyle w:val="5"/>
        <w:keepNext w:val="0"/>
        <w:keepLines w:val="0"/>
        <w:pageBreakBefore w:val="0"/>
        <w:widowControl w:val="0"/>
        <w:kinsoku/>
        <w:wordWrap w:val="0"/>
        <w:overflowPunct/>
        <w:topLinePunct w:val="0"/>
        <w:bidi w:val="0"/>
        <w:adjustRightInd/>
        <w:snapToGrid/>
        <w:spacing w:line="480" w:lineRule="exact"/>
        <w:ind w:right="0" w:firstLine="432" w:firstLineChars="200"/>
        <w:jc w:val="left"/>
        <w:textAlignment w:val="auto"/>
        <w:rPr>
          <w:rFonts w:hint="eastAsia" w:ascii="宋体" w:hAnsi="宋体" w:eastAsia="宋体" w:cs="宋体"/>
          <w:b/>
          <w:bCs/>
          <w:color w:val="auto"/>
          <w:spacing w:val="-12"/>
          <w:sz w:val="24"/>
          <w:szCs w:val="24"/>
        </w:rPr>
      </w:pPr>
      <w:r>
        <w:rPr>
          <w:rFonts w:hint="eastAsia" w:ascii="宋体" w:hAnsi="宋体" w:cs="宋体"/>
          <w:color w:val="auto"/>
          <w:spacing w:val="-12"/>
          <w:sz w:val="24"/>
          <w:szCs w:val="24"/>
          <w:lang w:val="en-US" w:eastAsia="zh-CN"/>
        </w:rPr>
        <w:t>13</w:t>
      </w:r>
      <w:r>
        <w:rPr>
          <w:rFonts w:hint="eastAsia" w:ascii="宋体" w:hAnsi="宋体" w:eastAsia="宋体" w:cs="宋体"/>
          <w:color w:val="auto"/>
          <w:spacing w:val="-12"/>
          <w:sz w:val="24"/>
          <w:szCs w:val="24"/>
          <w:lang w:val="en-US"/>
        </w:rPr>
        <w:t>.6</w:t>
      </w:r>
      <w:r>
        <w:rPr>
          <w:rFonts w:hint="eastAsia" w:ascii="宋体" w:hAnsi="宋体" w:eastAsia="宋体" w:cs="宋体"/>
          <w:color w:val="auto"/>
          <w:spacing w:val="-12"/>
          <w:sz w:val="24"/>
          <w:szCs w:val="24"/>
          <w:lang w:val="en-US" w:eastAsia="zh-CN"/>
        </w:rPr>
        <w:t xml:space="preserve"> </w:t>
      </w:r>
      <w:r>
        <w:rPr>
          <w:rFonts w:hint="eastAsia" w:ascii="宋体" w:hAnsi="宋体" w:eastAsia="宋体" w:cs="宋体"/>
          <w:b w:val="0"/>
          <w:bCs w:val="0"/>
          <w:color w:val="auto"/>
          <w:spacing w:val="-12"/>
          <w:sz w:val="24"/>
          <w:szCs w:val="24"/>
        </w:rPr>
        <w:t>本次采购为竞争性磋商采购，允许二次报价。</w:t>
      </w:r>
      <w:bookmarkStart w:id="127" w:name="_Toc28583_WPSOffice_Level3"/>
    </w:p>
    <w:p w14:paraId="1A9B9804">
      <w:pPr>
        <w:pStyle w:val="5"/>
        <w:keepNext w:val="0"/>
        <w:keepLines w:val="0"/>
        <w:pageBreakBefore w:val="0"/>
        <w:widowControl w:val="0"/>
        <w:kinsoku/>
        <w:wordWrap w:val="0"/>
        <w:overflowPunct/>
        <w:topLinePunct w:val="0"/>
        <w:bidi w:val="0"/>
        <w:adjustRightInd/>
        <w:snapToGrid/>
        <w:spacing w:line="480" w:lineRule="exact"/>
        <w:ind w:right="0" w:firstLine="482" w:firstLineChars="200"/>
        <w:jc w:val="left"/>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14.</w:t>
      </w:r>
      <w:r>
        <w:rPr>
          <w:rFonts w:hint="eastAsia" w:ascii="宋体" w:hAnsi="宋体" w:eastAsia="宋体" w:cs="宋体"/>
          <w:b/>
          <w:bCs/>
          <w:color w:val="auto"/>
          <w:sz w:val="24"/>
          <w:szCs w:val="24"/>
          <w:lang w:eastAsia="zh-CN"/>
        </w:rPr>
        <w:t>投标供应商</w:t>
      </w:r>
      <w:r>
        <w:rPr>
          <w:rFonts w:hint="eastAsia" w:ascii="宋体" w:hAnsi="宋体" w:eastAsia="宋体" w:cs="宋体"/>
          <w:b/>
          <w:bCs/>
          <w:color w:val="auto"/>
          <w:sz w:val="24"/>
          <w:szCs w:val="24"/>
        </w:rPr>
        <w:t>资格的证明文件</w:t>
      </w:r>
      <w:bookmarkEnd w:id="127"/>
    </w:p>
    <w:p w14:paraId="63118078">
      <w:pPr>
        <w:pStyle w:val="5"/>
        <w:keepNext w:val="0"/>
        <w:keepLines w:val="0"/>
        <w:pageBreakBefore w:val="0"/>
        <w:widowControl w:val="0"/>
        <w:kinsoku/>
        <w:wordWrap w:val="0"/>
        <w:overflowPunct/>
        <w:topLinePunct w:val="0"/>
        <w:bidi w:val="0"/>
        <w:adjustRightInd/>
        <w:snapToGrid/>
        <w:spacing w:line="480" w:lineRule="exact"/>
        <w:ind w:right="0" w:firstLine="432" w:firstLineChars="200"/>
        <w:jc w:val="left"/>
        <w:textAlignment w:val="auto"/>
        <w:rPr>
          <w:rFonts w:hint="eastAsia" w:ascii="宋体" w:hAnsi="宋体" w:eastAsia="宋体" w:cs="宋体"/>
          <w:color w:val="auto"/>
          <w:spacing w:val="-12"/>
          <w:sz w:val="24"/>
          <w:szCs w:val="24"/>
        </w:rPr>
      </w:pPr>
      <w:r>
        <w:rPr>
          <w:rFonts w:hint="eastAsia" w:ascii="宋体" w:hAnsi="宋体" w:cs="宋体"/>
          <w:color w:val="auto"/>
          <w:spacing w:val="-12"/>
          <w:sz w:val="24"/>
          <w:szCs w:val="24"/>
          <w:lang w:val="en-US" w:eastAsia="zh-CN"/>
        </w:rPr>
        <w:t>14</w:t>
      </w:r>
      <w:r>
        <w:rPr>
          <w:rFonts w:hint="eastAsia" w:ascii="宋体" w:hAnsi="宋体" w:eastAsia="宋体" w:cs="宋体"/>
          <w:color w:val="auto"/>
          <w:spacing w:val="-12"/>
          <w:sz w:val="24"/>
          <w:szCs w:val="24"/>
          <w:lang w:val="en-US"/>
        </w:rPr>
        <w:t>.1</w:t>
      </w:r>
      <w:r>
        <w:rPr>
          <w:rFonts w:hint="eastAsia" w:ascii="宋体" w:hAnsi="宋体" w:eastAsia="宋体" w:cs="宋体"/>
          <w:color w:val="auto"/>
          <w:spacing w:val="-12"/>
          <w:sz w:val="24"/>
          <w:szCs w:val="24"/>
        </w:rPr>
        <w:t>证明</w:t>
      </w:r>
      <w:r>
        <w:rPr>
          <w:rFonts w:hint="eastAsia" w:ascii="宋体" w:hAnsi="宋体" w:eastAsia="宋体" w:cs="宋体"/>
          <w:color w:val="auto"/>
          <w:spacing w:val="-12"/>
          <w:sz w:val="24"/>
          <w:szCs w:val="24"/>
          <w:lang w:eastAsia="zh-CN"/>
        </w:rPr>
        <w:t>投标供应商</w:t>
      </w:r>
      <w:r>
        <w:rPr>
          <w:rFonts w:hint="eastAsia" w:ascii="宋体" w:hAnsi="宋体" w:eastAsia="宋体" w:cs="宋体"/>
          <w:color w:val="auto"/>
          <w:spacing w:val="-12"/>
          <w:sz w:val="24"/>
          <w:szCs w:val="24"/>
        </w:rPr>
        <w:t>是有资格参加磋商的。</w:t>
      </w:r>
    </w:p>
    <w:p w14:paraId="58996768">
      <w:pPr>
        <w:pStyle w:val="5"/>
        <w:keepNext w:val="0"/>
        <w:keepLines w:val="0"/>
        <w:pageBreakBefore w:val="0"/>
        <w:widowControl w:val="0"/>
        <w:kinsoku/>
        <w:wordWrap w:val="0"/>
        <w:overflowPunct/>
        <w:topLinePunct w:val="0"/>
        <w:bidi w:val="0"/>
        <w:adjustRightInd/>
        <w:snapToGrid/>
        <w:spacing w:line="480" w:lineRule="exact"/>
        <w:ind w:right="0" w:firstLine="432" w:firstLineChars="200"/>
        <w:jc w:val="left"/>
        <w:textAlignment w:val="auto"/>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lang w:val="en-US"/>
        </w:rPr>
        <w:t>1</w:t>
      </w:r>
      <w:r>
        <w:rPr>
          <w:rFonts w:hint="eastAsia" w:ascii="宋体" w:hAnsi="宋体" w:cs="宋体"/>
          <w:color w:val="auto"/>
          <w:spacing w:val="-12"/>
          <w:sz w:val="24"/>
          <w:szCs w:val="24"/>
          <w:lang w:val="en-US" w:eastAsia="zh-CN"/>
        </w:rPr>
        <w:t>4</w:t>
      </w:r>
      <w:r>
        <w:rPr>
          <w:rFonts w:hint="eastAsia" w:ascii="宋体" w:hAnsi="宋体" w:eastAsia="宋体" w:cs="宋体"/>
          <w:color w:val="auto"/>
          <w:spacing w:val="-12"/>
          <w:sz w:val="24"/>
          <w:szCs w:val="24"/>
          <w:lang w:val="en-US"/>
        </w:rPr>
        <w:t>.2</w:t>
      </w:r>
      <w:r>
        <w:rPr>
          <w:rFonts w:hint="eastAsia" w:ascii="宋体" w:hAnsi="宋体" w:eastAsia="宋体" w:cs="宋体"/>
          <w:color w:val="auto"/>
          <w:spacing w:val="-12"/>
          <w:sz w:val="24"/>
          <w:szCs w:val="24"/>
        </w:rPr>
        <w:t>证明</w:t>
      </w:r>
      <w:r>
        <w:rPr>
          <w:rFonts w:hint="eastAsia" w:ascii="宋体" w:hAnsi="宋体" w:eastAsia="宋体" w:cs="宋体"/>
          <w:color w:val="auto"/>
          <w:spacing w:val="-12"/>
          <w:sz w:val="24"/>
          <w:szCs w:val="24"/>
          <w:lang w:eastAsia="zh-CN"/>
        </w:rPr>
        <w:t>投标供应商</w:t>
      </w:r>
      <w:r>
        <w:rPr>
          <w:rFonts w:hint="eastAsia" w:ascii="宋体" w:hAnsi="宋体" w:eastAsia="宋体" w:cs="宋体"/>
          <w:color w:val="auto"/>
          <w:spacing w:val="-12"/>
          <w:sz w:val="24"/>
          <w:szCs w:val="24"/>
        </w:rPr>
        <w:t>有能力履行竞争性磋商文件中合同条款和技术要求规定的由</w:t>
      </w:r>
      <w:r>
        <w:rPr>
          <w:rFonts w:hint="eastAsia" w:ascii="宋体" w:hAnsi="宋体" w:eastAsia="宋体" w:cs="宋体"/>
          <w:color w:val="auto"/>
          <w:spacing w:val="-12"/>
          <w:sz w:val="24"/>
          <w:szCs w:val="24"/>
          <w:lang w:eastAsia="zh-CN"/>
        </w:rPr>
        <w:t>投标供应商</w:t>
      </w:r>
      <w:r>
        <w:rPr>
          <w:rFonts w:hint="eastAsia" w:ascii="宋体" w:hAnsi="宋体" w:eastAsia="宋体" w:cs="宋体"/>
          <w:color w:val="auto"/>
          <w:spacing w:val="-12"/>
          <w:sz w:val="24"/>
          <w:szCs w:val="24"/>
        </w:rPr>
        <w:t>提供的服务等义务。</w:t>
      </w:r>
    </w:p>
    <w:p w14:paraId="7E77A48E">
      <w:pPr>
        <w:pStyle w:val="4"/>
        <w:keepNext w:val="0"/>
        <w:keepLines w:val="0"/>
        <w:pageBreakBefore w:val="0"/>
        <w:widowControl w:val="0"/>
        <w:kinsoku/>
        <w:wordWrap w:val="0"/>
        <w:overflowPunct/>
        <w:topLinePunct w:val="0"/>
        <w:bidi w:val="0"/>
        <w:adjustRightInd/>
        <w:snapToGrid/>
        <w:spacing w:line="480" w:lineRule="exact"/>
        <w:ind w:left="0" w:leftChars="0" w:right="0" w:firstLine="482" w:firstLineChars="200"/>
        <w:jc w:val="left"/>
        <w:textAlignment w:val="auto"/>
        <w:rPr>
          <w:rFonts w:hint="eastAsia" w:ascii="宋体" w:hAnsi="宋体" w:eastAsia="宋体" w:cs="宋体"/>
          <w:color w:val="auto"/>
          <w:sz w:val="24"/>
          <w:szCs w:val="24"/>
        </w:rPr>
      </w:pPr>
      <w:bookmarkStart w:id="128" w:name="_Toc29721_WPSOffice_Level3"/>
      <w:r>
        <w:rPr>
          <w:rFonts w:hint="eastAsia" w:ascii="宋体" w:hAnsi="宋体" w:eastAsia="宋体" w:cs="宋体"/>
          <w:color w:val="auto"/>
          <w:sz w:val="24"/>
          <w:szCs w:val="24"/>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磋商保证金</w:t>
      </w:r>
      <w:bookmarkEnd w:id="128"/>
    </w:p>
    <w:p w14:paraId="14C35558">
      <w:pPr>
        <w:pStyle w:val="5"/>
        <w:keepNext w:val="0"/>
        <w:keepLines w:val="0"/>
        <w:pageBreakBefore w:val="0"/>
        <w:widowControl w:val="0"/>
        <w:kinsoku/>
        <w:wordWrap w:val="0"/>
        <w:overflowPunct/>
        <w:topLinePunct w:val="0"/>
        <w:bidi w:val="0"/>
        <w:adjustRightInd/>
        <w:snapToGrid/>
        <w:spacing w:line="480" w:lineRule="exact"/>
        <w:ind w:right="0" w:firstLine="432" w:firstLineChars="200"/>
        <w:jc w:val="left"/>
        <w:textAlignment w:val="auto"/>
        <w:rPr>
          <w:rFonts w:hint="eastAsia" w:ascii="宋体" w:hAnsi="宋体" w:eastAsia="宋体" w:cs="宋体"/>
          <w:color w:val="auto"/>
          <w:spacing w:val="-12"/>
          <w:sz w:val="24"/>
          <w:szCs w:val="24"/>
          <w:lang w:val="en-US" w:eastAsia="zh-CN"/>
        </w:rPr>
      </w:pPr>
      <w:bookmarkStart w:id="129" w:name="_Toc26640_WPSOffice_Level3"/>
      <w:r>
        <w:rPr>
          <w:rFonts w:hint="eastAsia" w:ascii="宋体" w:hAnsi="宋体" w:eastAsia="宋体" w:cs="宋体"/>
          <w:color w:val="auto"/>
          <w:spacing w:val="-12"/>
          <w:sz w:val="24"/>
          <w:szCs w:val="24"/>
          <w:lang w:val="en-US"/>
        </w:rPr>
        <w:t>根据《河南省财政厅关于优化政府采购营商环境有关问题的通知》（豫财购【2019】4号）第6条的规定，本项目磋商保证金不再收取</w:t>
      </w:r>
      <w:r>
        <w:rPr>
          <w:rFonts w:hint="eastAsia" w:ascii="宋体" w:hAnsi="宋体" w:eastAsia="宋体" w:cs="宋体"/>
          <w:color w:val="auto"/>
          <w:spacing w:val="-12"/>
          <w:sz w:val="24"/>
          <w:szCs w:val="24"/>
          <w:lang w:val="en-US" w:eastAsia="zh-CN"/>
        </w:rPr>
        <w:t>。</w:t>
      </w:r>
    </w:p>
    <w:p w14:paraId="4AA7311D">
      <w:pPr>
        <w:pStyle w:val="4"/>
        <w:keepNext w:val="0"/>
        <w:keepLines w:val="0"/>
        <w:pageBreakBefore w:val="0"/>
        <w:widowControl w:val="0"/>
        <w:kinsoku/>
        <w:wordWrap w:val="0"/>
        <w:overflowPunct/>
        <w:topLinePunct w:val="0"/>
        <w:bidi w:val="0"/>
        <w:adjustRightInd/>
        <w:snapToGrid/>
        <w:spacing w:line="480" w:lineRule="exact"/>
        <w:ind w:left="0" w:leftChars="0" w:right="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磋商响应文件有效期</w:t>
      </w:r>
      <w:bookmarkEnd w:id="129"/>
    </w:p>
    <w:p w14:paraId="314CC07C">
      <w:pPr>
        <w:pStyle w:val="25"/>
        <w:keepNext w:val="0"/>
        <w:keepLines w:val="0"/>
        <w:pageBreakBefore w:val="0"/>
        <w:widowControl w:val="0"/>
        <w:numPr>
          <w:ilvl w:val="0"/>
          <w:numId w:val="0"/>
        </w:numPr>
        <w:tabs>
          <w:tab w:val="left" w:pos="128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 xml:space="preserve">.1 </w:t>
      </w:r>
      <w:r>
        <w:rPr>
          <w:rFonts w:hint="eastAsia" w:ascii="宋体" w:hAnsi="宋体" w:eastAsia="宋体" w:cs="宋体"/>
          <w:color w:val="auto"/>
          <w:sz w:val="24"/>
          <w:szCs w:val="24"/>
        </w:rPr>
        <w:t>响应性文件从首次递交竞争性磋商响应文件截止时间之日起开始生效，磋商有</w:t>
      </w:r>
      <w:r>
        <w:rPr>
          <w:rFonts w:hint="eastAsia" w:ascii="宋体" w:hAnsi="宋体" w:eastAsia="宋体" w:cs="宋体"/>
          <w:color w:val="auto"/>
          <w:spacing w:val="-15"/>
          <w:sz w:val="24"/>
          <w:szCs w:val="24"/>
        </w:rPr>
        <w:t>效期为</w:t>
      </w:r>
      <w:r>
        <w:rPr>
          <w:rFonts w:hint="eastAsia" w:ascii="宋体" w:hAnsi="宋体" w:eastAsia="宋体" w:cs="宋体"/>
          <w:color w:val="auto"/>
          <w:spacing w:val="-15"/>
          <w:sz w:val="24"/>
          <w:szCs w:val="24"/>
          <w:lang w:val="en-US" w:eastAsia="zh-CN"/>
        </w:rPr>
        <w:t>60</w:t>
      </w:r>
      <w:r>
        <w:rPr>
          <w:rFonts w:hint="eastAsia" w:ascii="宋体" w:hAnsi="宋体" w:eastAsia="宋体" w:cs="宋体"/>
          <w:color w:val="auto"/>
          <w:spacing w:val="-8"/>
          <w:sz w:val="24"/>
          <w:szCs w:val="24"/>
        </w:rPr>
        <w:t>日历天，有效期短于此规定的响应文件将被视为无效文件。</w:t>
      </w:r>
    </w:p>
    <w:p w14:paraId="61F3A6BC">
      <w:pPr>
        <w:pStyle w:val="25"/>
        <w:keepNext w:val="0"/>
        <w:keepLines w:val="0"/>
        <w:pageBreakBefore w:val="0"/>
        <w:widowControl w:val="0"/>
        <w:numPr>
          <w:ilvl w:val="0"/>
          <w:numId w:val="0"/>
        </w:numPr>
        <w:tabs>
          <w:tab w:val="left" w:pos="128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 xml:space="preserve">.2 </w:t>
      </w:r>
      <w:r>
        <w:rPr>
          <w:rFonts w:hint="eastAsia" w:ascii="宋体" w:hAnsi="宋体" w:eastAsia="宋体" w:cs="宋体"/>
          <w:color w:val="auto"/>
          <w:sz w:val="24"/>
          <w:szCs w:val="24"/>
        </w:rPr>
        <w:t>特殊情况下，采购人可于磋商响应文件有效期满之前要求</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同意延长有效期，要求与答复均为书面形式。</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可以拒绝上述要求，对于同意该要求的</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，不允许其修改磋商响应文件。</w:t>
      </w:r>
    </w:p>
    <w:p w14:paraId="0650386E">
      <w:pPr>
        <w:pStyle w:val="4"/>
        <w:keepNext w:val="0"/>
        <w:keepLines w:val="0"/>
        <w:pageBreakBefore w:val="0"/>
        <w:widowControl w:val="0"/>
        <w:kinsoku/>
        <w:wordWrap w:val="0"/>
        <w:overflowPunct/>
        <w:topLinePunct w:val="0"/>
        <w:bidi w:val="0"/>
        <w:adjustRightInd/>
        <w:snapToGrid/>
        <w:spacing w:line="480" w:lineRule="exact"/>
        <w:ind w:left="0" w:leftChars="0" w:right="0" w:firstLine="482" w:firstLineChars="200"/>
        <w:jc w:val="left"/>
        <w:textAlignment w:val="auto"/>
        <w:rPr>
          <w:rFonts w:hint="eastAsia" w:ascii="宋体" w:hAnsi="宋体" w:eastAsia="宋体" w:cs="宋体"/>
          <w:color w:val="auto"/>
          <w:sz w:val="24"/>
          <w:szCs w:val="24"/>
        </w:rPr>
      </w:pPr>
      <w:bookmarkStart w:id="130" w:name="_Toc14449_WPSOffice_Level3"/>
      <w:r>
        <w:rPr>
          <w:rFonts w:hint="eastAsia" w:ascii="宋体" w:hAnsi="宋体" w:eastAsia="宋体" w:cs="宋体"/>
          <w:color w:val="auto"/>
          <w:sz w:val="24"/>
          <w:szCs w:val="24"/>
        </w:rPr>
        <w:t>1</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磋商</w:t>
      </w:r>
      <w:bookmarkEnd w:id="130"/>
    </w:p>
    <w:p w14:paraId="02B21D95">
      <w:pPr>
        <w:pStyle w:val="4"/>
        <w:keepNext w:val="0"/>
        <w:keepLines w:val="0"/>
        <w:pageBreakBefore w:val="0"/>
        <w:widowControl w:val="0"/>
        <w:kinsoku/>
        <w:wordWrap w:val="0"/>
        <w:overflowPunct/>
        <w:topLinePunct w:val="0"/>
        <w:bidi w:val="0"/>
        <w:adjustRightInd/>
        <w:snapToGrid/>
        <w:spacing w:line="480" w:lineRule="exact"/>
        <w:ind w:left="0" w:leftChars="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7</w:t>
      </w:r>
      <w:r>
        <w:rPr>
          <w:rFonts w:hint="eastAsia" w:ascii="宋体" w:hAnsi="宋体" w:eastAsia="宋体" w:cs="宋体"/>
          <w:b w:val="0"/>
          <w:bCs w:val="0"/>
          <w:color w:val="auto"/>
          <w:sz w:val="24"/>
          <w:szCs w:val="24"/>
          <w:lang w:val="en-US" w:eastAsia="zh-CN"/>
        </w:rPr>
        <w:t xml:space="preserve">.1 </w:t>
      </w:r>
      <w:r>
        <w:rPr>
          <w:rFonts w:hint="eastAsia" w:ascii="宋体" w:hAnsi="宋体" w:eastAsia="宋体" w:cs="宋体"/>
          <w:b w:val="0"/>
          <w:bCs w:val="0"/>
          <w:color w:val="auto"/>
          <w:sz w:val="24"/>
          <w:szCs w:val="24"/>
        </w:rPr>
        <w:t>采购人按本须知前附表规定的时间和地点磋商。</w:t>
      </w:r>
    </w:p>
    <w:p w14:paraId="6A5538A7">
      <w:pPr>
        <w:pStyle w:val="4"/>
        <w:keepNext w:val="0"/>
        <w:keepLines w:val="0"/>
        <w:pageBreakBefore w:val="0"/>
        <w:widowControl w:val="0"/>
        <w:kinsoku/>
        <w:wordWrap w:val="0"/>
        <w:overflowPunct/>
        <w:topLinePunct w:val="0"/>
        <w:bidi w:val="0"/>
        <w:adjustRightInd/>
        <w:snapToGrid/>
        <w:spacing w:line="480" w:lineRule="exact"/>
        <w:ind w:left="0" w:leftChars="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7</w:t>
      </w:r>
      <w:r>
        <w:rPr>
          <w:rFonts w:hint="eastAsia" w:ascii="宋体" w:hAnsi="宋体" w:eastAsia="宋体" w:cs="宋体"/>
          <w:b w:val="0"/>
          <w:bCs w:val="0"/>
          <w:color w:val="auto"/>
          <w:sz w:val="24"/>
          <w:szCs w:val="24"/>
          <w:lang w:val="en-US" w:eastAsia="zh-CN"/>
        </w:rPr>
        <w:t xml:space="preserve">.2 </w:t>
      </w:r>
      <w:r>
        <w:rPr>
          <w:rFonts w:hint="eastAsia" w:ascii="宋体" w:hAnsi="宋体" w:eastAsia="宋体" w:cs="宋体"/>
          <w:b w:val="0"/>
          <w:bCs w:val="0"/>
          <w:color w:val="auto"/>
          <w:sz w:val="24"/>
          <w:szCs w:val="24"/>
        </w:rPr>
        <w:t>磋商会议由采购代理机构主持；</w:t>
      </w:r>
    </w:p>
    <w:p w14:paraId="594BC92F">
      <w:pPr>
        <w:pStyle w:val="4"/>
        <w:keepNext w:val="0"/>
        <w:keepLines w:val="0"/>
        <w:pageBreakBefore w:val="0"/>
        <w:widowControl w:val="0"/>
        <w:kinsoku/>
        <w:wordWrap w:val="0"/>
        <w:overflowPunct/>
        <w:topLinePunct w:val="0"/>
        <w:bidi w:val="0"/>
        <w:adjustRightInd/>
        <w:snapToGrid/>
        <w:spacing w:line="480" w:lineRule="exact"/>
        <w:ind w:left="0" w:leftChars="0" w:right="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17.3 宣布磋商会议纪律；</w:t>
      </w:r>
    </w:p>
    <w:p w14:paraId="15932B06">
      <w:pPr>
        <w:pStyle w:val="4"/>
        <w:keepNext w:val="0"/>
        <w:keepLines w:val="0"/>
        <w:pageBreakBefore w:val="0"/>
        <w:widowControl w:val="0"/>
        <w:kinsoku/>
        <w:wordWrap w:val="0"/>
        <w:overflowPunct/>
        <w:topLinePunct w:val="0"/>
        <w:bidi w:val="0"/>
        <w:adjustRightInd/>
        <w:snapToGrid/>
        <w:spacing w:line="480" w:lineRule="exact"/>
        <w:ind w:left="0" w:leftChars="0" w:right="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17.4 磋商时，电子招标投标交易平台自动提取所有电子化磋商响应文件，按时在线解密；</w:t>
      </w:r>
    </w:p>
    <w:p w14:paraId="79756CC6">
      <w:pPr>
        <w:pStyle w:val="4"/>
        <w:keepNext w:val="0"/>
        <w:keepLines w:val="0"/>
        <w:pageBreakBefore w:val="0"/>
        <w:widowControl w:val="0"/>
        <w:kinsoku/>
        <w:wordWrap w:val="0"/>
        <w:overflowPunct/>
        <w:topLinePunct w:val="0"/>
        <w:bidi w:val="0"/>
        <w:adjustRightInd/>
        <w:snapToGrid/>
        <w:spacing w:line="480" w:lineRule="exact"/>
        <w:ind w:left="0" w:leftChars="0" w:right="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17.5 电子化响应文件的有效性</w:t>
      </w:r>
    </w:p>
    <w:p w14:paraId="4BA0ECEE">
      <w:pPr>
        <w:pStyle w:val="4"/>
        <w:keepNext w:val="0"/>
        <w:keepLines w:val="0"/>
        <w:pageBreakBefore w:val="0"/>
        <w:widowControl w:val="0"/>
        <w:kinsoku/>
        <w:wordWrap w:val="0"/>
        <w:overflowPunct/>
        <w:topLinePunct w:val="0"/>
        <w:bidi w:val="0"/>
        <w:adjustRightInd/>
        <w:snapToGrid/>
        <w:spacing w:line="480" w:lineRule="exact"/>
        <w:ind w:left="0" w:leftChars="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17.5.1 电子化响应文件有下列情形的为无效电子化响应文件，采购人不</w:t>
      </w:r>
      <w:r>
        <w:rPr>
          <w:rFonts w:hint="eastAsia" w:ascii="宋体" w:hAnsi="宋体" w:eastAsia="宋体" w:cs="宋体"/>
          <w:b w:val="0"/>
          <w:bCs w:val="0"/>
          <w:color w:val="auto"/>
          <w:sz w:val="24"/>
          <w:szCs w:val="24"/>
        </w:rPr>
        <w:t>予受理：因</w:t>
      </w:r>
      <w:r>
        <w:rPr>
          <w:rFonts w:hint="eastAsia" w:ascii="宋体" w:hAnsi="宋体" w:eastAsia="宋体" w:cs="宋体"/>
          <w:b w:val="0"/>
          <w:bCs w:val="0"/>
          <w:color w:val="auto"/>
          <w:sz w:val="24"/>
          <w:szCs w:val="24"/>
          <w:lang w:eastAsia="zh-CN"/>
        </w:rPr>
        <w:t>投标供应商</w:t>
      </w:r>
      <w:r>
        <w:rPr>
          <w:rFonts w:hint="eastAsia" w:ascii="宋体" w:hAnsi="宋体" w:eastAsia="宋体" w:cs="宋体"/>
          <w:b w:val="0"/>
          <w:bCs w:val="0"/>
          <w:color w:val="auto"/>
          <w:sz w:val="24"/>
          <w:szCs w:val="24"/>
        </w:rPr>
        <w:t>原因造成响应文件未解密的，视为撤销其响应文件；因</w:t>
      </w:r>
      <w:r>
        <w:rPr>
          <w:rFonts w:hint="eastAsia" w:ascii="宋体" w:hAnsi="宋体" w:eastAsia="宋体" w:cs="宋体"/>
          <w:b w:val="0"/>
          <w:bCs w:val="0"/>
          <w:color w:val="auto"/>
          <w:sz w:val="24"/>
          <w:szCs w:val="24"/>
          <w:lang w:eastAsia="zh-CN"/>
        </w:rPr>
        <w:t>投标供应商</w:t>
      </w:r>
      <w:r>
        <w:rPr>
          <w:rFonts w:hint="eastAsia" w:ascii="宋体" w:hAnsi="宋体" w:eastAsia="宋体" w:cs="宋体"/>
          <w:b w:val="0"/>
          <w:bCs w:val="0"/>
          <w:color w:val="auto"/>
          <w:sz w:val="24"/>
          <w:szCs w:val="24"/>
        </w:rPr>
        <w:t>之外的原因造成电子化响应文件未解密的，视为撤回其响应文件，</w:t>
      </w:r>
      <w:r>
        <w:rPr>
          <w:rFonts w:hint="eastAsia" w:ascii="宋体" w:hAnsi="宋体" w:eastAsia="宋体" w:cs="宋体"/>
          <w:b w:val="0"/>
          <w:bCs w:val="0"/>
          <w:color w:val="auto"/>
          <w:sz w:val="24"/>
          <w:szCs w:val="24"/>
          <w:lang w:eastAsia="zh-CN"/>
        </w:rPr>
        <w:t>投标供应商</w:t>
      </w:r>
      <w:r>
        <w:rPr>
          <w:rFonts w:hint="eastAsia" w:ascii="宋体" w:hAnsi="宋体" w:eastAsia="宋体" w:cs="宋体"/>
          <w:b w:val="0"/>
          <w:bCs w:val="0"/>
          <w:color w:val="auto"/>
          <w:sz w:val="24"/>
          <w:szCs w:val="24"/>
        </w:rPr>
        <w:t>有权要求责任方赔偿因此遭受的直接损失。部分电子化响应文件未解密的，其他电子化磋商可以继续进行。</w:t>
      </w:r>
    </w:p>
    <w:p w14:paraId="6E640D27">
      <w:pPr>
        <w:pStyle w:val="4"/>
        <w:keepNext w:val="0"/>
        <w:keepLines w:val="0"/>
        <w:pageBreakBefore w:val="0"/>
        <w:widowControl w:val="0"/>
        <w:kinsoku/>
        <w:wordWrap w:val="0"/>
        <w:overflowPunct/>
        <w:topLinePunct w:val="0"/>
        <w:bidi w:val="0"/>
        <w:adjustRightInd/>
        <w:snapToGrid/>
        <w:spacing w:line="480" w:lineRule="exact"/>
        <w:ind w:left="0" w:leftChars="0" w:right="0" w:firstLine="482" w:firstLineChars="200"/>
        <w:jc w:val="left"/>
        <w:textAlignment w:val="auto"/>
        <w:rPr>
          <w:rFonts w:hint="eastAsia" w:ascii="宋体" w:hAnsi="宋体" w:eastAsia="宋体" w:cs="宋体"/>
          <w:color w:val="auto"/>
          <w:sz w:val="24"/>
          <w:szCs w:val="24"/>
        </w:rPr>
      </w:pPr>
      <w:bookmarkStart w:id="131" w:name="_Toc29167_WPSOffice_Level3"/>
      <w:r>
        <w:rPr>
          <w:rFonts w:hint="eastAsia" w:ascii="宋体" w:hAnsi="宋体" w:cs="宋体"/>
          <w:color w:val="auto"/>
          <w:sz w:val="24"/>
          <w:szCs w:val="24"/>
          <w:lang w:val="en-US" w:eastAsia="zh-CN"/>
        </w:rPr>
        <w:t>18.</w:t>
      </w:r>
      <w:r>
        <w:rPr>
          <w:rFonts w:hint="eastAsia" w:ascii="宋体" w:hAnsi="宋体" w:eastAsia="宋体" w:cs="宋体"/>
          <w:color w:val="auto"/>
          <w:sz w:val="24"/>
          <w:szCs w:val="24"/>
        </w:rPr>
        <w:t>磋商小组</w:t>
      </w:r>
      <w:bookmarkEnd w:id="131"/>
    </w:p>
    <w:p w14:paraId="70C400A7">
      <w:pPr>
        <w:pStyle w:val="25"/>
        <w:keepNext w:val="0"/>
        <w:keepLines w:val="0"/>
        <w:pageBreakBefore w:val="0"/>
        <w:widowControl w:val="0"/>
        <w:numPr>
          <w:ilvl w:val="0"/>
          <w:numId w:val="0"/>
        </w:numPr>
        <w:tabs>
          <w:tab w:val="left" w:pos="1281"/>
        </w:tabs>
        <w:kinsoku/>
        <w:wordWrap w:val="0"/>
        <w:overflowPunct/>
        <w:topLinePunct w:val="0"/>
        <w:bidi w:val="0"/>
        <w:adjustRightInd/>
        <w:snapToGrid/>
        <w:spacing w:line="480" w:lineRule="exact"/>
        <w:ind w:right="0" w:rightChars="0" w:firstLine="444" w:firstLineChars="200"/>
        <w:jc w:val="left"/>
        <w:textAlignment w:val="auto"/>
        <w:rPr>
          <w:rFonts w:hint="eastAsia" w:ascii="宋体" w:hAnsi="宋体" w:eastAsia="宋体" w:cs="宋体"/>
          <w:color w:val="auto"/>
          <w:sz w:val="24"/>
          <w:szCs w:val="24"/>
        </w:rPr>
      </w:pPr>
      <w:r>
        <w:rPr>
          <w:rFonts w:hint="eastAsia" w:ascii="宋体" w:hAnsi="宋体" w:cs="宋体"/>
          <w:color w:val="auto"/>
          <w:spacing w:val="-9"/>
          <w:sz w:val="24"/>
          <w:szCs w:val="24"/>
          <w:lang w:val="en-US" w:eastAsia="zh-CN"/>
        </w:rPr>
        <w:t xml:space="preserve">18.1 </w:t>
      </w:r>
      <w:r>
        <w:rPr>
          <w:rFonts w:hint="eastAsia" w:ascii="宋体" w:hAnsi="宋体" w:eastAsia="宋体" w:cs="宋体"/>
          <w:color w:val="auto"/>
          <w:spacing w:val="-9"/>
          <w:sz w:val="24"/>
          <w:szCs w:val="24"/>
        </w:rPr>
        <w:t xml:space="preserve">磋商小组由 </w:t>
      </w:r>
      <w:r>
        <w:rPr>
          <w:rFonts w:hint="eastAsia" w:ascii="宋体" w:hAnsi="宋体" w:eastAsia="宋体" w:cs="宋体"/>
          <w:color w:val="auto"/>
          <w:sz w:val="24"/>
          <w:szCs w:val="24"/>
        </w:rPr>
        <w:t>3</w:t>
      </w:r>
      <w:r>
        <w:rPr>
          <w:rFonts w:hint="eastAsia" w:ascii="宋体" w:hAnsi="宋体" w:eastAsia="宋体" w:cs="宋体"/>
          <w:color w:val="auto"/>
          <w:spacing w:val="-12"/>
          <w:sz w:val="24"/>
          <w:szCs w:val="24"/>
        </w:rPr>
        <w:t xml:space="preserve"> 人构成：采购人代表 </w:t>
      </w:r>
      <w:r>
        <w:rPr>
          <w:rFonts w:hint="eastAsia" w:ascii="宋体" w:hAnsi="宋体" w:eastAsia="宋体" w:cs="宋体"/>
          <w:color w:val="auto"/>
          <w:sz w:val="24"/>
          <w:szCs w:val="24"/>
        </w:rPr>
        <w:t>1</w:t>
      </w:r>
      <w:r>
        <w:rPr>
          <w:rFonts w:hint="eastAsia" w:ascii="宋体" w:hAnsi="宋体" w:eastAsia="宋体" w:cs="宋体"/>
          <w:color w:val="auto"/>
          <w:spacing w:val="-12"/>
          <w:sz w:val="24"/>
          <w:szCs w:val="24"/>
        </w:rPr>
        <w:t xml:space="preserve"> 人，经济、技术方面专家 </w:t>
      </w:r>
      <w:r>
        <w:rPr>
          <w:rFonts w:hint="eastAsia" w:ascii="宋体" w:hAnsi="宋体" w:eastAsia="宋体" w:cs="宋体"/>
          <w:color w:val="auto"/>
          <w:sz w:val="24"/>
          <w:szCs w:val="24"/>
        </w:rPr>
        <w:t>2</w:t>
      </w:r>
      <w:r>
        <w:rPr>
          <w:rFonts w:hint="eastAsia" w:ascii="宋体" w:hAnsi="宋体" w:eastAsia="宋体" w:cs="宋体"/>
          <w:color w:val="auto"/>
          <w:spacing w:val="-9"/>
          <w:sz w:val="24"/>
          <w:szCs w:val="24"/>
        </w:rPr>
        <w:t xml:space="preserve"> 人，在磋商会议开始</w:t>
      </w:r>
      <w:r>
        <w:rPr>
          <w:rFonts w:hint="eastAsia" w:ascii="宋体" w:hAnsi="宋体" w:eastAsia="宋体" w:cs="宋体"/>
          <w:color w:val="auto"/>
          <w:spacing w:val="-9"/>
          <w:sz w:val="24"/>
          <w:szCs w:val="24"/>
          <w:lang w:val="en-US" w:eastAsia="zh-CN"/>
        </w:rPr>
        <w:t>后</w:t>
      </w:r>
      <w:r>
        <w:rPr>
          <w:rFonts w:hint="eastAsia" w:ascii="宋体" w:hAnsi="宋体" w:eastAsia="宋体" w:cs="宋体"/>
          <w:color w:val="auto"/>
          <w:spacing w:val="-9"/>
          <w:sz w:val="24"/>
          <w:szCs w:val="24"/>
        </w:rPr>
        <w:t>从</w:t>
      </w:r>
      <w:r>
        <w:rPr>
          <w:rFonts w:hint="eastAsia" w:ascii="宋体" w:hAnsi="宋体" w:eastAsia="宋体" w:cs="宋体"/>
          <w:color w:val="auto"/>
          <w:spacing w:val="-9"/>
          <w:sz w:val="24"/>
          <w:szCs w:val="24"/>
          <w:lang w:val="en-US" w:eastAsia="zh-CN"/>
        </w:rPr>
        <w:t>河南省财政厅专家库</w:t>
      </w:r>
      <w:r>
        <w:rPr>
          <w:rFonts w:hint="eastAsia" w:ascii="宋体" w:hAnsi="宋体" w:eastAsia="宋体" w:cs="宋体"/>
          <w:color w:val="auto"/>
          <w:spacing w:val="-9"/>
          <w:sz w:val="24"/>
          <w:szCs w:val="24"/>
        </w:rPr>
        <w:t>随机抽取。</w:t>
      </w:r>
    </w:p>
    <w:p w14:paraId="5D563BF8">
      <w:pPr>
        <w:pStyle w:val="25"/>
        <w:keepNext w:val="0"/>
        <w:keepLines w:val="0"/>
        <w:pageBreakBefore w:val="0"/>
        <w:widowControl w:val="0"/>
        <w:numPr>
          <w:ilvl w:val="0"/>
          <w:numId w:val="0"/>
        </w:numPr>
        <w:tabs>
          <w:tab w:val="left" w:pos="128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18.2 </w:t>
      </w:r>
      <w:r>
        <w:rPr>
          <w:rFonts w:hint="eastAsia" w:ascii="宋体" w:hAnsi="宋体" w:eastAsia="宋体" w:cs="宋体"/>
          <w:color w:val="auto"/>
          <w:sz w:val="24"/>
          <w:szCs w:val="24"/>
        </w:rPr>
        <w:t>磋商小组对所有</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的磋商响应文件进行评审，按评审后得分由高到低顺序排列，递交给采购人。</w:t>
      </w:r>
    </w:p>
    <w:p w14:paraId="159E4E7D">
      <w:pPr>
        <w:pStyle w:val="25"/>
        <w:keepNext w:val="0"/>
        <w:keepLines w:val="0"/>
        <w:pageBreakBefore w:val="0"/>
        <w:widowControl w:val="0"/>
        <w:numPr>
          <w:ilvl w:val="0"/>
          <w:numId w:val="0"/>
        </w:numPr>
        <w:tabs>
          <w:tab w:val="left" w:pos="128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18.3 </w:t>
      </w:r>
      <w:r>
        <w:rPr>
          <w:rFonts w:hint="eastAsia" w:ascii="宋体" w:hAnsi="宋体" w:eastAsia="宋体" w:cs="宋体"/>
          <w:color w:val="auto"/>
          <w:sz w:val="24"/>
          <w:szCs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64E041A">
      <w:pPr>
        <w:pStyle w:val="25"/>
        <w:keepNext w:val="0"/>
        <w:keepLines w:val="0"/>
        <w:pageBreakBefore w:val="0"/>
        <w:widowControl w:val="0"/>
        <w:numPr>
          <w:ilvl w:val="0"/>
          <w:numId w:val="0"/>
        </w:numPr>
        <w:tabs>
          <w:tab w:val="left" w:pos="128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18.4 </w:t>
      </w:r>
      <w:r>
        <w:rPr>
          <w:rFonts w:hint="eastAsia" w:ascii="宋体" w:hAnsi="宋体" w:eastAsia="宋体" w:cs="宋体"/>
          <w:color w:val="auto"/>
          <w:sz w:val="24"/>
          <w:szCs w:val="24"/>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14:paraId="15579CAB">
      <w:pPr>
        <w:pStyle w:val="4"/>
        <w:keepNext w:val="0"/>
        <w:keepLines w:val="0"/>
        <w:pageBreakBefore w:val="0"/>
        <w:widowControl w:val="0"/>
        <w:kinsoku/>
        <w:wordWrap w:val="0"/>
        <w:overflowPunct/>
        <w:topLinePunct w:val="0"/>
        <w:bidi w:val="0"/>
        <w:adjustRightInd/>
        <w:snapToGrid/>
        <w:spacing w:line="480" w:lineRule="exact"/>
        <w:ind w:left="0" w:leftChars="0" w:right="0" w:firstLine="482" w:firstLineChars="200"/>
        <w:jc w:val="left"/>
        <w:textAlignment w:val="auto"/>
        <w:rPr>
          <w:rFonts w:hint="eastAsia" w:ascii="宋体" w:hAnsi="宋体" w:eastAsia="宋体" w:cs="宋体"/>
          <w:color w:val="auto"/>
          <w:sz w:val="24"/>
          <w:szCs w:val="24"/>
        </w:rPr>
      </w:pPr>
      <w:bookmarkStart w:id="132" w:name="_Toc30532_WPSOffice_Level3"/>
      <w:r>
        <w:rPr>
          <w:rFonts w:hint="eastAsia" w:ascii="宋体" w:hAnsi="宋体" w:cs="宋体"/>
          <w:color w:val="auto"/>
          <w:sz w:val="24"/>
          <w:szCs w:val="24"/>
          <w:lang w:val="en-US" w:eastAsia="zh-CN"/>
        </w:rPr>
        <w:t>19.</w:t>
      </w:r>
      <w:r>
        <w:rPr>
          <w:rFonts w:hint="eastAsia" w:ascii="宋体" w:hAnsi="宋体" w:eastAsia="宋体" w:cs="宋体"/>
          <w:color w:val="auto"/>
          <w:sz w:val="24"/>
          <w:szCs w:val="24"/>
        </w:rPr>
        <w:t>磋商程序</w:t>
      </w:r>
      <w:bookmarkEnd w:id="132"/>
    </w:p>
    <w:p w14:paraId="797C1C83">
      <w:pPr>
        <w:pStyle w:val="25"/>
        <w:keepNext w:val="0"/>
        <w:keepLines w:val="0"/>
        <w:pageBreakBefore w:val="0"/>
        <w:widowControl w:val="0"/>
        <w:numPr>
          <w:ilvl w:val="0"/>
          <w:numId w:val="0"/>
        </w:numPr>
        <w:tabs>
          <w:tab w:val="left" w:pos="128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19.1</w:t>
      </w:r>
      <w:r>
        <w:rPr>
          <w:rFonts w:hint="eastAsia" w:ascii="宋体" w:hAnsi="宋体" w:eastAsia="宋体" w:cs="宋体"/>
          <w:color w:val="auto"/>
          <w:sz w:val="24"/>
          <w:szCs w:val="24"/>
        </w:rPr>
        <w:t>磋商小组所有成员集中评审磋商响应文件及集中与</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分别进行磋商。</w:t>
      </w:r>
    </w:p>
    <w:p w14:paraId="106B66B4">
      <w:pPr>
        <w:pStyle w:val="25"/>
        <w:keepNext w:val="0"/>
        <w:keepLines w:val="0"/>
        <w:pageBreakBefore w:val="0"/>
        <w:widowControl w:val="0"/>
        <w:numPr>
          <w:ilvl w:val="0"/>
          <w:numId w:val="0"/>
        </w:numPr>
        <w:tabs>
          <w:tab w:val="left" w:pos="1281"/>
        </w:tabs>
        <w:kinsoku/>
        <w:wordWrap w:val="0"/>
        <w:overflowPunct/>
        <w:topLinePunct w:val="0"/>
        <w:bidi w:val="0"/>
        <w:adjustRightInd/>
        <w:snapToGrid/>
        <w:spacing w:line="480" w:lineRule="exact"/>
        <w:ind w:right="0" w:rightChars="0" w:firstLine="464" w:firstLineChars="200"/>
        <w:jc w:val="left"/>
        <w:textAlignment w:val="auto"/>
        <w:rPr>
          <w:rFonts w:hint="eastAsia" w:ascii="宋体" w:hAnsi="宋体" w:eastAsia="宋体" w:cs="宋体"/>
          <w:color w:val="auto"/>
          <w:sz w:val="24"/>
          <w:szCs w:val="24"/>
        </w:rPr>
      </w:pPr>
      <w:r>
        <w:rPr>
          <w:rFonts w:hint="eastAsia" w:ascii="宋体" w:hAnsi="宋体" w:cs="宋体"/>
          <w:color w:val="auto"/>
          <w:spacing w:val="-4"/>
          <w:sz w:val="24"/>
          <w:szCs w:val="24"/>
          <w:lang w:val="en-US" w:eastAsia="zh-CN"/>
        </w:rPr>
        <w:t xml:space="preserve">19.2 </w:t>
      </w:r>
      <w:r>
        <w:rPr>
          <w:rFonts w:hint="eastAsia" w:ascii="宋体" w:hAnsi="宋体" w:eastAsia="宋体" w:cs="宋体"/>
          <w:color w:val="auto"/>
          <w:spacing w:val="-4"/>
          <w:sz w:val="24"/>
          <w:szCs w:val="24"/>
        </w:rPr>
        <w:t>磋商小组首先对所有响应文件进行资格性和初步审查。资格性审查是指：</w:t>
      </w:r>
      <w:r>
        <w:rPr>
          <w:rFonts w:hint="eastAsia" w:ascii="宋体" w:hAnsi="宋体" w:eastAsia="宋体" w:cs="宋体"/>
          <w:color w:val="auto"/>
          <w:spacing w:val="-2"/>
          <w:sz w:val="24"/>
          <w:szCs w:val="24"/>
        </w:rPr>
        <w:t>磋商小组按照竞争性磋商文件</w:t>
      </w:r>
      <w:r>
        <w:rPr>
          <w:rFonts w:hint="eastAsia" w:ascii="宋体" w:hAnsi="宋体" w:cs="宋体"/>
          <w:color w:val="auto"/>
          <w:spacing w:val="-2"/>
          <w:sz w:val="24"/>
          <w:szCs w:val="24"/>
          <w:lang w:val="en-US" w:eastAsia="zh-CN"/>
        </w:rPr>
        <w:t>第四章评标</w:t>
      </w:r>
      <w:r>
        <w:rPr>
          <w:rFonts w:hint="eastAsia" w:ascii="宋体" w:hAnsi="宋体" w:eastAsia="宋体" w:cs="宋体"/>
          <w:color w:val="auto"/>
          <w:spacing w:val="-2"/>
          <w:sz w:val="24"/>
          <w:szCs w:val="24"/>
        </w:rPr>
        <w:t>办法</w:t>
      </w:r>
      <w:r>
        <w:rPr>
          <w:rFonts w:hint="eastAsia" w:ascii="宋体" w:hAnsi="宋体" w:eastAsia="宋体" w:cs="宋体"/>
          <w:color w:val="auto"/>
          <w:spacing w:val="-9"/>
          <w:sz w:val="24"/>
          <w:szCs w:val="24"/>
        </w:rPr>
        <w:t>的要求，对</w:t>
      </w:r>
      <w:r>
        <w:rPr>
          <w:rFonts w:hint="eastAsia" w:ascii="宋体" w:hAnsi="宋体" w:eastAsia="宋体" w:cs="宋体"/>
          <w:color w:val="auto"/>
          <w:spacing w:val="-9"/>
          <w:sz w:val="24"/>
          <w:szCs w:val="24"/>
          <w:lang w:eastAsia="zh-CN"/>
        </w:rPr>
        <w:t>投标供应商</w:t>
      </w:r>
      <w:r>
        <w:rPr>
          <w:rFonts w:hint="eastAsia" w:ascii="宋体" w:hAnsi="宋体" w:eastAsia="宋体" w:cs="宋体"/>
          <w:color w:val="auto"/>
          <w:spacing w:val="-9"/>
          <w:sz w:val="24"/>
          <w:szCs w:val="24"/>
        </w:rPr>
        <w:t>进行资格审查，有一项不符合的，视为未通过资格审查，不得进入下一评</w:t>
      </w:r>
      <w:r>
        <w:rPr>
          <w:rFonts w:hint="eastAsia" w:ascii="宋体" w:hAnsi="宋体" w:eastAsia="宋体" w:cs="宋体"/>
          <w:color w:val="auto"/>
          <w:spacing w:val="-10"/>
          <w:sz w:val="24"/>
          <w:szCs w:val="24"/>
        </w:rPr>
        <w:t>审过程。磋商小组按照竞争性磋商文件及</w:t>
      </w:r>
      <w:r>
        <w:rPr>
          <w:rFonts w:hint="eastAsia" w:ascii="宋体" w:hAnsi="宋体" w:eastAsia="宋体" w:cs="宋体"/>
          <w:color w:val="auto"/>
          <w:spacing w:val="-9"/>
          <w:sz w:val="24"/>
          <w:szCs w:val="24"/>
          <w:lang w:eastAsia="zh-CN"/>
        </w:rPr>
        <w:t>第四章</w:t>
      </w:r>
      <w:r>
        <w:rPr>
          <w:rFonts w:hint="eastAsia" w:ascii="宋体" w:hAnsi="宋体" w:eastAsia="宋体" w:cs="宋体"/>
          <w:color w:val="auto"/>
          <w:spacing w:val="-9"/>
          <w:sz w:val="24"/>
          <w:szCs w:val="24"/>
          <w:lang w:val="en-US" w:eastAsia="zh-CN"/>
        </w:rPr>
        <w:t>评标</w:t>
      </w:r>
      <w:r>
        <w:rPr>
          <w:rFonts w:hint="eastAsia" w:ascii="宋体" w:hAnsi="宋体" w:eastAsia="宋体" w:cs="宋体"/>
          <w:color w:val="auto"/>
          <w:spacing w:val="-9"/>
          <w:sz w:val="24"/>
          <w:szCs w:val="24"/>
          <w:lang w:eastAsia="zh-CN"/>
        </w:rPr>
        <w:t>办法中形式、响应性评审的要求，对投标供应商进行审查，有一项不符合的，视为未通过初步审查。未通过资格性和初步审查的响应文件按无效响应处理，磋商</w:t>
      </w:r>
      <w:r>
        <w:rPr>
          <w:rFonts w:hint="eastAsia" w:ascii="宋体" w:hAnsi="宋体" w:eastAsia="宋体" w:cs="宋体"/>
          <w:color w:val="auto"/>
          <w:spacing w:val="-10"/>
          <w:sz w:val="24"/>
          <w:szCs w:val="24"/>
        </w:rPr>
        <w:t>小组应当告知交磋商响应文件的</w:t>
      </w:r>
      <w:r>
        <w:rPr>
          <w:rFonts w:hint="eastAsia" w:ascii="宋体" w:hAnsi="宋体" w:eastAsia="宋体" w:cs="宋体"/>
          <w:color w:val="auto"/>
          <w:spacing w:val="-10"/>
          <w:sz w:val="24"/>
          <w:szCs w:val="24"/>
          <w:lang w:eastAsia="zh-CN"/>
        </w:rPr>
        <w:t>投标供应商</w:t>
      </w:r>
      <w:r>
        <w:rPr>
          <w:rFonts w:hint="eastAsia" w:ascii="宋体" w:hAnsi="宋体" w:eastAsia="宋体" w:cs="宋体"/>
          <w:color w:val="auto"/>
          <w:sz w:val="24"/>
          <w:szCs w:val="24"/>
        </w:rPr>
        <w:t>。</w:t>
      </w:r>
    </w:p>
    <w:p w14:paraId="1AF3952C">
      <w:pPr>
        <w:pStyle w:val="25"/>
        <w:keepNext w:val="0"/>
        <w:keepLines w:val="0"/>
        <w:pageBreakBefore w:val="0"/>
        <w:widowControl w:val="0"/>
        <w:numPr>
          <w:ilvl w:val="0"/>
          <w:numId w:val="0"/>
        </w:numPr>
        <w:tabs>
          <w:tab w:val="left" w:pos="152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19.2.1 </w:t>
      </w:r>
      <w:r>
        <w:rPr>
          <w:rFonts w:hint="eastAsia" w:ascii="宋体" w:hAnsi="宋体" w:eastAsia="宋体" w:cs="宋体"/>
          <w:color w:val="auto"/>
          <w:sz w:val="24"/>
          <w:szCs w:val="24"/>
        </w:rPr>
        <w:t>允许修正响应文件中不构成重大偏离的、微小的、非正规的、不一致或不规则的地方。</w:t>
      </w:r>
    </w:p>
    <w:p w14:paraId="558D4935">
      <w:pPr>
        <w:pStyle w:val="25"/>
        <w:keepNext w:val="0"/>
        <w:keepLines w:val="0"/>
        <w:pageBreakBefore w:val="0"/>
        <w:widowControl w:val="0"/>
        <w:numPr>
          <w:ilvl w:val="0"/>
          <w:numId w:val="0"/>
        </w:numPr>
        <w:tabs>
          <w:tab w:val="left" w:pos="1581"/>
        </w:tabs>
        <w:kinsoku/>
        <w:wordWrap w:val="0"/>
        <w:overflowPunct/>
        <w:topLinePunct w:val="0"/>
        <w:bidi w:val="0"/>
        <w:adjustRightInd/>
        <w:snapToGrid/>
        <w:spacing w:line="480" w:lineRule="exact"/>
        <w:ind w:right="0" w:rightChars="0" w:firstLine="476" w:firstLineChars="200"/>
        <w:jc w:val="left"/>
        <w:textAlignment w:val="auto"/>
        <w:rPr>
          <w:rFonts w:hint="eastAsia" w:ascii="宋体" w:hAnsi="宋体" w:eastAsia="宋体" w:cs="宋体"/>
          <w:color w:val="auto"/>
          <w:sz w:val="24"/>
          <w:szCs w:val="24"/>
        </w:rPr>
      </w:pPr>
      <w:r>
        <w:rPr>
          <w:rFonts w:hint="eastAsia" w:ascii="宋体" w:hAnsi="宋体" w:cs="宋体"/>
          <w:color w:val="auto"/>
          <w:spacing w:val="-1"/>
          <w:sz w:val="24"/>
          <w:szCs w:val="24"/>
          <w:lang w:val="en-US" w:eastAsia="zh-CN"/>
        </w:rPr>
        <w:t xml:space="preserve">19.2.2 </w:t>
      </w:r>
      <w:r>
        <w:rPr>
          <w:rFonts w:hint="eastAsia" w:ascii="宋体" w:hAnsi="宋体" w:eastAsia="宋体" w:cs="宋体"/>
          <w:color w:val="auto"/>
          <w:spacing w:val="-1"/>
          <w:sz w:val="24"/>
          <w:szCs w:val="24"/>
        </w:rPr>
        <w:t>磋商小组判断响应文件的响应性仅基于响应文件本身内容而不靠外</w:t>
      </w:r>
      <w:r>
        <w:rPr>
          <w:rFonts w:hint="eastAsia" w:ascii="宋体" w:hAnsi="宋体" w:eastAsia="宋体" w:cs="宋体"/>
          <w:color w:val="auto"/>
          <w:sz w:val="24"/>
          <w:szCs w:val="24"/>
        </w:rPr>
        <w:t>部证据。</w:t>
      </w:r>
    </w:p>
    <w:p w14:paraId="354CC6FB">
      <w:pPr>
        <w:pStyle w:val="25"/>
        <w:keepNext w:val="0"/>
        <w:keepLines w:val="0"/>
        <w:pageBreakBefore w:val="0"/>
        <w:widowControl w:val="0"/>
        <w:numPr>
          <w:ilvl w:val="0"/>
          <w:numId w:val="0"/>
        </w:numPr>
        <w:tabs>
          <w:tab w:val="left" w:pos="152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19.2.3 </w:t>
      </w:r>
      <w:r>
        <w:rPr>
          <w:rFonts w:hint="eastAsia" w:ascii="宋体" w:hAnsi="宋体" w:eastAsia="宋体" w:cs="宋体"/>
          <w:color w:val="auto"/>
          <w:sz w:val="24"/>
          <w:szCs w:val="24"/>
        </w:rPr>
        <w:t>实质性未响应磋商文件要求的响应将被拒绝，</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不得通过修正或撤消不符之处而使其响应成为实质性响应。</w:t>
      </w:r>
    </w:p>
    <w:p w14:paraId="665869E8">
      <w:pPr>
        <w:pStyle w:val="25"/>
        <w:keepNext w:val="0"/>
        <w:keepLines w:val="0"/>
        <w:pageBreakBefore w:val="0"/>
        <w:widowControl w:val="0"/>
        <w:numPr>
          <w:ilvl w:val="0"/>
          <w:numId w:val="0"/>
        </w:numPr>
        <w:tabs>
          <w:tab w:val="left" w:pos="152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19.2.4 </w:t>
      </w:r>
      <w:r>
        <w:rPr>
          <w:rFonts w:hint="eastAsia" w:ascii="宋体" w:hAnsi="宋体" w:eastAsia="宋体" w:cs="宋体"/>
          <w:color w:val="auto"/>
          <w:sz w:val="24"/>
          <w:szCs w:val="24"/>
        </w:rPr>
        <w:t>实质性未响应是指磋商响应文件中提出了超出磋商文件中</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范围</w:t>
      </w:r>
      <w:r>
        <w:rPr>
          <w:rFonts w:hint="eastAsia" w:ascii="宋体" w:hAnsi="宋体" w:eastAsia="宋体" w:cs="宋体"/>
          <w:color w:val="auto"/>
          <w:sz w:val="24"/>
          <w:szCs w:val="24"/>
        </w:rPr>
        <w:t>、预算金额、</w:t>
      </w:r>
      <w:r>
        <w:rPr>
          <w:rFonts w:hint="eastAsia" w:ascii="宋体" w:hAnsi="宋体" w:cs="宋体"/>
          <w:color w:val="auto"/>
          <w:sz w:val="24"/>
          <w:szCs w:val="24"/>
          <w:lang w:val="en-US" w:eastAsia="zh-CN"/>
        </w:rPr>
        <w:t>服务期限</w:t>
      </w:r>
      <w:r>
        <w:rPr>
          <w:rFonts w:hint="eastAsia" w:ascii="宋体" w:hAnsi="宋体" w:eastAsia="宋体" w:cs="宋体"/>
          <w:color w:val="auto"/>
          <w:sz w:val="24"/>
          <w:szCs w:val="24"/>
        </w:rPr>
        <w:t>、技术和服务要求等内容。</w:t>
      </w:r>
    </w:p>
    <w:p w14:paraId="5D3FA5A2">
      <w:pPr>
        <w:pStyle w:val="4"/>
        <w:keepNext w:val="0"/>
        <w:keepLines w:val="0"/>
        <w:pageBreakBefore w:val="0"/>
        <w:widowControl w:val="0"/>
        <w:kinsoku/>
        <w:wordWrap w:val="0"/>
        <w:overflowPunct/>
        <w:topLinePunct w:val="0"/>
        <w:bidi w:val="0"/>
        <w:adjustRightInd/>
        <w:snapToGrid/>
        <w:spacing w:line="480" w:lineRule="exact"/>
        <w:ind w:left="0" w:leftChars="0" w:right="0" w:firstLine="482" w:firstLineChars="200"/>
        <w:jc w:val="left"/>
        <w:textAlignment w:val="auto"/>
        <w:rPr>
          <w:rFonts w:hint="eastAsia" w:ascii="宋体" w:hAnsi="宋体" w:eastAsia="宋体" w:cs="宋体"/>
          <w:color w:val="auto"/>
          <w:sz w:val="24"/>
          <w:szCs w:val="24"/>
        </w:rPr>
      </w:pPr>
      <w:bookmarkStart w:id="133" w:name="_Toc31948_WPSOffice_Level3"/>
      <w:r>
        <w:rPr>
          <w:rFonts w:hint="eastAsia" w:ascii="宋体" w:hAnsi="宋体" w:eastAsia="宋体" w:cs="宋体"/>
          <w:color w:val="auto"/>
          <w:sz w:val="24"/>
          <w:szCs w:val="24"/>
        </w:rPr>
        <w:t>2</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的评价</w:t>
      </w:r>
      <w:bookmarkEnd w:id="133"/>
    </w:p>
    <w:p w14:paraId="24AB9E11">
      <w:pPr>
        <w:pStyle w:val="25"/>
        <w:keepNext w:val="0"/>
        <w:keepLines w:val="0"/>
        <w:pageBreakBefore w:val="0"/>
        <w:widowControl w:val="0"/>
        <w:numPr>
          <w:ilvl w:val="0"/>
          <w:numId w:val="0"/>
        </w:numPr>
        <w:tabs>
          <w:tab w:val="left" w:pos="128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20.1 </w:t>
      </w:r>
      <w:r>
        <w:rPr>
          <w:rFonts w:hint="eastAsia" w:ascii="宋体" w:hAnsi="宋体" w:eastAsia="宋体" w:cs="宋体"/>
          <w:color w:val="auto"/>
          <w:sz w:val="24"/>
          <w:szCs w:val="24"/>
        </w:rPr>
        <w:t>磋商小组只对已判定为实质性响应且通过资格审查的响应文件进行详细评价和比较。</w:t>
      </w:r>
    </w:p>
    <w:p w14:paraId="6A91C2C4">
      <w:pPr>
        <w:pStyle w:val="25"/>
        <w:keepNext w:val="0"/>
        <w:keepLines w:val="0"/>
        <w:pageBreakBefore w:val="0"/>
        <w:widowControl w:val="0"/>
        <w:numPr>
          <w:ilvl w:val="0"/>
          <w:numId w:val="0"/>
        </w:numPr>
        <w:tabs>
          <w:tab w:val="left" w:pos="128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20.2 </w:t>
      </w:r>
      <w:r>
        <w:rPr>
          <w:rFonts w:hint="eastAsia" w:ascii="宋体" w:hAnsi="宋体" w:eastAsia="宋体" w:cs="宋体"/>
          <w:color w:val="auto"/>
          <w:sz w:val="24"/>
          <w:szCs w:val="24"/>
        </w:rPr>
        <w:t>磋商小组所有成员应当集中与单一</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分别进行磋商，并给予所有参加磋商的</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平等的磋商机会。磋商完成后，要求其在规定时间内提交最后报价，提交最后报价的供应商可以为两家。</w:t>
      </w:r>
    </w:p>
    <w:p w14:paraId="09EAD544">
      <w:pPr>
        <w:pStyle w:val="25"/>
        <w:keepNext w:val="0"/>
        <w:keepLines w:val="0"/>
        <w:pageBreakBefore w:val="0"/>
        <w:widowControl w:val="0"/>
        <w:numPr>
          <w:ilvl w:val="0"/>
          <w:numId w:val="0"/>
        </w:numPr>
        <w:tabs>
          <w:tab w:val="left" w:pos="128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20.3 </w:t>
      </w:r>
      <w:r>
        <w:rPr>
          <w:rFonts w:hint="eastAsia" w:ascii="宋体" w:hAnsi="宋体" w:eastAsia="宋体" w:cs="宋体"/>
          <w:color w:val="auto"/>
          <w:sz w:val="24"/>
          <w:szCs w:val="24"/>
        </w:rPr>
        <w:t>经磋商确定最终采购需求和提交最后报价的</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后，磋商小组采用</w:t>
      </w:r>
      <w:r>
        <w:rPr>
          <w:rFonts w:hint="eastAsia" w:ascii="宋体" w:hAnsi="宋体" w:eastAsia="宋体" w:cs="宋体"/>
          <w:color w:val="auto"/>
          <w:spacing w:val="6"/>
          <w:sz w:val="24"/>
          <w:szCs w:val="24"/>
        </w:rPr>
        <w:t>综合评分法对提交最后报价的</w:t>
      </w:r>
      <w:r>
        <w:rPr>
          <w:rFonts w:hint="eastAsia" w:ascii="宋体" w:hAnsi="宋体" w:eastAsia="宋体" w:cs="宋体"/>
          <w:color w:val="auto"/>
          <w:spacing w:val="6"/>
          <w:sz w:val="24"/>
          <w:szCs w:val="24"/>
          <w:lang w:eastAsia="zh-CN"/>
        </w:rPr>
        <w:t>投标供应商</w:t>
      </w:r>
      <w:r>
        <w:rPr>
          <w:rFonts w:hint="eastAsia" w:ascii="宋体" w:hAnsi="宋体" w:eastAsia="宋体" w:cs="宋体"/>
          <w:color w:val="auto"/>
          <w:spacing w:val="6"/>
          <w:sz w:val="24"/>
          <w:szCs w:val="24"/>
        </w:rPr>
        <w:t>的响应文件和最后报价进行综合评分。</w:t>
      </w:r>
    </w:p>
    <w:p w14:paraId="34588309">
      <w:pPr>
        <w:pStyle w:val="25"/>
        <w:keepNext w:val="0"/>
        <w:keepLines w:val="0"/>
        <w:pageBreakBefore w:val="0"/>
        <w:widowControl w:val="0"/>
        <w:numPr>
          <w:ilvl w:val="0"/>
          <w:numId w:val="0"/>
        </w:numPr>
        <w:tabs>
          <w:tab w:val="left" w:pos="128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20.4 </w:t>
      </w:r>
      <w:r>
        <w:rPr>
          <w:rFonts w:hint="eastAsia" w:ascii="宋体" w:hAnsi="宋体" w:eastAsia="宋体" w:cs="宋体"/>
          <w:color w:val="auto"/>
          <w:sz w:val="24"/>
          <w:szCs w:val="24"/>
        </w:rPr>
        <w:t>磋商小组根据综合评分情况，按评审得分由高到低的顺序确定成交候选</w:t>
      </w:r>
      <w:r>
        <w:rPr>
          <w:rFonts w:hint="eastAsia" w:ascii="宋体" w:hAnsi="宋体" w:cs="宋体"/>
          <w:color w:val="auto"/>
          <w:sz w:val="24"/>
          <w:szCs w:val="24"/>
          <w:lang w:val="en-US" w:eastAsia="zh-CN"/>
        </w:rPr>
        <w:t>人</w:t>
      </w:r>
      <w:r>
        <w:rPr>
          <w:rFonts w:hint="eastAsia" w:ascii="宋体" w:hAnsi="宋体" w:eastAsia="宋体" w:cs="宋体"/>
          <w:color w:val="auto"/>
          <w:sz w:val="24"/>
          <w:szCs w:val="24"/>
        </w:rPr>
        <w:t>，并编写评审报告。评审得分相同的，按照最后报价由低到高的顺序确定，评审得分且最后报价相同的，按照技术指标优劣顺序确定成交候选</w:t>
      </w:r>
      <w:r>
        <w:rPr>
          <w:rFonts w:hint="eastAsia" w:ascii="宋体" w:hAnsi="宋体" w:cs="宋体"/>
          <w:color w:val="auto"/>
          <w:sz w:val="24"/>
          <w:szCs w:val="24"/>
          <w:lang w:val="en-US" w:eastAsia="zh-CN"/>
        </w:rPr>
        <w:t>人</w:t>
      </w:r>
      <w:r>
        <w:rPr>
          <w:rFonts w:hint="eastAsia" w:ascii="宋体" w:hAnsi="宋体" w:eastAsia="宋体" w:cs="宋体"/>
          <w:color w:val="auto"/>
          <w:sz w:val="24"/>
          <w:szCs w:val="24"/>
        </w:rPr>
        <w:t>。评审报告由磋商小组全体人员签字。磋商小组成员对评审报告有异议的，磋商小组按照少数服从多数的原则推荐成交候选</w:t>
      </w:r>
      <w:r>
        <w:rPr>
          <w:rFonts w:hint="eastAsia" w:ascii="宋体" w:hAnsi="宋体" w:cs="宋体"/>
          <w:color w:val="auto"/>
          <w:sz w:val="24"/>
          <w:szCs w:val="24"/>
          <w:lang w:val="en-US" w:eastAsia="zh-CN"/>
        </w:rPr>
        <w:t>人</w:t>
      </w:r>
      <w:r>
        <w:rPr>
          <w:rFonts w:hint="eastAsia" w:ascii="宋体" w:hAnsi="宋体" w:eastAsia="宋体" w:cs="宋体"/>
          <w:color w:val="auto"/>
          <w:sz w:val="24"/>
          <w:szCs w:val="24"/>
        </w:rPr>
        <w:t>，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D22E647">
      <w:pPr>
        <w:pStyle w:val="25"/>
        <w:keepNext w:val="0"/>
        <w:keepLines w:val="0"/>
        <w:pageBreakBefore w:val="0"/>
        <w:widowControl w:val="0"/>
        <w:numPr>
          <w:ilvl w:val="0"/>
          <w:numId w:val="0"/>
        </w:numPr>
        <w:tabs>
          <w:tab w:val="left" w:pos="128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20.5 </w:t>
      </w:r>
      <w:r>
        <w:rPr>
          <w:rFonts w:hint="eastAsia" w:ascii="宋体" w:hAnsi="宋体" w:eastAsia="宋体" w:cs="宋体"/>
          <w:color w:val="auto"/>
          <w:sz w:val="24"/>
          <w:szCs w:val="24"/>
        </w:rPr>
        <w:t>如果第一名供应商放弃成交资格或因不可抗力提出不能履行合同、竞争性磋商文件规定应当提交履约担保而在规定的期限内未能提交的，采购人将依序确定排名第二名的供应商为成交供应商，也可以重新开展政府采购活动。</w:t>
      </w:r>
    </w:p>
    <w:p w14:paraId="60FA6EE9">
      <w:pPr>
        <w:pStyle w:val="4"/>
        <w:keepNext w:val="0"/>
        <w:keepLines w:val="0"/>
        <w:pageBreakBefore w:val="0"/>
        <w:widowControl w:val="0"/>
        <w:kinsoku/>
        <w:wordWrap w:val="0"/>
        <w:overflowPunct/>
        <w:topLinePunct w:val="0"/>
        <w:bidi w:val="0"/>
        <w:adjustRightInd/>
        <w:snapToGrid/>
        <w:spacing w:line="480" w:lineRule="exact"/>
        <w:ind w:left="0" w:leftChars="0" w:right="0" w:firstLine="482" w:firstLineChars="200"/>
        <w:jc w:val="left"/>
        <w:textAlignment w:val="auto"/>
        <w:rPr>
          <w:rFonts w:hint="eastAsia" w:ascii="宋体" w:hAnsi="宋体" w:eastAsia="宋体" w:cs="宋体"/>
          <w:color w:val="auto"/>
          <w:sz w:val="24"/>
          <w:szCs w:val="24"/>
        </w:rPr>
      </w:pPr>
      <w:bookmarkStart w:id="134" w:name="_Toc27346_WPSOffice_Level3"/>
      <w:r>
        <w:rPr>
          <w:rFonts w:hint="eastAsia" w:ascii="宋体" w:hAnsi="宋体" w:eastAsia="宋体" w:cs="宋体"/>
          <w:color w:val="auto"/>
          <w:sz w:val="24"/>
          <w:szCs w:val="24"/>
        </w:rPr>
        <w:t>2</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响应文件的澄清</w:t>
      </w:r>
      <w:bookmarkEnd w:id="134"/>
    </w:p>
    <w:p w14:paraId="100734D3">
      <w:pPr>
        <w:pStyle w:val="25"/>
        <w:keepNext w:val="0"/>
        <w:keepLines w:val="0"/>
        <w:pageBreakBefore w:val="0"/>
        <w:widowControl w:val="0"/>
        <w:numPr>
          <w:ilvl w:val="0"/>
          <w:numId w:val="0"/>
        </w:numPr>
        <w:tabs>
          <w:tab w:val="left" w:pos="128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21.1 </w:t>
      </w:r>
      <w:r>
        <w:rPr>
          <w:rFonts w:hint="eastAsia" w:ascii="宋体" w:hAnsi="宋体" w:eastAsia="宋体" w:cs="宋体"/>
          <w:color w:val="auto"/>
          <w:sz w:val="24"/>
          <w:szCs w:val="24"/>
        </w:rPr>
        <w:t>为了有助于对响应文件进行审查、评估和比较，磋商小组有权向</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质疑。请</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澄清其磋商内容。</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有责任按照磋商小组通知的时间、地点、方式指派委托代理人进行答疑和澄清。</w:t>
      </w:r>
    </w:p>
    <w:p w14:paraId="32C81218">
      <w:pPr>
        <w:pStyle w:val="25"/>
        <w:keepNext w:val="0"/>
        <w:keepLines w:val="0"/>
        <w:pageBreakBefore w:val="0"/>
        <w:widowControl w:val="0"/>
        <w:numPr>
          <w:ilvl w:val="0"/>
          <w:numId w:val="0"/>
        </w:numPr>
        <w:tabs>
          <w:tab w:val="left" w:pos="128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21.2 </w:t>
      </w:r>
      <w:r>
        <w:rPr>
          <w:rFonts w:hint="eastAsia" w:ascii="宋体" w:hAnsi="宋体" w:eastAsia="宋体" w:cs="宋体"/>
          <w:color w:val="auto"/>
          <w:sz w:val="24"/>
          <w:szCs w:val="24"/>
        </w:rPr>
        <w:t>重要澄清的答复应是书面的，并由法定代表人或其委托代理人签字。</w:t>
      </w:r>
    </w:p>
    <w:p w14:paraId="3E0E6BFE">
      <w:pPr>
        <w:pStyle w:val="25"/>
        <w:keepNext w:val="0"/>
        <w:keepLines w:val="0"/>
        <w:pageBreakBefore w:val="0"/>
        <w:widowControl w:val="0"/>
        <w:numPr>
          <w:ilvl w:val="0"/>
          <w:numId w:val="0"/>
        </w:numPr>
        <w:tabs>
          <w:tab w:val="left" w:pos="128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21.3 </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的澄清文件是响应文件的组成部分，并取代响应文件中被澄清的部分。</w:t>
      </w:r>
    </w:p>
    <w:p w14:paraId="4916C1B3">
      <w:pPr>
        <w:pStyle w:val="25"/>
        <w:keepNext w:val="0"/>
        <w:keepLines w:val="0"/>
        <w:pageBreakBefore w:val="0"/>
        <w:widowControl w:val="0"/>
        <w:numPr>
          <w:ilvl w:val="0"/>
          <w:numId w:val="0"/>
        </w:numPr>
        <w:tabs>
          <w:tab w:val="left" w:pos="128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21.4 </w:t>
      </w:r>
      <w:r>
        <w:rPr>
          <w:rFonts w:hint="eastAsia" w:ascii="宋体" w:hAnsi="宋体" w:eastAsia="宋体" w:cs="宋体"/>
          <w:color w:val="auto"/>
          <w:sz w:val="24"/>
          <w:szCs w:val="24"/>
        </w:rPr>
        <w:t>响应文件澄清部分不得对磋商内容进行实质性修改。</w:t>
      </w:r>
    </w:p>
    <w:p w14:paraId="1A099783">
      <w:pPr>
        <w:pStyle w:val="4"/>
        <w:keepNext w:val="0"/>
        <w:keepLines w:val="0"/>
        <w:pageBreakBefore w:val="0"/>
        <w:widowControl w:val="0"/>
        <w:kinsoku/>
        <w:wordWrap w:val="0"/>
        <w:overflowPunct/>
        <w:topLinePunct w:val="0"/>
        <w:bidi w:val="0"/>
        <w:adjustRightInd/>
        <w:snapToGrid/>
        <w:spacing w:line="480" w:lineRule="exact"/>
        <w:ind w:left="0" w:leftChars="0" w:right="0" w:firstLine="482" w:firstLineChars="200"/>
        <w:jc w:val="left"/>
        <w:textAlignment w:val="auto"/>
        <w:rPr>
          <w:rFonts w:hint="eastAsia" w:ascii="宋体" w:hAnsi="宋体" w:eastAsia="宋体" w:cs="宋体"/>
          <w:color w:val="auto"/>
          <w:sz w:val="24"/>
          <w:szCs w:val="24"/>
        </w:rPr>
      </w:pPr>
      <w:bookmarkStart w:id="135" w:name="_Toc10070_WPSOffice_Level3"/>
      <w:r>
        <w:rPr>
          <w:rFonts w:hint="eastAsia" w:ascii="宋体" w:hAnsi="宋体" w:eastAsia="宋体" w:cs="宋体"/>
          <w:color w:val="auto"/>
          <w:sz w:val="24"/>
          <w:szCs w:val="24"/>
        </w:rPr>
        <w:t>2</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磋商原则</w:t>
      </w:r>
      <w:bookmarkEnd w:id="135"/>
    </w:p>
    <w:p w14:paraId="04871DCB">
      <w:pPr>
        <w:pStyle w:val="25"/>
        <w:keepNext w:val="0"/>
        <w:keepLines w:val="0"/>
        <w:pageBreakBefore w:val="0"/>
        <w:widowControl w:val="0"/>
        <w:numPr>
          <w:ilvl w:val="0"/>
          <w:numId w:val="0"/>
        </w:numPr>
        <w:tabs>
          <w:tab w:val="left" w:pos="128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22.1 </w:t>
      </w:r>
      <w:r>
        <w:rPr>
          <w:rFonts w:hint="eastAsia" w:ascii="宋体" w:hAnsi="宋体" w:eastAsia="宋体" w:cs="宋体"/>
          <w:color w:val="auto"/>
          <w:sz w:val="24"/>
          <w:szCs w:val="24"/>
        </w:rPr>
        <w:t>坚持公开、公平、公正的原则。</w:t>
      </w:r>
    </w:p>
    <w:p w14:paraId="75E8820B">
      <w:pPr>
        <w:pStyle w:val="25"/>
        <w:keepNext w:val="0"/>
        <w:keepLines w:val="0"/>
        <w:pageBreakBefore w:val="0"/>
        <w:widowControl w:val="0"/>
        <w:numPr>
          <w:ilvl w:val="0"/>
          <w:numId w:val="0"/>
        </w:numPr>
        <w:tabs>
          <w:tab w:val="left" w:pos="128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22.2 </w:t>
      </w:r>
      <w:r>
        <w:rPr>
          <w:rFonts w:hint="eastAsia" w:ascii="宋体" w:hAnsi="宋体" w:eastAsia="宋体" w:cs="宋体"/>
          <w:color w:val="auto"/>
          <w:sz w:val="24"/>
          <w:szCs w:val="24"/>
        </w:rPr>
        <w:t>磋商在磋商小组应当集中与单一</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分别进行磋商，磋商小组将遵照磋商原则，公正、平等地对待所有</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w:t>
      </w:r>
    </w:p>
    <w:p w14:paraId="3CCCE483">
      <w:pPr>
        <w:pStyle w:val="4"/>
        <w:keepNext w:val="0"/>
        <w:keepLines w:val="0"/>
        <w:pageBreakBefore w:val="0"/>
        <w:widowControl w:val="0"/>
        <w:kinsoku/>
        <w:wordWrap w:val="0"/>
        <w:overflowPunct/>
        <w:topLinePunct w:val="0"/>
        <w:bidi w:val="0"/>
        <w:adjustRightInd/>
        <w:snapToGrid/>
        <w:spacing w:line="480" w:lineRule="exact"/>
        <w:ind w:left="0" w:leftChars="0" w:right="0" w:firstLine="482" w:firstLineChars="200"/>
        <w:jc w:val="left"/>
        <w:textAlignment w:val="auto"/>
        <w:rPr>
          <w:rFonts w:hint="eastAsia" w:ascii="宋体" w:hAnsi="宋体" w:eastAsia="宋体" w:cs="宋体"/>
          <w:color w:val="auto"/>
          <w:sz w:val="24"/>
          <w:szCs w:val="24"/>
        </w:rPr>
      </w:pPr>
      <w:bookmarkStart w:id="136" w:name="_Toc5813_WPSOffice_Level3"/>
      <w:r>
        <w:rPr>
          <w:rFonts w:hint="eastAsia" w:ascii="宋体" w:hAnsi="宋体" w:eastAsia="宋体" w:cs="宋体"/>
          <w:color w:val="auto"/>
          <w:sz w:val="24"/>
          <w:szCs w:val="24"/>
        </w:rPr>
        <w:t>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推荐成交</w:t>
      </w:r>
      <w:bookmarkEnd w:id="136"/>
      <w:r>
        <w:rPr>
          <w:rFonts w:hint="eastAsia" w:ascii="宋体" w:hAnsi="宋体" w:eastAsia="宋体" w:cs="宋体"/>
          <w:color w:val="auto"/>
          <w:sz w:val="24"/>
          <w:szCs w:val="24"/>
        </w:rPr>
        <w:t>候选人</w:t>
      </w:r>
    </w:p>
    <w:p w14:paraId="76FEFCD1">
      <w:pPr>
        <w:pStyle w:val="5"/>
        <w:keepNext w:val="0"/>
        <w:keepLines w:val="0"/>
        <w:pageBreakBefore w:val="0"/>
        <w:widowControl w:val="0"/>
        <w:kinsoku/>
        <w:wordWrap w:val="0"/>
        <w:overflowPunct/>
        <w:topLinePunct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.1</w:t>
      </w:r>
      <w:r>
        <w:rPr>
          <w:rFonts w:hint="eastAsia" w:ascii="宋体" w:hAnsi="宋体" w:eastAsia="宋体" w:cs="宋体"/>
          <w:color w:val="auto"/>
          <w:spacing w:val="-5"/>
          <w:sz w:val="24"/>
          <w:szCs w:val="24"/>
        </w:rPr>
        <w:t xml:space="preserve"> 磋商小组应当根据综合评分情况，按照评审</w:t>
      </w:r>
      <w:r>
        <w:rPr>
          <w:rFonts w:hint="eastAsia" w:ascii="宋体" w:hAnsi="宋体" w:cs="宋体"/>
          <w:color w:val="auto"/>
          <w:spacing w:val="-5"/>
          <w:sz w:val="24"/>
          <w:szCs w:val="24"/>
          <w:lang w:val="en-US" w:eastAsia="zh-CN"/>
        </w:rPr>
        <w:t>由</w:t>
      </w:r>
      <w:r>
        <w:rPr>
          <w:rFonts w:hint="eastAsia" w:ascii="宋体" w:hAnsi="宋体" w:eastAsia="宋体" w:cs="宋体"/>
          <w:color w:val="auto"/>
          <w:spacing w:val="-5"/>
          <w:sz w:val="24"/>
          <w:szCs w:val="24"/>
        </w:rPr>
        <w:t>高到低的顺序推荐3名成交候选</w:t>
      </w:r>
      <w:r>
        <w:rPr>
          <w:rFonts w:hint="eastAsia" w:ascii="宋体" w:hAnsi="宋体" w:cs="宋体"/>
          <w:color w:val="auto"/>
          <w:spacing w:val="-5"/>
          <w:sz w:val="24"/>
          <w:szCs w:val="24"/>
          <w:lang w:val="en-US" w:eastAsia="zh-CN"/>
        </w:rPr>
        <w:t>人</w:t>
      </w:r>
      <w:r>
        <w:rPr>
          <w:rFonts w:hint="eastAsia" w:ascii="宋体" w:hAnsi="宋体" w:eastAsia="宋体" w:cs="宋体"/>
          <w:color w:val="auto"/>
          <w:spacing w:val="-5"/>
          <w:sz w:val="24"/>
          <w:szCs w:val="24"/>
        </w:rPr>
        <w:t>，并向采购人提供书面评审报告。</w:t>
      </w:r>
    </w:p>
    <w:p w14:paraId="544E62C7">
      <w:pPr>
        <w:pStyle w:val="4"/>
        <w:keepNext w:val="0"/>
        <w:keepLines w:val="0"/>
        <w:pageBreakBefore w:val="0"/>
        <w:widowControl w:val="0"/>
        <w:kinsoku/>
        <w:wordWrap w:val="0"/>
        <w:overflowPunct/>
        <w:topLinePunct w:val="0"/>
        <w:bidi w:val="0"/>
        <w:adjustRightInd/>
        <w:snapToGrid/>
        <w:spacing w:line="480" w:lineRule="exact"/>
        <w:ind w:left="0" w:leftChars="0" w:right="0" w:firstLine="482" w:firstLineChars="200"/>
        <w:jc w:val="left"/>
        <w:textAlignment w:val="auto"/>
        <w:rPr>
          <w:rFonts w:hint="eastAsia" w:ascii="宋体" w:hAnsi="宋体" w:eastAsia="宋体" w:cs="宋体"/>
          <w:color w:val="auto"/>
          <w:sz w:val="24"/>
          <w:szCs w:val="24"/>
        </w:rPr>
      </w:pPr>
      <w:bookmarkStart w:id="137" w:name="_Toc28609_WPSOffice_Level3"/>
      <w:r>
        <w:rPr>
          <w:rFonts w:hint="eastAsia" w:ascii="宋体" w:hAnsi="宋体" w:cs="宋体"/>
          <w:color w:val="auto"/>
          <w:sz w:val="24"/>
          <w:szCs w:val="24"/>
          <w:lang w:val="en-US" w:eastAsia="zh-CN"/>
        </w:rPr>
        <w:t>24.</w:t>
      </w:r>
      <w:r>
        <w:rPr>
          <w:rFonts w:hint="eastAsia" w:ascii="宋体" w:hAnsi="宋体" w:eastAsia="宋体" w:cs="宋体"/>
          <w:color w:val="auto"/>
          <w:sz w:val="24"/>
          <w:szCs w:val="24"/>
        </w:rPr>
        <w:t>保密及其它注意事项</w:t>
      </w:r>
      <w:bookmarkEnd w:id="137"/>
    </w:p>
    <w:p w14:paraId="16CD2CAD">
      <w:pPr>
        <w:pStyle w:val="25"/>
        <w:keepNext w:val="0"/>
        <w:keepLines w:val="0"/>
        <w:pageBreakBefore w:val="0"/>
        <w:widowControl w:val="0"/>
        <w:numPr>
          <w:ilvl w:val="0"/>
          <w:numId w:val="0"/>
        </w:numPr>
        <w:tabs>
          <w:tab w:val="left" w:pos="128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24.1 </w:t>
      </w:r>
      <w:r>
        <w:rPr>
          <w:rFonts w:hint="eastAsia" w:ascii="宋体" w:hAnsi="宋体" w:eastAsia="宋体" w:cs="宋体"/>
          <w:color w:val="auto"/>
          <w:sz w:val="24"/>
          <w:szCs w:val="24"/>
        </w:rPr>
        <w:t>评审工作是磋商工作的重要环节，评审工作在磋商小组内独立进行。在评审期间，</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不得向磋商小组成员询问评审情况，不得进行影响评审结果的活动。否则其响应将会被拒绝。</w:t>
      </w:r>
    </w:p>
    <w:p w14:paraId="524FBF86">
      <w:pPr>
        <w:pStyle w:val="25"/>
        <w:keepNext w:val="0"/>
        <w:keepLines w:val="0"/>
        <w:pageBreakBefore w:val="0"/>
        <w:widowControl w:val="0"/>
        <w:numPr>
          <w:ilvl w:val="0"/>
          <w:numId w:val="0"/>
        </w:numPr>
        <w:tabs>
          <w:tab w:val="left" w:pos="128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cs="宋体"/>
          <w:color w:val="auto"/>
          <w:sz w:val="24"/>
          <w:szCs w:val="24"/>
          <w:lang w:val="en-US" w:eastAsia="zh-CN"/>
        </w:rPr>
      </w:pPr>
    </w:p>
    <w:p w14:paraId="19F270D9">
      <w:pPr>
        <w:pStyle w:val="25"/>
        <w:keepNext w:val="0"/>
        <w:keepLines w:val="0"/>
        <w:pageBreakBefore w:val="0"/>
        <w:widowControl w:val="0"/>
        <w:numPr>
          <w:ilvl w:val="0"/>
          <w:numId w:val="0"/>
        </w:numPr>
        <w:tabs>
          <w:tab w:val="left" w:pos="128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24.2 </w:t>
      </w:r>
      <w:r>
        <w:rPr>
          <w:rFonts w:hint="eastAsia" w:ascii="宋体" w:hAnsi="宋体" w:eastAsia="宋体" w:cs="宋体"/>
          <w:color w:val="auto"/>
          <w:sz w:val="24"/>
          <w:szCs w:val="24"/>
        </w:rPr>
        <w:t>为保证评审的公正性，磋商开始后直至授予成交供应商合同，磋商小组成员不得与供应商私下交换意见。</w:t>
      </w:r>
    </w:p>
    <w:p w14:paraId="1A221107">
      <w:pPr>
        <w:pStyle w:val="25"/>
        <w:keepNext w:val="0"/>
        <w:keepLines w:val="0"/>
        <w:pageBreakBefore w:val="0"/>
        <w:widowControl w:val="0"/>
        <w:numPr>
          <w:ilvl w:val="0"/>
          <w:numId w:val="0"/>
        </w:numPr>
        <w:tabs>
          <w:tab w:val="left" w:pos="128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24.3 </w:t>
      </w:r>
      <w:r>
        <w:rPr>
          <w:rFonts w:hint="eastAsia" w:ascii="宋体" w:hAnsi="宋体" w:eastAsia="宋体" w:cs="宋体"/>
          <w:color w:val="auto"/>
          <w:sz w:val="24"/>
          <w:szCs w:val="24"/>
        </w:rPr>
        <w:t>在评审工作结束后，凡与评审情况有接触的任何人不得擅自将评审情况扩散出评审人员之外。</w:t>
      </w:r>
    </w:p>
    <w:p w14:paraId="5A8E7E4D">
      <w:pPr>
        <w:pStyle w:val="4"/>
        <w:keepNext w:val="0"/>
        <w:keepLines w:val="0"/>
        <w:pageBreakBefore w:val="0"/>
        <w:widowControl w:val="0"/>
        <w:kinsoku/>
        <w:wordWrap w:val="0"/>
        <w:overflowPunct/>
        <w:topLinePunct w:val="0"/>
        <w:bidi w:val="0"/>
        <w:adjustRightInd/>
        <w:snapToGrid/>
        <w:spacing w:line="480" w:lineRule="exact"/>
        <w:ind w:left="0" w:leftChars="0" w:right="0" w:firstLine="482" w:firstLineChars="200"/>
        <w:jc w:val="left"/>
        <w:textAlignment w:val="auto"/>
        <w:rPr>
          <w:rFonts w:hint="eastAsia" w:ascii="宋体" w:hAnsi="宋体" w:eastAsia="宋体" w:cs="宋体"/>
          <w:color w:val="auto"/>
          <w:sz w:val="24"/>
          <w:szCs w:val="24"/>
        </w:rPr>
      </w:pPr>
      <w:bookmarkStart w:id="138" w:name="_Toc27984_WPSOffice_Level3"/>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定标、成交通知</w:t>
      </w:r>
      <w:bookmarkEnd w:id="138"/>
    </w:p>
    <w:p w14:paraId="1A0F03E9">
      <w:pPr>
        <w:pStyle w:val="4"/>
        <w:keepNext w:val="0"/>
        <w:keepLines w:val="0"/>
        <w:pageBreakBefore w:val="0"/>
        <w:widowControl w:val="0"/>
        <w:kinsoku/>
        <w:wordWrap w:val="0"/>
        <w:overflowPunct/>
        <w:topLinePunct w:val="0"/>
        <w:bidi w:val="0"/>
        <w:adjustRightInd/>
        <w:snapToGrid/>
        <w:spacing w:line="480" w:lineRule="exact"/>
        <w:ind w:left="0" w:leftChars="0" w:right="0" w:firstLine="436" w:firstLineChars="200"/>
        <w:jc w:val="left"/>
        <w:textAlignment w:val="auto"/>
        <w:rPr>
          <w:rFonts w:hint="eastAsia" w:ascii="宋体" w:hAnsi="宋体" w:eastAsia="宋体" w:cs="宋体"/>
          <w:b w:val="0"/>
          <w:bCs w:val="0"/>
          <w:color w:val="auto"/>
          <w:spacing w:val="-11"/>
          <w:sz w:val="24"/>
          <w:szCs w:val="24"/>
        </w:rPr>
      </w:pPr>
      <w:r>
        <w:rPr>
          <w:rFonts w:hint="eastAsia" w:ascii="宋体" w:hAnsi="宋体" w:eastAsia="宋体" w:cs="宋体"/>
          <w:b w:val="0"/>
          <w:bCs w:val="0"/>
          <w:color w:val="auto"/>
          <w:spacing w:val="-11"/>
          <w:sz w:val="24"/>
          <w:szCs w:val="24"/>
        </w:rPr>
        <w:t>2</w:t>
      </w:r>
      <w:r>
        <w:rPr>
          <w:rFonts w:hint="eastAsia" w:ascii="宋体" w:hAnsi="宋体" w:cs="宋体"/>
          <w:b w:val="0"/>
          <w:bCs w:val="0"/>
          <w:color w:val="auto"/>
          <w:spacing w:val="-11"/>
          <w:sz w:val="24"/>
          <w:szCs w:val="24"/>
          <w:lang w:val="en-US" w:eastAsia="zh-CN"/>
        </w:rPr>
        <w:t xml:space="preserve">5.1 </w:t>
      </w:r>
      <w:r>
        <w:rPr>
          <w:rFonts w:hint="eastAsia" w:ascii="宋体" w:hAnsi="宋体" w:eastAsia="宋体" w:cs="宋体"/>
          <w:b w:val="0"/>
          <w:bCs w:val="0"/>
          <w:color w:val="auto"/>
          <w:spacing w:val="-11"/>
          <w:sz w:val="24"/>
          <w:szCs w:val="24"/>
        </w:rPr>
        <w:t>采购人依据磋商小组推荐的成交候选人确定成交人。采购人将依序确定排名第一的供应商为成交人，若排名第一的成交候选人放弃中标、因不可抗力不能履行合同，或者被查实存在影响成交结果的违法行为等情形，不符合成交条件的，采购人可以按照磋商小组提出的成交候选人名单排序依次确定其他成交候选人为成交人，也可以重新招标。</w:t>
      </w:r>
    </w:p>
    <w:p w14:paraId="3D5D7683">
      <w:pPr>
        <w:pStyle w:val="4"/>
        <w:keepNext w:val="0"/>
        <w:keepLines w:val="0"/>
        <w:pageBreakBefore w:val="0"/>
        <w:widowControl w:val="0"/>
        <w:kinsoku/>
        <w:wordWrap w:val="0"/>
        <w:overflowPunct/>
        <w:topLinePunct w:val="0"/>
        <w:bidi w:val="0"/>
        <w:adjustRightInd/>
        <w:snapToGrid/>
        <w:spacing w:line="480" w:lineRule="exact"/>
        <w:ind w:left="0" w:leftChars="0" w:right="0" w:firstLine="436" w:firstLineChars="200"/>
        <w:jc w:val="left"/>
        <w:textAlignment w:val="auto"/>
        <w:rPr>
          <w:rFonts w:hint="eastAsia" w:ascii="宋体" w:hAnsi="宋体" w:eastAsia="宋体" w:cs="宋体"/>
          <w:b w:val="0"/>
          <w:bCs w:val="0"/>
          <w:color w:val="auto"/>
          <w:spacing w:val="-11"/>
          <w:sz w:val="24"/>
          <w:szCs w:val="24"/>
        </w:rPr>
      </w:pPr>
      <w:r>
        <w:rPr>
          <w:rFonts w:hint="eastAsia" w:ascii="宋体" w:hAnsi="宋体" w:cs="宋体"/>
          <w:b w:val="0"/>
          <w:bCs w:val="0"/>
          <w:color w:val="auto"/>
          <w:spacing w:val="-11"/>
          <w:sz w:val="24"/>
          <w:szCs w:val="24"/>
          <w:lang w:val="en-US" w:eastAsia="zh-CN"/>
        </w:rPr>
        <w:t>25</w:t>
      </w:r>
      <w:r>
        <w:rPr>
          <w:rFonts w:hint="eastAsia" w:ascii="宋体" w:hAnsi="宋体" w:eastAsia="宋体" w:cs="宋体"/>
          <w:b w:val="0"/>
          <w:bCs w:val="0"/>
          <w:color w:val="auto"/>
          <w:spacing w:val="-11"/>
          <w:sz w:val="24"/>
          <w:szCs w:val="24"/>
        </w:rPr>
        <w:t>.2</w:t>
      </w:r>
      <w:bookmarkStart w:id="139" w:name="_Toc8188_WPSOffice_Level3"/>
      <w:r>
        <w:rPr>
          <w:rFonts w:hint="eastAsia" w:ascii="宋体" w:hAnsi="宋体" w:cs="宋体"/>
          <w:b w:val="0"/>
          <w:bCs w:val="0"/>
          <w:color w:val="auto"/>
          <w:spacing w:val="-11"/>
          <w:sz w:val="24"/>
          <w:szCs w:val="24"/>
          <w:lang w:val="en-US" w:eastAsia="zh-CN"/>
        </w:rPr>
        <w:t xml:space="preserve"> 采</w:t>
      </w:r>
      <w:r>
        <w:rPr>
          <w:rFonts w:hint="eastAsia" w:ascii="宋体" w:hAnsi="宋体" w:eastAsia="宋体" w:cs="宋体"/>
          <w:b w:val="0"/>
          <w:bCs w:val="0"/>
          <w:color w:val="auto"/>
          <w:spacing w:val="-11"/>
          <w:sz w:val="24"/>
          <w:szCs w:val="24"/>
          <w:lang w:val="en-US" w:eastAsia="zh-CN"/>
        </w:rPr>
        <w:t>购人和其委托代理机构，在政府采购项目评审结束之日起2个工作日内完成评标报告报送、成交人的确认、成交结果公告的发布、成交通知书的发出等工作</w:t>
      </w:r>
      <w:r>
        <w:rPr>
          <w:rFonts w:hint="eastAsia" w:ascii="宋体" w:hAnsi="宋体" w:cs="宋体"/>
          <w:b w:val="0"/>
          <w:bCs w:val="0"/>
          <w:color w:val="auto"/>
          <w:spacing w:val="-11"/>
          <w:sz w:val="24"/>
          <w:szCs w:val="24"/>
          <w:lang w:val="en-US" w:eastAsia="zh-CN"/>
        </w:rPr>
        <w:t>。</w:t>
      </w:r>
    </w:p>
    <w:p w14:paraId="6988E44B">
      <w:pPr>
        <w:pStyle w:val="4"/>
        <w:keepNext w:val="0"/>
        <w:keepLines w:val="0"/>
        <w:pageBreakBefore w:val="0"/>
        <w:widowControl w:val="0"/>
        <w:kinsoku/>
        <w:wordWrap w:val="0"/>
        <w:overflowPunct/>
        <w:topLinePunct w:val="0"/>
        <w:bidi w:val="0"/>
        <w:adjustRightInd/>
        <w:snapToGrid/>
        <w:spacing w:line="480" w:lineRule="exact"/>
        <w:ind w:left="0" w:leftChars="0" w:right="0" w:firstLine="482"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26.</w:t>
      </w:r>
      <w:r>
        <w:rPr>
          <w:rFonts w:hint="eastAsia" w:ascii="宋体" w:hAnsi="宋体" w:eastAsia="宋体" w:cs="宋体"/>
          <w:color w:val="auto"/>
          <w:sz w:val="24"/>
          <w:szCs w:val="24"/>
        </w:rPr>
        <w:t>授予合同时变更数量的权力</w:t>
      </w:r>
      <w:bookmarkEnd w:id="139"/>
    </w:p>
    <w:p w14:paraId="7A5B4A1E">
      <w:pPr>
        <w:pStyle w:val="5"/>
        <w:keepNext w:val="0"/>
        <w:keepLines w:val="0"/>
        <w:pageBreakBefore w:val="0"/>
        <w:widowControl w:val="0"/>
        <w:kinsoku/>
        <w:wordWrap w:val="0"/>
        <w:overflowPunct/>
        <w:topLinePunct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.1 采购人在授予合同时，保留对货物数量予以适当增减的权利。成交供应商不得在此情况下对磋商响应文件做出修改，如价格、服务承诺等。</w:t>
      </w:r>
    </w:p>
    <w:p w14:paraId="74CEB8A2">
      <w:pPr>
        <w:pStyle w:val="4"/>
        <w:keepNext w:val="0"/>
        <w:keepLines w:val="0"/>
        <w:pageBreakBefore w:val="0"/>
        <w:widowControl w:val="0"/>
        <w:kinsoku/>
        <w:wordWrap w:val="0"/>
        <w:overflowPunct/>
        <w:topLinePunct w:val="0"/>
        <w:bidi w:val="0"/>
        <w:adjustRightInd/>
        <w:snapToGrid/>
        <w:spacing w:line="480" w:lineRule="exact"/>
        <w:ind w:left="0" w:leftChars="0" w:right="0" w:firstLine="482" w:firstLineChars="200"/>
        <w:jc w:val="left"/>
        <w:textAlignment w:val="auto"/>
        <w:rPr>
          <w:rFonts w:hint="eastAsia" w:ascii="宋体" w:hAnsi="宋体" w:eastAsia="宋体" w:cs="宋体"/>
          <w:color w:val="auto"/>
          <w:sz w:val="24"/>
          <w:szCs w:val="24"/>
        </w:rPr>
      </w:pPr>
      <w:bookmarkStart w:id="140" w:name="_Toc30112_WPSOffice_Level3"/>
      <w:r>
        <w:rPr>
          <w:rFonts w:hint="eastAsia" w:ascii="宋体" w:hAnsi="宋体" w:eastAsia="宋体" w:cs="宋体"/>
          <w:color w:val="auto"/>
          <w:sz w:val="24"/>
          <w:szCs w:val="24"/>
        </w:rPr>
        <w:t>2</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签订合同</w:t>
      </w:r>
      <w:bookmarkEnd w:id="140"/>
    </w:p>
    <w:p w14:paraId="4067BD1E">
      <w:pPr>
        <w:pStyle w:val="25"/>
        <w:keepNext w:val="0"/>
        <w:keepLines w:val="0"/>
        <w:pageBreakBefore w:val="0"/>
        <w:widowControl w:val="0"/>
        <w:numPr>
          <w:ilvl w:val="0"/>
          <w:numId w:val="0"/>
        </w:numPr>
        <w:tabs>
          <w:tab w:val="left" w:pos="1281"/>
        </w:tabs>
        <w:kinsoku/>
        <w:wordWrap w:val="0"/>
        <w:overflowPunct/>
        <w:topLinePunct w:val="0"/>
        <w:bidi w:val="0"/>
        <w:adjustRightInd/>
        <w:snapToGrid/>
        <w:spacing w:line="480" w:lineRule="exact"/>
        <w:ind w:right="0" w:rightChars="0" w:firstLine="440" w:firstLineChars="200"/>
        <w:jc w:val="left"/>
        <w:textAlignment w:val="auto"/>
        <w:rPr>
          <w:rFonts w:hint="eastAsia" w:ascii="宋体" w:hAnsi="宋体" w:eastAsia="宋体" w:cs="宋体"/>
          <w:color w:val="auto"/>
          <w:sz w:val="24"/>
          <w:szCs w:val="24"/>
        </w:rPr>
      </w:pPr>
      <w:r>
        <w:rPr>
          <w:rFonts w:hint="eastAsia" w:ascii="宋体" w:hAnsi="宋体" w:cs="宋体"/>
          <w:color w:val="auto"/>
          <w:spacing w:val="-10"/>
          <w:sz w:val="24"/>
          <w:szCs w:val="24"/>
          <w:lang w:val="en-US" w:eastAsia="zh-CN"/>
        </w:rPr>
        <w:t xml:space="preserve">27.1 </w:t>
      </w:r>
      <w:r>
        <w:rPr>
          <w:rFonts w:hint="eastAsia" w:ascii="宋体" w:hAnsi="宋体" w:eastAsia="宋体" w:cs="宋体"/>
          <w:color w:val="auto"/>
          <w:spacing w:val="-10"/>
          <w:sz w:val="24"/>
          <w:szCs w:val="24"/>
        </w:rPr>
        <w:t>成交供应商接到《成交通知书》后</w:t>
      </w:r>
      <w:r>
        <w:rPr>
          <w:rFonts w:hint="eastAsia" w:ascii="宋体" w:hAnsi="宋体" w:eastAsia="宋体" w:cs="宋体"/>
          <w:color w:val="auto"/>
          <w:spacing w:val="-1"/>
          <w:sz w:val="24"/>
          <w:szCs w:val="24"/>
        </w:rPr>
        <w:t>按指定地点与采购人签订采购合同；</w:t>
      </w:r>
    </w:p>
    <w:p w14:paraId="79F15473">
      <w:pPr>
        <w:pStyle w:val="25"/>
        <w:keepNext w:val="0"/>
        <w:keepLines w:val="0"/>
        <w:pageBreakBefore w:val="0"/>
        <w:widowControl w:val="0"/>
        <w:numPr>
          <w:ilvl w:val="0"/>
          <w:numId w:val="0"/>
        </w:numPr>
        <w:tabs>
          <w:tab w:val="left" w:pos="128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27.2 </w:t>
      </w:r>
      <w:r>
        <w:rPr>
          <w:rFonts w:hint="eastAsia" w:ascii="宋体" w:hAnsi="宋体" w:eastAsia="宋体" w:cs="宋体"/>
          <w:color w:val="auto"/>
          <w:sz w:val="24"/>
          <w:szCs w:val="24"/>
        </w:rPr>
        <w:t>采购人签发的成交通知书、竞争性磋商文件、成交供应商的磋商响应文件及其澄清文件等，均为签订合同的依据。</w:t>
      </w:r>
    </w:p>
    <w:p w14:paraId="6C77DE18">
      <w:pPr>
        <w:pStyle w:val="25"/>
        <w:keepNext w:val="0"/>
        <w:keepLines w:val="0"/>
        <w:pageBreakBefore w:val="0"/>
        <w:widowControl w:val="0"/>
        <w:numPr>
          <w:ilvl w:val="0"/>
          <w:numId w:val="0"/>
        </w:numPr>
        <w:tabs>
          <w:tab w:val="left" w:pos="1281"/>
        </w:tabs>
        <w:kinsoku/>
        <w:wordWrap w:val="0"/>
        <w:overflowPunct/>
        <w:topLinePunct w:val="0"/>
        <w:bidi w:val="0"/>
        <w:adjustRightInd/>
        <w:snapToGrid/>
        <w:spacing w:line="480" w:lineRule="exact"/>
        <w:ind w:right="0" w:rightChars="0" w:firstLine="472" w:firstLineChars="200"/>
        <w:jc w:val="left"/>
        <w:textAlignment w:val="auto"/>
        <w:rPr>
          <w:rFonts w:hint="eastAsia" w:ascii="宋体" w:hAnsi="宋体" w:eastAsia="宋体" w:cs="宋体"/>
          <w:color w:val="auto"/>
          <w:sz w:val="24"/>
          <w:szCs w:val="24"/>
        </w:rPr>
      </w:pPr>
      <w:r>
        <w:rPr>
          <w:rFonts w:hint="eastAsia" w:ascii="宋体" w:hAnsi="宋体" w:cs="宋体"/>
          <w:color w:val="auto"/>
          <w:spacing w:val="-2"/>
          <w:sz w:val="24"/>
          <w:szCs w:val="24"/>
          <w:lang w:val="en-US" w:eastAsia="zh-CN"/>
        </w:rPr>
        <w:t xml:space="preserve">27.3 </w:t>
      </w:r>
      <w:r>
        <w:rPr>
          <w:rFonts w:hint="eastAsia" w:ascii="宋体" w:hAnsi="宋体" w:eastAsia="宋体" w:cs="宋体"/>
          <w:color w:val="auto"/>
          <w:spacing w:val="-2"/>
          <w:sz w:val="24"/>
          <w:szCs w:val="24"/>
        </w:rPr>
        <w:t xml:space="preserve">如成交供应商拒签合同，则按违约处理，采购人对违约方收取成交金额 </w:t>
      </w:r>
      <w:r>
        <w:rPr>
          <w:rFonts w:hint="eastAsia" w:ascii="宋体" w:hAnsi="宋体" w:eastAsia="宋体" w:cs="宋体"/>
          <w:color w:val="auto"/>
          <w:sz w:val="24"/>
          <w:szCs w:val="24"/>
        </w:rPr>
        <w:t>2%</w:t>
      </w:r>
      <w:r>
        <w:rPr>
          <w:rFonts w:hint="eastAsia" w:ascii="宋体" w:hAnsi="宋体" w:eastAsia="宋体" w:cs="宋体"/>
          <w:color w:val="auto"/>
          <w:spacing w:val="-8"/>
          <w:sz w:val="24"/>
          <w:szCs w:val="24"/>
        </w:rPr>
        <w:t>的违</w:t>
      </w:r>
      <w:r>
        <w:rPr>
          <w:rFonts w:hint="eastAsia" w:ascii="宋体" w:hAnsi="宋体" w:eastAsia="宋体" w:cs="宋体"/>
          <w:color w:val="auto"/>
          <w:sz w:val="24"/>
          <w:szCs w:val="24"/>
        </w:rPr>
        <w:t>约金。</w:t>
      </w:r>
    </w:p>
    <w:p w14:paraId="27D4CFDB">
      <w:pPr>
        <w:pStyle w:val="4"/>
        <w:keepNext w:val="0"/>
        <w:keepLines w:val="0"/>
        <w:pageBreakBefore w:val="0"/>
        <w:widowControl w:val="0"/>
        <w:kinsoku/>
        <w:wordWrap w:val="0"/>
        <w:overflowPunct/>
        <w:topLinePunct w:val="0"/>
        <w:bidi w:val="0"/>
        <w:adjustRightInd/>
        <w:snapToGrid/>
        <w:spacing w:line="480" w:lineRule="exact"/>
        <w:ind w:left="0" w:leftChars="0" w:right="0" w:firstLine="482" w:firstLineChars="200"/>
        <w:jc w:val="left"/>
        <w:textAlignment w:val="auto"/>
        <w:rPr>
          <w:rFonts w:hint="eastAsia" w:ascii="宋体" w:hAnsi="宋体" w:eastAsia="宋体" w:cs="宋体"/>
          <w:color w:val="auto"/>
          <w:sz w:val="24"/>
          <w:szCs w:val="24"/>
        </w:rPr>
      </w:pPr>
      <w:bookmarkStart w:id="141" w:name="_Toc7342_WPSOffice_Level3"/>
      <w:r>
        <w:rPr>
          <w:rFonts w:hint="eastAsia" w:ascii="宋体" w:hAnsi="宋体" w:eastAsia="宋体" w:cs="宋体"/>
          <w:color w:val="auto"/>
          <w:sz w:val="24"/>
          <w:szCs w:val="24"/>
          <w:lang w:val="en-US"/>
        </w:rPr>
        <w:t>2</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特别注意事项：</w:t>
      </w:r>
      <w:bookmarkEnd w:id="141"/>
    </w:p>
    <w:p w14:paraId="2D0A408C">
      <w:pPr>
        <w:pStyle w:val="25"/>
        <w:keepNext w:val="0"/>
        <w:keepLines w:val="0"/>
        <w:pageBreakBefore w:val="0"/>
        <w:widowControl w:val="0"/>
        <w:numPr>
          <w:ilvl w:val="0"/>
          <w:numId w:val="0"/>
        </w:numPr>
        <w:tabs>
          <w:tab w:val="left" w:pos="134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28.1 </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出现下列情形之一的，磋商小组可取消其磋商资格：</w:t>
      </w:r>
    </w:p>
    <w:p w14:paraId="061D30D2">
      <w:pPr>
        <w:pStyle w:val="25"/>
        <w:keepNext w:val="0"/>
        <w:keepLines w:val="0"/>
        <w:pageBreakBefore w:val="0"/>
        <w:widowControl w:val="0"/>
        <w:numPr>
          <w:ilvl w:val="0"/>
          <w:numId w:val="0"/>
        </w:numPr>
        <w:tabs>
          <w:tab w:val="left" w:pos="1342"/>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eastAsia="宋体" w:cs="宋体"/>
          <w:color w:val="auto"/>
          <w:sz w:val="24"/>
          <w:szCs w:val="24"/>
        </w:rPr>
        <w:t>未按磋商文件要求和规定提交实质性响应材料的；</w:t>
      </w:r>
    </w:p>
    <w:p w14:paraId="0C18E392">
      <w:pPr>
        <w:pStyle w:val="25"/>
        <w:keepNext w:val="0"/>
        <w:keepLines w:val="0"/>
        <w:pageBreakBefore w:val="0"/>
        <w:widowControl w:val="0"/>
        <w:numPr>
          <w:ilvl w:val="0"/>
          <w:numId w:val="0"/>
        </w:numPr>
        <w:tabs>
          <w:tab w:val="left" w:pos="1342"/>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相互串通磋商的（有下列情形之一的，视为</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相互串通磋商</w:t>
      </w:r>
      <w:r>
        <w:rPr>
          <w:rFonts w:hint="eastAsia" w:ascii="宋体" w:hAnsi="宋体" w:eastAsia="宋体" w:cs="宋体"/>
          <w:color w:val="auto"/>
          <w:spacing w:val="-120"/>
          <w:sz w:val="24"/>
          <w:szCs w:val="24"/>
        </w:rPr>
        <w:t>）</w:t>
      </w:r>
      <w:r>
        <w:rPr>
          <w:rFonts w:hint="eastAsia" w:ascii="宋体" w:hAnsi="宋体" w:eastAsia="宋体" w:cs="宋体"/>
          <w:color w:val="auto"/>
          <w:sz w:val="24"/>
          <w:szCs w:val="24"/>
        </w:rPr>
        <w:t>；</w:t>
      </w:r>
    </w:p>
    <w:p w14:paraId="610E0BF3">
      <w:pPr>
        <w:pStyle w:val="25"/>
        <w:keepNext w:val="0"/>
        <w:keepLines w:val="0"/>
        <w:pageBreakBefore w:val="0"/>
        <w:widowControl w:val="0"/>
        <w:numPr>
          <w:ilvl w:val="0"/>
          <w:numId w:val="0"/>
        </w:numPr>
        <w:tabs>
          <w:tab w:val="left" w:pos="1342"/>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A、不同</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的响应文件由同一单位或者个人编制</w:t>
      </w:r>
    </w:p>
    <w:p w14:paraId="5F23C425">
      <w:pPr>
        <w:pStyle w:val="5"/>
        <w:keepNext w:val="0"/>
        <w:keepLines w:val="0"/>
        <w:pageBreakBefore w:val="0"/>
        <w:widowControl w:val="0"/>
        <w:kinsoku/>
        <w:wordWrap w:val="0"/>
        <w:overflowPunct/>
        <w:topLinePunct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B、不同</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委托同一单位或者个人办理磋商事宜</w:t>
      </w:r>
    </w:p>
    <w:p w14:paraId="44A71E87">
      <w:pPr>
        <w:pStyle w:val="5"/>
        <w:keepNext w:val="0"/>
        <w:keepLines w:val="0"/>
        <w:pageBreakBefore w:val="0"/>
        <w:widowControl w:val="0"/>
        <w:kinsoku/>
        <w:wordWrap w:val="0"/>
        <w:overflowPunct/>
        <w:topLinePunct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C、不同</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的响应文件载明的项目管理成员为同一人</w:t>
      </w:r>
    </w:p>
    <w:p w14:paraId="34B74FE7">
      <w:pPr>
        <w:pStyle w:val="5"/>
        <w:keepNext w:val="0"/>
        <w:keepLines w:val="0"/>
        <w:pageBreakBefore w:val="0"/>
        <w:widowControl w:val="0"/>
        <w:kinsoku/>
        <w:wordWrap w:val="0"/>
        <w:overflowPunct/>
        <w:topLinePunct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D、不同</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的响应文件异常一致或者磋商报价呈规律性差异</w:t>
      </w:r>
    </w:p>
    <w:p w14:paraId="52D49412">
      <w:pPr>
        <w:pStyle w:val="25"/>
        <w:keepNext w:val="0"/>
        <w:keepLines w:val="0"/>
        <w:pageBreakBefore w:val="0"/>
        <w:widowControl w:val="0"/>
        <w:numPr>
          <w:ilvl w:val="0"/>
          <w:numId w:val="0"/>
        </w:numPr>
        <w:tabs>
          <w:tab w:val="left" w:pos="134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28.2 </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出现下列情形之一的，将被视为非实质性响应磋商文件要求：</w:t>
      </w:r>
    </w:p>
    <w:p w14:paraId="0B955481">
      <w:pPr>
        <w:pStyle w:val="25"/>
        <w:keepNext w:val="0"/>
        <w:keepLines w:val="0"/>
        <w:pageBreakBefore w:val="0"/>
        <w:widowControl w:val="0"/>
        <w:numPr>
          <w:ilvl w:val="0"/>
          <w:numId w:val="0"/>
        </w:numPr>
        <w:tabs>
          <w:tab w:val="left" w:pos="122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（完成）期限不确切或不符合磋商文件要求的；</w:t>
      </w:r>
    </w:p>
    <w:p w14:paraId="34194CCA">
      <w:pPr>
        <w:pStyle w:val="25"/>
        <w:keepNext w:val="0"/>
        <w:keepLines w:val="0"/>
        <w:pageBreakBefore w:val="0"/>
        <w:widowControl w:val="0"/>
        <w:numPr>
          <w:ilvl w:val="0"/>
          <w:numId w:val="0"/>
        </w:numPr>
        <w:tabs>
          <w:tab w:val="left" w:pos="122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最后报价有选择性的；</w:t>
      </w:r>
    </w:p>
    <w:p w14:paraId="67AF6DB0">
      <w:pPr>
        <w:pStyle w:val="25"/>
        <w:keepNext w:val="0"/>
        <w:keepLines w:val="0"/>
        <w:pageBreakBefore w:val="0"/>
        <w:widowControl w:val="0"/>
        <w:numPr>
          <w:ilvl w:val="0"/>
          <w:numId w:val="0"/>
        </w:numPr>
        <w:tabs>
          <w:tab w:val="left" w:pos="122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eastAsia="宋体" w:cs="宋体"/>
          <w:color w:val="auto"/>
          <w:sz w:val="24"/>
          <w:szCs w:val="24"/>
        </w:rPr>
        <w:t>最后报价超过采购预算金额的；</w:t>
      </w:r>
    </w:p>
    <w:p w14:paraId="584881AC">
      <w:pPr>
        <w:pStyle w:val="25"/>
        <w:keepNext w:val="0"/>
        <w:keepLines w:val="0"/>
        <w:pageBreakBefore w:val="0"/>
        <w:widowControl w:val="0"/>
        <w:numPr>
          <w:ilvl w:val="0"/>
          <w:numId w:val="0"/>
        </w:numPr>
        <w:tabs>
          <w:tab w:val="left" w:pos="122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w:t>
      </w:r>
      <w:r>
        <w:rPr>
          <w:rFonts w:hint="eastAsia" w:ascii="宋体" w:hAnsi="宋体" w:eastAsia="宋体" w:cs="宋体"/>
          <w:color w:val="auto"/>
          <w:sz w:val="24"/>
          <w:szCs w:val="24"/>
        </w:rPr>
        <w:t>被磋商小组认定存在重大负偏离的；</w:t>
      </w:r>
    </w:p>
    <w:p w14:paraId="5CE1592C">
      <w:pPr>
        <w:pStyle w:val="5"/>
        <w:keepNext w:val="0"/>
        <w:keepLines w:val="0"/>
        <w:pageBreakBefore w:val="0"/>
        <w:widowControl w:val="0"/>
        <w:kinsoku/>
        <w:wordWrap w:val="0"/>
        <w:overflowPunct/>
        <w:topLinePunct w:val="0"/>
        <w:bidi w:val="0"/>
        <w:adjustRightInd/>
        <w:snapToGrid/>
        <w:spacing w:line="480" w:lineRule="exact"/>
        <w:ind w:left="0" w:right="0" w:firstLine="43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1"/>
          <w:sz w:val="24"/>
          <w:szCs w:val="24"/>
        </w:rPr>
        <w:t>注：所谓重大负偏离是指</w:t>
      </w:r>
      <w:r>
        <w:rPr>
          <w:rFonts w:hint="eastAsia" w:ascii="宋体" w:hAnsi="宋体" w:eastAsia="宋体" w:cs="宋体"/>
          <w:color w:val="auto"/>
          <w:spacing w:val="-11"/>
          <w:sz w:val="24"/>
          <w:szCs w:val="24"/>
          <w:lang w:eastAsia="zh-CN"/>
        </w:rPr>
        <w:t>投标供应商</w:t>
      </w:r>
      <w:r>
        <w:rPr>
          <w:rFonts w:hint="eastAsia" w:ascii="宋体" w:hAnsi="宋体" w:eastAsia="宋体" w:cs="宋体"/>
          <w:color w:val="auto"/>
          <w:spacing w:val="-11"/>
          <w:sz w:val="24"/>
          <w:szCs w:val="24"/>
        </w:rPr>
        <w:t>对磋商文件的响应在范围、质量、数量和</w:t>
      </w:r>
      <w:r>
        <w:rPr>
          <w:rFonts w:hint="eastAsia" w:ascii="宋体" w:hAnsi="宋体" w:eastAsia="宋体" w:cs="宋体"/>
          <w:color w:val="auto"/>
          <w:spacing w:val="-11"/>
          <w:sz w:val="24"/>
          <w:szCs w:val="24"/>
          <w:lang w:val="en-US" w:eastAsia="zh-CN"/>
        </w:rPr>
        <w:t>服务</w:t>
      </w:r>
      <w:r>
        <w:rPr>
          <w:rFonts w:hint="eastAsia" w:ascii="宋体" w:hAnsi="宋体" w:eastAsia="宋体" w:cs="宋体"/>
          <w:color w:val="auto"/>
          <w:sz w:val="24"/>
          <w:szCs w:val="24"/>
        </w:rPr>
        <w:t>（完成）期限、技术规格要求等方面明显不能满足采购需求的。重大负偏离的认定须经磋商小组三分之二以上同意。</w:t>
      </w:r>
    </w:p>
    <w:p w14:paraId="1F700D2D">
      <w:pPr>
        <w:pStyle w:val="4"/>
        <w:keepNext w:val="0"/>
        <w:keepLines w:val="0"/>
        <w:pageBreakBefore w:val="0"/>
        <w:widowControl w:val="0"/>
        <w:numPr>
          <w:ilvl w:val="0"/>
          <w:numId w:val="0"/>
        </w:numPr>
        <w:tabs>
          <w:tab w:val="left" w:pos="1222"/>
        </w:tabs>
        <w:kinsoku/>
        <w:wordWrap w:val="0"/>
        <w:overflowPunct/>
        <w:topLinePunct w:val="0"/>
        <w:bidi w:val="0"/>
        <w:adjustRightInd/>
        <w:snapToGrid/>
        <w:spacing w:line="480" w:lineRule="exact"/>
        <w:ind w:right="0" w:rightChars="0" w:firstLine="482" w:firstLineChars="200"/>
        <w:jc w:val="left"/>
        <w:textAlignment w:val="auto"/>
        <w:rPr>
          <w:rFonts w:hint="eastAsia" w:ascii="宋体" w:hAnsi="宋体" w:eastAsia="宋体" w:cs="宋体"/>
          <w:color w:val="auto"/>
          <w:sz w:val="24"/>
          <w:szCs w:val="24"/>
        </w:rPr>
      </w:pPr>
      <w:bookmarkStart w:id="142" w:name="_Toc7366_WPSOffice_Level3"/>
      <w:r>
        <w:rPr>
          <w:rFonts w:hint="eastAsia" w:ascii="宋体" w:hAnsi="宋体" w:cs="宋体"/>
          <w:color w:val="auto"/>
          <w:sz w:val="24"/>
          <w:szCs w:val="24"/>
          <w:lang w:val="en-US" w:eastAsia="zh-CN"/>
        </w:rPr>
        <w:t>29.</w:t>
      </w:r>
      <w:r>
        <w:rPr>
          <w:rFonts w:hint="eastAsia" w:ascii="宋体" w:hAnsi="宋体" w:eastAsia="宋体" w:cs="宋体"/>
          <w:color w:val="auto"/>
          <w:sz w:val="24"/>
          <w:szCs w:val="24"/>
        </w:rPr>
        <w:t>询问</w:t>
      </w:r>
      <w:bookmarkEnd w:id="142"/>
    </w:p>
    <w:p w14:paraId="70092EB0">
      <w:pPr>
        <w:pStyle w:val="25"/>
        <w:keepNext w:val="0"/>
        <w:keepLines w:val="0"/>
        <w:pageBreakBefore w:val="0"/>
        <w:widowControl w:val="0"/>
        <w:numPr>
          <w:ilvl w:val="0"/>
          <w:numId w:val="0"/>
        </w:numPr>
        <w:tabs>
          <w:tab w:val="left" w:pos="1341"/>
        </w:tabs>
        <w:kinsoku/>
        <w:wordWrap w:val="0"/>
        <w:overflowPunct/>
        <w:topLinePunct w:val="0"/>
        <w:bidi w:val="0"/>
        <w:adjustRightInd/>
        <w:snapToGrid/>
        <w:spacing w:line="480" w:lineRule="exact"/>
        <w:ind w:right="0" w:rightChars="0" w:firstLine="476" w:firstLineChars="200"/>
        <w:jc w:val="left"/>
        <w:textAlignment w:val="auto"/>
        <w:rPr>
          <w:rFonts w:hint="eastAsia" w:ascii="宋体" w:hAnsi="宋体" w:eastAsia="宋体" w:cs="宋体"/>
          <w:color w:val="auto"/>
          <w:sz w:val="24"/>
          <w:szCs w:val="24"/>
        </w:rPr>
      </w:pPr>
      <w:r>
        <w:rPr>
          <w:rFonts w:hint="eastAsia" w:ascii="宋体" w:hAnsi="宋体" w:cs="宋体"/>
          <w:color w:val="auto"/>
          <w:spacing w:val="-1"/>
          <w:sz w:val="24"/>
          <w:szCs w:val="24"/>
          <w:lang w:val="en-US" w:eastAsia="zh-CN"/>
        </w:rPr>
        <w:t xml:space="preserve">29.1 </w:t>
      </w:r>
      <w:r>
        <w:rPr>
          <w:rFonts w:hint="eastAsia" w:ascii="宋体" w:hAnsi="宋体" w:eastAsia="宋体" w:cs="宋体"/>
          <w:color w:val="auto"/>
          <w:spacing w:val="-1"/>
          <w:sz w:val="24"/>
          <w:szCs w:val="24"/>
          <w:lang w:eastAsia="zh-CN"/>
        </w:rPr>
        <w:t>投标供应商</w:t>
      </w:r>
      <w:r>
        <w:rPr>
          <w:rFonts w:hint="eastAsia" w:ascii="宋体" w:hAnsi="宋体" w:eastAsia="宋体" w:cs="宋体"/>
          <w:color w:val="auto"/>
          <w:spacing w:val="-1"/>
          <w:sz w:val="24"/>
          <w:szCs w:val="24"/>
        </w:rPr>
        <w:t>对采购事项有疑问，可以按照《政府采购法》的相关规定向采</w:t>
      </w:r>
      <w:r>
        <w:rPr>
          <w:rFonts w:hint="eastAsia" w:ascii="宋体" w:hAnsi="宋体" w:eastAsia="宋体" w:cs="宋体"/>
          <w:color w:val="auto"/>
          <w:sz w:val="24"/>
          <w:szCs w:val="24"/>
        </w:rPr>
        <w:t>购人或采购机构提出询问。</w:t>
      </w:r>
    </w:p>
    <w:p w14:paraId="7D15CA65">
      <w:pPr>
        <w:pStyle w:val="4"/>
        <w:keepNext w:val="0"/>
        <w:keepLines w:val="0"/>
        <w:pageBreakBefore w:val="0"/>
        <w:widowControl w:val="0"/>
        <w:numPr>
          <w:ilvl w:val="0"/>
          <w:numId w:val="0"/>
        </w:numPr>
        <w:tabs>
          <w:tab w:val="left" w:pos="1222"/>
        </w:tabs>
        <w:kinsoku/>
        <w:wordWrap w:val="0"/>
        <w:overflowPunct/>
        <w:topLinePunct w:val="0"/>
        <w:bidi w:val="0"/>
        <w:adjustRightInd/>
        <w:snapToGrid/>
        <w:spacing w:line="480" w:lineRule="exact"/>
        <w:ind w:right="0" w:rightChars="0" w:firstLine="482"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重新招标</w:t>
      </w:r>
    </w:p>
    <w:p w14:paraId="1991F875">
      <w:pPr>
        <w:keepNext w:val="0"/>
        <w:keepLines w:val="0"/>
        <w:pageBreakBefore w:val="0"/>
        <w:widowControl w:val="0"/>
        <w:kinsoku/>
        <w:wordWrap w:val="0"/>
        <w:overflowPunct/>
        <w:topLinePunct w:val="0"/>
        <w:autoSpaceDE/>
        <w:autoSpaceDN/>
        <w:bidi w:val="0"/>
        <w:adjustRightInd/>
        <w:snapToGrid/>
        <w:spacing w:line="480" w:lineRule="exact"/>
        <w:ind w:left="0" w:leftChars="0" w:right="0" w:firstLine="480" w:firstLineChars="200"/>
        <w:jc w:val="left"/>
        <w:textAlignment w:val="auto"/>
        <w:rPr>
          <w:rFonts w:hint="eastAsia" w:ascii="宋体" w:hAnsi="宋体" w:eastAsia="宋体" w:cs="宋体"/>
          <w:b w:val="0"/>
          <w:bCs w:val="0"/>
          <w:color w:val="auto"/>
          <w:kern w:val="1"/>
          <w:sz w:val="24"/>
          <w:szCs w:val="24"/>
          <w:lang w:val="en-US" w:eastAsia="zh-CN" w:bidi="ar-SA"/>
        </w:rPr>
      </w:pPr>
      <w:bookmarkStart w:id="143" w:name="_Toc438797215"/>
      <w:bookmarkStart w:id="144" w:name="_Toc438797980"/>
      <w:bookmarkStart w:id="145" w:name="_Toc391284777"/>
      <w:r>
        <w:rPr>
          <w:rFonts w:hint="eastAsia" w:ascii="宋体" w:hAnsi="宋体" w:eastAsia="宋体" w:cs="宋体"/>
          <w:b w:val="0"/>
          <w:bCs w:val="0"/>
          <w:color w:val="auto"/>
          <w:kern w:val="1"/>
          <w:sz w:val="24"/>
          <w:szCs w:val="24"/>
          <w:lang w:val="en-US" w:eastAsia="zh-CN" w:bidi="ar-SA"/>
        </w:rPr>
        <w:t xml:space="preserve">出现下列情形之一的，将终止竞争性磋商磋商活动，发布项目终止公告并说明原因，重新开展磋商活动： </w:t>
      </w:r>
    </w:p>
    <w:p w14:paraId="538829F4">
      <w:pPr>
        <w:keepNext w:val="0"/>
        <w:keepLines w:val="0"/>
        <w:pageBreakBefore w:val="0"/>
        <w:widowControl w:val="0"/>
        <w:kinsoku/>
        <w:wordWrap w:val="0"/>
        <w:overflowPunct/>
        <w:topLinePunct w:val="0"/>
        <w:autoSpaceDE/>
        <w:autoSpaceDN/>
        <w:bidi w:val="0"/>
        <w:adjustRightInd/>
        <w:snapToGrid/>
        <w:spacing w:line="480" w:lineRule="exact"/>
        <w:ind w:right="0" w:firstLine="480" w:firstLineChars="200"/>
        <w:jc w:val="left"/>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 xml:space="preserve">（1）因情况变化，不再符合规定的竞争性磋商磋商方式,适用情形的；出现 影响磋商公正的违法、违规行为的； </w:t>
      </w:r>
    </w:p>
    <w:p w14:paraId="71BCCA8B">
      <w:pPr>
        <w:keepNext w:val="0"/>
        <w:keepLines w:val="0"/>
        <w:pageBreakBefore w:val="0"/>
        <w:widowControl w:val="0"/>
        <w:kinsoku/>
        <w:wordWrap w:val="0"/>
        <w:overflowPunct/>
        <w:topLinePunct w:val="0"/>
        <w:autoSpaceDE/>
        <w:autoSpaceDN/>
        <w:bidi w:val="0"/>
        <w:adjustRightInd/>
        <w:snapToGrid/>
        <w:spacing w:line="480" w:lineRule="exact"/>
        <w:ind w:right="0" w:firstLine="480" w:firstLineChars="200"/>
        <w:jc w:val="left"/>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 xml:space="preserve">（2）不符合法律、法规和竞争性磋商文件规定的其他实质性要求的； </w:t>
      </w:r>
    </w:p>
    <w:p w14:paraId="4F1FE274">
      <w:pPr>
        <w:keepNext w:val="0"/>
        <w:keepLines w:val="0"/>
        <w:pageBreakBefore w:val="0"/>
        <w:widowControl w:val="0"/>
        <w:kinsoku/>
        <w:wordWrap w:val="0"/>
        <w:overflowPunct/>
        <w:topLinePunct w:val="0"/>
        <w:autoSpaceDE/>
        <w:autoSpaceDN/>
        <w:bidi w:val="0"/>
        <w:adjustRightInd/>
        <w:snapToGrid/>
        <w:spacing w:line="480" w:lineRule="exact"/>
        <w:ind w:right="0" w:firstLine="480" w:firstLineChars="200"/>
        <w:jc w:val="left"/>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（3）其他法律、法规及本竞争性磋商文件规定的属响应无效的情形，终止竞争性磋商磋商活动的条款等；</w:t>
      </w:r>
    </w:p>
    <w:p w14:paraId="33D81DB1">
      <w:pPr>
        <w:keepNext w:val="0"/>
        <w:keepLines w:val="0"/>
        <w:pageBreakBefore w:val="0"/>
        <w:widowControl w:val="0"/>
        <w:kinsoku/>
        <w:wordWrap w:val="0"/>
        <w:overflowPunct/>
        <w:topLinePunct w:val="0"/>
        <w:autoSpaceDE/>
        <w:autoSpaceDN/>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1"/>
          <w:sz w:val="24"/>
          <w:szCs w:val="24"/>
          <w:lang w:val="en-US" w:eastAsia="zh-CN" w:bidi="ar-SA"/>
        </w:rPr>
        <w:t>（4）磋商截止时间后参加开标的供应商不足3家的，应重新组织采购，评审期间通过资格审查的供应商或者对磋商响应文件作出实质响应的供应商不足3家的，应重新组织采购。</w:t>
      </w:r>
      <w:bookmarkEnd w:id="143"/>
      <w:bookmarkEnd w:id="144"/>
      <w:bookmarkEnd w:id="145"/>
    </w:p>
    <w:p w14:paraId="679D9615">
      <w:pPr>
        <w:pStyle w:val="4"/>
        <w:keepNext w:val="0"/>
        <w:keepLines w:val="0"/>
        <w:pageBreakBefore w:val="0"/>
        <w:widowControl w:val="0"/>
        <w:numPr>
          <w:ilvl w:val="0"/>
          <w:numId w:val="0"/>
        </w:numPr>
        <w:tabs>
          <w:tab w:val="left" w:pos="1105"/>
        </w:tabs>
        <w:kinsoku/>
        <w:wordWrap w:val="0"/>
        <w:overflowPunct/>
        <w:topLinePunct w:val="0"/>
        <w:bidi w:val="0"/>
        <w:adjustRightInd/>
        <w:snapToGrid/>
        <w:spacing w:line="480" w:lineRule="exact"/>
        <w:ind w:right="0" w:rightChars="0" w:firstLine="482" w:firstLineChars="200"/>
        <w:jc w:val="left"/>
        <w:textAlignment w:val="auto"/>
        <w:rPr>
          <w:rFonts w:hint="eastAsia" w:ascii="宋体" w:hAnsi="宋体" w:eastAsia="宋体" w:cs="宋体"/>
          <w:color w:val="auto"/>
          <w:sz w:val="24"/>
          <w:szCs w:val="24"/>
        </w:rPr>
      </w:pPr>
      <w:bookmarkStart w:id="146" w:name="_Toc13604_WPSOffice_Level3"/>
      <w:r>
        <w:rPr>
          <w:rFonts w:hint="eastAsia" w:ascii="宋体" w:hAnsi="宋体" w:cs="宋体"/>
          <w:color w:val="auto"/>
          <w:sz w:val="24"/>
          <w:szCs w:val="24"/>
          <w:lang w:val="en-US" w:eastAsia="zh-CN"/>
        </w:rPr>
        <w:t>31.</w:t>
      </w:r>
      <w:r>
        <w:rPr>
          <w:rFonts w:hint="eastAsia" w:ascii="宋体" w:hAnsi="宋体" w:eastAsia="宋体" w:cs="宋体"/>
          <w:color w:val="auto"/>
          <w:sz w:val="24"/>
          <w:szCs w:val="24"/>
        </w:rPr>
        <w:t>质疑程序及处理</w:t>
      </w:r>
      <w:bookmarkEnd w:id="146"/>
    </w:p>
    <w:p w14:paraId="054D8BB5">
      <w:pPr>
        <w:pStyle w:val="25"/>
        <w:keepNext w:val="0"/>
        <w:keepLines w:val="0"/>
        <w:pageBreakBefore w:val="0"/>
        <w:widowControl w:val="0"/>
        <w:numPr>
          <w:ilvl w:val="0"/>
          <w:numId w:val="0"/>
        </w:numPr>
        <w:tabs>
          <w:tab w:val="left" w:pos="1341"/>
        </w:tabs>
        <w:kinsoku/>
        <w:wordWrap w:val="0"/>
        <w:overflowPunct/>
        <w:topLinePunct w:val="0"/>
        <w:bidi w:val="0"/>
        <w:adjustRightInd/>
        <w:snapToGrid/>
        <w:spacing w:line="480" w:lineRule="exact"/>
        <w:ind w:right="0" w:rightChars="0" w:firstLine="476" w:firstLineChars="200"/>
        <w:jc w:val="left"/>
        <w:textAlignment w:val="auto"/>
        <w:rPr>
          <w:rFonts w:hint="eastAsia" w:ascii="宋体" w:hAnsi="宋体" w:eastAsia="宋体" w:cs="宋体"/>
          <w:color w:val="auto"/>
          <w:sz w:val="24"/>
          <w:szCs w:val="24"/>
        </w:rPr>
      </w:pPr>
      <w:r>
        <w:rPr>
          <w:rFonts w:hint="eastAsia" w:ascii="宋体" w:hAnsi="宋体" w:cs="宋体"/>
          <w:color w:val="auto"/>
          <w:spacing w:val="-1"/>
          <w:sz w:val="24"/>
          <w:szCs w:val="24"/>
          <w:lang w:val="en-US" w:eastAsia="zh-CN"/>
        </w:rPr>
        <w:t xml:space="preserve">31.1 </w:t>
      </w:r>
      <w:r>
        <w:rPr>
          <w:rFonts w:hint="eastAsia" w:ascii="宋体" w:hAnsi="宋体" w:eastAsia="宋体" w:cs="宋体"/>
          <w:color w:val="auto"/>
          <w:spacing w:val="-1"/>
          <w:sz w:val="24"/>
          <w:szCs w:val="24"/>
        </w:rPr>
        <w:t>若竞争性磋商响应人认为其磋商未获公平评审或磋商文件、采购过程和成交结</w:t>
      </w:r>
      <w:r>
        <w:rPr>
          <w:rFonts w:hint="eastAsia" w:ascii="宋体" w:hAnsi="宋体" w:eastAsia="宋体" w:cs="宋体"/>
          <w:color w:val="auto"/>
          <w:spacing w:val="-4"/>
          <w:sz w:val="24"/>
          <w:szCs w:val="24"/>
        </w:rPr>
        <w:t xml:space="preserve">果使自己的合法权益受到损害，可以在知道或者应知其权益受到损害之日起 </w:t>
      </w:r>
      <w:r>
        <w:rPr>
          <w:rFonts w:hint="eastAsia" w:ascii="宋体" w:hAnsi="宋体" w:eastAsia="宋体" w:cs="宋体"/>
          <w:color w:val="auto"/>
          <w:sz w:val="24"/>
          <w:szCs w:val="24"/>
        </w:rPr>
        <w:t>7</w:t>
      </w:r>
      <w:r>
        <w:rPr>
          <w:rFonts w:hint="eastAsia" w:ascii="宋体" w:hAnsi="宋体" w:eastAsia="宋体" w:cs="宋体"/>
          <w:color w:val="auto"/>
          <w:spacing w:val="-4"/>
          <w:sz w:val="24"/>
          <w:szCs w:val="24"/>
        </w:rPr>
        <w:t xml:space="preserve"> 个工作日</w:t>
      </w:r>
      <w:r>
        <w:rPr>
          <w:rFonts w:hint="eastAsia" w:ascii="宋体" w:hAnsi="宋体" w:eastAsia="宋体" w:cs="宋体"/>
          <w:color w:val="auto"/>
          <w:sz w:val="24"/>
          <w:szCs w:val="24"/>
        </w:rPr>
        <w:t>内，将质疑书原件送达采购人或采购代理机构。提出质疑期限的计算，依照下列规定办理：</w:t>
      </w:r>
    </w:p>
    <w:p w14:paraId="7E705B19">
      <w:pPr>
        <w:pStyle w:val="5"/>
        <w:keepNext w:val="0"/>
        <w:keepLines w:val="0"/>
        <w:pageBreakBefore w:val="0"/>
        <w:widowControl w:val="0"/>
        <w:kinsoku/>
        <w:wordWrap w:val="0"/>
        <w:overflowPunct/>
        <w:topLinePunct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pacing w:val="-58"/>
          <w:sz w:val="24"/>
          <w:szCs w:val="24"/>
        </w:rPr>
        <w:t>）</w:t>
      </w:r>
      <w:r>
        <w:rPr>
          <w:rFonts w:hint="eastAsia" w:ascii="宋体" w:hAnsi="宋体" w:eastAsia="宋体" w:cs="宋体"/>
          <w:color w:val="auto"/>
          <w:spacing w:val="-5"/>
          <w:sz w:val="24"/>
          <w:szCs w:val="24"/>
        </w:rPr>
        <w:t>对可以质疑的磋商文件提出质疑的，为收到磋商文件之日或者磋商文件公告期</w:t>
      </w:r>
      <w:r>
        <w:rPr>
          <w:rFonts w:hint="eastAsia" w:ascii="宋体" w:hAnsi="宋体" w:eastAsia="宋体" w:cs="宋体"/>
          <w:color w:val="auto"/>
          <w:sz w:val="24"/>
          <w:szCs w:val="24"/>
        </w:rPr>
        <w:t>限届满之日；</w:t>
      </w:r>
    </w:p>
    <w:p w14:paraId="4E8F6247">
      <w:pPr>
        <w:pStyle w:val="5"/>
        <w:keepNext w:val="0"/>
        <w:keepLines w:val="0"/>
        <w:pageBreakBefore w:val="0"/>
        <w:widowControl w:val="0"/>
        <w:kinsoku/>
        <w:wordWrap w:val="0"/>
        <w:overflowPunct/>
        <w:topLinePunct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（二）对采购过程提出质疑的，为各采购程序环节结束之日；</w:t>
      </w:r>
    </w:p>
    <w:p w14:paraId="71AC5208">
      <w:pPr>
        <w:pStyle w:val="5"/>
        <w:keepNext w:val="0"/>
        <w:keepLines w:val="0"/>
        <w:pageBreakBefore w:val="0"/>
        <w:widowControl w:val="0"/>
        <w:kinsoku/>
        <w:wordWrap w:val="0"/>
        <w:overflowPunct/>
        <w:topLinePunct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（三）对成交结果提出质疑的，为成交结果公告期限届满之日。</w:t>
      </w:r>
    </w:p>
    <w:p w14:paraId="2532064A">
      <w:pPr>
        <w:pStyle w:val="25"/>
        <w:keepNext w:val="0"/>
        <w:keepLines w:val="0"/>
        <w:pageBreakBefore w:val="0"/>
        <w:widowControl w:val="0"/>
        <w:numPr>
          <w:ilvl w:val="0"/>
          <w:numId w:val="0"/>
        </w:numPr>
        <w:tabs>
          <w:tab w:val="left" w:pos="1341"/>
        </w:tabs>
        <w:kinsoku/>
        <w:wordWrap w:val="0"/>
        <w:overflowPunct/>
        <w:topLinePunct w:val="0"/>
        <w:bidi w:val="0"/>
        <w:adjustRightInd/>
        <w:snapToGrid/>
        <w:spacing w:line="480" w:lineRule="exact"/>
        <w:ind w:right="0" w:rightChars="0" w:firstLine="476" w:firstLineChars="200"/>
        <w:jc w:val="left"/>
        <w:textAlignment w:val="auto"/>
        <w:rPr>
          <w:rFonts w:hint="eastAsia" w:ascii="宋体" w:hAnsi="宋体" w:eastAsia="宋体" w:cs="宋体"/>
          <w:color w:val="auto"/>
          <w:sz w:val="24"/>
          <w:szCs w:val="24"/>
        </w:rPr>
      </w:pPr>
      <w:r>
        <w:rPr>
          <w:rFonts w:hint="eastAsia" w:ascii="宋体" w:hAnsi="宋体" w:cs="宋体"/>
          <w:color w:val="auto"/>
          <w:spacing w:val="-1"/>
          <w:sz w:val="24"/>
          <w:szCs w:val="24"/>
          <w:lang w:val="en-US" w:eastAsia="zh-CN"/>
        </w:rPr>
        <w:t xml:space="preserve">31.2 </w:t>
      </w:r>
      <w:r>
        <w:rPr>
          <w:rFonts w:hint="eastAsia" w:ascii="宋体" w:hAnsi="宋体" w:eastAsia="宋体" w:cs="宋体"/>
          <w:color w:val="auto"/>
          <w:spacing w:val="-1"/>
          <w:sz w:val="24"/>
          <w:szCs w:val="24"/>
        </w:rPr>
        <w:t>质疑书应当包括下列主要内容，并按照“谁主张、谁举证”的原则，附上相关</w:t>
      </w:r>
      <w:r>
        <w:rPr>
          <w:rFonts w:hint="eastAsia" w:ascii="宋体" w:hAnsi="宋体" w:eastAsia="宋体" w:cs="宋体"/>
          <w:color w:val="auto"/>
          <w:sz w:val="24"/>
          <w:szCs w:val="24"/>
        </w:rPr>
        <w:t>证明材料。否则，采购人不予受理：</w:t>
      </w:r>
    </w:p>
    <w:p w14:paraId="4FCF77DE">
      <w:pPr>
        <w:pStyle w:val="5"/>
        <w:keepNext w:val="0"/>
        <w:keepLines w:val="0"/>
        <w:pageBreakBefore w:val="0"/>
        <w:widowControl w:val="0"/>
        <w:kinsoku/>
        <w:wordWrap w:val="0"/>
        <w:overflowPunct/>
        <w:topLinePunct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pacing w:val="-24"/>
          <w:sz w:val="24"/>
          <w:szCs w:val="24"/>
        </w:rPr>
        <w:t>）</w:t>
      </w:r>
      <w:r>
        <w:rPr>
          <w:rFonts w:hint="eastAsia" w:ascii="宋体" w:hAnsi="宋体" w:eastAsia="宋体" w:cs="宋体"/>
          <w:color w:val="auto"/>
          <w:spacing w:val="-7"/>
          <w:sz w:val="24"/>
          <w:szCs w:val="24"/>
        </w:rPr>
        <w:t>质疑</w:t>
      </w:r>
      <w:r>
        <w:rPr>
          <w:rFonts w:hint="eastAsia" w:ascii="宋体" w:hAnsi="宋体" w:eastAsia="宋体" w:cs="宋体"/>
          <w:color w:val="auto"/>
          <w:spacing w:val="-7"/>
          <w:sz w:val="24"/>
          <w:szCs w:val="24"/>
          <w:lang w:eastAsia="zh-CN"/>
        </w:rPr>
        <w:t>投标供应商</w:t>
      </w:r>
      <w:r>
        <w:rPr>
          <w:rFonts w:hint="eastAsia" w:ascii="宋体" w:hAnsi="宋体" w:eastAsia="宋体" w:cs="宋体"/>
          <w:color w:val="auto"/>
          <w:spacing w:val="-7"/>
          <w:sz w:val="24"/>
          <w:szCs w:val="24"/>
        </w:rPr>
        <w:t>全称、地址、法定代表人、联系人及联系电话、邮政编码</w:t>
      </w:r>
      <w:r>
        <w:rPr>
          <w:rFonts w:hint="eastAsia" w:ascii="宋体" w:hAnsi="宋体" w:eastAsia="宋体" w:cs="宋体"/>
          <w:color w:val="auto"/>
          <w:sz w:val="24"/>
          <w:szCs w:val="24"/>
        </w:rPr>
        <w:t>等；</w:t>
      </w:r>
    </w:p>
    <w:p w14:paraId="46D7C8F8">
      <w:pPr>
        <w:pStyle w:val="5"/>
        <w:keepNext w:val="0"/>
        <w:keepLines w:val="0"/>
        <w:pageBreakBefore w:val="0"/>
        <w:widowControl w:val="0"/>
        <w:kinsoku/>
        <w:wordWrap w:val="0"/>
        <w:overflowPunct/>
        <w:topLinePunct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（二）被质疑采购项目的名称、编号；</w:t>
      </w:r>
    </w:p>
    <w:p w14:paraId="1669A318">
      <w:pPr>
        <w:pStyle w:val="5"/>
        <w:keepNext w:val="0"/>
        <w:keepLines w:val="0"/>
        <w:pageBreakBefore w:val="0"/>
        <w:widowControl w:val="0"/>
        <w:kinsoku/>
        <w:wordWrap w:val="0"/>
        <w:overflowPunct/>
        <w:topLinePunct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（三）质疑的具体事项、明确的请求和主张；</w:t>
      </w:r>
    </w:p>
    <w:p w14:paraId="1C070223">
      <w:pPr>
        <w:pStyle w:val="5"/>
        <w:keepNext w:val="0"/>
        <w:keepLines w:val="0"/>
        <w:pageBreakBefore w:val="0"/>
        <w:widowControl w:val="0"/>
        <w:kinsoku/>
        <w:wordWrap w:val="0"/>
        <w:overflowPunct/>
        <w:topLinePunct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（四）质疑所依据的法律依据（具体条款</w:t>
      </w:r>
      <w:r>
        <w:rPr>
          <w:rFonts w:hint="eastAsia" w:ascii="宋体" w:hAnsi="宋体" w:eastAsia="宋体" w:cs="宋体"/>
          <w:color w:val="auto"/>
          <w:spacing w:val="-120"/>
          <w:sz w:val="24"/>
          <w:szCs w:val="24"/>
        </w:rPr>
        <w:t>）</w:t>
      </w:r>
      <w:r>
        <w:rPr>
          <w:rFonts w:hint="eastAsia" w:ascii="宋体" w:hAnsi="宋体" w:eastAsia="宋体" w:cs="宋体"/>
          <w:color w:val="auto"/>
          <w:spacing w:val="-1"/>
          <w:sz w:val="24"/>
          <w:szCs w:val="24"/>
        </w:rPr>
        <w:t>、具体事实和具体理由。质疑书依据理由</w:t>
      </w:r>
      <w:r>
        <w:rPr>
          <w:rFonts w:hint="eastAsia" w:ascii="宋体" w:hAnsi="宋体" w:eastAsia="宋体" w:cs="宋体"/>
          <w:color w:val="auto"/>
          <w:sz w:val="24"/>
          <w:szCs w:val="24"/>
        </w:rPr>
        <w:t>部分只有主观陈述、推理、猜测等，而没有提供客观事实依据、法律依据的；</w:t>
      </w:r>
    </w:p>
    <w:p w14:paraId="348B44D3">
      <w:pPr>
        <w:pStyle w:val="5"/>
        <w:keepNext w:val="0"/>
        <w:keepLines w:val="0"/>
        <w:pageBreakBefore w:val="0"/>
        <w:widowControl w:val="0"/>
        <w:kinsoku/>
        <w:wordWrap w:val="0"/>
        <w:overflowPunct/>
        <w:topLinePunct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（五）质疑事项按照有关法律、法规和规章规定及竞争性磋商文件要求属于保密或者处于保密阶段的事项，</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必须提供正常的信息来源或有效证据，</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不能提供或者拒绝提供合法的信息来源或有效证据的；</w:t>
      </w:r>
    </w:p>
    <w:p w14:paraId="566A0D4A">
      <w:pPr>
        <w:pStyle w:val="5"/>
        <w:keepNext w:val="0"/>
        <w:keepLines w:val="0"/>
        <w:pageBreakBefore w:val="0"/>
        <w:widowControl w:val="0"/>
        <w:kinsoku/>
        <w:wordWrap w:val="0"/>
        <w:overflowPunct/>
        <w:topLinePunct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（六）充足有效的相关证明材料；如果涉及到产品功能或技术指标的，应出具相关制造商的证明文件；</w:t>
      </w:r>
    </w:p>
    <w:p w14:paraId="43F7D955">
      <w:pPr>
        <w:pStyle w:val="5"/>
        <w:keepNext w:val="0"/>
        <w:keepLines w:val="0"/>
        <w:pageBreakBefore w:val="0"/>
        <w:widowControl w:val="0"/>
        <w:kinsoku/>
        <w:wordWrap w:val="0"/>
        <w:overflowPunct/>
        <w:topLinePunct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（七）质疑材料中有外文资料的，应一并附上中文译本，并以中文译本为准。</w:t>
      </w:r>
    </w:p>
    <w:p w14:paraId="250F7DD7">
      <w:pPr>
        <w:pStyle w:val="5"/>
        <w:keepNext w:val="0"/>
        <w:keepLines w:val="0"/>
        <w:pageBreakBefore w:val="0"/>
        <w:widowControl w:val="0"/>
        <w:kinsoku/>
        <w:wordWrap w:val="0"/>
        <w:overflowPunct/>
        <w:topLinePunct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（八）提起质疑的日期</w:t>
      </w:r>
    </w:p>
    <w:p w14:paraId="7C5E385E">
      <w:pPr>
        <w:pStyle w:val="5"/>
        <w:keepNext w:val="0"/>
        <w:keepLines w:val="0"/>
        <w:pageBreakBefore w:val="0"/>
        <w:widowControl w:val="0"/>
        <w:kinsoku/>
        <w:wordWrap w:val="0"/>
        <w:overflowPunct/>
        <w:topLinePunct w:val="0"/>
        <w:bidi w:val="0"/>
        <w:adjustRightInd/>
        <w:snapToGrid/>
        <w:spacing w:line="48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质疑实行实名制并须在质疑书上署名。</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不得进行虚假、恶意质疑，不得以质疑为手段获取不当得利、实现非法目的。</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为自然人的，应当由本人签字；</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为法人的，应当由法定代表人签字或盖章并加盖公章；</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为其他组织的，应当由主要负责人签字或盖章并加盖公章。</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其他工作人员或代理人员在质疑书上的署名不具有法律效力。</w:t>
      </w:r>
    </w:p>
    <w:p w14:paraId="5D95DFD9">
      <w:pPr>
        <w:pStyle w:val="25"/>
        <w:keepNext w:val="0"/>
        <w:keepLines w:val="0"/>
        <w:pageBreakBefore w:val="0"/>
        <w:widowControl w:val="0"/>
        <w:numPr>
          <w:ilvl w:val="0"/>
          <w:numId w:val="0"/>
        </w:numPr>
        <w:tabs>
          <w:tab w:val="left" w:pos="1341"/>
        </w:tabs>
        <w:kinsoku/>
        <w:wordWrap w:val="0"/>
        <w:overflowPunct/>
        <w:topLinePunct w:val="0"/>
        <w:bidi w:val="0"/>
        <w:adjustRightInd/>
        <w:snapToGrid/>
        <w:spacing w:line="480" w:lineRule="exact"/>
        <w:ind w:right="0" w:rightChars="0" w:firstLine="476" w:firstLineChars="200"/>
        <w:jc w:val="left"/>
        <w:textAlignment w:val="auto"/>
        <w:rPr>
          <w:rFonts w:hint="eastAsia" w:ascii="宋体" w:hAnsi="宋体" w:eastAsia="宋体" w:cs="宋体"/>
          <w:color w:val="auto"/>
          <w:sz w:val="24"/>
          <w:szCs w:val="24"/>
        </w:rPr>
      </w:pPr>
      <w:r>
        <w:rPr>
          <w:rFonts w:hint="eastAsia" w:ascii="宋体" w:hAnsi="宋体" w:cs="宋体"/>
          <w:color w:val="auto"/>
          <w:spacing w:val="-1"/>
          <w:sz w:val="24"/>
          <w:szCs w:val="24"/>
          <w:lang w:val="en-US" w:eastAsia="zh-CN"/>
        </w:rPr>
        <w:t xml:space="preserve">31.3 </w:t>
      </w:r>
      <w:r>
        <w:rPr>
          <w:rFonts w:hint="eastAsia" w:ascii="宋体" w:hAnsi="宋体" w:eastAsia="宋体" w:cs="宋体"/>
          <w:color w:val="auto"/>
          <w:spacing w:val="-1"/>
          <w:sz w:val="24"/>
          <w:szCs w:val="24"/>
          <w:lang w:eastAsia="zh-CN"/>
        </w:rPr>
        <w:t>投标供应商</w:t>
      </w:r>
      <w:r>
        <w:rPr>
          <w:rFonts w:hint="eastAsia" w:ascii="宋体" w:hAnsi="宋体" w:eastAsia="宋体" w:cs="宋体"/>
          <w:color w:val="auto"/>
          <w:spacing w:val="-1"/>
          <w:sz w:val="24"/>
          <w:szCs w:val="24"/>
        </w:rPr>
        <w:t>委托代理人办理质疑事宜，应当提交授权委托书，并载明委托</w:t>
      </w:r>
      <w:r>
        <w:rPr>
          <w:rFonts w:hint="eastAsia" w:ascii="宋体" w:hAnsi="宋体" w:eastAsia="宋体" w:cs="宋体"/>
          <w:color w:val="auto"/>
          <w:sz w:val="24"/>
          <w:szCs w:val="24"/>
        </w:rPr>
        <w:t>代理的具体权限和事项。授权委托书应当由委托人签字并加盖单位公章。</w:t>
      </w:r>
    </w:p>
    <w:p w14:paraId="67B22011">
      <w:pPr>
        <w:pStyle w:val="25"/>
        <w:keepNext w:val="0"/>
        <w:keepLines w:val="0"/>
        <w:pageBreakBefore w:val="0"/>
        <w:widowControl w:val="0"/>
        <w:numPr>
          <w:ilvl w:val="0"/>
          <w:numId w:val="0"/>
        </w:numPr>
        <w:tabs>
          <w:tab w:val="left" w:pos="1341"/>
        </w:tabs>
        <w:kinsoku/>
        <w:wordWrap w:val="0"/>
        <w:overflowPunct/>
        <w:topLinePunct w:val="0"/>
        <w:bidi w:val="0"/>
        <w:adjustRightInd/>
        <w:snapToGrid/>
        <w:spacing w:line="480" w:lineRule="exact"/>
        <w:ind w:right="0" w:rightChars="0" w:firstLine="476" w:firstLineChars="200"/>
        <w:jc w:val="left"/>
        <w:textAlignment w:val="auto"/>
        <w:rPr>
          <w:rFonts w:hint="eastAsia" w:ascii="宋体" w:hAnsi="宋体" w:eastAsia="宋体" w:cs="宋体"/>
          <w:color w:val="auto"/>
          <w:sz w:val="24"/>
          <w:szCs w:val="24"/>
        </w:rPr>
      </w:pPr>
      <w:r>
        <w:rPr>
          <w:rFonts w:hint="eastAsia" w:ascii="宋体" w:hAnsi="宋体" w:cs="宋体"/>
          <w:color w:val="auto"/>
          <w:spacing w:val="-1"/>
          <w:sz w:val="24"/>
          <w:szCs w:val="24"/>
          <w:lang w:val="en-US" w:eastAsia="zh-CN"/>
        </w:rPr>
        <w:t xml:space="preserve">31.4 </w:t>
      </w:r>
      <w:r>
        <w:rPr>
          <w:rFonts w:hint="eastAsia" w:ascii="宋体" w:hAnsi="宋体" w:eastAsia="宋体" w:cs="宋体"/>
          <w:color w:val="auto"/>
          <w:spacing w:val="-1"/>
          <w:sz w:val="24"/>
          <w:szCs w:val="24"/>
        </w:rPr>
        <w:t>提交质疑书时，</w:t>
      </w:r>
      <w:r>
        <w:rPr>
          <w:rFonts w:hint="eastAsia" w:ascii="宋体" w:hAnsi="宋体" w:eastAsia="宋体" w:cs="宋体"/>
          <w:color w:val="auto"/>
          <w:spacing w:val="-1"/>
          <w:sz w:val="24"/>
          <w:szCs w:val="24"/>
          <w:lang w:eastAsia="zh-CN"/>
        </w:rPr>
        <w:t>投标供应商</w:t>
      </w:r>
      <w:r>
        <w:rPr>
          <w:rFonts w:hint="eastAsia" w:ascii="宋体" w:hAnsi="宋体" w:eastAsia="宋体" w:cs="宋体"/>
          <w:color w:val="auto"/>
          <w:spacing w:val="-1"/>
          <w:sz w:val="24"/>
          <w:szCs w:val="24"/>
        </w:rPr>
        <w:t>应同时提交本人身份证，委托他人代理质疑事</w:t>
      </w:r>
      <w:r>
        <w:rPr>
          <w:rFonts w:hint="eastAsia" w:ascii="宋体" w:hAnsi="宋体" w:eastAsia="宋体" w:cs="宋体"/>
          <w:color w:val="auto"/>
          <w:sz w:val="24"/>
          <w:szCs w:val="24"/>
        </w:rPr>
        <w:t>宜的，还应提交被委托人的身份证。</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是法人的，应一并提交法人营业执照和法定代表人身份证；</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是其他组织的，应一并提交其他组织经营许可证和主要负责人身份证。</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应当提供上述证明材料的原件及复印件，原件经采购人核对无误后返还。</w:t>
      </w:r>
    </w:p>
    <w:p w14:paraId="69D8C200">
      <w:pPr>
        <w:pStyle w:val="25"/>
        <w:keepNext w:val="0"/>
        <w:keepLines w:val="0"/>
        <w:pageBreakBefore w:val="0"/>
        <w:widowControl w:val="0"/>
        <w:numPr>
          <w:ilvl w:val="0"/>
          <w:numId w:val="0"/>
        </w:numPr>
        <w:tabs>
          <w:tab w:val="left" w:pos="1341"/>
        </w:tabs>
        <w:kinsoku/>
        <w:wordWrap w:val="0"/>
        <w:overflowPunct/>
        <w:topLinePunct w:val="0"/>
        <w:bidi w:val="0"/>
        <w:adjustRightInd/>
        <w:snapToGrid/>
        <w:spacing w:line="480" w:lineRule="exact"/>
        <w:ind w:right="0" w:rightChars="0" w:firstLine="476" w:firstLineChars="200"/>
        <w:jc w:val="left"/>
        <w:textAlignment w:val="auto"/>
        <w:rPr>
          <w:rFonts w:hint="eastAsia" w:ascii="宋体" w:hAnsi="宋体" w:eastAsia="宋体" w:cs="宋体"/>
          <w:color w:val="auto"/>
          <w:sz w:val="24"/>
          <w:szCs w:val="24"/>
        </w:rPr>
      </w:pPr>
      <w:r>
        <w:rPr>
          <w:rFonts w:hint="eastAsia" w:ascii="宋体" w:hAnsi="宋体" w:cs="宋体"/>
          <w:color w:val="auto"/>
          <w:spacing w:val="-1"/>
          <w:sz w:val="24"/>
          <w:szCs w:val="24"/>
          <w:lang w:val="en-US" w:eastAsia="zh-CN"/>
        </w:rPr>
        <w:t xml:space="preserve">31.5 </w:t>
      </w:r>
      <w:r>
        <w:rPr>
          <w:rFonts w:hint="eastAsia" w:ascii="宋体" w:hAnsi="宋体" w:eastAsia="宋体" w:cs="宋体"/>
          <w:color w:val="auto"/>
          <w:spacing w:val="-1"/>
          <w:sz w:val="24"/>
          <w:szCs w:val="24"/>
        </w:rPr>
        <w:t>质疑书提交方式。</w:t>
      </w:r>
      <w:r>
        <w:rPr>
          <w:rFonts w:hint="eastAsia" w:ascii="宋体" w:hAnsi="宋体" w:eastAsia="宋体" w:cs="宋体"/>
          <w:color w:val="auto"/>
          <w:spacing w:val="-1"/>
          <w:sz w:val="24"/>
          <w:szCs w:val="24"/>
          <w:lang w:eastAsia="zh-CN"/>
        </w:rPr>
        <w:t>投标供应商</w:t>
      </w:r>
      <w:r>
        <w:rPr>
          <w:rFonts w:hint="eastAsia" w:ascii="宋体" w:hAnsi="宋体" w:eastAsia="宋体" w:cs="宋体"/>
          <w:color w:val="auto"/>
          <w:spacing w:val="-1"/>
          <w:sz w:val="24"/>
          <w:szCs w:val="24"/>
        </w:rPr>
        <w:t>或者其委托代理人应当当面提交质疑书及相</w:t>
      </w:r>
      <w:r>
        <w:rPr>
          <w:rFonts w:hint="eastAsia" w:ascii="宋体" w:hAnsi="宋体" w:eastAsia="宋体" w:cs="宋体"/>
          <w:color w:val="auto"/>
          <w:sz w:val="24"/>
          <w:szCs w:val="24"/>
        </w:rPr>
        <w:t>关证明材料。</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以电子邮件、传真等其他方式提交质疑书及相关证明材料的，或者不是</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或者其委托代理人提交质疑书及相关证明材料的，采购人或采购机构可以拒收。</w:t>
      </w:r>
    </w:p>
    <w:p w14:paraId="66EC3939">
      <w:pPr>
        <w:pStyle w:val="25"/>
        <w:keepNext w:val="0"/>
        <w:keepLines w:val="0"/>
        <w:pageBreakBefore w:val="0"/>
        <w:widowControl w:val="0"/>
        <w:numPr>
          <w:ilvl w:val="0"/>
          <w:numId w:val="0"/>
        </w:numPr>
        <w:tabs>
          <w:tab w:val="left" w:pos="1341"/>
        </w:tabs>
        <w:kinsoku/>
        <w:wordWrap w:val="0"/>
        <w:overflowPunct/>
        <w:topLinePunct w:val="0"/>
        <w:bidi w:val="0"/>
        <w:adjustRightInd/>
        <w:snapToGrid/>
        <w:spacing w:line="480" w:lineRule="exact"/>
        <w:ind w:right="0" w:rightChars="0" w:firstLine="476" w:firstLineChars="200"/>
        <w:jc w:val="left"/>
        <w:textAlignment w:val="auto"/>
        <w:rPr>
          <w:rFonts w:hint="eastAsia" w:ascii="宋体" w:hAnsi="宋体" w:eastAsia="宋体" w:cs="宋体"/>
          <w:color w:val="auto"/>
          <w:sz w:val="24"/>
          <w:szCs w:val="24"/>
        </w:rPr>
      </w:pPr>
      <w:r>
        <w:rPr>
          <w:rFonts w:hint="eastAsia" w:ascii="宋体" w:hAnsi="宋体" w:cs="宋体"/>
          <w:color w:val="auto"/>
          <w:spacing w:val="-1"/>
          <w:sz w:val="24"/>
          <w:szCs w:val="24"/>
          <w:lang w:val="en-US" w:eastAsia="zh-CN"/>
        </w:rPr>
        <w:t xml:space="preserve">31.6 </w:t>
      </w:r>
      <w:r>
        <w:rPr>
          <w:rFonts w:hint="eastAsia" w:ascii="宋体" w:hAnsi="宋体" w:eastAsia="宋体" w:cs="宋体"/>
          <w:color w:val="auto"/>
          <w:spacing w:val="-1"/>
          <w:sz w:val="24"/>
          <w:szCs w:val="24"/>
          <w:lang w:eastAsia="zh-CN"/>
        </w:rPr>
        <w:t>投标供应商</w:t>
      </w:r>
      <w:r>
        <w:rPr>
          <w:rFonts w:hint="eastAsia" w:ascii="宋体" w:hAnsi="宋体" w:eastAsia="宋体" w:cs="宋体"/>
          <w:color w:val="auto"/>
          <w:spacing w:val="-1"/>
          <w:sz w:val="24"/>
          <w:szCs w:val="24"/>
        </w:rPr>
        <w:t>不得虚假质疑和恶意质疑，并对质疑内容的真实性承担责任。</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或者其他利害关系人通过捏造事实、伪造证明材料等方式提出异议或投诉，阻碍招磋商活动正常进行的，属于严重不良行为，采购人将提请财政部门将其列入不良行为记录名单，并依法予以处罚。</w:t>
      </w:r>
    </w:p>
    <w:p w14:paraId="0F592725">
      <w:pPr>
        <w:pStyle w:val="25"/>
        <w:keepNext w:val="0"/>
        <w:keepLines w:val="0"/>
        <w:pageBreakBefore w:val="0"/>
        <w:widowControl w:val="0"/>
        <w:numPr>
          <w:ilvl w:val="0"/>
          <w:numId w:val="0"/>
        </w:numPr>
        <w:tabs>
          <w:tab w:val="left" w:pos="1341"/>
        </w:tabs>
        <w:kinsoku/>
        <w:wordWrap w:val="0"/>
        <w:overflowPunct/>
        <w:topLinePunct w:val="0"/>
        <w:bidi w:val="0"/>
        <w:adjustRightInd/>
        <w:snapToGrid/>
        <w:spacing w:line="48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31.7</w:t>
      </w:r>
      <w:r>
        <w:rPr>
          <w:rFonts w:hint="eastAsia" w:ascii="宋体" w:hAnsi="宋体" w:eastAsia="宋体" w:cs="宋体"/>
          <w:color w:val="auto"/>
          <w:sz w:val="24"/>
          <w:szCs w:val="24"/>
        </w:rPr>
        <w:t>采购人将在收到符合上述条件的书面质疑后 7</w:t>
      </w:r>
      <w:r>
        <w:rPr>
          <w:rFonts w:hint="eastAsia" w:ascii="宋体" w:hAnsi="宋体" w:eastAsia="宋体" w:cs="宋体"/>
          <w:color w:val="auto"/>
          <w:spacing w:val="-9"/>
          <w:sz w:val="24"/>
          <w:szCs w:val="24"/>
        </w:rPr>
        <w:t xml:space="preserve"> 个工作日内审查质疑事项，作出答复或相关处理决定，并以书面形式通知质疑</w:t>
      </w:r>
      <w:r>
        <w:rPr>
          <w:rFonts w:hint="eastAsia" w:ascii="宋体" w:hAnsi="宋体" w:eastAsia="宋体" w:cs="宋体"/>
          <w:color w:val="auto"/>
          <w:spacing w:val="-9"/>
          <w:sz w:val="24"/>
          <w:szCs w:val="24"/>
          <w:lang w:eastAsia="zh-CN"/>
        </w:rPr>
        <w:t>投标供应商</w:t>
      </w:r>
      <w:r>
        <w:rPr>
          <w:rFonts w:hint="eastAsia" w:ascii="宋体" w:hAnsi="宋体" w:eastAsia="宋体" w:cs="宋体"/>
          <w:color w:val="auto"/>
          <w:spacing w:val="-9"/>
          <w:sz w:val="24"/>
          <w:szCs w:val="24"/>
        </w:rPr>
        <w:t>和其他有关</w:t>
      </w:r>
      <w:r>
        <w:rPr>
          <w:rFonts w:hint="eastAsia" w:ascii="宋体" w:hAnsi="宋体" w:eastAsia="宋体" w:cs="宋体"/>
          <w:color w:val="auto"/>
          <w:spacing w:val="-9"/>
          <w:sz w:val="24"/>
          <w:szCs w:val="24"/>
          <w:lang w:eastAsia="zh-CN"/>
        </w:rPr>
        <w:t>投标供应商</w:t>
      </w:r>
      <w:r>
        <w:rPr>
          <w:rFonts w:hint="eastAsia" w:ascii="宋体" w:hAnsi="宋体" w:eastAsia="宋体" w:cs="宋体"/>
          <w:color w:val="auto"/>
          <w:spacing w:val="-9"/>
          <w:sz w:val="24"/>
          <w:szCs w:val="24"/>
        </w:rPr>
        <w:t>，但答复的内容不涉及商业秘密。若质疑涉及磋商制度或程序，将被转交政府采购的</w:t>
      </w:r>
      <w:r>
        <w:rPr>
          <w:rFonts w:hint="eastAsia" w:ascii="宋体" w:hAnsi="宋体" w:eastAsia="宋体" w:cs="宋体"/>
          <w:color w:val="auto"/>
          <w:spacing w:val="-12"/>
          <w:sz w:val="24"/>
          <w:szCs w:val="24"/>
        </w:rPr>
        <w:t>管理部门审查。采购人遵循“谁过错谁负担”的原则，有过错的一方承担调查论证费用。</w:t>
      </w:r>
    </w:p>
    <w:p w14:paraId="2ACDF0CC">
      <w:pPr>
        <w:pStyle w:val="25"/>
        <w:keepNext w:val="0"/>
        <w:keepLines w:val="0"/>
        <w:pageBreakBefore w:val="0"/>
        <w:widowControl w:val="0"/>
        <w:numPr>
          <w:ilvl w:val="0"/>
          <w:numId w:val="0"/>
        </w:numPr>
        <w:tabs>
          <w:tab w:val="left" w:pos="1341"/>
        </w:tabs>
        <w:kinsoku/>
        <w:wordWrap w:val="0"/>
        <w:overflowPunct/>
        <w:topLinePunct w:val="0"/>
        <w:bidi w:val="0"/>
        <w:adjustRightInd/>
        <w:snapToGrid/>
        <w:spacing w:line="480" w:lineRule="exact"/>
        <w:ind w:right="0" w:rightChars="0" w:firstLine="476"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pacing w:val="-1"/>
          <w:sz w:val="24"/>
          <w:szCs w:val="24"/>
          <w:highlight w:val="none"/>
          <w:lang w:val="en-US" w:eastAsia="zh-CN"/>
        </w:rPr>
        <w:t xml:space="preserve">31.8 </w:t>
      </w:r>
      <w:r>
        <w:rPr>
          <w:rFonts w:hint="eastAsia" w:ascii="宋体" w:hAnsi="宋体" w:eastAsia="宋体" w:cs="宋体"/>
          <w:color w:val="auto"/>
          <w:spacing w:val="-1"/>
          <w:sz w:val="24"/>
          <w:szCs w:val="24"/>
          <w:highlight w:val="none"/>
        </w:rPr>
        <w:t>质疑供应商对采购人的答复不满意以及采购人未在规定的时间内做出答复的，</w:t>
      </w:r>
      <w:r>
        <w:rPr>
          <w:rFonts w:hint="eastAsia" w:ascii="宋体" w:hAnsi="宋体" w:eastAsia="宋体" w:cs="宋体"/>
          <w:color w:val="auto"/>
          <w:spacing w:val="-7"/>
          <w:sz w:val="24"/>
          <w:szCs w:val="24"/>
          <w:highlight w:val="none"/>
        </w:rPr>
        <w:t>可以在答复期满后</w:t>
      </w:r>
      <w:r>
        <w:rPr>
          <w:rFonts w:hint="eastAsia" w:ascii="宋体" w:hAnsi="宋体" w:eastAsia="宋体" w:cs="宋体"/>
          <w:color w:val="auto"/>
          <w:sz w:val="24"/>
          <w:szCs w:val="24"/>
          <w:highlight w:val="none"/>
        </w:rPr>
        <w:t>15</w:t>
      </w:r>
      <w:r>
        <w:rPr>
          <w:rFonts w:hint="eastAsia" w:ascii="宋体" w:hAnsi="宋体" w:eastAsia="宋体" w:cs="宋体"/>
          <w:color w:val="auto"/>
          <w:spacing w:val="-8"/>
          <w:sz w:val="24"/>
          <w:szCs w:val="24"/>
          <w:highlight w:val="none"/>
        </w:rPr>
        <w:t>个工作日内向财政部门投诉。</w:t>
      </w:r>
    </w:p>
    <w:p w14:paraId="4D6453DC">
      <w:pPr>
        <w:pStyle w:val="25"/>
        <w:keepNext w:val="0"/>
        <w:keepLines w:val="0"/>
        <w:pageBreakBefore w:val="0"/>
        <w:widowControl w:val="0"/>
        <w:numPr>
          <w:ilvl w:val="0"/>
          <w:numId w:val="0"/>
        </w:numPr>
        <w:tabs>
          <w:tab w:val="left" w:pos="1341"/>
        </w:tabs>
        <w:kinsoku/>
        <w:wordWrap w:val="0"/>
        <w:overflowPunct/>
        <w:topLinePunct w:val="0"/>
        <w:autoSpaceDE w:val="0"/>
        <w:autoSpaceDN w:val="0"/>
        <w:bidi w:val="0"/>
        <w:adjustRightInd/>
        <w:snapToGrid/>
        <w:spacing w:line="480" w:lineRule="exact"/>
        <w:ind w:right="0" w:rightChars="0" w:firstLine="478" w:firstLineChars="200"/>
        <w:jc w:val="left"/>
        <w:textAlignment w:val="auto"/>
        <w:rPr>
          <w:rFonts w:hint="eastAsia" w:ascii="宋体" w:hAnsi="宋体" w:eastAsia="宋体" w:cs="宋体"/>
          <w:b/>
          <w:bCs/>
          <w:color w:val="auto"/>
          <w:spacing w:val="-1"/>
          <w:sz w:val="24"/>
          <w:szCs w:val="24"/>
          <w:highlight w:val="none"/>
          <w:lang w:val="en-US" w:eastAsia="zh-CN"/>
        </w:rPr>
      </w:pPr>
      <w:r>
        <w:rPr>
          <w:rFonts w:hint="eastAsia" w:ascii="宋体" w:hAnsi="宋体" w:cs="宋体"/>
          <w:b/>
          <w:bCs/>
          <w:color w:val="auto"/>
          <w:spacing w:val="-1"/>
          <w:sz w:val="24"/>
          <w:szCs w:val="24"/>
          <w:highlight w:val="none"/>
          <w:lang w:val="en-US" w:eastAsia="zh-CN"/>
        </w:rPr>
        <w:t>32.</w:t>
      </w:r>
      <w:r>
        <w:rPr>
          <w:rFonts w:hint="eastAsia" w:ascii="宋体" w:hAnsi="宋体" w:eastAsia="宋体" w:cs="宋体"/>
          <w:b/>
          <w:bCs/>
          <w:color w:val="auto"/>
          <w:spacing w:val="-1"/>
          <w:sz w:val="24"/>
          <w:szCs w:val="24"/>
          <w:highlight w:val="none"/>
          <w:lang w:val="en-US" w:eastAsia="zh-CN"/>
        </w:rPr>
        <w:t>招标代理服务收费参照豫招协[2023]002号河南省招标投标协会关于印发《河南省招标代理服务收费指导意见》规定的收费标准收取中标服务费。</w:t>
      </w:r>
    </w:p>
    <w:p w14:paraId="11728A3C">
      <w:pPr>
        <w:pStyle w:val="25"/>
        <w:keepNext w:val="0"/>
        <w:keepLines w:val="0"/>
        <w:pageBreakBefore w:val="0"/>
        <w:widowControl w:val="0"/>
        <w:numPr>
          <w:ilvl w:val="0"/>
          <w:numId w:val="0"/>
        </w:numPr>
        <w:tabs>
          <w:tab w:val="left" w:pos="1341"/>
        </w:tabs>
        <w:kinsoku/>
        <w:wordWrap w:val="0"/>
        <w:overflowPunct/>
        <w:topLinePunct w:val="0"/>
        <w:autoSpaceDE w:val="0"/>
        <w:autoSpaceDN w:val="0"/>
        <w:bidi w:val="0"/>
        <w:adjustRightInd/>
        <w:snapToGrid/>
        <w:spacing w:line="480" w:lineRule="exact"/>
        <w:ind w:right="0" w:rightChars="0" w:firstLine="478" w:firstLineChars="200"/>
        <w:jc w:val="left"/>
        <w:textAlignment w:val="auto"/>
        <w:outlineLvl w:val="0"/>
        <w:rPr>
          <w:rFonts w:hint="eastAsia" w:ascii="宋体" w:hAnsi="宋体" w:eastAsia="宋体" w:cs="宋体"/>
          <w:b/>
          <w:bCs/>
          <w:color w:val="auto"/>
          <w:spacing w:val="-1"/>
          <w:sz w:val="24"/>
          <w:szCs w:val="24"/>
          <w:highlight w:val="none"/>
          <w:lang w:val="en-US" w:eastAsia="zh-CN"/>
        </w:rPr>
      </w:pPr>
      <w:bookmarkStart w:id="147" w:name="_Toc10193"/>
      <w:r>
        <w:rPr>
          <w:rFonts w:hint="eastAsia" w:ascii="宋体" w:hAnsi="宋体" w:eastAsia="宋体" w:cs="宋体"/>
          <w:b/>
          <w:bCs/>
          <w:color w:val="auto"/>
          <w:spacing w:val="-1"/>
          <w:sz w:val="24"/>
          <w:szCs w:val="24"/>
          <w:highlight w:val="none"/>
          <w:lang w:val="en-US" w:eastAsia="zh-CN"/>
        </w:rPr>
        <w:t>河南省招标代理服务费计算标准</w:t>
      </w:r>
      <w:bookmarkEnd w:id="147"/>
    </w:p>
    <w:tbl>
      <w:tblPr>
        <w:tblStyle w:val="17"/>
        <w:tblpPr w:leftFromText="180" w:rightFromText="180" w:vertAnchor="text" w:horzAnchor="page" w:tblpX="1468" w:tblpY="396"/>
        <w:tblOverlap w:val="never"/>
        <w:tblW w:w="8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668F8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5B96C3A8">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10B664F8">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vAlign w:val="center"/>
          </w:tcPr>
          <w:p w14:paraId="5A5D6782">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vAlign w:val="center"/>
          </w:tcPr>
          <w:p w14:paraId="674663B5">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服务</w:t>
            </w:r>
          </w:p>
        </w:tc>
      </w:tr>
      <w:tr w14:paraId="5AC63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8CEF91F">
            <w:pPr>
              <w:kinsoku/>
              <w:autoSpaceDE/>
              <w:autoSpaceDN w:val="0"/>
              <w:jc w:val="left"/>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32EC8EC5">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vAlign w:val="center"/>
          </w:tcPr>
          <w:p w14:paraId="69850EE8">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vAlign w:val="center"/>
          </w:tcPr>
          <w:p w14:paraId="0D54A0B0">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1.70%</w:t>
            </w:r>
          </w:p>
        </w:tc>
      </w:tr>
      <w:tr w14:paraId="05480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04"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429E387">
            <w:pPr>
              <w:kinsoku/>
              <w:autoSpaceDE/>
              <w:autoSpaceDN w:val="0"/>
              <w:jc w:val="left"/>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374841C9">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vAlign w:val="center"/>
          </w:tcPr>
          <w:p w14:paraId="49131615">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vAlign w:val="center"/>
          </w:tcPr>
          <w:p w14:paraId="6285C327">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1.20%</w:t>
            </w:r>
          </w:p>
        </w:tc>
      </w:tr>
      <w:tr w14:paraId="3BCE0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4"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A12C38F">
            <w:pPr>
              <w:kinsoku/>
              <w:autoSpaceDE/>
              <w:autoSpaceDN w:val="0"/>
              <w:jc w:val="left"/>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5D47F716">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vAlign w:val="center"/>
          </w:tcPr>
          <w:p w14:paraId="5906FBA5">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vAlign w:val="center"/>
          </w:tcPr>
          <w:p w14:paraId="6E6CED2B">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0.70%</w:t>
            </w:r>
          </w:p>
        </w:tc>
      </w:tr>
      <w:tr w14:paraId="0BEF5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74" w:hRule="atLeast"/>
        </w:trPr>
        <w:tc>
          <w:tcPr>
            <w:tcW w:w="3994" w:type="dxa"/>
            <w:tcBorders>
              <w:top w:val="single" w:color="000000" w:sz="4" w:space="0"/>
              <w:left w:val="single" w:color="000000" w:sz="4" w:space="0"/>
              <w:bottom w:val="single" w:color="auto" w:sz="4" w:space="0"/>
              <w:right w:val="single" w:color="000000" w:sz="4" w:space="0"/>
            </w:tcBorders>
            <w:vAlign w:val="center"/>
          </w:tcPr>
          <w:p w14:paraId="4BE0E381">
            <w:pPr>
              <w:kinsoku/>
              <w:autoSpaceDE/>
              <w:autoSpaceDN w:val="0"/>
              <w:jc w:val="left"/>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1000-5000万元（含5000万元）</w:t>
            </w:r>
          </w:p>
        </w:tc>
        <w:tc>
          <w:tcPr>
            <w:tcW w:w="1642" w:type="dxa"/>
            <w:tcBorders>
              <w:top w:val="single" w:color="000000" w:sz="4" w:space="0"/>
              <w:left w:val="single" w:color="000000" w:sz="4" w:space="0"/>
              <w:bottom w:val="single" w:color="auto" w:sz="4" w:space="0"/>
              <w:right w:val="single" w:color="000000" w:sz="4" w:space="0"/>
            </w:tcBorders>
            <w:vAlign w:val="center"/>
          </w:tcPr>
          <w:p w14:paraId="623CE888">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0.40%</w:t>
            </w:r>
          </w:p>
        </w:tc>
        <w:tc>
          <w:tcPr>
            <w:tcW w:w="1433" w:type="dxa"/>
            <w:tcBorders>
              <w:top w:val="single" w:color="000000" w:sz="4" w:space="0"/>
              <w:left w:val="single" w:color="000000" w:sz="4" w:space="0"/>
              <w:bottom w:val="single" w:color="auto" w:sz="4" w:space="0"/>
              <w:right w:val="single" w:color="000000" w:sz="4" w:space="0"/>
            </w:tcBorders>
            <w:vAlign w:val="center"/>
          </w:tcPr>
          <w:p w14:paraId="2D415EA4">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0.50%</w:t>
            </w:r>
          </w:p>
        </w:tc>
        <w:tc>
          <w:tcPr>
            <w:tcW w:w="1711" w:type="dxa"/>
            <w:tcBorders>
              <w:top w:val="single" w:color="000000" w:sz="4" w:space="0"/>
              <w:left w:val="single" w:color="000000" w:sz="4" w:space="0"/>
              <w:bottom w:val="single" w:color="auto" w:sz="4" w:space="0"/>
              <w:right w:val="single" w:color="000000" w:sz="4" w:space="0"/>
            </w:tcBorders>
            <w:vAlign w:val="center"/>
          </w:tcPr>
          <w:p w14:paraId="205B34B6">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0.40%</w:t>
            </w:r>
          </w:p>
        </w:tc>
      </w:tr>
      <w:tr w14:paraId="09720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04" w:hRule="atLeast"/>
        </w:trPr>
        <w:tc>
          <w:tcPr>
            <w:tcW w:w="3994" w:type="dxa"/>
            <w:tcBorders>
              <w:top w:val="single" w:color="auto" w:sz="4" w:space="0"/>
              <w:left w:val="single" w:color="auto" w:sz="4" w:space="0"/>
              <w:bottom w:val="single" w:color="auto" w:sz="4" w:space="0"/>
              <w:right w:val="single" w:color="auto" w:sz="4" w:space="0"/>
            </w:tcBorders>
            <w:vAlign w:val="center"/>
          </w:tcPr>
          <w:p w14:paraId="5B652B21">
            <w:pPr>
              <w:kinsoku/>
              <w:autoSpaceDE/>
              <w:autoSpaceDN w:val="0"/>
              <w:jc w:val="left"/>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5000万元--1亿元（含1亿元）</w:t>
            </w:r>
          </w:p>
        </w:tc>
        <w:tc>
          <w:tcPr>
            <w:tcW w:w="1642" w:type="dxa"/>
            <w:tcBorders>
              <w:top w:val="single" w:color="auto" w:sz="4" w:space="0"/>
              <w:left w:val="single" w:color="auto" w:sz="4" w:space="0"/>
              <w:bottom w:val="single" w:color="auto" w:sz="4" w:space="0"/>
              <w:right w:val="single" w:color="auto" w:sz="4" w:space="0"/>
            </w:tcBorders>
            <w:vAlign w:val="center"/>
          </w:tcPr>
          <w:p w14:paraId="2DCA05AA">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0.25%</w:t>
            </w:r>
          </w:p>
        </w:tc>
        <w:tc>
          <w:tcPr>
            <w:tcW w:w="1433" w:type="dxa"/>
            <w:tcBorders>
              <w:top w:val="single" w:color="auto" w:sz="4" w:space="0"/>
              <w:left w:val="single" w:color="auto" w:sz="4" w:space="0"/>
              <w:bottom w:val="single" w:color="auto" w:sz="4" w:space="0"/>
              <w:right w:val="single" w:color="auto" w:sz="4" w:space="0"/>
            </w:tcBorders>
            <w:vAlign w:val="center"/>
          </w:tcPr>
          <w:p w14:paraId="69FF4102">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0.30%</w:t>
            </w:r>
          </w:p>
        </w:tc>
        <w:tc>
          <w:tcPr>
            <w:tcW w:w="1711" w:type="dxa"/>
            <w:tcBorders>
              <w:top w:val="single" w:color="auto" w:sz="4" w:space="0"/>
              <w:left w:val="single" w:color="auto" w:sz="4" w:space="0"/>
              <w:bottom w:val="single" w:color="auto" w:sz="4" w:space="0"/>
              <w:right w:val="single" w:color="auto" w:sz="4" w:space="0"/>
            </w:tcBorders>
            <w:vAlign w:val="center"/>
          </w:tcPr>
          <w:p w14:paraId="6307FDED">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0.25%</w:t>
            </w:r>
          </w:p>
        </w:tc>
      </w:tr>
      <w:tr w14:paraId="7C6F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9" w:hRule="atLeast"/>
        </w:trPr>
        <w:tc>
          <w:tcPr>
            <w:tcW w:w="3994" w:type="dxa"/>
            <w:tcBorders>
              <w:top w:val="single" w:color="auto" w:sz="4" w:space="0"/>
              <w:left w:val="single" w:color="auto" w:sz="4" w:space="0"/>
              <w:bottom w:val="single" w:color="auto" w:sz="4" w:space="0"/>
              <w:right w:val="single" w:color="auto" w:sz="4" w:space="0"/>
            </w:tcBorders>
            <w:vAlign w:val="center"/>
          </w:tcPr>
          <w:p w14:paraId="31B71B73">
            <w:pPr>
              <w:kinsoku/>
              <w:autoSpaceDE/>
              <w:autoSpaceDN w:val="0"/>
              <w:jc w:val="left"/>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1亿--5亿元（含5亿元）</w:t>
            </w:r>
          </w:p>
        </w:tc>
        <w:tc>
          <w:tcPr>
            <w:tcW w:w="1642" w:type="dxa"/>
            <w:tcBorders>
              <w:top w:val="single" w:color="auto" w:sz="4" w:space="0"/>
              <w:left w:val="single" w:color="auto" w:sz="4" w:space="0"/>
              <w:bottom w:val="single" w:color="auto" w:sz="4" w:space="0"/>
              <w:right w:val="single" w:color="auto" w:sz="4" w:space="0"/>
            </w:tcBorders>
            <w:vAlign w:val="center"/>
          </w:tcPr>
          <w:p w14:paraId="2EF685EC">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0.10%</w:t>
            </w:r>
          </w:p>
        </w:tc>
        <w:tc>
          <w:tcPr>
            <w:tcW w:w="1433" w:type="dxa"/>
            <w:tcBorders>
              <w:top w:val="single" w:color="auto" w:sz="4" w:space="0"/>
              <w:left w:val="single" w:color="auto" w:sz="4" w:space="0"/>
              <w:bottom w:val="single" w:color="auto" w:sz="4" w:space="0"/>
              <w:right w:val="single" w:color="auto" w:sz="4" w:space="0"/>
            </w:tcBorders>
            <w:vAlign w:val="center"/>
          </w:tcPr>
          <w:p w14:paraId="2BD3DB56">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0.10%</w:t>
            </w:r>
          </w:p>
        </w:tc>
        <w:tc>
          <w:tcPr>
            <w:tcW w:w="1711" w:type="dxa"/>
            <w:tcBorders>
              <w:top w:val="single" w:color="auto" w:sz="4" w:space="0"/>
              <w:left w:val="single" w:color="auto" w:sz="4" w:space="0"/>
              <w:bottom w:val="single" w:color="auto" w:sz="4" w:space="0"/>
              <w:right w:val="single" w:color="auto" w:sz="4" w:space="0"/>
            </w:tcBorders>
            <w:vAlign w:val="center"/>
          </w:tcPr>
          <w:p w14:paraId="2F471EFE">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0.10%</w:t>
            </w:r>
          </w:p>
        </w:tc>
      </w:tr>
      <w:tr w14:paraId="2184C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49" w:hRule="atLeast"/>
        </w:trPr>
        <w:tc>
          <w:tcPr>
            <w:tcW w:w="3994" w:type="dxa"/>
            <w:tcBorders>
              <w:top w:val="single" w:color="auto" w:sz="4" w:space="0"/>
              <w:left w:val="single" w:color="auto" w:sz="4" w:space="0"/>
              <w:bottom w:val="single" w:color="auto" w:sz="4" w:space="0"/>
              <w:right w:val="single" w:color="auto" w:sz="4" w:space="0"/>
            </w:tcBorders>
            <w:vAlign w:val="center"/>
          </w:tcPr>
          <w:p w14:paraId="125B7172">
            <w:pPr>
              <w:kinsoku/>
              <w:autoSpaceDE/>
              <w:autoSpaceDN w:val="0"/>
              <w:jc w:val="left"/>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5亿--10亿元（含10亿元）</w:t>
            </w:r>
          </w:p>
        </w:tc>
        <w:tc>
          <w:tcPr>
            <w:tcW w:w="1642" w:type="dxa"/>
            <w:tcBorders>
              <w:top w:val="single" w:color="auto" w:sz="4" w:space="0"/>
              <w:left w:val="single" w:color="auto" w:sz="4" w:space="0"/>
              <w:bottom w:val="single" w:color="auto" w:sz="4" w:space="0"/>
              <w:right w:val="single" w:color="auto" w:sz="4" w:space="0"/>
            </w:tcBorders>
            <w:vAlign w:val="center"/>
          </w:tcPr>
          <w:p w14:paraId="61363D0E">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0.045%</w:t>
            </w:r>
          </w:p>
        </w:tc>
        <w:tc>
          <w:tcPr>
            <w:tcW w:w="1433" w:type="dxa"/>
            <w:tcBorders>
              <w:top w:val="single" w:color="auto" w:sz="4" w:space="0"/>
              <w:left w:val="single" w:color="auto" w:sz="4" w:space="0"/>
              <w:bottom w:val="single" w:color="auto" w:sz="4" w:space="0"/>
              <w:right w:val="single" w:color="auto" w:sz="4" w:space="0"/>
            </w:tcBorders>
            <w:vAlign w:val="center"/>
          </w:tcPr>
          <w:p w14:paraId="1C34EA2E">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0.045%</w:t>
            </w:r>
          </w:p>
        </w:tc>
        <w:tc>
          <w:tcPr>
            <w:tcW w:w="1711" w:type="dxa"/>
            <w:tcBorders>
              <w:top w:val="single" w:color="auto" w:sz="4" w:space="0"/>
              <w:left w:val="single" w:color="auto" w:sz="4" w:space="0"/>
              <w:bottom w:val="single" w:color="auto" w:sz="4" w:space="0"/>
              <w:right w:val="single" w:color="auto" w:sz="4" w:space="0"/>
            </w:tcBorders>
            <w:vAlign w:val="center"/>
          </w:tcPr>
          <w:p w14:paraId="5E1F9491">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0.045%</w:t>
            </w:r>
          </w:p>
        </w:tc>
      </w:tr>
      <w:tr w14:paraId="748A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9" w:hRule="atLeast"/>
        </w:trPr>
        <w:tc>
          <w:tcPr>
            <w:tcW w:w="3994" w:type="dxa"/>
            <w:tcBorders>
              <w:top w:val="single" w:color="auto" w:sz="4" w:space="0"/>
              <w:left w:val="single" w:color="000000" w:sz="4" w:space="0"/>
              <w:bottom w:val="single" w:color="000000" w:sz="4" w:space="0"/>
              <w:right w:val="single" w:color="000000" w:sz="4" w:space="0"/>
            </w:tcBorders>
            <w:vAlign w:val="center"/>
          </w:tcPr>
          <w:p w14:paraId="68D0A617">
            <w:pPr>
              <w:kinsoku/>
              <w:autoSpaceDE/>
              <w:autoSpaceDN w:val="0"/>
              <w:jc w:val="left"/>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10亿--50亿元（含50亿元）</w:t>
            </w:r>
          </w:p>
        </w:tc>
        <w:tc>
          <w:tcPr>
            <w:tcW w:w="1642" w:type="dxa"/>
            <w:tcBorders>
              <w:top w:val="single" w:color="auto" w:sz="4" w:space="0"/>
              <w:left w:val="single" w:color="000000" w:sz="4" w:space="0"/>
              <w:bottom w:val="single" w:color="000000" w:sz="4" w:space="0"/>
              <w:right w:val="single" w:color="000000" w:sz="4" w:space="0"/>
            </w:tcBorders>
            <w:vAlign w:val="center"/>
          </w:tcPr>
          <w:p w14:paraId="09954B79">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0.010%</w:t>
            </w:r>
          </w:p>
        </w:tc>
        <w:tc>
          <w:tcPr>
            <w:tcW w:w="1433" w:type="dxa"/>
            <w:tcBorders>
              <w:top w:val="single" w:color="auto" w:sz="4" w:space="0"/>
              <w:left w:val="single" w:color="000000" w:sz="4" w:space="0"/>
              <w:bottom w:val="single" w:color="000000" w:sz="4" w:space="0"/>
              <w:right w:val="single" w:color="000000" w:sz="4" w:space="0"/>
            </w:tcBorders>
            <w:vAlign w:val="center"/>
          </w:tcPr>
          <w:p w14:paraId="6948194D">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0.010%</w:t>
            </w:r>
          </w:p>
        </w:tc>
        <w:tc>
          <w:tcPr>
            <w:tcW w:w="1711" w:type="dxa"/>
            <w:tcBorders>
              <w:top w:val="single" w:color="auto" w:sz="4" w:space="0"/>
              <w:left w:val="single" w:color="000000" w:sz="4" w:space="0"/>
              <w:bottom w:val="single" w:color="000000" w:sz="4" w:space="0"/>
              <w:right w:val="single" w:color="000000" w:sz="4" w:space="0"/>
            </w:tcBorders>
            <w:vAlign w:val="center"/>
          </w:tcPr>
          <w:p w14:paraId="6BD66A6A">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0.010%</w:t>
            </w:r>
          </w:p>
        </w:tc>
      </w:tr>
      <w:tr w14:paraId="4E5B2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4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B545DE4">
            <w:pPr>
              <w:kinsoku/>
              <w:autoSpaceDE/>
              <w:autoSpaceDN w:val="0"/>
              <w:jc w:val="left"/>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50亿--100亿元（含</w:t>
            </w:r>
            <w:r>
              <w:rPr>
                <w:rFonts w:hint="eastAsia" w:ascii="宋体" w:hAnsi="宋体" w:eastAsia="宋体" w:cs="宋体"/>
                <w:b w:val="0"/>
                <w:i w:val="0"/>
                <w:snapToGrid/>
                <w:color w:val="auto"/>
                <w:sz w:val="24"/>
                <w:szCs w:val="24"/>
                <w:u w:val="none"/>
                <w:lang w:val="en-US" w:eastAsia="zh-CN"/>
              </w:rPr>
              <w:t>100</w:t>
            </w:r>
            <w:r>
              <w:rPr>
                <w:rFonts w:hint="eastAsia" w:ascii="宋体" w:hAnsi="宋体" w:eastAsia="宋体" w:cs="宋体"/>
                <w:b w:val="0"/>
                <w:i w:val="0"/>
                <w:snapToGrid/>
                <w:color w:val="auto"/>
                <w:sz w:val="24"/>
                <w:szCs w:val="24"/>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78462F13">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vAlign w:val="center"/>
          </w:tcPr>
          <w:p w14:paraId="269A2648">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vAlign w:val="center"/>
          </w:tcPr>
          <w:p w14:paraId="2C134C7C">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0.008%</w:t>
            </w:r>
          </w:p>
        </w:tc>
      </w:tr>
      <w:tr w14:paraId="3104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7FB42EDF">
            <w:pPr>
              <w:kinsoku/>
              <w:autoSpaceDE/>
              <w:autoSpaceDN w:val="0"/>
              <w:jc w:val="left"/>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vAlign w:val="center"/>
          </w:tcPr>
          <w:p w14:paraId="26728274">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vAlign w:val="center"/>
          </w:tcPr>
          <w:p w14:paraId="77425342">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vAlign w:val="center"/>
          </w:tcPr>
          <w:p w14:paraId="6FB95C53">
            <w:pPr>
              <w:kinsoku/>
              <w:autoSpaceDE/>
              <w:autoSpaceDN w:val="0"/>
              <w:jc w:val="center"/>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0.004%</w:t>
            </w:r>
          </w:p>
        </w:tc>
      </w:tr>
      <w:tr w14:paraId="24B70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vAlign w:val="center"/>
          </w:tcPr>
          <w:p w14:paraId="3D56FFD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6BB05EA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eastAsia" w:ascii="宋体" w:hAnsi="宋体" w:eastAsia="宋体" w:cs="宋体"/>
                <w:b w:val="0"/>
                <w:i w:val="0"/>
                <w:snapToGrid/>
                <w:color w:val="auto"/>
                <w:sz w:val="24"/>
                <w:szCs w:val="24"/>
                <w:u w:val="none"/>
                <w:lang w:val="en-US" w:eastAsia="zh-CN"/>
              </w:rPr>
            </w:pPr>
            <w:r>
              <w:rPr>
                <w:rFonts w:hint="eastAsia" w:ascii="宋体" w:hAnsi="宋体" w:eastAsia="宋体" w:cs="宋体"/>
                <w:b w:val="0"/>
                <w:i w:val="0"/>
                <w:snapToGrid/>
                <w:color w:val="auto"/>
                <w:sz w:val="24"/>
                <w:szCs w:val="24"/>
                <w:u w:val="none"/>
                <w:lang w:val="en-US" w:eastAsia="zh-CN"/>
              </w:rPr>
              <w:t>2.招标代理服务收费按差额定率累进法计算。</w:t>
            </w:r>
          </w:p>
          <w:p w14:paraId="183C23E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例如: 某工程招标代理业务，项目预算金额（招标控制价）为10000 万元，招标代理服务收费计算如下:</w:t>
            </w:r>
          </w:p>
          <w:p w14:paraId="15B6933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val="en-US" w:eastAsia="zh-CN"/>
              </w:rPr>
              <w:t xml:space="preserve"> </w:t>
            </w:r>
            <w:r>
              <w:rPr>
                <w:rFonts w:hint="eastAsia" w:ascii="宋体" w:hAnsi="宋体" w:eastAsia="宋体" w:cs="宋体"/>
                <w:b w:val="0"/>
                <w:i w:val="0"/>
                <w:snapToGrid/>
                <w:color w:val="auto"/>
                <w:sz w:val="24"/>
                <w:szCs w:val="24"/>
                <w:u w:val="none"/>
                <w:lang w:eastAsia="zh-CN"/>
              </w:rPr>
              <w:t>100万元×1.2%=1.2万元</w:t>
            </w:r>
          </w:p>
          <w:p w14:paraId="521D6F5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（500-100）万元×1.0%=4万元</w:t>
            </w:r>
          </w:p>
          <w:p w14:paraId="153C02F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（1000-500）×0.7%=3.5万元</w:t>
            </w:r>
          </w:p>
          <w:p w14:paraId="19470042">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（5000-1000）×0.4%=16万元</w:t>
            </w:r>
          </w:p>
          <w:p w14:paraId="0C35B9D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（10000-5000）×0.25%=12.5万元</w:t>
            </w:r>
          </w:p>
          <w:p w14:paraId="1BC6BCCD">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合计收费=1.2+4+3.5+16+12.5=37.2万元</w:t>
            </w:r>
          </w:p>
        </w:tc>
      </w:tr>
    </w:tbl>
    <w:p w14:paraId="737BDCE9">
      <w:pPr>
        <w:pStyle w:val="25"/>
        <w:widowControl w:val="0"/>
        <w:numPr>
          <w:ilvl w:val="0"/>
          <w:numId w:val="0"/>
        </w:numPr>
        <w:tabs>
          <w:tab w:val="left" w:pos="1341"/>
        </w:tabs>
        <w:autoSpaceDE w:val="0"/>
        <w:autoSpaceDN w:val="0"/>
        <w:spacing w:line="328" w:lineRule="auto"/>
        <w:ind w:right="338" w:rightChars="0"/>
        <w:jc w:val="both"/>
        <w:rPr>
          <w:rFonts w:hint="eastAsia" w:ascii="宋体" w:hAnsi="宋体" w:eastAsia="宋体" w:cs="宋体"/>
          <w:color w:val="auto"/>
          <w:sz w:val="24"/>
          <w:szCs w:val="24"/>
        </w:rPr>
      </w:pPr>
    </w:p>
    <w:p w14:paraId="5DFBE944">
      <w:pPr>
        <w:pStyle w:val="25"/>
        <w:widowControl w:val="0"/>
        <w:numPr>
          <w:ilvl w:val="0"/>
          <w:numId w:val="0"/>
        </w:numPr>
        <w:tabs>
          <w:tab w:val="left" w:pos="1341"/>
        </w:tabs>
        <w:autoSpaceDE w:val="0"/>
        <w:autoSpaceDN w:val="0"/>
        <w:spacing w:line="328" w:lineRule="auto"/>
        <w:ind w:right="338" w:rightChars="0"/>
        <w:jc w:val="both"/>
        <w:rPr>
          <w:rFonts w:hint="eastAsia" w:ascii="宋体" w:hAnsi="宋体" w:eastAsia="宋体" w:cs="宋体"/>
          <w:color w:val="auto"/>
          <w:sz w:val="24"/>
          <w:szCs w:val="24"/>
        </w:rPr>
        <w:sectPr>
          <w:footerReference r:id="rId4" w:type="default"/>
          <w:pgSz w:w="11910" w:h="16840"/>
          <w:pgMar w:top="1157" w:right="1463" w:bottom="1157" w:left="1463" w:header="0" w:footer="640" w:gutter="0"/>
          <w:pgNumType w:fmt="decimal" w:start="1"/>
          <w:cols w:space="720" w:num="1"/>
        </w:sectPr>
      </w:pPr>
    </w:p>
    <w:p w14:paraId="3B147139">
      <w:pPr>
        <w:keepNext w:val="0"/>
        <w:keepLines w:val="0"/>
        <w:pageBreakBefore w:val="0"/>
        <w:widowControl w:val="0"/>
        <w:numPr>
          <w:ilvl w:val="0"/>
          <w:numId w:val="0"/>
        </w:numPr>
        <w:kinsoku/>
        <w:wordWrap/>
        <w:overflowPunct/>
        <w:topLinePunct w:val="0"/>
        <w:bidi w:val="0"/>
        <w:adjustRightInd w:val="0"/>
        <w:snapToGrid w:val="0"/>
        <w:spacing w:before="0" w:after="0" w:line="360" w:lineRule="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：河南省政府采购合同融资政策告知函</w:t>
      </w:r>
    </w:p>
    <w:p w14:paraId="446D7478">
      <w:pPr>
        <w:keepNext w:val="0"/>
        <w:keepLines w:val="0"/>
        <w:pageBreakBefore w:val="0"/>
        <w:widowControl w:val="0"/>
        <w:kinsoku/>
        <w:wordWrap/>
        <w:overflowPunct/>
        <w:topLinePunct w:val="0"/>
        <w:bidi w:val="0"/>
        <w:adjustRightInd w:val="0"/>
        <w:snapToGrid w:val="0"/>
        <w:spacing w:line="360" w:lineRule="auto"/>
        <w:ind w:firstLine="482" w:firstLineChars="200"/>
        <w:jc w:val="center"/>
        <w:rPr>
          <w:rFonts w:hint="eastAsia" w:ascii="宋体" w:hAnsi="宋体" w:eastAsia="宋体" w:cs="宋体"/>
          <w:b/>
          <w:bCs/>
          <w:color w:val="auto"/>
          <w:sz w:val="24"/>
          <w:szCs w:val="24"/>
          <w:highlight w:val="none"/>
        </w:rPr>
      </w:pPr>
      <w:bookmarkStart w:id="148" w:name="_Toc19399"/>
      <w:bookmarkStart w:id="149" w:name="_Toc7567"/>
    </w:p>
    <w:p w14:paraId="3DF91D9D">
      <w:pPr>
        <w:keepNext w:val="0"/>
        <w:keepLines w:val="0"/>
        <w:pageBreakBefore w:val="0"/>
        <w:widowControl w:val="0"/>
        <w:kinsoku/>
        <w:wordWrap/>
        <w:overflowPunct/>
        <w:topLinePunct w:val="0"/>
        <w:bidi w:val="0"/>
        <w:adjustRightInd w:val="0"/>
        <w:snapToGrid w:val="0"/>
        <w:spacing w:line="360" w:lineRule="auto"/>
        <w:ind w:firstLine="482" w:firstLineChars="200"/>
        <w:jc w:val="center"/>
        <w:outlineLvl w:val="0"/>
        <w:rPr>
          <w:rFonts w:hint="eastAsia" w:ascii="宋体" w:hAnsi="宋体" w:eastAsia="宋体" w:cs="宋体"/>
          <w:color w:val="auto"/>
          <w:sz w:val="24"/>
          <w:szCs w:val="24"/>
          <w:highlight w:val="none"/>
        </w:rPr>
      </w:pPr>
      <w:bookmarkStart w:id="150" w:name="_Toc32579"/>
      <w:r>
        <w:rPr>
          <w:rFonts w:hint="eastAsia" w:ascii="宋体" w:hAnsi="宋体" w:eastAsia="宋体" w:cs="宋体"/>
          <w:b/>
          <w:bCs/>
          <w:color w:val="auto"/>
          <w:sz w:val="24"/>
          <w:szCs w:val="24"/>
          <w:highlight w:val="none"/>
        </w:rPr>
        <w:t>河南省政府采购合同融资政策告知函</w:t>
      </w:r>
      <w:bookmarkEnd w:id="148"/>
      <w:bookmarkEnd w:id="149"/>
      <w:bookmarkEnd w:id="150"/>
    </w:p>
    <w:p w14:paraId="47E3FE35">
      <w:pPr>
        <w:keepNext w:val="0"/>
        <w:keepLines w:val="0"/>
        <w:pageBreakBefore w:val="0"/>
        <w:widowControl w:val="0"/>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p>
    <w:p w14:paraId="5BC49507">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各</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w:t>
      </w:r>
    </w:p>
    <w:p w14:paraId="2B2CFCB1">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欢迎贵公司参与河南省政府采购活动！</w:t>
      </w:r>
    </w:p>
    <w:p w14:paraId="3DBDE011">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政府采购合同融资是河南省财政厅支持中小微企业发展，针对参与政府采购活动的</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054BA279">
      <w:pPr>
        <w:pStyle w:val="26"/>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sz w:val="24"/>
          <w:szCs w:val="24"/>
        </w:rPr>
      </w:pPr>
      <w:bookmarkStart w:id="151" w:name="_Toc15196"/>
      <w:r>
        <w:rPr>
          <w:rFonts w:hint="eastAsia" w:ascii="宋体" w:hAnsi="宋体" w:eastAsia="宋体" w:cs="宋体"/>
          <w:b w:val="0"/>
          <w:bCs w:val="0"/>
          <w:color w:val="auto"/>
          <w:sz w:val="24"/>
          <w:szCs w:val="24"/>
          <w:highlight w:val="none"/>
        </w:rPr>
        <w:t>贷款渠道和提供贷款的金融机构，可在河南省政府采购网“河南省政府采购合同融资平台”查询联系。</w:t>
      </w:r>
      <w:bookmarkEnd w:id="151"/>
    </w:p>
    <w:p w14:paraId="3A2F5111">
      <w:pPr>
        <w:rPr>
          <w:rFonts w:hint="eastAsia" w:ascii="宋体" w:hAnsi="宋体" w:eastAsia="宋体" w:cs="宋体"/>
          <w:sz w:val="24"/>
          <w:szCs w:val="24"/>
        </w:rPr>
      </w:pPr>
    </w:p>
    <w:p w14:paraId="670EA26D">
      <w:pPr>
        <w:widowControl w:val="0"/>
        <w:jc w:val="both"/>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rPr>
        <w:br w:type="page"/>
      </w:r>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z w:val="24"/>
          <w:szCs w:val="24"/>
          <w:highlight w:val="none"/>
          <w:lang w:val="en-US" w:eastAsia="zh-CN"/>
        </w:rPr>
        <w:t>2：卢氏县政府采购合同融资政策告知书</w:t>
      </w:r>
    </w:p>
    <w:p w14:paraId="6B180569">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p>
    <w:p w14:paraId="0CF6C122">
      <w:pPr>
        <w:keepNext w:val="0"/>
        <w:keepLines w:val="0"/>
        <w:pageBreakBefore w:val="0"/>
        <w:widowControl w:val="0"/>
        <w:kinsoku/>
        <w:wordWrap/>
        <w:overflowPunct/>
        <w:topLinePunct w:val="0"/>
        <w:bidi w:val="0"/>
        <w:adjustRightInd w:val="0"/>
        <w:snapToGrid w:val="0"/>
        <w:spacing w:line="360" w:lineRule="auto"/>
        <w:ind w:firstLine="482" w:firstLineChars="2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卢氏县政府采购合同融资政策告知书</w:t>
      </w:r>
    </w:p>
    <w:p w14:paraId="3672C439">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p>
    <w:p w14:paraId="0ED30D71">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各供应商:</w:t>
      </w:r>
    </w:p>
    <w:p w14:paraId="39767A71">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3B2DF48B">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226C04A4">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联系电话:0398-7863556</w:t>
      </w:r>
    </w:p>
    <w:p w14:paraId="2034E30C">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p>
    <w:p w14:paraId="11EE1036">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承接银行联系方式</w:t>
      </w:r>
    </w:p>
    <w:tbl>
      <w:tblPr>
        <w:tblStyle w:val="18"/>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5"/>
        <w:gridCol w:w="3065"/>
        <w:gridCol w:w="3066"/>
      </w:tblGrid>
      <w:tr w14:paraId="62A3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065" w:type="dxa"/>
            <w:noWrap w:val="0"/>
            <w:vAlign w:val="center"/>
          </w:tcPr>
          <w:p w14:paraId="13486B44">
            <w:pPr>
              <w:keepNext w:val="0"/>
              <w:keepLines w:val="0"/>
              <w:pageBreakBefore w:val="0"/>
              <w:widowControl w:val="0"/>
              <w:kinsoku/>
              <w:wordWrap/>
              <w:overflowPunct/>
              <w:topLinePunct w:val="0"/>
              <w:bidi w:val="0"/>
              <w:adjustRightInd w:val="0"/>
              <w:snapToGrid w:val="0"/>
              <w:spacing w:line="24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单位名称</w:t>
            </w:r>
          </w:p>
        </w:tc>
        <w:tc>
          <w:tcPr>
            <w:tcW w:w="3065" w:type="dxa"/>
            <w:noWrap w:val="0"/>
            <w:vAlign w:val="center"/>
          </w:tcPr>
          <w:p w14:paraId="46E23CAD">
            <w:pPr>
              <w:keepNext w:val="0"/>
              <w:keepLines w:val="0"/>
              <w:pageBreakBefore w:val="0"/>
              <w:widowControl w:val="0"/>
              <w:kinsoku/>
              <w:wordWrap/>
              <w:overflowPunct/>
              <w:topLinePunct w:val="0"/>
              <w:bidi w:val="0"/>
              <w:adjustRightInd w:val="0"/>
              <w:snapToGrid w:val="0"/>
              <w:spacing w:line="24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tc>
        <w:tc>
          <w:tcPr>
            <w:tcW w:w="3066" w:type="dxa"/>
            <w:noWrap w:val="0"/>
            <w:vAlign w:val="center"/>
          </w:tcPr>
          <w:p w14:paraId="326DACD7">
            <w:pPr>
              <w:keepNext w:val="0"/>
              <w:keepLines w:val="0"/>
              <w:pageBreakBefore w:val="0"/>
              <w:widowControl w:val="0"/>
              <w:kinsoku/>
              <w:wordWrap/>
              <w:overflowPunct/>
              <w:topLinePunct w:val="0"/>
              <w:bidi w:val="0"/>
              <w:adjustRightInd w:val="0"/>
              <w:snapToGrid w:val="0"/>
              <w:spacing w:line="24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联系方式</w:t>
            </w:r>
          </w:p>
        </w:tc>
      </w:tr>
      <w:tr w14:paraId="1C8F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7774A384">
            <w:pPr>
              <w:keepNext w:val="0"/>
              <w:keepLines w:val="0"/>
              <w:pageBreakBefore w:val="0"/>
              <w:widowControl w:val="0"/>
              <w:kinsoku/>
              <w:wordWrap/>
              <w:overflowPunct/>
              <w:topLinePunct w:val="0"/>
              <w:bidi w:val="0"/>
              <w:adjustRightInd w:val="0"/>
              <w:snapToGrid w:val="0"/>
              <w:spacing w:line="240" w:lineRule="auto"/>
              <w:jc w:val="center"/>
              <w:outlineLvl w:val="9"/>
              <w:rPr>
                <w:rFonts w:hint="eastAsia" w:ascii="宋体" w:hAnsi="宋体" w:eastAsia="宋体" w:cs="宋体"/>
                <w:sz w:val="24"/>
                <w:szCs w:val="24"/>
              </w:rPr>
            </w:pPr>
            <w:r>
              <w:rPr>
                <w:rFonts w:hint="eastAsia" w:ascii="宋体" w:hAnsi="宋体" w:eastAsia="宋体" w:cs="宋体"/>
                <w:sz w:val="24"/>
                <w:szCs w:val="24"/>
              </w:rPr>
              <w:t>中国建设银行股份有限公司卢氏支行</w:t>
            </w:r>
          </w:p>
        </w:tc>
        <w:tc>
          <w:tcPr>
            <w:tcW w:w="3065" w:type="dxa"/>
            <w:noWrap w:val="0"/>
            <w:vAlign w:val="center"/>
          </w:tcPr>
          <w:p w14:paraId="701212F1">
            <w:pPr>
              <w:keepNext w:val="0"/>
              <w:keepLines w:val="0"/>
              <w:pageBreakBefore w:val="0"/>
              <w:widowControl w:val="0"/>
              <w:kinsoku/>
              <w:wordWrap/>
              <w:overflowPunct/>
              <w:topLinePunct w:val="0"/>
              <w:bidi w:val="0"/>
              <w:adjustRightInd w:val="0"/>
              <w:snapToGrid w:val="0"/>
              <w:spacing w:line="24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张江涛</w:t>
            </w:r>
          </w:p>
        </w:tc>
        <w:tc>
          <w:tcPr>
            <w:tcW w:w="3066" w:type="dxa"/>
            <w:noWrap w:val="0"/>
            <w:vAlign w:val="center"/>
          </w:tcPr>
          <w:p w14:paraId="2E7A08E9">
            <w:pPr>
              <w:keepNext w:val="0"/>
              <w:keepLines w:val="0"/>
              <w:pageBreakBefore w:val="0"/>
              <w:widowControl w:val="0"/>
              <w:kinsoku/>
              <w:wordWrap/>
              <w:overflowPunct/>
              <w:topLinePunct w:val="0"/>
              <w:bidi w:val="0"/>
              <w:adjustRightInd w:val="0"/>
              <w:snapToGrid w:val="0"/>
              <w:spacing w:line="24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18739850204</w:t>
            </w:r>
          </w:p>
        </w:tc>
      </w:tr>
      <w:tr w14:paraId="1C08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5FA0BCC1">
            <w:pPr>
              <w:keepNext w:val="0"/>
              <w:keepLines w:val="0"/>
              <w:pageBreakBefore w:val="0"/>
              <w:widowControl w:val="0"/>
              <w:kinsoku/>
              <w:wordWrap/>
              <w:overflowPunct/>
              <w:topLinePunct w:val="0"/>
              <w:bidi w:val="0"/>
              <w:adjustRightInd w:val="0"/>
              <w:snapToGrid w:val="0"/>
              <w:spacing w:line="240" w:lineRule="auto"/>
              <w:jc w:val="center"/>
              <w:outlineLvl w:val="9"/>
              <w:rPr>
                <w:rFonts w:hint="eastAsia" w:ascii="宋体" w:hAnsi="宋体" w:eastAsia="宋体" w:cs="宋体"/>
                <w:sz w:val="24"/>
                <w:szCs w:val="24"/>
              </w:rPr>
            </w:pPr>
            <w:r>
              <w:rPr>
                <w:rFonts w:hint="eastAsia" w:ascii="宋体" w:hAnsi="宋体" w:eastAsia="宋体" w:cs="宋体"/>
                <w:sz w:val="24"/>
                <w:szCs w:val="24"/>
              </w:rPr>
              <w:t>中国农业银行股份有限公司卢氏县支行</w:t>
            </w:r>
          </w:p>
        </w:tc>
        <w:tc>
          <w:tcPr>
            <w:tcW w:w="3065" w:type="dxa"/>
            <w:noWrap w:val="0"/>
            <w:vAlign w:val="center"/>
          </w:tcPr>
          <w:p w14:paraId="6F6EF227">
            <w:pPr>
              <w:keepNext w:val="0"/>
              <w:keepLines w:val="0"/>
              <w:pageBreakBefore w:val="0"/>
              <w:widowControl w:val="0"/>
              <w:kinsoku/>
              <w:wordWrap/>
              <w:overflowPunct/>
              <w:topLinePunct w:val="0"/>
              <w:bidi w:val="0"/>
              <w:adjustRightInd w:val="0"/>
              <w:snapToGrid w:val="0"/>
              <w:spacing w:line="24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代仁旺</w:t>
            </w:r>
          </w:p>
        </w:tc>
        <w:tc>
          <w:tcPr>
            <w:tcW w:w="3066" w:type="dxa"/>
            <w:noWrap w:val="0"/>
            <w:vAlign w:val="center"/>
          </w:tcPr>
          <w:p w14:paraId="682EBE1B">
            <w:pPr>
              <w:keepNext w:val="0"/>
              <w:keepLines w:val="0"/>
              <w:pageBreakBefore w:val="0"/>
              <w:widowControl w:val="0"/>
              <w:kinsoku/>
              <w:wordWrap/>
              <w:overflowPunct/>
              <w:topLinePunct w:val="0"/>
              <w:bidi w:val="0"/>
              <w:adjustRightInd w:val="0"/>
              <w:snapToGrid w:val="0"/>
              <w:spacing w:line="24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18939062604</w:t>
            </w:r>
          </w:p>
        </w:tc>
      </w:tr>
      <w:tr w14:paraId="38DD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68C468FF">
            <w:pPr>
              <w:keepNext w:val="0"/>
              <w:keepLines w:val="0"/>
              <w:pageBreakBefore w:val="0"/>
              <w:widowControl w:val="0"/>
              <w:kinsoku/>
              <w:wordWrap/>
              <w:overflowPunct/>
              <w:topLinePunct w:val="0"/>
              <w:bidi w:val="0"/>
              <w:adjustRightInd w:val="0"/>
              <w:snapToGrid w:val="0"/>
              <w:spacing w:line="240" w:lineRule="auto"/>
              <w:jc w:val="center"/>
              <w:outlineLvl w:val="9"/>
              <w:rPr>
                <w:rFonts w:hint="eastAsia" w:ascii="宋体" w:hAnsi="宋体" w:eastAsia="宋体" w:cs="宋体"/>
                <w:sz w:val="24"/>
                <w:szCs w:val="24"/>
              </w:rPr>
            </w:pPr>
            <w:r>
              <w:rPr>
                <w:rFonts w:hint="eastAsia" w:ascii="宋体" w:hAnsi="宋体" w:eastAsia="宋体" w:cs="宋体"/>
                <w:sz w:val="24"/>
                <w:szCs w:val="24"/>
              </w:rPr>
              <w:t>中原银行股份有限公司</w:t>
            </w:r>
          </w:p>
          <w:p w14:paraId="45005805">
            <w:pPr>
              <w:keepNext w:val="0"/>
              <w:keepLines w:val="0"/>
              <w:pageBreakBefore w:val="0"/>
              <w:widowControl w:val="0"/>
              <w:kinsoku/>
              <w:wordWrap/>
              <w:overflowPunct/>
              <w:topLinePunct w:val="0"/>
              <w:bidi w:val="0"/>
              <w:adjustRightInd w:val="0"/>
              <w:snapToGrid w:val="0"/>
              <w:spacing w:line="240" w:lineRule="auto"/>
              <w:jc w:val="center"/>
              <w:outlineLvl w:val="9"/>
              <w:rPr>
                <w:rFonts w:hint="eastAsia" w:ascii="宋体" w:hAnsi="宋体" w:eastAsia="宋体" w:cs="宋体"/>
                <w:sz w:val="24"/>
                <w:szCs w:val="24"/>
              </w:rPr>
            </w:pPr>
            <w:r>
              <w:rPr>
                <w:rFonts w:hint="eastAsia" w:ascii="宋体" w:hAnsi="宋体" w:eastAsia="宋体" w:cs="宋体"/>
                <w:sz w:val="24"/>
                <w:szCs w:val="24"/>
              </w:rPr>
              <w:t>卢氏支行</w:t>
            </w:r>
          </w:p>
        </w:tc>
        <w:tc>
          <w:tcPr>
            <w:tcW w:w="3065" w:type="dxa"/>
            <w:noWrap w:val="0"/>
            <w:vAlign w:val="center"/>
          </w:tcPr>
          <w:p w14:paraId="1134D430">
            <w:pPr>
              <w:keepNext w:val="0"/>
              <w:keepLines w:val="0"/>
              <w:pageBreakBefore w:val="0"/>
              <w:widowControl w:val="0"/>
              <w:kinsoku/>
              <w:wordWrap/>
              <w:overflowPunct/>
              <w:topLinePunct w:val="0"/>
              <w:bidi w:val="0"/>
              <w:adjustRightInd w:val="0"/>
              <w:snapToGrid w:val="0"/>
              <w:spacing w:line="24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李 博</w:t>
            </w:r>
          </w:p>
        </w:tc>
        <w:tc>
          <w:tcPr>
            <w:tcW w:w="3066" w:type="dxa"/>
            <w:noWrap w:val="0"/>
            <w:vAlign w:val="center"/>
          </w:tcPr>
          <w:p w14:paraId="6A53ED5A">
            <w:pPr>
              <w:keepNext w:val="0"/>
              <w:keepLines w:val="0"/>
              <w:pageBreakBefore w:val="0"/>
              <w:widowControl w:val="0"/>
              <w:kinsoku/>
              <w:wordWrap/>
              <w:overflowPunct/>
              <w:topLinePunct w:val="0"/>
              <w:bidi w:val="0"/>
              <w:adjustRightInd w:val="0"/>
              <w:snapToGrid w:val="0"/>
              <w:spacing w:line="24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15839857887</w:t>
            </w:r>
          </w:p>
        </w:tc>
      </w:tr>
    </w:tbl>
    <w:p w14:paraId="6D5D87FB">
      <w:pPr>
        <w:jc w:val="both"/>
        <w:rPr>
          <w:rFonts w:hint="eastAsia" w:ascii="宋体" w:hAnsi="宋体" w:eastAsia="宋体" w:cs="宋体"/>
          <w:b/>
          <w:bCs/>
          <w:color w:val="auto"/>
          <w:sz w:val="24"/>
          <w:szCs w:val="24"/>
          <w:highlight w:val="none"/>
          <w:lang w:eastAsia="zh-CN"/>
        </w:rPr>
      </w:pPr>
    </w:p>
    <w:p w14:paraId="2C8491EF">
      <w:pPr>
        <w:rPr>
          <w:rFonts w:hint="eastAsia" w:ascii="宋体" w:hAnsi="宋体" w:eastAsia="宋体" w:cs="宋体"/>
          <w:b/>
          <w:bCs/>
          <w:color w:val="auto"/>
          <w:sz w:val="24"/>
          <w:szCs w:val="24"/>
          <w:highlight w:val="none"/>
          <w:lang w:eastAsia="zh-CN"/>
        </w:rPr>
      </w:pPr>
    </w:p>
    <w:p w14:paraId="13B12262">
      <w:pPr>
        <w:rPr>
          <w:rFonts w:hint="eastAsia" w:ascii="宋体" w:hAnsi="宋体" w:eastAsia="宋体" w:cs="宋体"/>
          <w:b/>
          <w:bCs/>
          <w:color w:val="auto"/>
          <w:sz w:val="24"/>
          <w:szCs w:val="24"/>
          <w:lang w:val="en-US" w:eastAsia="zh-CN"/>
        </w:rPr>
      </w:pPr>
    </w:p>
    <w:p w14:paraId="497E9985">
      <w:pP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br w:type="page"/>
      </w:r>
    </w:p>
    <w:p w14:paraId="4FF667B1">
      <w:pPr>
        <w:pStyle w:val="2"/>
        <w:bidi w:val="0"/>
        <w:jc w:val="center"/>
        <w:rPr>
          <w:rFonts w:hint="default"/>
          <w:color w:val="auto"/>
          <w:sz w:val="36"/>
          <w:szCs w:val="36"/>
          <w:highlight w:val="none"/>
          <w:lang w:val="en-US" w:eastAsia="zh-CN"/>
        </w:rPr>
      </w:pPr>
      <w:r>
        <w:rPr>
          <w:rFonts w:hint="eastAsia"/>
          <w:color w:val="auto"/>
          <w:sz w:val="36"/>
          <w:szCs w:val="36"/>
          <w:highlight w:val="none"/>
          <w:lang w:val="en-US" w:eastAsia="zh-CN"/>
        </w:rPr>
        <w:t>第三章  服务需求及要求</w:t>
      </w:r>
      <w:bookmarkEnd w:id="11"/>
    </w:p>
    <w:p w14:paraId="049A61BA">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default"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一、项目基本情况</w:t>
      </w:r>
    </w:p>
    <w:p w14:paraId="030C5665">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1、项目名称：</w:t>
      </w:r>
      <w:r>
        <w:rPr>
          <w:rFonts w:hint="eastAsia" w:ascii="宋体" w:hAnsi="宋体" w:cs="宋体"/>
          <w:bCs/>
          <w:color w:val="000000" w:themeColor="text1"/>
          <w:sz w:val="24"/>
          <w:szCs w:val="24"/>
          <w:highlight w:val="none"/>
          <w:lang w:eastAsia="zh-CN"/>
          <w14:textFill>
            <w14:solidFill>
              <w14:schemeClr w14:val="tx1"/>
            </w14:solidFill>
          </w14:textFill>
        </w:rPr>
        <w:t>卢氏县先进制造业开发区气候可行性论证评估项目</w:t>
      </w:r>
    </w:p>
    <w:p w14:paraId="6668FA7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2、项目编号</w:t>
      </w:r>
      <w:r>
        <w:rPr>
          <w:rFonts w:hint="eastAsia" w:ascii="宋体" w:hAnsi="宋体" w:eastAsia="宋体" w:cs="宋体"/>
          <w:bCs/>
          <w:color w:val="000000" w:themeColor="text1"/>
          <w:sz w:val="24"/>
          <w:szCs w:val="24"/>
          <w:highlight w:val="none"/>
          <w:lang w:eastAsia="zh-CN"/>
          <w14:textFill>
            <w14:solidFill>
              <w14:schemeClr w14:val="tx1"/>
            </w14:solidFill>
          </w14:textFill>
        </w:rPr>
        <w:t>：三卢竞磋采购-2026-16、LSGZ[2026]048-ZC036</w:t>
      </w:r>
    </w:p>
    <w:p w14:paraId="6FB4296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3、资金来源：</w:t>
      </w:r>
      <w:r>
        <w:rPr>
          <w:rFonts w:hint="eastAsia" w:ascii="宋体" w:hAnsi="宋体" w:cs="宋体"/>
          <w:bCs/>
          <w:color w:val="000000" w:themeColor="text1"/>
          <w:sz w:val="24"/>
          <w:szCs w:val="24"/>
          <w:highlight w:val="none"/>
          <w:lang w:eastAsia="zh-CN"/>
          <w14:textFill>
            <w14:solidFill>
              <w14:schemeClr w14:val="tx1"/>
            </w14:solidFill>
          </w14:textFill>
        </w:rPr>
        <w:t>财政资金</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已落实；</w:t>
      </w:r>
    </w:p>
    <w:p w14:paraId="289A2429">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宋体" w:hAnsi="宋体" w:eastAsia="宋体" w:cs="Times New Roman"/>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4、采购</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预算</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314400.00元</w:t>
      </w:r>
    </w:p>
    <w:p w14:paraId="780D35B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宋体" w:hAnsi="宋体" w:cs="Times New Roman"/>
          <w:color w:val="000000" w:themeColor="text1"/>
          <w:kern w:val="2"/>
          <w:sz w:val="24"/>
          <w:szCs w:val="24"/>
          <w:highlight w:val="none"/>
          <w:lang w:val="en-US" w:eastAsia="zh-CN"/>
          <w14:textFill>
            <w14:solidFill>
              <w14:schemeClr w14:val="tx1"/>
            </w14:solidFill>
          </w14:textFill>
        </w:rPr>
      </w:pPr>
      <w:r>
        <w:rPr>
          <w:rFonts w:hint="eastAsia" w:ascii="宋体" w:hAnsi="宋体" w:cs="Times New Roman"/>
          <w:color w:val="000000" w:themeColor="text1"/>
          <w:kern w:val="2"/>
          <w:sz w:val="24"/>
          <w:szCs w:val="24"/>
          <w:highlight w:val="none"/>
          <w:lang w:val="en-US" w:eastAsia="zh-CN"/>
          <w14:textFill>
            <w14:solidFill>
              <w14:schemeClr w14:val="tx1"/>
            </w14:solidFill>
          </w14:textFill>
        </w:rPr>
        <w:t>5、标段划分：本项目不划分标段</w:t>
      </w:r>
    </w:p>
    <w:p w14:paraId="2430BDB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bCs/>
          <w:color w:val="000000" w:themeColor="text1"/>
          <w:sz w:val="24"/>
          <w:szCs w:val="24"/>
          <w:highlight w:val="none"/>
          <w14:textFill>
            <w14:solidFill>
              <w14:schemeClr w14:val="tx1"/>
            </w14:solidFill>
          </w14:textFill>
        </w:rPr>
        <w:t>期</w:t>
      </w:r>
      <w:r>
        <w:rPr>
          <w:rFonts w:hint="eastAsia" w:ascii="宋体" w:hAnsi="宋体" w:cs="宋体"/>
          <w:bCs/>
          <w:color w:val="000000" w:themeColor="text1"/>
          <w:sz w:val="24"/>
          <w:szCs w:val="24"/>
          <w:highlight w:val="none"/>
          <w:lang w:val="en-US" w:eastAsia="zh-CN"/>
          <w14:textFill>
            <w14:solidFill>
              <w14:schemeClr w14:val="tx1"/>
            </w14:solidFill>
          </w14:textFill>
        </w:rPr>
        <w:t>限</w:t>
      </w:r>
      <w:r>
        <w:rPr>
          <w:rFonts w:hint="eastAsia" w:ascii="宋体" w:hAnsi="宋体" w:eastAsia="宋体" w:cs="宋体"/>
          <w:bCs/>
          <w:color w:val="000000" w:themeColor="text1"/>
          <w:sz w:val="24"/>
          <w:szCs w:val="24"/>
          <w:highlight w:val="none"/>
          <w14:textFill>
            <w14:solidFill>
              <w14:schemeClr w14:val="tx1"/>
            </w14:solidFill>
          </w14:textFill>
        </w:rPr>
        <w:t>：合同签订之日起</w:t>
      </w:r>
      <w:r>
        <w:rPr>
          <w:rFonts w:hint="eastAsia" w:ascii="宋体" w:hAnsi="宋体" w:cs="Times New Roman"/>
          <w:color w:val="000000" w:themeColor="text1"/>
          <w:kern w:val="2"/>
          <w:sz w:val="24"/>
          <w:szCs w:val="24"/>
          <w:highlight w:val="none"/>
          <w:lang w:val="en-US" w:eastAsia="zh-CN"/>
          <w14:textFill>
            <w14:solidFill>
              <w14:schemeClr w14:val="tx1"/>
            </w14:solidFill>
          </w14:textFill>
        </w:rPr>
        <w:t>60</w:t>
      </w:r>
      <w:r>
        <w:rPr>
          <w:rFonts w:hint="eastAsia" w:ascii="宋体" w:hAnsi="宋体" w:eastAsia="宋体" w:cs="宋体"/>
          <w:bCs/>
          <w:color w:val="000000" w:themeColor="text1"/>
          <w:sz w:val="24"/>
          <w:szCs w:val="24"/>
          <w:highlight w:val="none"/>
          <w14:textFill>
            <w14:solidFill>
              <w14:schemeClr w14:val="tx1"/>
            </w14:solidFill>
          </w14:textFill>
        </w:rPr>
        <w:t>日历天内完成</w:t>
      </w:r>
    </w:p>
    <w:p w14:paraId="5C2AD29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bCs/>
          <w:color w:val="000000" w:themeColor="text1"/>
          <w:sz w:val="24"/>
          <w:szCs w:val="24"/>
          <w:highlight w:val="none"/>
          <w14:textFill>
            <w14:solidFill>
              <w14:schemeClr w14:val="tx1"/>
            </w14:solidFill>
          </w14:textFill>
        </w:rPr>
        <w:t>地点：</w:t>
      </w:r>
      <w:r>
        <w:rPr>
          <w:rFonts w:hint="eastAsia" w:ascii="宋体" w:hAnsi="宋体" w:cs="宋体"/>
          <w:bCs/>
          <w:color w:val="000000" w:themeColor="text1"/>
          <w:sz w:val="24"/>
          <w:szCs w:val="24"/>
          <w:highlight w:val="none"/>
          <w:lang w:val="en-US" w:eastAsia="zh-CN"/>
          <w14:textFill>
            <w14:solidFill>
              <w14:schemeClr w14:val="tx1"/>
            </w14:solidFill>
          </w14:textFill>
        </w:rPr>
        <w:t>卢氏县</w:t>
      </w:r>
    </w:p>
    <w:p w14:paraId="1117BB04">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color w:val="0000FF"/>
          <w:sz w:val="24"/>
          <w:szCs w:val="24"/>
          <w:highlight w:val="none"/>
          <w:lang w:val="en-US" w:eastAsia="zh-CN"/>
        </w:rPr>
      </w:pPr>
      <w:r>
        <w:rPr>
          <w:rFonts w:hint="eastAsia" w:ascii="宋体" w:hAnsi="宋体" w:cs="宋体"/>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质量要求：</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符合国家相关规范标准要求，满足采购人需求</w:t>
      </w:r>
      <w:r>
        <w:rPr>
          <w:rFonts w:hint="eastAsia" w:ascii="宋体" w:hAnsi="宋体" w:cs="宋体"/>
          <w:bCs/>
          <w:color w:val="000000" w:themeColor="text1"/>
          <w:sz w:val="24"/>
          <w:szCs w:val="24"/>
          <w:highlight w:val="none"/>
          <w:lang w:eastAsia="zh-CN"/>
          <w14:textFill>
            <w14:solidFill>
              <w14:schemeClr w14:val="tx1"/>
            </w14:solidFill>
          </w14:textFill>
        </w:rPr>
        <w:t>。</w:t>
      </w:r>
    </w:p>
    <w:p w14:paraId="1336D31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82" w:firstLineChars="200"/>
        <w:jc w:val="left"/>
        <w:textAlignment w:val="auto"/>
        <w:rPr>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二、</w:t>
      </w:r>
      <w:r>
        <w:rPr>
          <w:rFonts w:hint="eastAsia" w:cs="宋体"/>
          <w:b/>
          <w:bCs w:val="0"/>
          <w:color w:val="000000" w:themeColor="text1"/>
          <w:sz w:val="24"/>
          <w:szCs w:val="24"/>
          <w:highlight w:val="none"/>
          <w:lang w:val="en-US" w:eastAsia="zh-CN"/>
          <w14:textFill>
            <w14:solidFill>
              <w14:schemeClr w14:val="tx1"/>
            </w14:solidFill>
          </w14:textFill>
        </w:rPr>
        <w:t>具体</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要求</w:t>
      </w:r>
    </w:p>
    <w:p w14:paraId="11C511A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80" w:firstLineChars="200"/>
        <w:jc w:val="both"/>
        <w:textAlignment w:val="auto"/>
        <w:rPr>
          <w:rFonts w:hint="eastAsia" w:asciiTheme="majorEastAsia" w:hAnsiTheme="majorEastAsia" w:eastAsiaTheme="majorEastAsia" w:cstheme="majorEastAsia"/>
          <w:b w:val="0"/>
          <w:bCs w:val="0"/>
          <w:i w:val="0"/>
          <w:iCs w:val="0"/>
          <w:color w:val="000000"/>
          <w:spacing w:val="0"/>
          <w:w w:val="100"/>
          <w:sz w:val="24"/>
          <w:szCs w:val="24"/>
          <w:vertAlign w:val="baseline"/>
        </w:rPr>
      </w:pPr>
      <w:r>
        <w:rPr>
          <w:rFonts w:hint="eastAsia" w:asciiTheme="majorEastAsia" w:hAnsiTheme="majorEastAsia" w:eastAsiaTheme="majorEastAsia" w:cstheme="majorEastAsia"/>
          <w:b w:val="0"/>
          <w:bCs w:val="0"/>
          <w:i w:val="0"/>
          <w:iCs w:val="0"/>
          <w:color w:val="000000"/>
          <w:spacing w:val="0"/>
          <w:w w:val="100"/>
          <w:sz w:val="24"/>
          <w:szCs w:val="24"/>
          <w:vertAlign w:val="baseline"/>
        </w:rPr>
        <w:t>卢氏县先进制造业区域性气候可行性论证报告编制服务包含但不限于以下内容：</w:t>
      </w:r>
    </w:p>
    <w:p w14:paraId="47383743">
      <w:pPr>
        <w:pStyle w:val="13"/>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40" w:lineRule="exact"/>
        <w:ind w:left="0" w:right="0" w:firstLine="480" w:firstLineChars="200"/>
        <w:jc w:val="both"/>
        <w:textAlignment w:val="auto"/>
        <w:rPr>
          <w:rFonts w:hint="eastAsia" w:asciiTheme="majorEastAsia" w:hAnsiTheme="majorEastAsia" w:eastAsiaTheme="majorEastAsia" w:cstheme="majorEastAsia"/>
          <w:b w:val="0"/>
          <w:bCs w:val="0"/>
          <w:i w:val="0"/>
          <w:iCs w:val="0"/>
          <w:color w:val="000000"/>
          <w:spacing w:val="0"/>
          <w:w w:val="100"/>
          <w:sz w:val="24"/>
          <w:szCs w:val="24"/>
          <w:vertAlign w:val="baseline"/>
        </w:rPr>
      </w:pPr>
      <w:r>
        <w:rPr>
          <w:rFonts w:hint="eastAsia" w:asciiTheme="majorEastAsia" w:hAnsiTheme="majorEastAsia" w:eastAsiaTheme="majorEastAsia" w:cstheme="majorEastAsia"/>
          <w:b w:val="0"/>
          <w:bCs w:val="0"/>
          <w:i w:val="0"/>
          <w:iCs w:val="0"/>
          <w:color w:val="000000"/>
          <w:spacing w:val="0"/>
          <w:w w:val="100"/>
          <w:sz w:val="24"/>
          <w:szCs w:val="24"/>
          <w:vertAlign w:val="baseline"/>
        </w:rPr>
        <w:t>收集产业园区项目的基本信息，项目规划现场勘探，了解项目环境特征，项目的地理位置及周边的地形特征，有无山体；</w:t>
      </w:r>
    </w:p>
    <w:p w14:paraId="6738E9A5">
      <w:pPr>
        <w:pStyle w:val="13"/>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480" w:firstLineChars="200"/>
        <w:jc w:val="both"/>
        <w:textAlignment w:val="auto"/>
        <w:rPr>
          <w:rFonts w:hint="eastAsia" w:asciiTheme="majorEastAsia" w:hAnsiTheme="majorEastAsia" w:eastAsiaTheme="majorEastAsia" w:cstheme="majorEastAsia"/>
          <w:b w:val="0"/>
          <w:bCs w:val="0"/>
          <w:i w:val="0"/>
          <w:iCs w:val="0"/>
          <w:color w:val="000000"/>
          <w:spacing w:val="0"/>
          <w:w w:val="100"/>
          <w:sz w:val="24"/>
          <w:szCs w:val="24"/>
          <w:vertAlign w:val="baseline"/>
        </w:rPr>
      </w:pPr>
      <w:r>
        <w:rPr>
          <w:rFonts w:hint="eastAsia" w:asciiTheme="majorEastAsia" w:hAnsiTheme="majorEastAsia" w:eastAsiaTheme="majorEastAsia" w:cstheme="majorEastAsia"/>
          <w:b w:val="0"/>
          <w:bCs w:val="0"/>
          <w:i w:val="0"/>
          <w:iCs w:val="0"/>
          <w:color w:val="000000"/>
          <w:spacing w:val="0"/>
          <w:w w:val="100"/>
          <w:sz w:val="24"/>
          <w:szCs w:val="24"/>
          <w:vertAlign w:val="baseline"/>
        </w:rPr>
        <w:t>收集项目周边区域历史气象灾害。（包含暴雨、冰雹、大风、雷电、山洪、泥石流等）。收集项目周边区域所有观测站、区域站30年气象观测资料。（包含气温、降水量、风向风速、相对湿度、日照时数等气象要素）。参证气象站选取和资料收集、质量控制分析。</w:t>
      </w:r>
    </w:p>
    <w:p w14:paraId="7BC5486F">
      <w:pPr>
        <w:pStyle w:val="13"/>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val="0"/>
          <w:bCs w:val="0"/>
          <w:i w:val="0"/>
          <w:iCs w:val="0"/>
          <w:color w:val="000000"/>
          <w:spacing w:val="0"/>
          <w:w w:val="100"/>
          <w:sz w:val="24"/>
          <w:szCs w:val="24"/>
          <w:vertAlign w:val="baseline"/>
        </w:rPr>
        <w:t>根据气候背景特征、高影响天气分析、灾害性天气影响评估、专家咨询、关键气象因子分析及极端气象参数推算，进行建模及三维模拟，实现报告编制，以纸质及相关电子文件方式向甲方提供技术服务成果。</w:t>
      </w:r>
    </w:p>
    <w:p w14:paraId="5658105A">
      <w:pPr>
        <w:pStyle w:val="13"/>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480" w:firstLineChars="200"/>
        <w:jc w:val="both"/>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val="0"/>
          <w:bCs w:val="0"/>
          <w:i w:val="0"/>
          <w:iCs w:val="0"/>
          <w:color w:val="000000"/>
          <w:spacing w:val="0"/>
          <w:w w:val="100"/>
          <w:sz w:val="24"/>
          <w:szCs w:val="24"/>
          <w:vertAlign w:val="baseline"/>
        </w:rPr>
        <w:t>完成报告编制后及时进行评审并通过三门峡市气象局的评审批复。</w:t>
      </w:r>
    </w:p>
    <w:p w14:paraId="44CF391E">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val="0"/>
          <w:color w:val="0000FF"/>
          <w:sz w:val="24"/>
          <w:szCs w:val="28"/>
          <w:highlight w:val="none"/>
          <w:lang w:val="en-US" w:eastAsia="zh-CN"/>
        </w:rPr>
      </w:pPr>
    </w:p>
    <w:p w14:paraId="4A676F2D">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outlineLvl w:val="9"/>
        <w:rPr>
          <w:rFonts w:hint="eastAsia" w:ascii="宋体" w:hAnsi="宋体" w:eastAsia="宋体" w:cs="宋体"/>
          <w:bCs/>
          <w:color w:val="auto"/>
          <w:sz w:val="32"/>
          <w:szCs w:val="36"/>
          <w:highlight w:val="none"/>
          <w:lang w:val="zh-CN"/>
        </w:rPr>
      </w:pPr>
      <w:r>
        <w:rPr>
          <w:rFonts w:hint="eastAsia" w:ascii="宋体" w:hAnsi="宋体" w:eastAsia="宋体" w:cs="宋体"/>
          <w:bCs/>
          <w:color w:val="auto"/>
          <w:sz w:val="22"/>
          <w:highlight w:val="none"/>
          <w:lang w:val="zh-CN"/>
        </w:rPr>
        <w:br w:type="page"/>
      </w:r>
    </w:p>
    <w:p w14:paraId="4DB0E85B">
      <w:pPr>
        <w:pStyle w:val="2"/>
        <w:bidi w:val="0"/>
        <w:jc w:val="center"/>
        <w:rPr>
          <w:rFonts w:hint="eastAsia"/>
          <w:color w:val="auto"/>
          <w:sz w:val="32"/>
          <w:szCs w:val="32"/>
          <w:highlight w:val="none"/>
        </w:rPr>
      </w:pPr>
      <w:bookmarkStart w:id="152" w:name="_Toc30996"/>
      <w:r>
        <w:rPr>
          <w:rFonts w:hint="eastAsia"/>
          <w:color w:val="auto"/>
          <w:sz w:val="32"/>
          <w:szCs w:val="32"/>
          <w:highlight w:val="none"/>
        </w:rPr>
        <w:t>第</w:t>
      </w:r>
      <w:r>
        <w:rPr>
          <w:rFonts w:hint="eastAsia"/>
          <w:color w:val="auto"/>
          <w:sz w:val="32"/>
          <w:szCs w:val="32"/>
          <w:highlight w:val="none"/>
          <w:lang w:val="en-US" w:eastAsia="zh-CN"/>
        </w:rPr>
        <w:t>四</w:t>
      </w:r>
      <w:r>
        <w:rPr>
          <w:rFonts w:hint="eastAsia"/>
          <w:color w:val="auto"/>
          <w:sz w:val="32"/>
          <w:szCs w:val="32"/>
          <w:highlight w:val="none"/>
        </w:rPr>
        <w:t>章</w:t>
      </w:r>
      <w:r>
        <w:rPr>
          <w:rFonts w:hint="eastAsia"/>
          <w:color w:val="auto"/>
          <w:sz w:val="32"/>
          <w:szCs w:val="32"/>
          <w:highlight w:val="none"/>
          <w:lang w:val="en-US" w:eastAsia="zh-CN"/>
        </w:rPr>
        <w:t xml:space="preserve"> </w:t>
      </w:r>
      <w:r>
        <w:rPr>
          <w:rFonts w:hint="eastAsia"/>
          <w:color w:val="auto"/>
          <w:sz w:val="32"/>
          <w:szCs w:val="32"/>
          <w:highlight w:val="none"/>
        </w:rPr>
        <w:t>评</w:t>
      </w:r>
      <w:r>
        <w:rPr>
          <w:rFonts w:hint="eastAsia"/>
          <w:color w:val="auto"/>
          <w:sz w:val="32"/>
          <w:szCs w:val="32"/>
          <w:highlight w:val="none"/>
          <w:lang w:val="en-US" w:eastAsia="zh-CN"/>
        </w:rPr>
        <w:t>标</w:t>
      </w:r>
      <w:r>
        <w:rPr>
          <w:rFonts w:hint="eastAsia"/>
          <w:color w:val="auto"/>
          <w:sz w:val="32"/>
          <w:szCs w:val="32"/>
          <w:highlight w:val="none"/>
        </w:rPr>
        <w:t>办法</w:t>
      </w:r>
      <w:bookmarkEnd w:id="152"/>
    </w:p>
    <w:p w14:paraId="25741332">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一、评审程序：</w:t>
      </w:r>
    </w:p>
    <w:p w14:paraId="53085333">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1、磋商小组对磋商文件进行确认。</w:t>
      </w:r>
    </w:p>
    <w:p w14:paraId="689BA9B5">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2、磋商小组推选组长，讨论、通过磋商工作流程和磋商要点。</w:t>
      </w:r>
    </w:p>
    <w:p w14:paraId="3AC63F8D">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3、初步审查：磋商开始后，磋商小组依据磋商文件规定，对</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8"/>
          <w:highlight w:val="none"/>
        </w:rPr>
        <w:t>的资格性及响应文件的形式、响应性进行审查。响应文件的内容是否完整、文件签署是否正确、响应文件是否符合磋商文件的要求进行审查，以确定是否对磋商文件的实质性要求作出响应，以确定磋商</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8"/>
          <w:highlight w:val="none"/>
        </w:rPr>
        <w:t xml:space="preserve">是否具备参与磋商的资格。 </w:t>
      </w:r>
    </w:p>
    <w:p w14:paraId="497974EC">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4、技术评审。磋商小组对响应文件在质量、技术等方面是否能满足磋商文件实质性要求进行评审。</w:t>
      </w:r>
    </w:p>
    <w:p w14:paraId="27BBEE7C">
      <w:pPr>
        <w:spacing w:line="400" w:lineRule="exact"/>
        <w:ind w:firstLine="480" w:firstLineChars="200"/>
        <w:jc w:val="left"/>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auto"/>
          <w:sz w:val="24"/>
          <w:szCs w:val="28"/>
          <w:highlight w:val="none"/>
        </w:rPr>
        <w:t>5、</w:t>
      </w:r>
      <w:r>
        <w:rPr>
          <w:rFonts w:hint="eastAsia" w:ascii="宋体" w:hAnsi="宋体" w:cs="宋体"/>
          <w:color w:val="000000" w:themeColor="text1"/>
          <w:sz w:val="24"/>
          <w:szCs w:val="28"/>
          <w:highlight w:val="none"/>
          <w14:textFill>
            <w14:solidFill>
              <w14:schemeClr w14:val="tx1"/>
            </w14:solidFill>
          </w14:textFill>
        </w:rPr>
        <w:t xml:space="preserve">在资格性、形式、响应性审查中如出现下列情况之一的响应文件，按无效响应文件处理，不再进行磋商： </w:t>
      </w:r>
    </w:p>
    <w:p w14:paraId="4A6FA476">
      <w:pPr>
        <w:spacing w:line="400" w:lineRule="exact"/>
        <w:ind w:firstLine="480" w:firstLineChars="200"/>
        <w:jc w:val="left"/>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 xml:space="preserve">（1）响应文件中资格证明文件不全或未实质性响应竞争性磋商文件要求的； </w:t>
      </w:r>
    </w:p>
    <w:p w14:paraId="381EDC98">
      <w:pPr>
        <w:spacing w:line="400" w:lineRule="exact"/>
        <w:ind w:firstLine="480" w:firstLineChars="200"/>
        <w:jc w:val="left"/>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（2）响应文件无法定代表人（负责人）或其有效委托的授权人的签章，或未按磋商文件的要求签章的，或授权期限不符合要求的；</w:t>
      </w:r>
    </w:p>
    <w:p w14:paraId="05E0D239">
      <w:pPr>
        <w:spacing w:line="400" w:lineRule="exact"/>
        <w:ind w:firstLine="480" w:firstLineChars="200"/>
        <w:jc w:val="left"/>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（3）响应文件有效期短于竞争性磋商文件要求的；</w:t>
      </w:r>
    </w:p>
    <w:p w14:paraId="672179C1">
      <w:pPr>
        <w:spacing w:line="400" w:lineRule="exact"/>
        <w:ind w:firstLine="480" w:firstLineChars="200"/>
        <w:jc w:val="left"/>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（4）响应文件中提供虚假或失实资料的；</w:t>
      </w:r>
    </w:p>
    <w:p w14:paraId="03464DF9">
      <w:pPr>
        <w:spacing w:line="400" w:lineRule="exact"/>
        <w:ind w:firstLine="480" w:firstLineChars="200"/>
        <w:jc w:val="left"/>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（5）不满足磋商文件其他实质性要求的；</w:t>
      </w:r>
    </w:p>
    <w:p w14:paraId="5741328C">
      <w:pPr>
        <w:spacing w:line="400" w:lineRule="exact"/>
        <w:ind w:firstLine="480" w:firstLineChars="200"/>
        <w:jc w:val="left"/>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6、磋商小组对通过资格性和形式、响应性审查的响应文件进行评估，确定与各</w:t>
      </w:r>
      <w:r>
        <w:rPr>
          <w:rFonts w:hint="eastAsia" w:ascii="宋体" w:hAnsi="宋体" w:cs="宋体"/>
          <w:color w:val="000000" w:themeColor="text1"/>
          <w:sz w:val="24"/>
          <w:szCs w:val="28"/>
          <w:highlight w:val="none"/>
          <w:lang w:eastAsia="zh-CN"/>
          <w14:textFill>
            <w14:solidFill>
              <w14:schemeClr w14:val="tx1"/>
            </w14:solidFill>
          </w14:textFill>
        </w:rPr>
        <w:t>供应商</w:t>
      </w:r>
      <w:r>
        <w:rPr>
          <w:rFonts w:hint="eastAsia" w:ascii="宋体" w:hAnsi="宋体" w:cs="宋体"/>
          <w:color w:val="000000" w:themeColor="text1"/>
          <w:sz w:val="24"/>
          <w:szCs w:val="28"/>
          <w:highlight w:val="none"/>
          <w14:textFill>
            <w14:solidFill>
              <w14:schemeClr w14:val="tx1"/>
            </w14:solidFill>
          </w14:textFill>
        </w:rPr>
        <w:t>磋商的具体内容。</w:t>
      </w:r>
    </w:p>
    <w:p w14:paraId="03B699C1">
      <w:pPr>
        <w:spacing w:line="400" w:lineRule="exact"/>
        <w:ind w:firstLine="480" w:firstLineChars="200"/>
        <w:jc w:val="left"/>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7、围绕磋商要点，磋商小组全体成员集中与单一</w:t>
      </w:r>
      <w:r>
        <w:rPr>
          <w:rFonts w:hint="eastAsia" w:ascii="宋体" w:hAnsi="宋体" w:cs="宋体"/>
          <w:color w:val="000000" w:themeColor="text1"/>
          <w:sz w:val="24"/>
          <w:szCs w:val="28"/>
          <w:highlight w:val="none"/>
          <w:lang w:eastAsia="zh-CN"/>
          <w14:textFill>
            <w14:solidFill>
              <w14:schemeClr w14:val="tx1"/>
            </w14:solidFill>
          </w14:textFill>
        </w:rPr>
        <w:t>供应商</w:t>
      </w:r>
      <w:r>
        <w:rPr>
          <w:rFonts w:hint="eastAsia" w:ascii="宋体" w:hAnsi="宋体" w:cs="宋体"/>
          <w:color w:val="000000" w:themeColor="text1"/>
          <w:sz w:val="24"/>
          <w:szCs w:val="28"/>
          <w:highlight w:val="none"/>
          <w14:textFill>
            <w14:solidFill>
              <w14:schemeClr w14:val="tx1"/>
            </w14:solidFill>
          </w14:textFill>
        </w:rPr>
        <w:t>分别进行磋商。逐家磋商一次为一个轮次，磋商轮次由磋商小组视情况决定。各</w:t>
      </w:r>
      <w:r>
        <w:rPr>
          <w:rFonts w:hint="eastAsia" w:ascii="宋体" w:hAnsi="宋体" w:cs="宋体"/>
          <w:color w:val="000000" w:themeColor="text1"/>
          <w:sz w:val="24"/>
          <w:szCs w:val="28"/>
          <w:highlight w:val="none"/>
          <w:lang w:eastAsia="zh-CN"/>
          <w14:textFill>
            <w14:solidFill>
              <w14:schemeClr w14:val="tx1"/>
            </w14:solidFill>
          </w14:textFill>
        </w:rPr>
        <w:t>供应商</w:t>
      </w:r>
      <w:r>
        <w:rPr>
          <w:rFonts w:hint="eastAsia" w:ascii="宋体" w:hAnsi="宋体" w:cs="宋体"/>
          <w:color w:val="000000" w:themeColor="text1"/>
          <w:sz w:val="24"/>
          <w:szCs w:val="28"/>
          <w:highlight w:val="none"/>
          <w14:textFill>
            <w14:solidFill>
              <w14:schemeClr w14:val="tx1"/>
            </w14:solidFill>
          </w14:textFill>
        </w:rPr>
        <w:t>磋商顺序按签到顺序进行磋商。</w:t>
      </w:r>
    </w:p>
    <w:p w14:paraId="3030E166">
      <w:pPr>
        <w:spacing w:line="400" w:lineRule="exact"/>
        <w:ind w:firstLine="480" w:firstLineChars="200"/>
        <w:jc w:val="left"/>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8、磋商过程中，磋商小组可以根据磋商情况实质性变动项目需求中的技术、质量要求以及合同草案条款，但不得变动磋商文件中的其他内容。实质性变动的内容需经采购人代表确认。并以书面形式通知所有参加磋商的</w:t>
      </w:r>
      <w:r>
        <w:rPr>
          <w:rFonts w:hint="eastAsia" w:ascii="宋体" w:hAnsi="宋体" w:cs="宋体"/>
          <w:color w:val="000000" w:themeColor="text1"/>
          <w:sz w:val="24"/>
          <w:szCs w:val="28"/>
          <w:highlight w:val="none"/>
          <w:lang w:eastAsia="zh-CN"/>
          <w14:textFill>
            <w14:solidFill>
              <w14:schemeClr w14:val="tx1"/>
            </w14:solidFill>
          </w14:textFill>
        </w:rPr>
        <w:t>供应商</w:t>
      </w:r>
      <w:r>
        <w:rPr>
          <w:rFonts w:hint="eastAsia" w:ascii="宋体" w:hAnsi="宋体" w:cs="宋体"/>
          <w:color w:val="000000" w:themeColor="text1"/>
          <w:sz w:val="24"/>
          <w:szCs w:val="28"/>
          <w:highlight w:val="none"/>
          <w14:textFill>
            <w14:solidFill>
              <w14:schemeClr w14:val="tx1"/>
            </w14:solidFill>
          </w14:textFill>
        </w:rPr>
        <w:t>，该变动是磋商文件的有效组成部分。</w:t>
      </w:r>
      <w:r>
        <w:rPr>
          <w:rFonts w:hint="eastAsia" w:ascii="宋体" w:hAnsi="宋体" w:cs="宋体"/>
          <w:color w:val="000000" w:themeColor="text1"/>
          <w:sz w:val="24"/>
          <w:szCs w:val="28"/>
          <w:highlight w:val="none"/>
          <w:lang w:eastAsia="zh-CN"/>
          <w14:textFill>
            <w14:solidFill>
              <w14:schemeClr w14:val="tx1"/>
            </w14:solidFill>
          </w14:textFill>
        </w:rPr>
        <w:t>供应商</w:t>
      </w:r>
      <w:r>
        <w:rPr>
          <w:rFonts w:hint="eastAsia" w:ascii="宋体" w:hAnsi="宋体" w:cs="宋体"/>
          <w:color w:val="000000" w:themeColor="text1"/>
          <w:sz w:val="24"/>
          <w:szCs w:val="28"/>
          <w:highlight w:val="none"/>
          <w14:textFill>
            <w14:solidFill>
              <w14:schemeClr w14:val="tx1"/>
            </w14:solidFill>
          </w14:textFill>
        </w:rPr>
        <w:t>应当按照磋商文件的变动情况和磋商小组的要求重新提交响应文件并由其法定代表人或授权代表签字或者加盖公章。由授权代表签字的应当附法定代表人授权书。</w:t>
      </w:r>
      <w:r>
        <w:rPr>
          <w:rFonts w:hint="eastAsia" w:ascii="宋体" w:hAnsi="宋体" w:cs="宋体"/>
          <w:color w:val="000000" w:themeColor="text1"/>
          <w:sz w:val="24"/>
          <w:szCs w:val="28"/>
          <w:highlight w:val="none"/>
          <w:lang w:eastAsia="zh-CN"/>
          <w14:textFill>
            <w14:solidFill>
              <w14:schemeClr w14:val="tx1"/>
            </w14:solidFill>
          </w14:textFill>
        </w:rPr>
        <w:t>供应商</w:t>
      </w:r>
      <w:r>
        <w:rPr>
          <w:rFonts w:hint="eastAsia" w:ascii="宋体" w:hAnsi="宋体" w:cs="宋体"/>
          <w:color w:val="000000" w:themeColor="text1"/>
          <w:sz w:val="24"/>
          <w:szCs w:val="28"/>
          <w:highlight w:val="none"/>
          <w14:textFill>
            <w14:solidFill>
              <w14:schemeClr w14:val="tx1"/>
            </w14:solidFill>
          </w14:textFill>
        </w:rPr>
        <w:t>为自然人的应当由本人签字并附身份证。</w:t>
      </w:r>
      <w:r>
        <w:rPr>
          <w:rFonts w:hint="eastAsia" w:ascii="宋体" w:hAnsi="宋体" w:cs="宋体"/>
          <w:color w:val="000000" w:themeColor="text1"/>
          <w:sz w:val="24"/>
          <w:szCs w:val="28"/>
          <w:highlight w:val="none"/>
          <w:lang w:eastAsia="zh-CN"/>
          <w14:textFill>
            <w14:solidFill>
              <w14:schemeClr w14:val="tx1"/>
            </w14:solidFill>
          </w14:textFill>
        </w:rPr>
        <w:t>供应商</w:t>
      </w:r>
      <w:r>
        <w:rPr>
          <w:rFonts w:hint="eastAsia" w:ascii="宋体" w:hAnsi="宋体" w:cs="宋体"/>
          <w:color w:val="000000" w:themeColor="text1"/>
          <w:sz w:val="24"/>
          <w:szCs w:val="28"/>
          <w:highlight w:val="none"/>
          <w14:textFill>
            <w14:solidFill>
              <w14:schemeClr w14:val="tx1"/>
            </w14:solidFill>
          </w14:textFill>
        </w:rPr>
        <w:t xml:space="preserve">应根据磋商小组的要求，以书面形式在规定时间内做出响应，未做出响应的响应文件将被视为无效投标。 </w:t>
      </w:r>
    </w:p>
    <w:p w14:paraId="0D0AE50A">
      <w:pPr>
        <w:spacing w:line="400" w:lineRule="exact"/>
        <w:ind w:firstLine="480" w:firstLineChars="200"/>
        <w:jc w:val="left"/>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9、磋商结束后，未通过实质性响应的</w:t>
      </w:r>
      <w:r>
        <w:rPr>
          <w:rFonts w:hint="eastAsia" w:ascii="宋体" w:hAnsi="宋体" w:cs="宋体"/>
          <w:color w:val="000000" w:themeColor="text1"/>
          <w:sz w:val="24"/>
          <w:szCs w:val="28"/>
          <w:highlight w:val="none"/>
          <w:lang w:eastAsia="zh-CN"/>
          <w14:textFill>
            <w14:solidFill>
              <w14:schemeClr w14:val="tx1"/>
            </w14:solidFill>
          </w14:textFill>
        </w:rPr>
        <w:t>供应商</w:t>
      </w:r>
      <w:r>
        <w:rPr>
          <w:rFonts w:hint="eastAsia" w:ascii="宋体" w:hAnsi="宋体" w:cs="宋体"/>
          <w:color w:val="000000" w:themeColor="text1"/>
          <w:sz w:val="24"/>
          <w:szCs w:val="28"/>
          <w:highlight w:val="none"/>
          <w14:textFill>
            <w14:solidFill>
              <w14:schemeClr w14:val="tx1"/>
            </w14:solidFill>
          </w14:textFill>
        </w:rPr>
        <w:t>将不再进行最后报价。经磋商确定最终采购需求和提交最后报价的</w:t>
      </w:r>
      <w:r>
        <w:rPr>
          <w:rFonts w:hint="eastAsia" w:ascii="宋体" w:hAnsi="宋体" w:cs="宋体"/>
          <w:color w:val="000000" w:themeColor="text1"/>
          <w:sz w:val="24"/>
          <w:szCs w:val="28"/>
          <w:highlight w:val="none"/>
          <w:lang w:eastAsia="zh-CN"/>
          <w14:textFill>
            <w14:solidFill>
              <w14:schemeClr w14:val="tx1"/>
            </w14:solidFill>
          </w14:textFill>
        </w:rPr>
        <w:t>供应商</w:t>
      </w:r>
      <w:r>
        <w:rPr>
          <w:rFonts w:hint="eastAsia" w:ascii="宋体" w:hAnsi="宋体" w:cs="宋体"/>
          <w:color w:val="000000" w:themeColor="text1"/>
          <w:sz w:val="24"/>
          <w:szCs w:val="28"/>
          <w:highlight w:val="none"/>
          <w14:textFill>
            <w14:solidFill>
              <w14:schemeClr w14:val="tx1"/>
            </w14:solidFill>
          </w14:textFill>
        </w:rPr>
        <w:t>后，由磋商小组采用综合评分法对提交最后报价的</w:t>
      </w:r>
      <w:r>
        <w:rPr>
          <w:rFonts w:hint="eastAsia" w:ascii="宋体" w:hAnsi="宋体" w:cs="宋体"/>
          <w:color w:val="000000" w:themeColor="text1"/>
          <w:sz w:val="24"/>
          <w:szCs w:val="28"/>
          <w:highlight w:val="none"/>
          <w:lang w:eastAsia="zh-CN"/>
          <w14:textFill>
            <w14:solidFill>
              <w14:schemeClr w14:val="tx1"/>
            </w14:solidFill>
          </w14:textFill>
        </w:rPr>
        <w:t>供应商</w:t>
      </w:r>
      <w:r>
        <w:rPr>
          <w:rFonts w:hint="eastAsia" w:ascii="宋体" w:hAnsi="宋体" w:cs="宋体"/>
          <w:color w:val="000000" w:themeColor="text1"/>
          <w:sz w:val="24"/>
          <w:szCs w:val="28"/>
          <w:highlight w:val="none"/>
          <w14:textFill>
            <w14:solidFill>
              <w14:schemeClr w14:val="tx1"/>
            </w14:solidFill>
          </w14:textFill>
        </w:rPr>
        <w:t>的响应文件和最后报价进行综合评分。</w:t>
      </w:r>
    </w:p>
    <w:p w14:paraId="05B202D1">
      <w:pPr>
        <w:spacing w:line="400" w:lineRule="exact"/>
        <w:ind w:firstLine="480" w:firstLineChars="200"/>
        <w:jc w:val="left"/>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二、评审方法及标准：</w:t>
      </w:r>
    </w:p>
    <w:p w14:paraId="5A07CF5B">
      <w:pPr>
        <w:spacing w:line="400" w:lineRule="exact"/>
        <w:ind w:firstLine="480" w:firstLineChars="200"/>
        <w:jc w:val="left"/>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评审方法：本项目采用综合评分法，总分为 100 分。综合评分法，是指磋商响应文件满足磋商文件全部实质性要求且按评审因素的量化指标评审得分最高的</w:t>
      </w:r>
      <w:r>
        <w:rPr>
          <w:rFonts w:hint="eastAsia" w:ascii="宋体" w:hAnsi="宋体" w:cs="宋体"/>
          <w:color w:val="000000" w:themeColor="text1"/>
          <w:sz w:val="24"/>
          <w:szCs w:val="28"/>
          <w:highlight w:val="none"/>
          <w:lang w:eastAsia="zh-CN"/>
          <w14:textFill>
            <w14:solidFill>
              <w14:schemeClr w14:val="tx1"/>
            </w14:solidFill>
          </w14:textFill>
        </w:rPr>
        <w:t>供应商</w:t>
      </w:r>
      <w:r>
        <w:rPr>
          <w:rFonts w:hint="eastAsia" w:ascii="宋体" w:hAnsi="宋体" w:cs="宋体"/>
          <w:color w:val="000000" w:themeColor="text1"/>
          <w:sz w:val="24"/>
          <w:szCs w:val="28"/>
          <w:highlight w:val="none"/>
          <w14:textFill>
            <w14:solidFill>
              <w14:schemeClr w14:val="tx1"/>
            </w14:solidFill>
          </w14:textFill>
        </w:rPr>
        <w:t>为成交候选</w:t>
      </w:r>
      <w:r>
        <w:rPr>
          <w:rFonts w:hint="eastAsia" w:ascii="宋体" w:hAnsi="宋体" w:cs="宋体"/>
          <w:color w:val="000000" w:themeColor="text1"/>
          <w:sz w:val="24"/>
          <w:szCs w:val="28"/>
          <w:highlight w:val="none"/>
          <w:lang w:eastAsia="zh-CN"/>
          <w14:textFill>
            <w14:solidFill>
              <w14:schemeClr w14:val="tx1"/>
            </w14:solidFill>
          </w14:textFill>
        </w:rPr>
        <w:t>供应商</w:t>
      </w:r>
      <w:r>
        <w:rPr>
          <w:rFonts w:hint="eastAsia" w:ascii="宋体" w:hAnsi="宋体" w:cs="宋体"/>
          <w:color w:val="000000" w:themeColor="text1"/>
          <w:sz w:val="24"/>
          <w:szCs w:val="28"/>
          <w:highlight w:val="none"/>
          <w14:textFill>
            <w14:solidFill>
              <w14:schemeClr w14:val="tx1"/>
            </w14:solidFill>
          </w14:textFill>
        </w:rPr>
        <w:t>的评审方法。磋商小组按照磋商文件的要求和条件，根据各</w:t>
      </w:r>
      <w:r>
        <w:rPr>
          <w:rFonts w:hint="eastAsia" w:ascii="宋体" w:hAnsi="宋体" w:cs="宋体"/>
          <w:color w:val="000000" w:themeColor="text1"/>
          <w:sz w:val="24"/>
          <w:szCs w:val="28"/>
          <w:highlight w:val="none"/>
          <w:lang w:eastAsia="zh-CN"/>
          <w14:textFill>
            <w14:solidFill>
              <w14:schemeClr w14:val="tx1"/>
            </w14:solidFill>
          </w14:textFill>
        </w:rPr>
        <w:t>供应商</w:t>
      </w:r>
      <w:r>
        <w:rPr>
          <w:rFonts w:hint="eastAsia" w:ascii="宋体" w:hAnsi="宋体" w:cs="宋体"/>
          <w:color w:val="000000" w:themeColor="text1"/>
          <w:sz w:val="24"/>
          <w:szCs w:val="28"/>
          <w:highlight w:val="none"/>
          <w14:textFill>
            <w14:solidFill>
              <w14:schemeClr w14:val="tx1"/>
            </w14:solidFill>
          </w14:textFill>
        </w:rPr>
        <w:t>的商务、技术、对磋商文件的响应程度等进行综合评价、评分，将评审总得分按由高到低的顺序进行排列，并依此顺序推荐成交候选供应商；评审总得分相同的按最后报价由低到高顺序排列，评审总得分且最终报价相同的，按技术部分得分顺序排列。</w:t>
      </w:r>
    </w:p>
    <w:p w14:paraId="63BF3B03">
      <w:pPr>
        <w:widowControl w:val="0"/>
        <w:spacing w:line="360" w:lineRule="auto"/>
        <w:jc w:val="both"/>
        <w:rPr>
          <w:rFonts w:ascii="宋体" w:hAnsi="宋体" w:cs="宋体"/>
          <w:color w:val="auto"/>
          <w:sz w:val="24"/>
          <w:szCs w:val="24"/>
          <w:highlight w:val="none"/>
        </w:rPr>
      </w:pPr>
    </w:p>
    <w:p w14:paraId="0B629245">
      <w:pPr>
        <w:widowControl w:val="0"/>
        <w:spacing w:beforeLines="50" w:afterLines="50" w:line="360" w:lineRule="auto"/>
        <w:jc w:val="center"/>
        <w:outlineLvl w:val="1"/>
        <w:rPr>
          <w:rFonts w:ascii="宋体" w:hAnsi="宋体" w:cs="宋体"/>
          <w:b/>
          <w:color w:val="auto"/>
          <w:sz w:val="24"/>
          <w:szCs w:val="24"/>
          <w:highlight w:val="none"/>
        </w:rPr>
      </w:pPr>
      <w:bookmarkStart w:id="153" w:name="_Toc17665"/>
      <w:r>
        <w:rPr>
          <w:rFonts w:hint="eastAsia" w:ascii="宋体" w:hAnsi="宋体" w:cs="宋体"/>
          <w:b/>
          <w:color w:val="auto"/>
          <w:kern w:val="2"/>
          <w:sz w:val="24"/>
          <w:szCs w:val="24"/>
          <w:highlight w:val="none"/>
        </w:rPr>
        <w:t>评标办法前附表</w:t>
      </w:r>
      <w:bookmarkEnd w:id="153"/>
    </w:p>
    <w:tbl>
      <w:tblPr>
        <w:tblStyle w:val="17"/>
        <w:tblW w:w="9777" w:type="dxa"/>
        <w:tblInd w:w="108" w:type="dxa"/>
        <w:tblLayout w:type="fixed"/>
        <w:tblCellMar>
          <w:top w:w="0" w:type="dxa"/>
          <w:left w:w="108" w:type="dxa"/>
          <w:bottom w:w="0" w:type="dxa"/>
          <w:right w:w="108" w:type="dxa"/>
        </w:tblCellMar>
      </w:tblPr>
      <w:tblGrid>
        <w:gridCol w:w="832"/>
        <w:gridCol w:w="965"/>
        <w:gridCol w:w="2910"/>
        <w:gridCol w:w="5070"/>
      </w:tblGrid>
      <w:tr w14:paraId="2A412116">
        <w:tblPrEx>
          <w:tblCellMar>
            <w:top w:w="0" w:type="dxa"/>
            <w:left w:w="108" w:type="dxa"/>
            <w:bottom w:w="0" w:type="dxa"/>
            <w:right w:w="108" w:type="dxa"/>
          </w:tblCellMar>
        </w:tblPrEx>
        <w:trPr>
          <w:trHeight w:val="606" w:hRule="atLeast"/>
        </w:trPr>
        <w:tc>
          <w:tcPr>
            <w:tcW w:w="1797" w:type="dxa"/>
            <w:gridSpan w:val="2"/>
            <w:tcBorders>
              <w:top w:val="single" w:color="auto" w:sz="4" w:space="0"/>
              <w:left w:val="single" w:color="auto" w:sz="4" w:space="0"/>
              <w:bottom w:val="single" w:color="auto" w:sz="4" w:space="0"/>
              <w:right w:val="single" w:color="auto" w:sz="4" w:space="0"/>
            </w:tcBorders>
            <w:noWrap w:val="0"/>
            <w:vAlign w:val="center"/>
          </w:tcPr>
          <w:p w14:paraId="6B852761">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初步评审</w:t>
            </w:r>
          </w:p>
        </w:tc>
        <w:tc>
          <w:tcPr>
            <w:tcW w:w="2910" w:type="dxa"/>
            <w:tcBorders>
              <w:top w:val="single" w:color="auto" w:sz="4" w:space="0"/>
              <w:left w:val="nil"/>
              <w:bottom w:val="single" w:color="auto" w:sz="4" w:space="0"/>
              <w:right w:val="single" w:color="auto" w:sz="4" w:space="0"/>
            </w:tcBorders>
            <w:noWrap w:val="0"/>
            <w:vAlign w:val="center"/>
          </w:tcPr>
          <w:p w14:paraId="56D7DECB">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评审因素</w:t>
            </w:r>
          </w:p>
        </w:tc>
        <w:tc>
          <w:tcPr>
            <w:tcW w:w="5070" w:type="dxa"/>
            <w:tcBorders>
              <w:top w:val="single" w:color="auto" w:sz="4" w:space="0"/>
              <w:left w:val="nil"/>
              <w:bottom w:val="single" w:color="auto" w:sz="4" w:space="0"/>
              <w:right w:val="single" w:color="auto" w:sz="4" w:space="0"/>
            </w:tcBorders>
            <w:noWrap w:val="0"/>
            <w:vAlign w:val="center"/>
          </w:tcPr>
          <w:p w14:paraId="5CD50799">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评审标准</w:t>
            </w:r>
          </w:p>
        </w:tc>
      </w:tr>
      <w:tr w14:paraId="6F4A33CE">
        <w:tblPrEx>
          <w:tblCellMar>
            <w:top w:w="0" w:type="dxa"/>
            <w:left w:w="108" w:type="dxa"/>
            <w:bottom w:w="0" w:type="dxa"/>
            <w:right w:w="108" w:type="dxa"/>
          </w:tblCellMar>
        </w:tblPrEx>
        <w:trPr>
          <w:trHeight w:val="606" w:hRule="atLeast"/>
        </w:trPr>
        <w:tc>
          <w:tcPr>
            <w:tcW w:w="832" w:type="dxa"/>
            <w:tcBorders>
              <w:top w:val="nil"/>
              <w:left w:val="single" w:color="auto" w:sz="4" w:space="0"/>
              <w:right w:val="single" w:color="auto" w:sz="4" w:space="0"/>
            </w:tcBorders>
            <w:noWrap w:val="0"/>
            <w:vAlign w:val="center"/>
          </w:tcPr>
          <w:p w14:paraId="2DBBD97E">
            <w:pPr>
              <w:widowControl w:val="0"/>
              <w:spacing w:line="360" w:lineRule="auto"/>
              <w:jc w:val="center"/>
              <w:rPr>
                <w:rFonts w:hint="eastAsia" w:ascii="宋体" w:hAnsi="宋体" w:cs="宋体"/>
                <w:color w:val="auto"/>
                <w:kern w:val="2"/>
                <w:sz w:val="24"/>
                <w:szCs w:val="24"/>
                <w:highlight w:val="none"/>
              </w:rPr>
            </w:pPr>
          </w:p>
        </w:tc>
        <w:tc>
          <w:tcPr>
            <w:tcW w:w="965" w:type="dxa"/>
            <w:tcBorders>
              <w:top w:val="nil"/>
              <w:left w:val="nil"/>
              <w:right w:val="single" w:color="auto" w:sz="4" w:space="0"/>
            </w:tcBorders>
            <w:noWrap w:val="0"/>
            <w:vAlign w:val="center"/>
          </w:tcPr>
          <w:p w14:paraId="7910EA4F">
            <w:pPr>
              <w:widowControl w:val="0"/>
              <w:spacing w:line="360" w:lineRule="auto"/>
              <w:jc w:val="center"/>
              <w:rPr>
                <w:rFonts w:hint="eastAsia" w:ascii="宋体" w:hAnsi="宋体" w:cs="宋体"/>
                <w:color w:val="auto"/>
                <w:kern w:val="2"/>
                <w:sz w:val="24"/>
                <w:szCs w:val="24"/>
                <w:highlight w:val="none"/>
              </w:rPr>
            </w:pPr>
          </w:p>
        </w:tc>
        <w:tc>
          <w:tcPr>
            <w:tcW w:w="2910" w:type="dxa"/>
            <w:tcBorders>
              <w:top w:val="single" w:color="auto" w:sz="4" w:space="0"/>
              <w:left w:val="nil"/>
              <w:bottom w:val="single" w:color="auto" w:sz="4" w:space="0"/>
              <w:right w:val="single" w:color="auto" w:sz="4" w:space="0"/>
            </w:tcBorders>
            <w:noWrap w:val="0"/>
            <w:vAlign w:val="center"/>
          </w:tcPr>
          <w:p w14:paraId="58AF0DA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auto"/>
                <w:kern w:val="2"/>
                <w:sz w:val="24"/>
                <w:szCs w:val="24"/>
                <w:highlight w:val="none"/>
                <w:lang w:val="zh-TW"/>
              </w:rPr>
            </w:pPr>
            <w:r>
              <w:rPr>
                <w:rFonts w:hint="eastAsia" w:ascii="宋体" w:hAnsi="宋体" w:cs="宋体"/>
                <w:color w:val="auto"/>
                <w:kern w:val="2"/>
                <w:sz w:val="24"/>
                <w:szCs w:val="24"/>
                <w:highlight w:val="none"/>
                <w:lang w:val="zh-TW"/>
              </w:rPr>
              <w:t>供应商符合《中华人民共和国政府采购法》第二十二条规定条件</w:t>
            </w:r>
          </w:p>
        </w:tc>
        <w:tc>
          <w:tcPr>
            <w:tcW w:w="5070" w:type="dxa"/>
            <w:tcBorders>
              <w:top w:val="single" w:color="auto" w:sz="4" w:space="0"/>
              <w:left w:val="nil"/>
              <w:bottom w:val="single" w:color="auto" w:sz="4" w:space="0"/>
              <w:right w:val="single" w:color="auto" w:sz="4" w:space="0"/>
            </w:tcBorders>
            <w:noWrap w:val="0"/>
            <w:vAlign w:val="center"/>
          </w:tcPr>
          <w:p w14:paraId="5EA9EB76">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color w:val="0000FF"/>
                <w:kern w:val="2"/>
                <w:sz w:val="24"/>
                <w:szCs w:val="24"/>
                <w:highlight w:val="none"/>
                <w:lang w:val="en-US" w:eastAsia="zh-CN"/>
              </w:rPr>
            </w:pPr>
            <w:r>
              <w:rPr>
                <w:rFonts w:hint="eastAsia" w:ascii="宋体" w:hAnsi="宋体" w:cs="宋体"/>
                <w:color w:val="auto"/>
                <w:kern w:val="2"/>
                <w:sz w:val="24"/>
                <w:szCs w:val="24"/>
                <w:highlight w:val="none"/>
                <w:lang w:val="en-US" w:eastAsia="zh-CN"/>
              </w:rPr>
              <w:t>供应商符合《中华人民共和国政府采购法》第二十二条规定条件（提供承诺书，格式自拟）</w:t>
            </w:r>
          </w:p>
        </w:tc>
      </w:tr>
      <w:tr w14:paraId="5D6D48AB">
        <w:tblPrEx>
          <w:tblCellMar>
            <w:top w:w="0" w:type="dxa"/>
            <w:left w:w="108" w:type="dxa"/>
            <w:bottom w:w="0" w:type="dxa"/>
            <w:right w:w="108" w:type="dxa"/>
          </w:tblCellMar>
        </w:tblPrEx>
        <w:trPr>
          <w:trHeight w:val="1892" w:hRule="atLeast"/>
        </w:trPr>
        <w:tc>
          <w:tcPr>
            <w:tcW w:w="832" w:type="dxa"/>
            <w:vMerge w:val="restart"/>
            <w:tcBorders>
              <w:top w:val="nil"/>
              <w:left w:val="single" w:color="auto" w:sz="4" w:space="0"/>
              <w:right w:val="single" w:color="auto" w:sz="4" w:space="0"/>
            </w:tcBorders>
            <w:noWrap w:val="0"/>
            <w:vAlign w:val="center"/>
          </w:tcPr>
          <w:p w14:paraId="39BC8777">
            <w:pPr>
              <w:widowControl w:val="0"/>
              <w:spacing w:line="360" w:lineRule="auto"/>
              <w:jc w:val="center"/>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2.1.1</w:t>
            </w:r>
          </w:p>
        </w:tc>
        <w:tc>
          <w:tcPr>
            <w:tcW w:w="965" w:type="dxa"/>
            <w:vMerge w:val="restart"/>
            <w:tcBorders>
              <w:top w:val="nil"/>
              <w:left w:val="nil"/>
              <w:right w:val="single" w:color="auto" w:sz="4" w:space="0"/>
            </w:tcBorders>
            <w:noWrap w:val="0"/>
            <w:vAlign w:val="center"/>
          </w:tcPr>
          <w:p w14:paraId="1426BBD7">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资格评审标准</w:t>
            </w:r>
          </w:p>
        </w:tc>
        <w:tc>
          <w:tcPr>
            <w:tcW w:w="2910" w:type="dxa"/>
            <w:tcBorders>
              <w:top w:val="single" w:color="auto" w:sz="4" w:space="0"/>
              <w:left w:val="nil"/>
              <w:bottom w:val="single" w:color="auto" w:sz="4" w:space="0"/>
              <w:right w:val="single" w:color="auto" w:sz="4" w:space="0"/>
            </w:tcBorders>
            <w:noWrap w:val="0"/>
            <w:vAlign w:val="center"/>
          </w:tcPr>
          <w:p w14:paraId="0889F99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auto"/>
                <w:kern w:val="2"/>
                <w:sz w:val="24"/>
                <w:szCs w:val="24"/>
                <w:highlight w:val="none"/>
                <w:lang w:val="zh-TW"/>
              </w:rPr>
            </w:pPr>
            <w:r>
              <w:rPr>
                <w:rFonts w:hint="eastAsia" w:ascii="宋体" w:hAnsi="宋体" w:cs="宋体"/>
                <w:color w:val="auto"/>
                <w:kern w:val="2"/>
                <w:sz w:val="24"/>
                <w:szCs w:val="24"/>
                <w:highlight w:val="none"/>
                <w:lang w:val="zh-TW"/>
              </w:rPr>
              <w:t>政府采购政策</w:t>
            </w:r>
          </w:p>
        </w:tc>
        <w:tc>
          <w:tcPr>
            <w:tcW w:w="5070" w:type="dxa"/>
            <w:tcBorders>
              <w:top w:val="single" w:color="auto" w:sz="4" w:space="0"/>
              <w:left w:val="nil"/>
              <w:bottom w:val="single" w:color="auto" w:sz="4" w:space="0"/>
              <w:right w:val="single" w:color="auto" w:sz="4" w:space="0"/>
            </w:tcBorders>
            <w:noWrap w:val="0"/>
            <w:vAlign w:val="center"/>
          </w:tcPr>
          <w:p w14:paraId="24AA35D2">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color w:val="auto"/>
                <w:kern w:val="2"/>
                <w:sz w:val="24"/>
                <w:szCs w:val="24"/>
                <w:highlight w:val="none"/>
                <w:lang w:val="zh-TW"/>
              </w:rPr>
            </w:pPr>
            <w:r>
              <w:rPr>
                <w:rFonts w:hint="eastAsia" w:ascii="宋体" w:hAnsi="宋体" w:cs="宋体"/>
                <w:color w:val="auto"/>
                <w:kern w:val="2"/>
                <w:sz w:val="24"/>
                <w:szCs w:val="24"/>
                <w:highlight w:val="none"/>
                <w:lang w:val="en-US" w:eastAsia="zh-CN"/>
              </w:rPr>
              <w:t>落实政府采购政策满足的资格要求：根据《政府采购促进中小企业发展管理办法》（财库〔2020〕46号）规定，本项目专门面向中小企业采购,同时供应商须提供《中小企业声明函》；</w:t>
            </w:r>
          </w:p>
        </w:tc>
      </w:tr>
      <w:tr w14:paraId="660512C6">
        <w:tblPrEx>
          <w:tblCellMar>
            <w:top w:w="0" w:type="dxa"/>
            <w:left w:w="108" w:type="dxa"/>
            <w:bottom w:w="0" w:type="dxa"/>
            <w:right w:w="108" w:type="dxa"/>
          </w:tblCellMar>
        </w:tblPrEx>
        <w:trPr>
          <w:trHeight w:val="893" w:hRule="atLeast"/>
        </w:trPr>
        <w:tc>
          <w:tcPr>
            <w:tcW w:w="832" w:type="dxa"/>
            <w:vMerge w:val="continue"/>
            <w:tcBorders>
              <w:left w:val="single" w:color="auto" w:sz="4" w:space="0"/>
              <w:right w:val="single" w:color="auto" w:sz="4" w:space="0"/>
            </w:tcBorders>
            <w:noWrap w:val="0"/>
            <w:vAlign w:val="center"/>
          </w:tcPr>
          <w:p w14:paraId="5A840356">
            <w:pPr>
              <w:widowControl w:val="0"/>
              <w:spacing w:line="360" w:lineRule="auto"/>
              <w:jc w:val="center"/>
              <w:rPr>
                <w:rFonts w:ascii="宋体" w:hAnsi="宋体" w:cs="宋体"/>
                <w:color w:val="auto"/>
                <w:kern w:val="2"/>
                <w:sz w:val="24"/>
                <w:szCs w:val="24"/>
                <w:highlight w:val="none"/>
              </w:rPr>
            </w:pPr>
          </w:p>
        </w:tc>
        <w:tc>
          <w:tcPr>
            <w:tcW w:w="965" w:type="dxa"/>
            <w:vMerge w:val="continue"/>
            <w:tcBorders>
              <w:left w:val="nil"/>
              <w:right w:val="single" w:color="auto" w:sz="4" w:space="0"/>
            </w:tcBorders>
            <w:noWrap w:val="0"/>
            <w:vAlign w:val="center"/>
          </w:tcPr>
          <w:p w14:paraId="079ADF97">
            <w:pPr>
              <w:widowControl w:val="0"/>
              <w:spacing w:line="360" w:lineRule="auto"/>
              <w:jc w:val="center"/>
              <w:rPr>
                <w:rFonts w:ascii="宋体" w:hAnsi="宋体" w:cs="宋体"/>
                <w:color w:val="auto"/>
                <w:kern w:val="2"/>
                <w:sz w:val="24"/>
                <w:szCs w:val="24"/>
                <w:highlight w:val="none"/>
              </w:rPr>
            </w:pPr>
          </w:p>
        </w:tc>
        <w:tc>
          <w:tcPr>
            <w:tcW w:w="2910" w:type="dxa"/>
            <w:tcBorders>
              <w:top w:val="single" w:color="auto" w:sz="4" w:space="0"/>
              <w:left w:val="nil"/>
              <w:bottom w:val="single" w:color="auto" w:sz="4" w:space="0"/>
              <w:right w:val="single" w:color="auto" w:sz="4" w:space="0"/>
            </w:tcBorders>
            <w:noWrap w:val="0"/>
            <w:vAlign w:val="center"/>
          </w:tcPr>
          <w:p w14:paraId="613F061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auto"/>
                <w:kern w:val="2"/>
                <w:sz w:val="24"/>
                <w:szCs w:val="24"/>
                <w:highlight w:val="none"/>
                <w:lang w:val="zh-TW"/>
              </w:rPr>
            </w:pPr>
            <w:r>
              <w:rPr>
                <w:rFonts w:hint="eastAsia" w:ascii="宋体" w:hAnsi="宋体" w:cs="宋体"/>
                <w:color w:val="auto"/>
                <w:kern w:val="2"/>
                <w:sz w:val="24"/>
                <w:szCs w:val="24"/>
                <w:highlight w:val="none"/>
                <w:lang w:val="zh-TW"/>
              </w:rPr>
              <w:t>营业执照</w:t>
            </w:r>
          </w:p>
        </w:tc>
        <w:tc>
          <w:tcPr>
            <w:tcW w:w="5070" w:type="dxa"/>
            <w:tcBorders>
              <w:top w:val="single" w:color="auto" w:sz="4" w:space="0"/>
              <w:left w:val="nil"/>
              <w:bottom w:val="single" w:color="auto" w:sz="4" w:space="0"/>
              <w:right w:val="single" w:color="auto" w:sz="4" w:space="0"/>
            </w:tcBorders>
            <w:noWrap w:val="0"/>
            <w:vAlign w:val="center"/>
          </w:tcPr>
          <w:p w14:paraId="299C8572">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color w:val="auto"/>
                <w:kern w:val="2"/>
                <w:sz w:val="24"/>
                <w:szCs w:val="24"/>
                <w:highlight w:val="none"/>
                <w:lang w:val="zh-TW"/>
              </w:rPr>
            </w:pPr>
            <w:r>
              <w:rPr>
                <w:rFonts w:hint="eastAsia" w:ascii="宋体" w:hAnsi="宋体" w:cs="宋体"/>
                <w:color w:val="auto"/>
                <w:kern w:val="2"/>
                <w:sz w:val="24"/>
                <w:szCs w:val="24"/>
                <w:highlight w:val="none"/>
                <w:lang w:val="zh-TW"/>
              </w:rPr>
              <w:t>具有独立承担民事责任的能力(提供有效的营业执照或其他证明材料；</w:t>
            </w:r>
          </w:p>
        </w:tc>
      </w:tr>
      <w:tr w14:paraId="68769E6C">
        <w:tblPrEx>
          <w:tblCellMar>
            <w:top w:w="0" w:type="dxa"/>
            <w:left w:w="108" w:type="dxa"/>
            <w:bottom w:w="0" w:type="dxa"/>
            <w:right w:w="108" w:type="dxa"/>
          </w:tblCellMar>
        </w:tblPrEx>
        <w:trPr>
          <w:trHeight w:val="606" w:hRule="atLeast"/>
        </w:trPr>
        <w:tc>
          <w:tcPr>
            <w:tcW w:w="832" w:type="dxa"/>
            <w:vMerge w:val="continue"/>
            <w:tcBorders>
              <w:left w:val="single" w:color="auto" w:sz="4" w:space="0"/>
              <w:right w:val="single" w:color="auto" w:sz="4" w:space="0"/>
            </w:tcBorders>
            <w:noWrap w:val="0"/>
            <w:vAlign w:val="center"/>
          </w:tcPr>
          <w:p w14:paraId="0F2B8D75">
            <w:pPr>
              <w:widowControl w:val="0"/>
              <w:spacing w:line="360" w:lineRule="auto"/>
              <w:jc w:val="center"/>
              <w:rPr>
                <w:rFonts w:ascii="宋体" w:hAnsi="宋体" w:cs="宋体"/>
                <w:color w:val="auto"/>
                <w:kern w:val="2"/>
                <w:sz w:val="24"/>
                <w:szCs w:val="24"/>
                <w:highlight w:val="none"/>
              </w:rPr>
            </w:pPr>
          </w:p>
        </w:tc>
        <w:tc>
          <w:tcPr>
            <w:tcW w:w="965" w:type="dxa"/>
            <w:vMerge w:val="continue"/>
            <w:tcBorders>
              <w:left w:val="nil"/>
              <w:right w:val="single" w:color="auto" w:sz="4" w:space="0"/>
            </w:tcBorders>
            <w:noWrap w:val="0"/>
            <w:vAlign w:val="center"/>
          </w:tcPr>
          <w:p w14:paraId="65B482EE">
            <w:pPr>
              <w:widowControl w:val="0"/>
              <w:spacing w:line="360" w:lineRule="auto"/>
              <w:jc w:val="center"/>
              <w:rPr>
                <w:rFonts w:ascii="宋体" w:hAnsi="宋体" w:cs="宋体"/>
                <w:color w:val="auto"/>
                <w:kern w:val="2"/>
                <w:sz w:val="24"/>
                <w:szCs w:val="24"/>
                <w:highlight w:val="none"/>
              </w:rPr>
            </w:pPr>
          </w:p>
        </w:tc>
        <w:tc>
          <w:tcPr>
            <w:tcW w:w="2910" w:type="dxa"/>
            <w:tcBorders>
              <w:top w:val="single" w:color="auto" w:sz="4" w:space="0"/>
              <w:left w:val="nil"/>
              <w:bottom w:val="single" w:color="auto" w:sz="4" w:space="0"/>
              <w:right w:val="single" w:color="auto" w:sz="4" w:space="0"/>
            </w:tcBorders>
            <w:noWrap w:val="0"/>
            <w:vAlign w:val="center"/>
          </w:tcPr>
          <w:p w14:paraId="0297E48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auto"/>
                <w:kern w:val="2"/>
                <w:sz w:val="24"/>
                <w:szCs w:val="24"/>
                <w:highlight w:val="none"/>
                <w:lang w:val="zh-TW"/>
              </w:rPr>
            </w:pPr>
            <w:r>
              <w:rPr>
                <w:rFonts w:hint="eastAsia" w:ascii="宋体" w:hAnsi="宋体" w:cs="宋体"/>
                <w:color w:val="auto"/>
                <w:kern w:val="2"/>
                <w:sz w:val="24"/>
                <w:szCs w:val="24"/>
                <w:highlight w:val="none"/>
                <w:lang w:val="zh-TW" w:eastAsia="zh-CN"/>
              </w:rPr>
              <w:t>具有履行合同所必需的设备和专业技术服务能力</w:t>
            </w:r>
          </w:p>
        </w:tc>
        <w:tc>
          <w:tcPr>
            <w:tcW w:w="5070" w:type="dxa"/>
            <w:tcBorders>
              <w:top w:val="single" w:color="auto" w:sz="4" w:space="0"/>
              <w:left w:val="nil"/>
              <w:bottom w:val="single" w:color="auto" w:sz="4" w:space="0"/>
              <w:right w:val="single" w:color="auto" w:sz="4" w:space="0"/>
            </w:tcBorders>
            <w:noWrap w:val="0"/>
            <w:vAlign w:val="center"/>
          </w:tcPr>
          <w:p w14:paraId="164D42AF">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color w:val="auto"/>
                <w:kern w:val="2"/>
                <w:sz w:val="24"/>
                <w:szCs w:val="24"/>
                <w:highlight w:val="none"/>
                <w:lang w:val="zh-TW"/>
              </w:rPr>
            </w:pPr>
            <w:r>
              <w:rPr>
                <w:rFonts w:hint="eastAsia" w:ascii="宋体" w:hAnsi="宋体" w:cs="宋体"/>
                <w:color w:val="auto"/>
                <w:kern w:val="2"/>
                <w:sz w:val="24"/>
                <w:szCs w:val="24"/>
                <w:highlight w:val="none"/>
                <w:lang w:val="zh-TW" w:eastAsia="zh-CN"/>
              </w:rPr>
              <w:t>（提供承诺书，格式自拟）</w:t>
            </w:r>
          </w:p>
        </w:tc>
      </w:tr>
      <w:tr w14:paraId="5C98ADF6">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2841D06E">
            <w:pPr>
              <w:spacing w:line="360" w:lineRule="auto"/>
              <w:rPr>
                <w:rFonts w:ascii="宋体" w:hAnsi="宋体" w:cs="宋体"/>
                <w:color w:val="auto"/>
                <w:kern w:val="2"/>
                <w:sz w:val="24"/>
                <w:szCs w:val="24"/>
                <w:highlight w:val="none"/>
              </w:rPr>
            </w:pPr>
          </w:p>
        </w:tc>
        <w:tc>
          <w:tcPr>
            <w:tcW w:w="965" w:type="dxa"/>
            <w:vMerge w:val="continue"/>
            <w:tcBorders>
              <w:left w:val="nil"/>
              <w:right w:val="single" w:color="auto" w:sz="4" w:space="0"/>
            </w:tcBorders>
            <w:noWrap w:val="0"/>
            <w:vAlign w:val="center"/>
          </w:tcPr>
          <w:p w14:paraId="7E2C0985">
            <w:pPr>
              <w:spacing w:line="360" w:lineRule="auto"/>
              <w:rPr>
                <w:rFonts w:ascii="宋体" w:hAnsi="宋体" w:cs="宋体"/>
                <w:color w:val="auto"/>
                <w:kern w:val="2"/>
                <w:sz w:val="24"/>
                <w:szCs w:val="24"/>
                <w:highlight w:val="none"/>
              </w:rPr>
            </w:pPr>
          </w:p>
        </w:tc>
        <w:tc>
          <w:tcPr>
            <w:tcW w:w="2910" w:type="dxa"/>
            <w:tcBorders>
              <w:top w:val="single" w:color="auto" w:sz="4" w:space="0"/>
              <w:left w:val="nil"/>
              <w:bottom w:val="single" w:color="auto" w:sz="4" w:space="0"/>
              <w:right w:val="single" w:color="auto" w:sz="4" w:space="0"/>
            </w:tcBorders>
            <w:noWrap w:val="0"/>
            <w:vAlign w:val="center"/>
          </w:tcPr>
          <w:p w14:paraId="041B4C2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auto"/>
                <w:kern w:val="2"/>
                <w:sz w:val="24"/>
                <w:szCs w:val="24"/>
                <w:highlight w:val="none"/>
                <w:lang w:val="zh-TW"/>
              </w:rPr>
            </w:pPr>
            <w:r>
              <w:rPr>
                <w:rFonts w:hint="eastAsia" w:ascii="宋体" w:hAnsi="宋体" w:cs="宋体"/>
                <w:color w:val="auto"/>
                <w:kern w:val="2"/>
                <w:sz w:val="24"/>
                <w:szCs w:val="24"/>
                <w:highlight w:val="none"/>
                <w:lang w:val="en-US" w:eastAsia="zh-CN"/>
              </w:rPr>
              <w:t>财务状况</w:t>
            </w:r>
          </w:p>
        </w:tc>
        <w:tc>
          <w:tcPr>
            <w:tcW w:w="5070" w:type="dxa"/>
            <w:tcBorders>
              <w:top w:val="single" w:color="auto" w:sz="4" w:space="0"/>
              <w:left w:val="nil"/>
              <w:bottom w:val="single" w:color="auto" w:sz="4" w:space="0"/>
              <w:right w:val="single" w:color="auto" w:sz="4" w:space="0"/>
            </w:tcBorders>
            <w:noWrap w:val="0"/>
            <w:vAlign w:val="center"/>
          </w:tcPr>
          <w:p w14:paraId="740CAE6E">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color w:val="auto"/>
                <w:kern w:val="2"/>
                <w:sz w:val="24"/>
                <w:szCs w:val="24"/>
                <w:highlight w:val="none"/>
                <w:lang w:val="zh-TW"/>
              </w:rPr>
            </w:pPr>
            <w:r>
              <w:rPr>
                <w:rFonts w:hint="eastAsia" w:ascii="宋体" w:hAnsi="宋体" w:eastAsia="宋体" w:cs="宋体"/>
                <w:bCs/>
                <w:color w:val="auto"/>
                <w:sz w:val="24"/>
                <w:szCs w:val="28"/>
                <w:highlight w:val="none"/>
                <w:lang w:val="en-US" w:eastAsia="zh-CN"/>
              </w:rPr>
              <w:t>具有健全的财务会计制度和良好的财务状况，提供近三年来任意一个年度的财务审计报告或自行承诺</w:t>
            </w:r>
            <w:r>
              <w:rPr>
                <w:rFonts w:hint="eastAsia" w:ascii="宋体" w:hAnsi="宋体" w:cs="宋体"/>
                <w:color w:val="auto"/>
                <w:kern w:val="2"/>
                <w:sz w:val="24"/>
                <w:szCs w:val="24"/>
                <w:highlight w:val="none"/>
                <w:lang w:val="en-US" w:eastAsia="zh-CN"/>
              </w:rPr>
              <w:t>；</w:t>
            </w:r>
          </w:p>
        </w:tc>
      </w:tr>
      <w:tr w14:paraId="58B5C3CB">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4F55307A">
            <w:pPr>
              <w:spacing w:line="360" w:lineRule="auto"/>
              <w:rPr>
                <w:rFonts w:ascii="宋体" w:hAnsi="宋体" w:cs="宋体"/>
                <w:color w:val="auto"/>
                <w:kern w:val="2"/>
                <w:sz w:val="24"/>
                <w:szCs w:val="24"/>
                <w:highlight w:val="none"/>
              </w:rPr>
            </w:pPr>
          </w:p>
        </w:tc>
        <w:tc>
          <w:tcPr>
            <w:tcW w:w="965" w:type="dxa"/>
            <w:vMerge w:val="continue"/>
            <w:tcBorders>
              <w:left w:val="nil"/>
              <w:right w:val="single" w:color="auto" w:sz="4" w:space="0"/>
            </w:tcBorders>
            <w:noWrap w:val="0"/>
            <w:vAlign w:val="center"/>
          </w:tcPr>
          <w:p w14:paraId="76F02C28">
            <w:pPr>
              <w:spacing w:line="360" w:lineRule="auto"/>
              <w:rPr>
                <w:rFonts w:ascii="宋体" w:hAnsi="宋体" w:cs="宋体"/>
                <w:color w:val="auto"/>
                <w:kern w:val="2"/>
                <w:sz w:val="24"/>
                <w:szCs w:val="24"/>
                <w:highlight w:val="none"/>
              </w:rPr>
            </w:pPr>
          </w:p>
        </w:tc>
        <w:tc>
          <w:tcPr>
            <w:tcW w:w="2910" w:type="dxa"/>
            <w:tcBorders>
              <w:top w:val="single" w:color="auto" w:sz="4" w:space="0"/>
              <w:left w:val="nil"/>
              <w:bottom w:val="single" w:color="auto" w:sz="4" w:space="0"/>
              <w:right w:val="single" w:color="auto" w:sz="4" w:space="0"/>
            </w:tcBorders>
            <w:noWrap w:val="0"/>
            <w:vAlign w:val="center"/>
          </w:tcPr>
          <w:p w14:paraId="5DA405D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zh-TW"/>
              </w:rPr>
              <w:t>税收</w:t>
            </w:r>
            <w:r>
              <w:rPr>
                <w:rFonts w:hint="eastAsia" w:ascii="宋体" w:hAnsi="宋体" w:cs="宋体"/>
                <w:color w:val="auto"/>
                <w:kern w:val="2"/>
                <w:sz w:val="24"/>
                <w:szCs w:val="24"/>
                <w:highlight w:val="none"/>
                <w:lang w:val="en-US" w:eastAsia="zh-CN"/>
              </w:rPr>
              <w:t>证明</w:t>
            </w:r>
          </w:p>
        </w:tc>
        <w:tc>
          <w:tcPr>
            <w:tcW w:w="5070" w:type="dxa"/>
            <w:tcBorders>
              <w:top w:val="single" w:color="auto" w:sz="4" w:space="0"/>
              <w:left w:val="nil"/>
              <w:bottom w:val="single" w:color="auto" w:sz="4" w:space="0"/>
              <w:right w:val="single" w:color="auto" w:sz="4" w:space="0"/>
            </w:tcBorders>
            <w:noWrap w:val="0"/>
            <w:vAlign w:val="center"/>
          </w:tcPr>
          <w:p w14:paraId="59F02C45">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color w:val="auto"/>
                <w:kern w:val="2"/>
                <w:sz w:val="24"/>
                <w:szCs w:val="24"/>
                <w:highlight w:val="none"/>
                <w:lang w:val="zh-TW"/>
              </w:rPr>
            </w:pPr>
            <w:r>
              <w:rPr>
                <w:rFonts w:hint="eastAsia" w:ascii="宋体" w:hAnsi="宋体" w:cs="宋体"/>
                <w:color w:val="auto"/>
                <w:kern w:val="2"/>
                <w:sz w:val="24"/>
                <w:szCs w:val="24"/>
                <w:highlight w:val="none"/>
                <w:lang w:val="en-US" w:eastAsia="zh-CN"/>
              </w:rPr>
              <w:t>供应商具有依法缴纳税收和社会保障资金的良好记录，提供承诺书或企业税收及社保缴纳证明材料；</w:t>
            </w:r>
          </w:p>
        </w:tc>
      </w:tr>
      <w:tr w14:paraId="73F8F4FB">
        <w:trPr>
          <w:trHeight w:val="2192" w:hRule="atLeast"/>
        </w:trPr>
        <w:tc>
          <w:tcPr>
            <w:tcW w:w="832" w:type="dxa"/>
            <w:vMerge w:val="continue"/>
            <w:tcBorders>
              <w:left w:val="single" w:color="auto" w:sz="4" w:space="0"/>
              <w:right w:val="single" w:color="auto" w:sz="4" w:space="0"/>
            </w:tcBorders>
            <w:noWrap w:val="0"/>
            <w:vAlign w:val="center"/>
          </w:tcPr>
          <w:p w14:paraId="62633E15">
            <w:pPr>
              <w:spacing w:line="360" w:lineRule="auto"/>
              <w:rPr>
                <w:rFonts w:ascii="宋体" w:hAnsi="宋体" w:cs="宋体"/>
                <w:color w:val="auto"/>
                <w:kern w:val="2"/>
                <w:sz w:val="24"/>
                <w:szCs w:val="24"/>
                <w:highlight w:val="none"/>
              </w:rPr>
            </w:pPr>
          </w:p>
        </w:tc>
        <w:tc>
          <w:tcPr>
            <w:tcW w:w="965" w:type="dxa"/>
            <w:vMerge w:val="continue"/>
            <w:tcBorders>
              <w:left w:val="nil"/>
              <w:right w:val="single" w:color="auto" w:sz="4" w:space="0"/>
            </w:tcBorders>
            <w:noWrap w:val="0"/>
            <w:vAlign w:val="center"/>
          </w:tcPr>
          <w:p w14:paraId="19DD65F3">
            <w:pPr>
              <w:spacing w:line="360" w:lineRule="auto"/>
              <w:rPr>
                <w:rFonts w:ascii="宋体" w:hAnsi="宋体" w:cs="宋体"/>
                <w:color w:val="auto"/>
                <w:kern w:val="2"/>
                <w:sz w:val="24"/>
                <w:szCs w:val="24"/>
                <w:highlight w:val="none"/>
              </w:rPr>
            </w:pPr>
          </w:p>
        </w:tc>
        <w:tc>
          <w:tcPr>
            <w:tcW w:w="2910" w:type="dxa"/>
            <w:tcBorders>
              <w:top w:val="single" w:color="auto" w:sz="4" w:space="0"/>
              <w:left w:val="nil"/>
              <w:bottom w:val="single" w:color="auto" w:sz="4" w:space="0"/>
              <w:right w:val="single" w:color="auto" w:sz="4" w:space="0"/>
            </w:tcBorders>
            <w:noWrap w:val="0"/>
            <w:vAlign w:val="center"/>
          </w:tcPr>
          <w:p w14:paraId="2BC0C5C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无行贿犯罪记录查询或承诺</w:t>
            </w:r>
          </w:p>
        </w:tc>
        <w:tc>
          <w:tcPr>
            <w:tcW w:w="5070" w:type="dxa"/>
            <w:tcBorders>
              <w:top w:val="single" w:color="auto" w:sz="4" w:space="0"/>
              <w:left w:val="nil"/>
              <w:bottom w:val="single" w:color="auto" w:sz="4" w:space="0"/>
              <w:right w:val="single" w:color="auto" w:sz="4" w:space="0"/>
            </w:tcBorders>
            <w:noWrap w:val="0"/>
            <w:vAlign w:val="center"/>
          </w:tcPr>
          <w:p w14:paraId="7FADC083">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color w:val="auto"/>
                <w:kern w:val="2"/>
                <w:sz w:val="24"/>
                <w:szCs w:val="24"/>
                <w:highlight w:val="none"/>
                <w:lang w:val="zh-TW"/>
              </w:rPr>
            </w:pPr>
            <w:r>
              <w:rPr>
                <w:rFonts w:hint="eastAsia" w:ascii="宋体" w:hAnsi="宋体" w:eastAsia="宋体" w:cs="宋体"/>
                <w:bCs/>
                <w:color w:val="auto"/>
                <w:sz w:val="24"/>
                <w:szCs w:val="24"/>
                <w:highlight w:val="none"/>
                <w:lang w:val="en-US" w:eastAsia="zh-CN"/>
              </w:rPr>
              <w:t>参加政府采购活动前3年内无行贿犯罪记录、商业贿赂、不正当竞争行为、骗取中标、严重违约等问题；供应商出具无行贿犯罪记录在中国裁判文书网自行查询或自行承诺（查询&lt;承诺&gt;对象</w:t>
            </w:r>
            <w:r>
              <w:rPr>
                <w:rFonts w:hint="eastAsia" w:ascii="宋体" w:hAnsi="宋体" w:cs="宋体"/>
                <w:bCs/>
                <w:color w:val="auto"/>
                <w:sz w:val="24"/>
                <w:szCs w:val="24"/>
                <w:highlight w:val="none"/>
                <w:lang w:val="en-US" w:eastAsia="zh-CN"/>
              </w:rPr>
              <w:t>为</w:t>
            </w:r>
            <w:r>
              <w:rPr>
                <w:rFonts w:hint="eastAsia" w:ascii="宋体" w:hAnsi="宋体" w:eastAsia="宋体" w:cs="宋体"/>
                <w:bCs/>
                <w:color w:val="auto"/>
                <w:sz w:val="24"/>
                <w:szCs w:val="24"/>
                <w:highlight w:val="none"/>
                <w:lang w:val="en-US" w:eastAsia="zh-CN"/>
              </w:rPr>
              <w:t>：企业、法定代表人）</w:t>
            </w:r>
          </w:p>
        </w:tc>
      </w:tr>
      <w:tr w14:paraId="39A95017">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16F59C9A">
            <w:pPr>
              <w:spacing w:line="360" w:lineRule="auto"/>
              <w:rPr>
                <w:rFonts w:ascii="宋体" w:hAnsi="宋体" w:cs="宋体"/>
                <w:color w:val="auto"/>
                <w:kern w:val="2"/>
                <w:sz w:val="24"/>
                <w:szCs w:val="24"/>
                <w:highlight w:val="none"/>
              </w:rPr>
            </w:pPr>
          </w:p>
        </w:tc>
        <w:tc>
          <w:tcPr>
            <w:tcW w:w="965" w:type="dxa"/>
            <w:vMerge w:val="continue"/>
            <w:tcBorders>
              <w:left w:val="nil"/>
              <w:right w:val="single" w:color="auto" w:sz="4" w:space="0"/>
            </w:tcBorders>
            <w:noWrap w:val="0"/>
            <w:vAlign w:val="center"/>
          </w:tcPr>
          <w:p w14:paraId="196DAE29">
            <w:pPr>
              <w:spacing w:line="360" w:lineRule="auto"/>
              <w:rPr>
                <w:rFonts w:ascii="宋体" w:hAnsi="宋体" w:cs="宋体"/>
                <w:color w:val="auto"/>
                <w:kern w:val="2"/>
                <w:sz w:val="24"/>
                <w:szCs w:val="24"/>
                <w:highlight w:val="none"/>
              </w:rPr>
            </w:pPr>
          </w:p>
        </w:tc>
        <w:tc>
          <w:tcPr>
            <w:tcW w:w="2910" w:type="dxa"/>
            <w:tcBorders>
              <w:top w:val="single" w:color="auto" w:sz="4" w:space="0"/>
              <w:left w:val="nil"/>
              <w:bottom w:val="single" w:color="auto" w:sz="4" w:space="0"/>
              <w:right w:val="single" w:color="auto" w:sz="4" w:space="0"/>
            </w:tcBorders>
            <w:noWrap w:val="0"/>
            <w:vAlign w:val="center"/>
          </w:tcPr>
          <w:p w14:paraId="42A6409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auto"/>
                <w:kern w:val="2"/>
                <w:sz w:val="24"/>
                <w:szCs w:val="24"/>
                <w:highlight w:val="none"/>
                <w:lang w:val="zh-TW"/>
              </w:rPr>
            </w:pPr>
            <w:r>
              <w:rPr>
                <w:rFonts w:hint="eastAsia" w:ascii="宋体" w:hAnsi="宋体" w:cs="宋体"/>
                <w:color w:val="auto"/>
                <w:kern w:val="2"/>
                <w:sz w:val="24"/>
                <w:szCs w:val="24"/>
                <w:highlight w:val="none"/>
                <w:lang w:val="zh-TW" w:eastAsia="zh-CN"/>
              </w:rPr>
              <w:t>无商业贿赂和不正当竞争行为</w:t>
            </w:r>
          </w:p>
        </w:tc>
        <w:tc>
          <w:tcPr>
            <w:tcW w:w="5070" w:type="dxa"/>
            <w:tcBorders>
              <w:top w:val="single" w:color="auto" w:sz="4" w:space="0"/>
              <w:left w:val="nil"/>
              <w:bottom w:val="single" w:color="auto" w:sz="4" w:space="0"/>
              <w:right w:val="single" w:color="auto" w:sz="4" w:space="0"/>
            </w:tcBorders>
            <w:noWrap w:val="0"/>
            <w:vAlign w:val="center"/>
          </w:tcPr>
          <w:p w14:paraId="77278E91">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color w:val="auto"/>
                <w:kern w:val="2"/>
                <w:sz w:val="24"/>
                <w:szCs w:val="24"/>
                <w:highlight w:val="none"/>
                <w:lang w:val="zh-TW"/>
              </w:rPr>
            </w:pPr>
            <w:r>
              <w:rPr>
                <w:rFonts w:hint="eastAsia" w:ascii="宋体" w:hAnsi="宋体" w:cs="宋体"/>
                <w:color w:val="auto"/>
                <w:kern w:val="2"/>
                <w:sz w:val="24"/>
                <w:szCs w:val="24"/>
                <w:highlight w:val="none"/>
                <w:lang w:val="en-US" w:eastAsia="zh-CN"/>
              </w:rPr>
              <w:t>提供企业注册地工商管理部门出具的无商业贿赂和不正当竞争行为的查询证明（若当地工商管理部门不办理此项业务，供应商须自行出具本企业无商业贿赂和不正当竞争行为承诺书）</w:t>
            </w:r>
          </w:p>
        </w:tc>
      </w:tr>
      <w:tr w14:paraId="1F868EEC">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2BF50E03">
            <w:pPr>
              <w:spacing w:line="360" w:lineRule="auto"/>
              <w:rPr>
                <w:rFonts w:ascii="宋体" w:hAnsi="宋体" w:cs="宋体"/>
                <w:color w:val="auto"/>
                <w:kern w:val="2"/>
                <w:sz w:val="24"/>
                <w:szCs w:val="24"/>
                <w:highlight w:val="none"/>
              </w:rPr>
            </w:pPr>
          </w:p>
        </w:tc>
        <w:tc>
          <w:tcPr>
            <w:tcW w:w="965" w:type="dxa"/>
            <w:vMerge w:val="continue"/>
            <w:tcBorders>
              <w:left w:val="nil"/>
              <w:right w:val="single" w:color="auto" w:sz="4" w:space="0"/>
            </w:tcBorders>
            <w:noWrap w:val="0"/>
            <w:vAlign w:val="center"/>
          </w:tcPr>
          <w:p w14:paraId="1D18AA0A">
            <w:pPr>
              <w:spacing w:line="360" w:lineRule="auto"/>
              <w:rPr>
                <w:rFonts w:ascii="宋体" w:hAnsi="宋体" w:cs="宋体"/>
                <w:color w:val="auto"/>
                <w:kern w:val="2"/>
                <w:sz w:val="24"/>
                <w:szCs w:val="24"/>
                <w:highlight w:val="none"/>
              </w:rPr>
            </w:pPr>
          </w:p>
        </w:tc>
        <w:tc>
          <w:tcPr>
            <w:tcW w:w="2910" w:type="dxa"/>
            <w:tcBorders>
              <w:top w:val="single" w:color="auto" w:sz="4" w:space="0"/>
              <w:left w:val="nil"/>
              <w:bottom w:val="single" w:color="auto" w:sz="4" w:space="0"/>
              <w:right w:val="single" w:color="auto" w:sz="4" w:space="0"/>
            </w:tcBorders>
            <w:noWrap w:val="0"/>
            <w:vAlign w:val="center"/>
          </w:tcPr>
          <w:p w14:paraId="5804E25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信用查询</w:t>
            </w:r>
          </w:p>
        </w:tc>
        <w:tc>
          <w:tcPr>
            <w:tcW w:w="5070" w:type="dxa"/>
            <w:tcBorders>
              <w:top w:val="single" w:color="auto" w:sz="4" w:space="0"/>
              <w:left w:val="nil"/>
              <w:bottom w:val="single" w:color="auto" w:sz="4" w:space="0"/>
              <w:right w:val="single" w:color="auto" w:sz="4" w:space="0"/>
            </w:tcBorders>
            <w:noWrap w:val="0"/>
            <w:vAlign w:val="center"/>
          </w:tcPr>
          <w:p w14:paraId="7AAB6A0E">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color w:val="auto"/>
                <w:kern w:val="2"/>
                <w:sz w:val="24"/>
                <w:szCs w:val="24"/>
                <w:highlight w:val="none"/>
                <w:lang w:val="en-US" w:eastAsia="zh-CN"/>
              </w:rPr>
            </w:pPr>
            <w:r>
              <w:rPr>
                <w:rFonts w:hint="eastAsia" w:ascii="宋体" w:hAnsi="宋体" w:eastAsia="宋体" w:cs="宋体"/>
                <w:bCs/>
                <w:color w:val="auto"/>
                <w:sz w:val="24"/>
                <w:szCs w:val="24"/>
                <w:highlight w:val="none"/>
                <w:lang w:val="en-US" w:eastAsia="zh-CN"/>
              </w:rPr>
              <w:t>根据《关于在政府采购活动中查询及使用信用记录有关问题的通知》(财库[2016]125号)和豫财购【2016】15号的规定，企业没有被列入“信用中国”网站的“失信被执行人”（跳转中国执行信息公开网）、“重大税收违法失信主体”及“中国政府采购网站”的“政府采购严重违法失信行为记录名单”的供应商。【查询渠道：“信用中国”网站（www.creditchina.gov.cn）、中国执行信息公开网（http://zxgk.court.gov.cn）、中国政府采购网（www.ccgp.gov.cn）】，(注：提供网页查询截图，査询时间必须是磋商公告发布之后开标之前，查询结果清晰可见)；</w:t>
            </w:r>
          </w:p>
        </w:tc>
      </w:tr>
      <w:tr w14:paraId="5744F427">
        <w:tblPrEx>
          <w:tblCellMar>
            <w:top w:w="0" w:type="dxa"/>
            <w:left w:w="108" w:type="dxa"/>
            <w:bottom w:w="0" w:type="dxa"/>
            <w:right w:w="108" w:type="dxa"/>
          </w:tblCellMar>
        </w:tblPrEx>
        <w:trPr>
          <w:trHeight w:val="90" w:hRule="atLeast"/>
        </w:trPr>
        <w:tc>
          <w:tcPr>
            <w:tcW w:w="832" w:type="dxa"/>
            <w:vMerge w:val="continue"/>
            <w:tcBorders>
              <w:left w:val="single" w:color="auto" w:sz="4" w:space="0"/>
              <w:bottom w:val="single" w:color="auto" w:sz="4" w:space="0"/>
              <w:right w:val="single" w:color="auto" w:sz="4" w:space="0"/>
            </w:tcBorders>
            <w:noWrap w:val="0"/>
            <w:vAlign w:val="center"/>
          </w:tcPr>
          <w:p w14:paraId="72D52DB3">
            <w:pPr>
              <w:spacing w:line="360" w:lineRule="auto"/>
              <w:rPr>
                <w:rFonts w:ascii="宋体" w:hAnsi="宋体" w:cs="宋体"/>
                <w:color w:val="auto"/>
                <w:kern w:val="2"/>
                <w:sz w:val="24"/>
                <w:szCs w:val="24"/>
                <w:highlight w:val="none"/>
              </w:rPr>
            </w:pPr>
          </w:p>
        </w:tc>
        <w:tc>
          <w:tcPr>
            <w:tcW w:w="965" w:type="dxa"/>
            <w:vMerge w:val="continue"/>
            <w:tcBorders>
              <w:left w:val="nil"/>
              <w:bottom w:val="single" w:color="auto" w:sz="4" w:space="0"/>
              <w:right w:val="single" w:color="auto" w:sz="4" w:space="0"/>
            </w:tcBorders>
            <w:noWrap w:val="0"/>
            <w:vAlign w:val="center"/>
          </w:tcPr>
          <w:p w14:paraId="708A68B9">
            <w:pPr>
              <w:spacing w:line="360" w:lineRule="auto"/>
              <w:rPr>
                <w:rFonts w:ascii="宋体" w:hAnsi="宋体" w:cs="宋体"/>
                <w:color w:val="auto"/>
                <w:kern w:val="2"/>
                <w:sz w:val="24"/>
                <w:szCs w:val="24"/>
                <w:highlight w:val="none"/>
              </w:rPr>
            </w:pPr>
          </w:p>
        </w:tc>
        <w:tc>
          <w:tcPr>
            <w:tcW w:w="2910" w:type="dxa"/>
            <w:tcBorders>
              <w:top w:val="single" w:color="auto" w:sz="4" w:space="0"/>
              <w:left w:val="nil"/>
              <w:bottom w:val="single" w:color="auto" w:sz="4" w:space="0"/>
              <w:right w:val="single" w:color="auto" w:sz="4" w:space="0"/>
            </w:tcBorders>
            <w:noWrap w:val="0"/>
            <w:vAlign w:val="center"/>
          </w:tcPr>
          <w:p w14:paraId="76FAD96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zh-TW" w:eastAsia="zh-CN"/>
              </w:rPr>
              <w:t>其他内容</w:t>
            </w:r>
          </w:p>
        </w:tc>
        <w:tc>
          <w:tcPr>
            <w:tcW w:w="5070" w:type="dxa"/>
            <w:tcBorders>
              <w:top w:val="single" w:color="auto" w:sz="4" w:space="0"/>
              <w:left w:val="nil"/>
              <w:bottom w:val="single" w:color="auto" w:sz="4" w:space="0"/>
              <w:right w:val="single" w:color="auto" w:sz="4" w:space="0"/>
            </w:tcBorders>
            <w:noWrap w:val="0"/>
            <w:vAlign w:val="center"/>
          </w:tcPr>
          <w:p w14:paraId="36557AF4">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本次磋商实行资格后审（提供承诺书，格式自拟），</w:t>
            </w:r>
          </w:p>
          <w:p w14:paraId="0B51B9A6">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本项目不接受联合体投标（提供非联合体承诺书格式自拟）。</w:t>
            </w:r>
          </w:p>
        </w:tc>
      </w:tr>
      <w:tr w14:paraId="259B42C4">
        <w:tblPrEx>
          <w:tblCellMar>
            <w:top w:w="0" w:type="dxa"/>
            <w:left w:w="108" w:type="dxa"/>
            <w:bottom w:w="0" w:type="dxa"/>
            <w:right w:w="108" w:type="dxa"/>
          </w:tblCellMar>
        </w:tblPrEx>
        <w:trPr>
          <w:trHeight w:val="523" w:hRule="atLeast"/>
        </w:trPr>
        <w:tc>
          <w:tcPr>
            <w:tcW w:w="832" w:type="dxa"/>
            <w:vMerge w:val="restart"/>
            <w:tcBorders>
              <w:top w:val="nil"/>
              <w:left w:val="single" w:color="auto" w:sz="4" w:space="0"/>
              <w:right w:val="single" w:color="auto" w:sz="4" w:space="0"/>
            </w:tcBorders>
            <w:noWrap w:val="0"/>
            <w:vAlign w:val="center"/>
          </w:tcPr>
          <w:p w14:paraId="1B0DBBCF">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highlight w:val="none"/>
              </w:rPr>
            </w:pPr>
          </w:p>
          <w:p w14:paraId="5F72C4D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hAnsi="宋体" w:cs="宋体"/>
                <w:color w:val="auto"/>
                <w:kern w:val="2"/>
                <w:sz w:val="24"/>
                <w:szCs w:val="24"/>
                <w:highlight w:val="none"/>
              </w:rPr>
            </w:pPr>
          </w:p>
          <w:p w14:paraId="3E27AEB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auto"/>
                <w:highlight w:val="none"/>
                <w:lang w:val="en-US" w:eastAsia="zh-CN"/>
              </w:rPr>
            </w:pPr>
            <w:r>
              <w:rPr>
                <w:rFonts w:hint="eastAsia" w:ascii="宋体" w:hAnsi="宋体" w:cs="宋体"/>
                <w:color w:val="auto"/>
                <w:kern w:val="2"/>
                <w:sz w:val="24"/>
                <w:szCs w:val="24"/>
                <w:highlight w:val="none"/>
                <w:lang w:val="en-US" w:eastAsia="zh-CN"/>
              </w:rPr>
              <w:t>2.1.2</w:t>
            </w:r>
          </w:p>
        </w:tc>
        <w:tc>
          <w:tcPr>
            <w:tcW w:w="965" w:type="dxa"/>
            <w:vMerge w:val="restart"/>
            <w:tcBorders>
              <w:top w:val="nil"/>
              <w:left w:val="nil"/>
              <w:right w:val="single" w:color="auto" w:sz="4" w:space="0"/>
            </w:tcBorders>
            <w:noWrap w:val="0"/>
            <w:vAlign w:val="center"/>
          </w:tcPr>
          <w:p w14:paraId="14494D3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符合性审查</w:t>
            </w:r>
          </w:p>
        </w:tc>
        <w:tc>
          <w:tcPr>
            <w:tcW w:w="2910" w:type="dxa"/>
            <w:tcBorders>
              <w:top w:val="single" w:color="auto" w:sz="4" w:space="0"/>
              <w:left w:val="nil"/>
              <w:bottom w:val="single" w:color="auto" w:sz="4" w:space="0"/>
              <w:right w:val="single" w:color="auto" w:sz="4" w:space="0"/>
            </w:tcBorders>
            <w:noWrap w:val="0"/>
            <w:vAlign w:val="center"/>
          </w:tcPr>
          <w:p w14:paraId="347025D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lang w:eastAsia="zh-CN"/>
              </w:rPr>
              <w:t>供应商</w:t>
            </w:r>
            <w:r>
              <w:rPr>
                <w:rFonts w:hint="eastAsia" w:ascii="宋体" w:hAnsi="宋体" w:cs="宋体"/>
                <w:color w:val="auto"/>
                <w:kern w:val="2"/>
                <w:sz w:val="24"/>
                <w:szCs w:val="24"/>
                <w:highlight w:val="none"/>
              </w:rPr>
              <w:t>名称</w:t>
            </w:r>
          </w:p>
        </w:tc>
        <w:tc>
          <w:tcPr>
            <w:tcW w:w="5070" w:type="dxa"/>
            <w:tcBorders>
              <w:top w:val="single" w:color="auto" w:sz="4" w:space="0"/>
              <w:left w:val="nil"/>
              <w:bottom w:val="single" w:color="auto" w:sz="4" w:space="0"/>
              <w:right w:val="single" w:color="auto" w:sz="4" w:space="0"/>
            </w:tcBorders>
            <w:noWrap w:val="0"/>
            <w:vAlign w:val="center"/>
          </w:tcPr>
          <w:p w14:paraId="6538C6DA">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zh-TW"/>
              </w:rPr>
              <w:t>与营业执照</w:t>
            </w:r>
            <w:r>
              <w:rPr>
                <w:rFonts w:hint="eastAsia" w:ascii="宋体" w:hAnsi="宋体" w:cs="宋体"/>
                <w:color w:val="auto"/>
                <w:kern w:val="2"/>
                <w:sz w:val="24"/>
                <w:szCs w:val="24"/>
                <w:highlight w:val="none"/>
                <w:lang w:val="en-US" w:eastAsia="zh-CN"/>
              </w:rPr>
              <w:t>等</w:t>
            </w:r>
            <w:r>
              <w:rPr>
                <w:rFonts w:hint="eastAsia" w:ascii="宋体" w:hAnsi="宋体" w:cs="宋体"/>
                <w:color w:val="auto"/>
                <w:kern w:val="2"/>
                <w:sz w:val="24"/>
                <w:szCs w:val="24"/>
                <w:highlight w:val="none"/>
                <w:lang w:val="zh-TW"/>
              </w:rPr>
              <w:t>一致</w:t>
            </w:r>
          </w:p>
        </w:tc>
      </w:tr>
      <w:tr w14:paraId="76D614D9">
        <w:tblPrEx>
          <w:tblCellMar>
            <w:top w:w="0" w:type="dxa"/>
            <w:left w:w="108" w:type="dxa"/>
            <w:bottom w:w="0" w:type="dxa"/>
            <w:right w:w="108" w:type="dxa"/>
          </w:tblCellMar>
        </w:tblPrEx>
        <w:trPr>
          <w:trHeight w:val="568" w:hRule="atLeast"/>
        </w:trPr>
        <w:tc>
          <w:tcPr>
            <w:tcW w:w="832" w:type="dxa"/>
            <w:vMerge w:val="continue"/>
            <w:tcBorders>
              <w:left w:val="single" w:color="auto" w:sz="4" w:space="0"/>
              <w:right w:val="single" w:color="auto" w:sz="4" w:space="0"/>
            </w:tcBorders>
            <w:noWrap w:val="0"/>
            <w:vAlign w:val="center"/>
          </w:tcPr>
          <w:p w14:paraId="201BC0D1">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kern w:val="2"/>
                <w:sz w:val="24"/>
                <w:szCs w:val="24"/>
                <w:highlight w:val="none"/>
              </w:rPr>
            </w:pPr>
          </w:p>
        </w:tc>
        <w:tc>
          <w:tcPr>
            <w:tcW w:w="965" w:type="dxa"/>
            <w:vMerge w:val="continue"/>
            <w:tcBorders>
              <w:left w:val="nil"/>
              <w:right w:val="single" w:color="auto" w:sz="4" w:space="0"/>
            </w:tcBorders>
            <w:noWrap w:val="0"/>
            <w:vAlign w:val="center"/>
          </w:tcPr>
          <w:p w14:paraId="166A4454">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kern w:val="2"/>
                <w:sz w:val="24"/>
                <w:szCs w:val="24"/>
                <w:highlight w:val="none"/>
              </w:rPr>
            </w:pPr>
          </w:p>
        </w:tc>
        <w:tc>
          <w:tcPr>
            <w:tcW w:w="2910" w:type="dxa"/>
            <w:tcBorders>
              <w:top w:val="single" w:color="auto" w:sz="4" w:space="0"/>
              <w:left w:val="nil"/>
              <w:bottom w:val="single" w:color="auto" w:sz="4" w:space="0"/>
              <w:right w:val="single" w:color="auto" w:sz="4" w:space="0"/>
            </w:tcBorders>
            <w:noWrap w:val="0"/>
            <w:vAlign w:val="center"/>
          </w:tcPr>
          <w:p w14:paraId="1D12167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签字盖章</w:t>
            </w:r>
          </w:p>
        </w:tc>
        <w:tc>
          <w:tcPr>
            <w:tcW w:w="5070" w:type="dxa"/>
            <w:tcBorders>
              <w:top w:val="single" w:color="auto" w:sz="4" w:space="0"/>
              <w:left w:val="nil"/>
              <w:bottom w:val="single" w:color="auto" w:sz="4" w:space="0"/>
              <w:right w:val="single" w:color="auto" w:sz="4" w:space="0"/>
            </w:tcBorders>
            <w:noWrap w:val="0"/>
            <w:vAlign w:val="center"/>
          </w:tcPr>
          <w:p w14:paraId="493ACC2E">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zh-TW"/>
              </w:rPr>
              <w:t>符合竞争性磋商文件要求的签字、盖章</w:t>
            </w:r>
          </w:p>
        </w:tc>
      </w:tr>
      <w:tr w14:paraId="17AF9D3A">
        <w:tblPrEx>
          <w:tblCellMar>
            <w:top w:w="0" w:type="dxa"/>
            <w:left w:w="108" w:type="dxa"/>
            <w:bottom w:w="0" w:type="dxa"/>
            <w:right w:w="108" w:type="dxa"/>
          </w:tblCellMar>
        </w:tblPrEx>
        <w:trPr>
          <w:trHeight w:val="428" w:hRule="atLeast"/>
        </w:trPr>
        <w:tc>
          <w:tcPr>
            <w:tcW w:w="832" w:type="dxa"/>
            <w:vMerge w:val="continue"/>
            <w:tcBorders>
              <w:left w:val="single" w:color="auto" w:sz="4" w:space="0"/>
              <w:right w:val="single" w:color="auto" w:sz="4" w:space="0"/>
            </w:tcBorders>
            <w:noWrap w:val="0"/>
            <w:vAlign w:val="center"/>
          </w:tcPr>
          <w:p w14:paraId="32705343">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kern w:val="2"/>
                <w:sz w:val="24"/>
                <w:szCs w:val="24"/>
                <w:highlight w:val="none"/>
              </w:rPr>
            </w:pPr>
          </w:p>
        </w:tc>
        <w:tc>
          <w:tcPr>
            <w:tcW w:w="965" w:type="dxa"/>
            <w:vMerge w:val="continue"/>
            <w:tcBorders>
              <w:left w:val="nil"/>
              <w:right w:val="single" w:color="auto" w:sz="4" w:space="0"/>
            </w:tcBorders>
            <w:noWrap w:val="0"/>
            <w:vAlign w:val="center"/>
          </w:tcPr>
          <w:p w14:paraId="6D42E031">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kern w:val="2"/>
                <w:sz w:val="24"/>
                <w:szCs w:val="24"/>
                <w:highlight w:val="none"/>
              </w:rPr>
            </w:pPr>
          </w:p>
        </w:tc>
        <w:tc>
          <w:tcPr>
            <w:tcW w:w="2910" w:type="dxa"/>
            <w:tcBorders>
              <w:top w:val="single" w:color="auto" w:sz="4" w:space="0"/>
              <w:left w:val="nil"/>
              <w:bottom w:val="single" w:color="auto" w:sz="4" w:space="0"/>
              <w:right w:val="single" w:color="auto" w:sz="4" w:space="0"/>
            </w:tcBorders>
            <w:noWrap w:val="0"/>
            <w:vAlign w:val="center"/>
          </w:tcPr>
          <w:p w14:paraId="60928D8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响应文件格式</w:t>
            </w:r>
          </w:p>
        </w:tc>
        <w:tc>
          <w:tcPr>
            <w:tcW w:w="5070" w:type="dxa"/>
            <w:tcBorders>
              <w:top w:val="single" w:color="auto" w:sz="4" w:space="0"/>
              <w:left w:val="nil"/>
              <w:bottom w:val="single" w:color="auto" w:sz="4" w:space="0"/>
              <w:right w:val="single" w:color="auto" w:sz="4" w:space="0"/>
            </w:tcBorders>
            <w:noWrap w:val="0"/>
            <w:vAlign w:val="center"/>
          </w:tcPr>
          <w:p w14:paraId="4C2EFA7C">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rPr>
              <w:t>符合“响应文件格式”的要求</w:t>
            </w:r>
          </w:p>
        </w:tc>
      </w:tr>
      <w:tr w14:paraId="61816775">
        <w:tblPrEx>
          <w:tblCellMar>
            <w:top w:w="0" w:type="dxa"/>
            <w:left w:w="108" w:type="dxa"/>
            <w:bottom w:w="0" w:type="dxa"/>
            <w:right w:w="108" w:type="dxa"/>
          </w:tblCellMar>
        </w:tblPrEx>
        <w:trPr>
          <w:trHeight w:val="558" w:hRule="atLeast"/>
        </w:trPr>
        <w:tc>
          <w:tcPr>
            <w:tcW w:w="832" w:type="dxa"/>
            <w:vMerge w:val="continue"/>
            <w:tcBorders>
              <w:left w:val="single" w:color="auto" w:sz="4" w:space="0"/>
              <w:bottom w:val="single" w:color="auto" w:sz="4" w:space="0"/>
              <w:right w:val="single" w:color="auto" w:sz="4" w:space="0"/>
            </w:tcBorders>
            <w:noWrap w:val="0"/>
            <w:vAlign w:val="center"/>
          </w:tcPr>
          <w:p w14:paraId="3FBD30D7">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kern w:val="2"/>
                <w:sz w:val="24"/>
                <w:szCs w:val="24"/>
                <w:highlight w:val="none"/>
              </w:rPr>
            </w:pPr>
          </w:p>
        </w:tc>
        <w:tc>
          <w:tcPr>
            <w:tcW w:w="965" w:type="dxa"/>
            <w:vMerge w:val="continue"/>
            <w:tcBorders>
              <w:left w:val="nil"/>
              <w:bottom w:val="single" w:color="auto" w:sz="4" w:space="0"/>
              <w:right w:val="single" w:color="auto" w:sz="4" w:space="0"/>
            </w:tcBorders>
            <w:noWrap w:val="0"/>
            <w:vAlign w:val="center"/>
          </w:tcPr>
          <w:p w14:paraId="037093C7">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kern w:val="2"/>
                <w:sz w:val="24"/>
                <w:szCs w:val="24"/>
                <w:highlight w:val="none"/>
              </w:rPr>
            </w:pPr>
          </w:p>
        </w:tc>
        <w:tc>
          <w:tcPr>
            <w:tcW w:w="2910" w:type="dxa"/>
            <w:tcBorders>
              <w:top w:val="single" w:color="auto" w:sz="4" w:space="0"/>
              <w:left w:val="nil"/>
              <w:bottom w:val="single" w:color="auto" w:sz="4" w:space="0"/>
              <w:right w:val="single" w:color="auto" w:sz="4" w:space="0"/>
            </w:tcBorders>
            <w:noWrap w:val="0"/>
            <w:vAlign w:val="center"/>
          </w:tcPr>
          <w:p w14:paraId="3CBE178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报价唯一</w:t>
            </w:r>
          </w:p>
        </w:tc>
        <w:tc>
          <w:tcPr>
            <w:tcW w:w="5070" w:type="dxa"/>
            <w:tcBorders>
              <w:top w:val="single" w:color="auto" w:sz="4" w:space="0"/>
              <w:left w:val="nil"/>
              <w:bottom w:val="single" w:color="auto" w:sz="4" w:space="0"/>
              <w:right w:val="single" w:color="auto" w:sz="4" w:space="0"/>
            </w:tcBorders>
            <w:noWrap w:val="0"/>
            <w:vAlign w:val="center"/>
          </w:tcPr>
          <w:p w14:paraId="6DBA6800">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磋商函及磋商函附录中只能有一个有效报价</w:t>
            </w:r>
          </w:p>
        </w:tc>
      </w:tr>
      <w:tr w14:paraId="79401933">
        <w:tblPrEx>
          <w:tblCellMar>
            <w:top w:w="0" w:type="dxa"/>
            <w:left w:w="108" w:type="dxa"/>
            <w:bottom w:w="0" w:type="dxa"/>
            <w:right w:w="108" w:type="dxa"/>
          </w:tblCellMar>
        </w:tblPrEx>
        <w:trPr>
          <w:trHeight w:val="520" w:hRule="atLeast"/>
        </w:trPr>
        <w:tc>
          <w:tcPr>
            <w:tcW w:w="832" w:type="dxa"/>
            <w:vMerge w:val="restart"/>
            <w:tcBorders>
              <w:top w:val="nil"/>
              <w:left w:val="single" w:color="auto" w:sz="4" w:space="0"/>
              <w:bottom w:val="single" w:color="auto" w:sz="4" w:space="0"/>
              <w:right w:val="single" w:color="auto" w:sz="4" w:space="0"/>
            </w:tcBorders>
            <w:noWrap w:val="0"/>
            <w:vAlign w:val="center"/>
          </w:tcPr>
          <w:p w14:paraId="21EAA01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2.1.3</w:t>
            </w:r>
          </w:p>
        </w:tc>
        <w:tc>
          <w:tcPr>
            <w:tcW w:w="965" w:type="dxa"/>
            <w:vMerge w:val="restart"/>
            <w:tcBorders>
              <w:top w:val="nil"/>
              <w:left w:val="nil"/>
              <w:bottom w:val="single" w:color="auto" w:sz="4" w:space="0"/>
              <w:right w:val="single" w:color="auto" w:sz="4" w:space="0"/>
            </w:tcBorders>
            <w:noWrap w:val="0"/>
            <w:vAlign w:val="center"/>
          </w:tcPr>
          <w:p w14:paraId="42C238E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响应</w:t>
            </w:r>
            <w:r>
              <w:rPr>
                <w:rFonts w:hint="eastAsia" w:ascii="宋体" w:hAnsi="宋体" w:cs="宋体"/>
                <w:color w:val="auto"/>
                <w:kern w:val="2"/>
                <w:sz w:val="24"/>
                <w:szCs w:val="24"/>
                <w:highlight w:val="none"/>
              </w:rPr>
              <w:t>性审查</w:t>
            </w:r>
          </w:p>
        </w:tc>
        <w:tc>
          <w:tcPr>
            <w:tcW w:w="2910" w:type="dxa"/>
            <w:tcBorders>
              <w:top w:val="single" w:color="auto" w:sz="4" w:space="0"/>
              <w:left w:val="nil"/>
              <w:bottom w:val="single" w:color="auto" w:sz="4" w:space="0"/>
              <w:right w:val="single" w:color="auto" w:sz="4" w:space="0"/>
            </w:tcBorders>
            <w:noWrap w:val="0"/>
            <w:vAlign w:val="center"/>
          </w:tcPr>
          <w:p w14:paraId="3AC8144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color w:val="auto"/>
                <w:kern w:val="2"/>
                <w:sz w:val="24"/>
                <w:szCs w:val="24"/>
                <w:highlight w:val="none"/>
                <w:lang w:val="en-US"/>
              </w:rPr>
            </w:pPr>
            <w:r>
              <w:rPr>
                <w:rFonts w:hint="eastAsia" w:ascii="宋体" w:hAnsi="宋体" w:cs="宋体"/>
                <w:color w:val="auto"/>
                <w:kern w:val="2"/>
                <w:sz w:val="24"/>
                <w:szCs w:val="24"/>
                <w:highlight w:val="none"/>
                <w:lang w:val="en-US" w:eastAsia="zh-CN"/>
              </w:rPr>
              <w:t>服务期限</w:t>
            </w:r>
          </w:p>
        </w:tc>
        <w:tc>
          <w:tcPr>
            <w:tcW w:w="5070" w:type="dxa"/>
            <w:tcBorders>
              <w:top w:val="single" w:color="auto" w:sz="4" w:space="0"/>
              <w:left w:val="nil"/>
              <w:bottom w:val="single" w:color="auto" w:sz="4" w:space="0"/>
              <w:right w:val="single" w:color="auto" w:sz="4" w:space="0"/>
            </w:tcBorders>
            <w:noWrap w:val="0"/>
            <w:vAlign w:val="center"/>
          </w:tcPr>
          <w:p w14:paraId="7A14FE80">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color w:val="auto"/>
                <w:kern w:val="2"/>
                <w:sz w:val="24"/>
                <w:szCs w:val="24"/>
                <w:highlight w:val="none"/>
                <w:lang w:val="en-US"/>
              </w:rPr>
            </w:pPr>
            <w:r>
              <w:rPr>
                <w:rFonts w:hint="default" w:ascii="宋体" w:hAnsi="宋体" w:cs="宋体"/>
                <w:color w:val="auto"/>
                <w:kern w:val="2"/>
                <w:sz w:val="24"/>
                <w:szCs w:val="24"/>
                <w:highlight w:val="none"/>
                <w:lang w:val="en-US"/>
              </w:rPr>
              <w:t>符合第二章“供应商须知”规定</w:t>
            </w:r>
          </w:p>
        </w:tc>
      </w:tr>
      <w:tr w14:paraId="7708DE38">
        <w:tblPrEx>
          <w:tblCellMar>
            <w:top w:w="0" w:type="dxa"/>
            <w:left w:w="108" w:type="dxa"/>
            <w:bottom w:w="0" w:type="dxa"/>
            <w:right w:w="108" w:type="dxa"/>
          </w:tblCellMar>
        </w:tblPrEx>
        <w:trPr>
          <w:trHeight w:val="486"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11C2E269">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kern w:val="2"/>
                <w:sz w:val="24"/>
                <w:szCs w:val="24"/>
                <w:highlight w:val="none"/>
              </w:rPr>
            </w:pPr>
          </w:p>
        </w:tc>
        <w:tc>
          <w:tcPr>
            <w:tcW w:w="965" w:type="dxa"/>
            <w:vMerge w:val="continue"/>
            <w:tcBorders>
              <w:top w:val="nil"/>
              <w:left w:val="nil"/>
              <w:bottom w:val="single" w:color="auto" w:sz="4" w:space="0"/>
              <w:right w:val="single" w:color="auto" w:sz="4" w:space="0"/>
            </w:tcBorders>
            <w:noWrap w:val="0"/>
            <w:vAlign w:val="center"/>
          </w:tcPr>
          <w:p w14:paraId="0EEDD93A">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kern w:val="2"/>
                <w:sz w:val="24"/>
                <w:szCs w:val="24"/>
                <w:highlight w:val="none"/>
              </w:rPr>
            </w:pPr>
          </w:p>
        </w:tc>
        <w:tc>
          <w:tcPr>
            <w:tcW w:w="2910" w:type="dxa"/>
            <w:tcBorders>
              <w:top w:val="single" w:color="auto" w:sz="4" w:space="0"/>
              <w:left w:val="nil"/>
              <w:bottom w:val="single" w:color="auto" w:sz="4" w:space="0"/>
              <w:right w:val="single" w:color="auto" w:sz="4" w:space="0"/>
            </w:tcBorders>
            <w:noWrap w:val="0"/>
            <w:vAlign w:val="center"/>
          </w:tcPr>
          <w:p w14:paraId="35AF10E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质量要求</w:t>
            </w:r>
          </w:p>
        </w:tc>
        <w:tc>
          <w:tcPr>
            <w:tcW w:w="5070" w:type="dxa"/>
            <w:tcBorders>
              <w:top w:val="single" w:color="auto" w:sz="4" w:space="0"/>
              <w:left w:val="nil"/>
              <w:bottom w:val="single" w:color="auto" w:sz="4" w:space="0"/>
              <w:right w:val="single" w:color="auto" w:sz="4" w:space="0"/>
            </w:tcBorders>
            <w:noWrap w:val="0"/>
            <w:vAlign w:val="center"/>
          </w:tcPr>
          <w:p w14:paraId="7B4D73C7">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符合第二章“供应商须知”规定</w:t>
            </w:r>
          </w:p>
        </w:tc>
      </w:tr>
      <w:tr w14:paraId="27C685A3">
        <w:tblPrEx>
          <w:tblCellMar>
            <w:top w:w="0" w:type="dxa"/>
            <w:left w:w="108" w:type="dxa"/>
            <w:bottom w:w="0" w:type="dxa"/>
            <w:right w:w="108" w:type="dxa"/>
          </w:tblCellMar>
        </w:tblPrEx>
        <w:trPr>
          <w:trHeight w:val="486"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6ED3FE90">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kern w:val="2"/>
                <w:sz w:val="24"/>
                <w:szCs w:val="24"/>
                <w:highlight w:val="none"/>
              </w:rPr>
            </w:pPr>
          </w:p>
        </w:tc>
        <w:tc>
          <w:tcPr>
            <w:tcW w:w="965" w:type="dxa"/>
            <w:vMerge w:val="continue"/>
            <w:tcBorders>
              <w:top w:val="nil"/>
              <w:left w:val="nil"/>
              <w:bottom w:val="single" w:color="auto" w:sz="4" w:space="0"/>
              <w:right w:val="single" w:color="auto" w:sz="4" w:space="0"/>
            </w:tcBorders>
            <w:noWrap w:val="0"/>
            <w:vAlign w:val="center"/>
          </w:tcPr>
          <w:p w14:paraId="4C6C0595">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kern w:val="2"/>
                <w:sz w:val="24"/>
                <w:szCs w:val="24"/>
                <w:highlight w:val="none"/>
              </w:rPr>
            </w:pPr>
          </w:p>
        </w:tc>
        <w:tc>
          <w:tcPr>
            <w:tcW w:w="2910" w:type="dxa"/>
            <w:tcBorders>
              <w:top w:val="single" w:color="auto" w:sz="4" w:space="0"/>
              <w:left w:val="nil"/>
              <w:bottom w:val="single" w:color="auto" w:sz="4" w:space="0"/>
              <w:right w:val="single" w:color="auto" w:sz="4" w:space="0"/>
            </w:tcBorders>
            <w:noWrap w:val="0"/>
            <w:vAlign w:val="center"/>
          </w:tcPr>
          <w:p w14:paraId="2829D9A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磋商内容</w:t>
            </w:r>
          </w:p>
        </w:tc>
        <w:tc>
          <w:tcPr>
            <w:tcW w:w="5070" w:type="dxa"/>
            <w:tcBorders>
              <w:top w:val="single" w:color="auto" w:sz="4" w:space="0"/>
              <w:left w:val="nil"/>
              <w:bottom w:val="single" w:color="auto" w:sz="4" w:space="0"/>
              <w:right w:val="single" w:color="auto" w:sz="4" w:space="0"/>
            </w:tcBorders>
            <w:noWrap w:val="0"/>
            <w:vAlign w:val="center"/>
          </w:tcPr>
          <w:p w14:paraId="1B0BEDE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符合第二章“供应商须知”规定</w:t>
            </w:r>
          </w:p>
        </w:tc>
      </w:tr>
      <w:tr w14:paraId="36DF6107">
        <w:tblPrEx>
          <w:tblCellMar>
            <w:top w:w="0" w:type="dxa"/>
            <w:left w:w="108" w:type="dxa"/>
            <w:bottom w:w="0" w:type="dxa"/>
            <w:right w:w="108" w:type="dxa"/>
          </w:tblCellMar>
        </w:tblPrEx>
        <w:trPr>
          <w:trHeight w:val="606"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1A1E207D">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kern w:val="2"/>
                <w:sz w:val="24"/>
                <w:szCs w:val="24"/>
                <w:highlight w:val="none"/>
              </w:rPr>
            </w:pPr>
          </w:p>
        </w:tc>
        <w:tc>
          <w:tcPr>
            <w:tcW w:w="965" w:type="dxa"/>
            <w:vMerge w:val="continue"/>
            <w:tcBorders>
              <w:top w:val="nil"/>
              <w:left w:val="nil"/>
              <w:bottom w:val="single" w:color="auto" w:sz="4" w:space="0"/>
              <w:right w:val="single" w:color="auto" w:sz="4" w:space="0"/>
            </w:tcBorders>
            <w:noWrap w:val="0"/>
            <w:vAlign w:val="center"/>
          </w:tcPr>
          <w:p w14:paraId="05FF16FC">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kern w:val="2"/>
                <w:sz w:val="24"/>
                <w:szCs w:val="24"/>
                <w:highlight w:val="none"/>
              </w:rPr>
            </w:pPr>
          </w:p>
        </w:tc>
        <w:tc>
          <w:tcPr>
            <w:tcW w:w="2910" w:type="dxa"/>
            <w:tcBorders>
              <w:top w:val="single" w:color="auto" w:sz="4" w:space="0"/>
              <w:left w:val="nil"/>
              <w:bottom w:val="single" w:color="auto" w:sz="4" w:space="0"/>
              <w:right w:val="single" w:color="auto" w:sz="4" w:space="0"/>
            </w:tcBorders>
            <w:noWrap w:val="0"/>
            <w:vAlign w:val="center"/>
          </w:tcPr>
          <w:p w14:paraId="233B514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磋商有效期</w:t>
            </w:r>
          </w:p>
        </w:tc>
        <w:tc>
          <w:tcPr>
            <w:tcW w:w="5070" w:type="dxa"/>
            <w:tcBorders>
              <w:top w:val="single" w:color="auto" w:sz="4" w:space="0"/>
              <w:left w:val="nil"/>
              <w:bottom w:val="single" w:color="auto" w:sz="4" w:space="0"/>
              <w:right w:val="single" w:color="auto" w:sz="4" w:space="0"/>
            </w:tcBorders>
            <w:noWrap w:val="0"/>
            <w:vAlign w:val="center"/>
          </w:tcPr>
          <w:p w14:paraId="704C27B7">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符合第二章“供应商须知”规定</w:t>
            </w:r>
          </w:p>
        </w:tc>
      </w:tr>
      <w:tr w14:paraId="7D6CE568">
        <w:tblPrEx>
          <w:tblCellMar>
            <w:top w:w="0" w:type="dxa"/>
            <w:left w:w="108" w:type="dxa"/>
            <w:bottom w:w="0" w:type="dxa"/>
            <w:right w:w="108" w:type="dxa"/>
          </w:tblCellMar>
        </w:tblPrEx>
        <w:trPr>
          <w:trHeight w:val="471"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7CD4D8B9">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kern w:val="2"/>
                <w:sz w:val="24"/>
                <w:szCs w:val="24"/>
                <w:highlight w:val="none"/>
              </w:rPr>
            </w:pPr>
          </w:p>
        </w:tc>
        <w:tc>
          <w:tcPr>
            <w:tcW w:w="965" w:type="dxa"/>
            <w:vMerge w:val="continue"/>
            <w:tcBorders>
              <w:top w:val="nil"/>
              <w:left w:val="nil"/>
              <w:bottom w:val="single" w:color="auto" w:sz="4" w:space="0"/>
              <w:right w:val="single" w:color="auto" w:sz="4" w:space="0"/>
            </w:tcBorders>
            <w:noWrap w:val="0"/>
            <w:vAlign w:val="center"/>
          </w:tcPr>
          <w:p w14:paraId="2B7CEF73">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kern w:val="2"/>
                <w:sz w:val="24"/>
                <w:szCs w:val="24"/>
                <w:highlight w:val="none"/>
              </w:rPr>
            </w:pPr>
          </w:p>
        </w:tc>
        <w:tc>
          <w:tcPr>
            <w:tcW w:w="2910" w:type="dxa"/>
            <w:tcBorders>
              <w:top w:val="single" w:color="auto" w:sz="4" w:space="0"/>
              <w:left w:val="nil"/>
              <w:bottom w:val="single" w:color="auto" w:sz="4" w:space="0"/>
              <w:right w:val="single" w:color="auto" w:sz="4" w:space="0"/>
            </w:tcBorders>
            <w:noWrap w:val="0"/>
            <w:vAlign w:val="center"/>
          </w:tcPr>
          <w:p w14:paraId="19A60A8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磋商承诺函</w:t>
            </w:r>
          </w:p>
        </w:tc>
        <w:tc>
          <w:tcPr>
            <w:tcW w:w="5070" w:type="dxa"/>
            <w:tcBorders>
              <w:top w:val="single" w:color="auto" w:sz="4" w:space="0"/>
              <w:left w:val="nil"/>
              <w:bottom w:val="single" w:color="auto" w:sz="4" w:space="0"/>
              <w:right w:val="single" w:color="auto" w:sz="4" w:space="0"/>
            </w:tcBorders>
            <w:noWrap w:val="0"/>
            <w:vAlign w:val="center"/>
          </w:tcPr>
          <w:p w14:paraId="31B5888D">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按照磋商文件要求提交</w:t>
            </w:r>
          </w:p>
        </w:tc>
      </w:tr>
      <w:tr w14:paraId="4516F2E6">
        <w:tblPrEx>
          <w:tblCellMar>
            <w:top w:w="0" w:type="dxa"/>
            <w:left w:w="108" w:type="dxa"/>
            <w:bottom w:w="0" w:type="dxa"/>
            <w:right w:w="108" w:type="dxa"/>
          </w:tblCellMar>
        </w:tblPrEx>
        <w:trPr>
          <w:trHeight w:val="587"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336F2A4A">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kern w:val="2"/>
                <w:sz w:val="24"/>
                <w:szCs w:val="24"/>
                <w:highlight w:val="none"/>
              </w:rPr>
            </w:pPr>
          </w:p>
        </w:tc>
        <w:tc>
          <w:tcPr>
            <w:tcW w:w="965" w:type="dxa"/>
            <w:vMerge w:val="continue"/>
            <w:tcBorders>
              <w:top w:val="nil"/>
              <w:left w:val="nil"/>
              <w:bottom w:val="single" w:color="auto" w:sz="4" w:space="0"/>
              <w:right w:val="single" w:color="auto" w:sz="4" w:space="0"/>
            </w:tcBorders>
            <w:noWrap w:val="0"/>
            <w:vAlign w:val="center"/>
          </w:tcPr>
          <w:p w14:paraId="5E780A64">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kern w:val="2"/>
                <w:sz w:val="24"/>
                <w:szCs w:val="24"/>
                <w:highlight w:val="none"/>
              </w:rPr>
            </w:pPr>
          </w:p>
        </w:tc>
        <w:tc>
          <w:tcPr>
            <w:tcW w:w="2910" w:type="dxa"/>
            <w:tcBorders>
              <w:top w:val="single" w:color="auto" w:sz="4" w:space="0"/>
              <w:left w:val="nil"/>
              <w:bottom w:val="single" w:color="auto" w:sz="4" w:space="0"/>
              <w:right w:val="single" w:color="auto" w:sz="4" w:space="0"/>
            </w:tcBorders>
            <w:shd w:val="clear" w:color="auto" w:fill="auto"/>
            <w:noWrap w:val="0"/>
            <w:vAlign w:val="center"/>
          </w:tcPr>
          <w:p w14:paraId="1EE3301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磋商报价</w:t>
            </w:r>
          </w:p>
        </w:tc>
        <w:tc>
          <w:tcPr>
            <w:tcW w:w="5070" w:type="dxa"/>
            <w:tcBorders>
              <w:top w:val="single" w:color="auto" w:sz="4" w:space="0"/>
              <w:left w:val="nil"/>
              <w:bottom w:val="single" w:color="auto" w:sz="4" w:space="0"/>
              <w:right w:val="single" w:color="auto" w:sz="4" w:space="0"/>
            </w:tcBorders>
            <w:shd w:val="clear" w:color="auto" w:fill="auto"/>
            <w:noWrap w:val="0"/>
            <w:vAlign w:val="center"/>
          </w:tcPr>
          <w:p w14:paraId="163C5A9C">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rPr>
              <w:t>磋商供应商的报价不能超出</w:t>
            </w:r>
            <w:r>
              <w:rPr>
                <w:rFonts w:hint="eastAsia" w:ascii="宋体" w:hAnsi="宋体" w:cs="宋体"/>
                <w:color w:val="auto"/>
                <w:kern w:val="2"/>
                <w:sz w:val="24"/>
                <w:szCs w:val="24"/>
                <w:highlight w:val="none"/>
                <w:lang w:val="en-US" w:eastAsia="zh-CN"/>
              </w:rPr>
              <w:t>采购</w:t>
            </w:r>
            <w:r>
              <w:rPr>
                <w:rFonts w:hint="eastAsia" w:ascii="宋体" w:hAnsi="宋体" w:cs="宋体"/>
                <w:color w:val="auto"/>
                <w:kern w:val="2"/>
                <w:sz w:val="24"/>
                <w:szCs w:val="24"/>
                <w:highlight w:val="none"/>
              </w:rPr>
              <w:t>预算价</w:t>
            </w:r>
          </w:p>
        </w:tc>
      </w:tr>
      <w:tr w14:paraId="533AFF15">
        <w:tblPrEx>
          <w:tblCellMar>
            <w:top w:w="0" w:type="dxa"/>
            <w:left w:w="108" w:type="dxa"/>
            <w:bottom w:w="0" w:type="dxa"/>
            <w:right w:w="108" w:type="dxa"/>
          </w:tblCellMar>
        </w:tblPrEx>
        <w:trPr>
          <w:trHeight w:val="522"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3BAF0AA0">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kern w:val="2"/>
                <w:sz w:val="24"/>
                <w:szCs w:val="24"/>
                <w:highlight w:val="none"/>
              </w:rPr>
            </w:pPr>
          </w:p>
        </w:tc>
        <w:tc>
          <w:tcPr>
            <w:tcW w:w="965" w:type="dxa"/>
            <w:vMerge w:val="continue"/>
            <w:tcBorders>
              <w:top w:val="nil"/>
              <w:left w:val="nil"/>
              <w:bottom w:val="single" w:color="auto" w:sz="4" w:space="0"/>
              <w:right w:val="single" w:color="auto" w:sz="4" w:space="0"/>
            </w:tcBorders>
            <w:noWrap w:val="0"/>
            <w:vAlign w:val="center"/>
          </w:tcPr>
          <w:p w14:paraId="07CCE83E">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kern w:val="2"/>
                <w:sz w:val="24"/>
                <w:szCs w:val="24"/>
                <w:highlight w:val="none"/>
              </w:rPr>
            </w:pPr>
          </w:p>
        </w:tc>
        <w:tc>
          <w:tcPr>
            <w:tcW w:w="2910" w:type="dxa"/>
            <w:tcBorders>
              <w:top w:val="single" w:color="auto" w:sz="4" w:space="0"/>
              <w:left w:val="nil"/>
              <w:bottom w:val="single" w:color="auto" w:sz="4" w:space="0"/>
              <w:right w:val="single" w:color="auto" w:sz="4" w:space="0"/>
            </w:tcBorders>
            <w:shd w:val="clear" w:color="auto" w:fill="auto"/>
            <w:noWrap w:val="0"/>
            <w:vAlign w:val="center"/>
          </w:tcPr>
          <w:p w14:paraId="3FF3187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eastAsia="zh-CN"/>
              </w:rPr>
              <w:t>其他内容</w:t>
            </w:r>
          </w:p>
        </w:tc>
        <w:tc>
          <w:tcPr>
            <w:tcW w:w="5070" w:type="dxa"/>
            <w:tcBorders>
              <w:top w:val="single" w:color="auto" w:sz="4" w:space="0"/>
              <w:left w:val="nil"/>
              <w:bottom w:val="single" w:color="auto" w:sz="4" w:space="0"/>
              <w:right w:val="single" w:color="auto" w:sz="4" w:space="0"/>
            </w:tcBorders>
            <w:shd w:val="clear" w:color="auto" w:fill="auto"/>
            <w:noWrap w:val="0"/>
            <w:vAlign w:val="center"/>
          </w:tcPr>
          <w:p w14:paraId="57172955">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符合</w:t>
            </w:r>
            <w:r>
              <w:rPr>
                <w:rFonts w:hint="eastAsia" w:ascii="宋体" w:hAnsi="宋体" w:eastAsia="宋体" w:cs="宋体"/>
                <w:color w:val="auto"/>
                <w:kern w:val="2"/>
                <w:sz w:val="24"/>
                <w:szCs w:val="24"/>
                <w:highlight w:val="none"/>
                <w:lang w:val="en-US" w:eastAsia="zh-CN"/>
              </w:rPr>
              <w:t>竞争性磋商</w:t>
            </w:r>
            <w:r>
              <w:rPr>
                <w:rFonts w:hint="eastAsia" w:ascii="宋体" w:hAnsi="宋体" w:eastAsia="宋体" w:cs="宋体"/>
                <w:color w:val="auto"/>
                <w:kern w:val="2"/>
                <w:sz w:val="24"/>
                <w:szCs w:val="24"/>
                <w:highlight w:val="none"/>
              </w:rPr>
              <w:t>规定</w:t>
            </w:r>
            <w:r>
              <w:rPr>
                <w:rFonts w:hint="eastAsia" w:ascii="宋体" w:hAnsi="宋体" w:eastAsia="宋体" w:cs="宋体"/>
                <w:color w:val="auto"/>
                <w:kern w:val="2"/>
                <w:sz w:val="24"/>
                <w:szCs w:val="24"/>
                <w:highlight w:val="none"/>
                <w:lang w:val="en-US" w:eastAsia="zh-CN"/>
              </w:rPr>
              <w:t>其他内容</w:t>
            </w:r>
          </w:p>
        </w:tc>
      </w:tr>
    </w:tbl>
    <w:p w14:paraId="5BA1B7C3">
      <w:pPr>
        <w:pStyle w:val="5"/>
        <w:rPr>
          <w:rFonts w:hint="eastAsia"/>
          <w:color w:val="auto"/>
          <w:highlight w:val="none"/>
        </w:rPr>
      </w:pPr>
    </w:p>
    <w:p w14:paraId="6D50CB0E">
      <w:pPr>
        <w:widowControl/>
        <w:jc w:val="center"/>
        <w:rPr>
          <w:rFonts w:hint="eastAsia" w:ascii="宋体" w:hAnsi="宋体"/>
          <w:b/>
          <w:bCs/>
          <w:color w:val="auto"/>
          <w:sz w:val="24"/>
          <w:szCs w:val="24"/>
          <w:highlight w:val="none"/>
        </w:rPr>
      </w:pPr>
    </w:p>
    <w:p w14:paraId="406485DA">
      <w:pPr>
        <w:widowControl/>
        <w:jc w:val="center"/>
        <w:rPr>
          <w:rFonts w:hint="eastAsia" w:ascii="宋体" w:hAnsi="宋体"/>
          <w:b/>
          <w:bCs/>
          <w:color w:val="auto"/>
          <w:sz w:val="24"/>
          <w:szCs w:val="24"/>
          <w:highlight w:val="none"/>
        </w:rPr>
      </w:pPr>
    </w:p>
    <w:p w14:paraId="33C1AD69">
      <w:pPr>
        <w:widowControl/>
        <w:jc w:val="center"/>
        <w:rPr>
          <w:rFonts w:ascii="宋体" w:hAnsi="宋体" w:cs="宋体"/>
          <w:color w:val="auto"/>
          <w:sz w:val="24"/>
          <w:szCs w:val="24"/>
          <w:highlight w:val="none"/>
        </w:rPr>
      </w:pPr>
      <w:r>
        <w:rPr>
          <w:rFonts w:hint="eastAsia" w:ascii="宋体" w:hAnsi="宋体"/>
          <w:b/>
          <w:bCs/>
          <w:color w:val="auto"/>
          <w:sz w:val="24"/>
          <w:szCs w:val="24"/>
          <w:highlight w:val="none"/>
        </w:rPr>
        <w:t>评分标准</w:t>
      </w:r>
    </w:p>
    <w:tbl>
      <w:tblPr>
        <w:tblStyle w:val="17"/>
        <w:tblpPr w:leftFromText="180" w:rightFromText="180" w:vertAnchor="text" w:horzAnchor="margin" w:tblpXSpec="center" w:tblpY="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005"/>
        <w:gridCol w:w="1290"/>
        <w:gridCol w:w="6582"/>
      </w:tblGrid>
      <w:tr w14:paraId="0E63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68" w:type="dxa"/>
            <w:gridSpan w:val="2"/>
            <w:noWrap w:val="0"/>
            <w:vAlign w:val="center"/>
          </w:tcPr>
          <w:p w14:paraId="2AB57515">
            <w:pPr>
              <w:spacing w:line="288"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290" w:type="dxa"/>
            <w:noWrap w:val="0"/>
            <w:vAlign w:val="center"/>
          </w:tcPr>
          <w:p w14:paraId="262BB02D">
            <w:pPr>
              <w:spacing w:line="288"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6582" w:type="dxa"/>
            <w:noWrap w:val="0"/>
            <w:vAlign w:val="center"/>
          </w:tcPr>
          <w:p w14:paraId="6B3BD8E1">
            <w:pPr>
              <w:spacing w:line="288"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160C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center"/>
          </w:tcPr>
          <w:p w14:paraId="3FC5990B">
            <w:pPr>
              <w:keepNext w:val="0"/>
              <w:keepLines w:val="0"/>
              <w:pageBreakBefore w:val="0"/>
              <w:kinsoku/>
              <w:overflowPunct/>
              <w:topLinePunct w:val="0"/>
              <w:bidi w:val="0"/>
              <w:spacing w:line="288"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.2.1</w:t>
            </w:r>
          </w:p>
        </w:tc>
        <w:tc>
          <w:tcPr>
            <w:tcW w:w="1005" w:type="dxa"/>
            <w:noWrap w:val="0"/>
            <w:vAlign w:val="center"/>
          </w:tcPr>
          <w:p w14:paraId="4EFFDC44">
            <w:pPr>
              <w:keepNext w:val="0"/>
              <w:keepLines w:val="0"/>
              <w:pageBreakBefore w:val="0"/>
              <w:kinsoku/>
              <w:overflowPunct/>
              <w:topLinePunct w:val="0"/>
              <w:bidi w:val="0"/>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290" w:type="dxa"/>
            <w:noWrap w:val="0"/>
            <w:vAlign w:val="center"/>
          </w:tcPr>
          <w:p w14:paraId="1CC85725">
            <w:pPr>
              <w:keepNext w:val="0"/>
              <w:keepLines w:val="0"/>
              <w:pageBreakBefore w:val="0"/>
              <w:kinsoku/>
              <w:overflowPunct/>
              <w:topLinePunct w:val="0"/>
              <w:bidi w:val="0"/>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6582" w:type="dxa"/>
            <w:noWrap w:val="0"/>
            <w:vAlign w:val="center"/>
          </w:tcPr>
          <w:p w14:paraId="62A2A528">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采用低价优先法计算，即满足</w:t>
            </w:r>
            <w:r>
              <w:rPr>
                <w:rFonts w:hint="eastAsia" w:ascii="宋体" w:hAnsi="宋体" w:eastAsia="宋体" w:cs="宋体"/>
                <w:color w:val="auto"/>
                <w:kern w:val="2"/>
                <w:sz w:val="24"/>
                <w:szCs w:val="24"/>
                <w:highlight w:val="none"/>
                <w:lang w:val="en-US" w:eastAsia="zh-CN"/>
              </w:rPr>
              <w:t>竞争性磋商</w:t>
            </w:r>
            <w:r>
              <w:rPr>
                <w:rFonts w:hint="eastAsia" w:ascii="宋体" w:hAnsi="宋体" w:eastAsia="宋体" w:cs="宋体"/>
                <w:color w:val="auto"/>
                <w:kern w:val="2"/>
                <w:sz w:val="24"/>
                <w:szCs w:val="24"/>
                <w:highlight w:val="none"/>
              </w:rPr>
              <w:t>文件要求且投标价格最低的投标报价为评标基准价，其价格分为满分。其他</w:t>
            </w: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的价格分按照下列公式计算（保留两位小数）。</w:t>
            </w:r>
          </w:p>
          <w:p w14:paraId="2ADFFA56">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投标报价得分=（评标基准价／投标报价）*</w:t>
            </w:r>
            <w:r>
              <w:rPr>
                <w:rFonts w:hint="eastAsia" w:ascii="宋体" w:hAnsi="宋体" w:cs="宋体"/>
                <w:color w:val="auto"/>
                <w:kern w:val="2"/>
                <w:sz w:val="24"/>
                <w:szCs w:val="24"/>
                <w:highlight w:val="none"/>
                <w:lang w:val="en-US" w:eastAsia="zh-CN"/>
              </w:rPr>
              <w:t>30</w:t>
            </w:r>
            <w:r>
              <w:rPr>
                <w:rFonts w:hint="eastAsia" w:ascii="宋体" w:hAnsi="宋体" w:eastAsia="宋体" w:cs="宋体"/>
                <w:color w:val="auto"/>
                <w:kern w:val="2"/>
                <w:sz w:val="24"/>
                <w:szCs w:val="24"/>
                <w:highlight w:val="none"/>
              </w:rPr>
              <w:t>*100%</w:t>
            </w:r>
          </w:p>
          <w:p w14:paraId="5883467D">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1.评标委员会认为</w:t>
            </w: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的报价明显低于其他通过符合性审查</w:t>
            </w: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不能证明其报价合理性的，评标委员会应当将其作为无效投标处理。</w:t>
            </w:r>
          </w:p>
          <w:p w14:paraId="032079FA">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2.超出采购人预算价的投标报价为无效报价。</w:t>
            </w:r>
          </w:p>
        </w:tc>
      </w:tr>
      <w:tr w14:paraId="4F11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763" w:type="dxa"/>
            <w:noWrap w:val="0"/>
            <w:vAlign w:val="center"/>
          </w:tcPr>
          <w:p w14:paraId="6230F33F">
            <w:pPr>
              <w:keepNext w:val="0"/>
              <w:keepLines w:val="0"/>
              <w:pageBreakBefore w:val="0"/>
              <w:kinsoku/>
              <w:overflowPunct/>
              <w:topLinePunct w:val="0"/>
              <w:bidi w:val="0"/>
              <w:spacing w:line="288" w:lineRule="auto"/>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2.2</w:t>
            </w:r>
          </w:p>
        </w:tc>
        <w:tc>
          <w:tcPr>
            <w:tcW w:w="1005" w:type="dxa"/>
            <w:noWrap w:val="0"/>
            <w:vAlign w:val="center"/>
          </w:tcPr>
          <w:p w14:paraId="192D7E21">
            <w:pPr>
              <w:keepNext w:val="0"/>
              <w:keepLines w:val="0"/>
              <w:pageBreakBefore w:val="0"/>
              <w:kinsoku/>
              <w:overflowPunct/>
              <w:topLinePunct w:val="0"/>
              <w:autoSpaceDE w:val="0"/>
              <w:autoSpaceDN w:val="0"/>
              <w:bidi w:val="0"/>
              <w:adjustRightInd w:val="0"/>
              <w:spacing w:line="288" w:lineRule="auto"/>
              <w:ind w:left="2082" w:right="2063"/>
              <w:jc w:val="center"/>
              <w:textAlignment w:val="auto"/>
              <w:rPr>
                <w:rFonts w:hint="eastAsia" w:ascii="宋体" w:hAnsi="宋体" w:eastAsia="宋体" w:cs="宋体"/>
                <w:color w:val="auto"/>
                <w:kern w:val="0"/>
                <w:sz w:val="24"/>
                <w:szCs w:val="24"/>
                <w:highlight w:val="none"/>
              </w:rPr>
            </w:pPr>
          </w:p>
          <w:p w14:paraId="25290C54">
            <w:pPr>
              <w:keepNext w:val="0"/>
              <w:keepLines w:val="0"/>
              <w:pageBreakBefore w:val="0"/>
              <w:kinsoku/>
              <w:overflowPunct/>
              <w:topLinePunct w:val="0"/>
              <w:bidi w:val="0"/>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技术标（</w:t>
            </w:r>
            <w:r>
              <w:rPr>
                <w:rFonts w:hint="eastAsia" w:ascii="宋体" w:hAnsi="宋体" w:cs="宋体"/>
                <w:i w:val="0"/>
                <w:iCs w:val="0"/>
                <w:color w:val="auto"/>
                <w:sz w:val="24"/>
                <w:szCs w:val="24"/>
                <w:highlight w:val="none"/>
                <w:lang w:val="en-US" w:eastAsia="zh-CN"/>
              </w:rPr>
              <w:t>45</w:t>
            </w:r>
            <w:r>
              <w:rPr>
                <w:rFonts w:hint="eastAsia" w:ascii="宋体" w:hAnsi="宋体" w:eastAsia="宋体" w:cs="宋体"/>
                <w:i w:val="0"/>
                <w:iCs w:val="0"/>
                <w:color w:val="auto"/>
                <w:sz w:val="24"/>
                <w:szCs w:val="24"/>
                <w:highlight w:val="none"/>
              </w:rPr>
              <w:t>分）</w:t>
            </w:r>
          </w:p>
        </w:tc>
        <w:tc>
          <w:tcPr>
            <w:tcW w:w="1290" w:type="dxa"/>
            <w:noWrap w:val="0"/>
            <w:vAlign w:val="center"/>
          </w:tcPr>
          <w:p w14:paraId="5DFC8310">
            <w:pPr>
              <w:keepNext w:val="0"/>
              <w:keepLines w:val="0"/>
              <w:pageBreakBefore w:val="0"/>
              <w:kinsoku/>
              <w:overflowPunct/>
              <w:topLinePunct w:val="0"/>
              <w:autoSpaceDE w:val="0"/>
              <w:autoSpaceDN w:val="0"/>
              <w:bidi w:val="0"/>
              <w:spacing w:before="50" w:line="288" w:lineRule="auto"/>
              <w:ind w:right="97" w:rightChars="0"/>
              <w:jc w:val="center"/>
              <w:textAlignment w:val="auto"/>
              <w:rPr>
                <w:rFonts w:hint="default" w:ascii="宋体" w:hAnsi="宋体" w:eastAsia="宋体" w:cs="宋体"/>
                <w:i w:val="0"/>
                <w:iCs w:val="0"/>
                <w:color w:val="auto"/>
                <w:sz w:val="24"/>
                <w:szCs w:val="24"/>
                <w:highlight w:val="none"/>
                <w:lang w:val="en-US" w:eastAsia="zh-CN"/>
              </w:rPr>
            </w:pPr>
            <w:r>
              <w:rPr>
                <w:rFonts w:hint="eastAsia" w:ascii="宋体" w:hAnsi="宋体" w:cs="宋体"/>
                <w:color w:val="auto"/>
                <w:spacing w:val="-4"/>
                <w:kern w:val="2"/>
                <w:sz w:val="24"/>
                <w:szCs w:val="24"/>
                <w:highlight w:val="none"/>
                <w:lang w:val="en-US" w:eastAsia="zh-CN"/>
              </w:rPr>
              <w:t>服务</w:t>
            </w:r>
            <w:r>
              <w:rPr>
                <w:rFonts w:hint="eastAsia" w:ascii="宋体" w:hAnsi="宋体" w:cs="宋体"/>
                <w:color w:val="auto"/>
                <w:spacing w:val="-4"/>
                <w:kern w:val="2"/>
                <w:sz w:val="24"/>
                <w:szCs w:val="24"/>
                <w:highlight w:val="none"/>
              </w:rPr>
              <w:t>方案（</w:t>
            </w:r>
            <w:r>
              <w:rPr>
                <w:rFonts w:hint="eastAsia" w:ascii="宋体" w:hAnsi="宋体" w:cs="宋体"/>
                <w:color w:val="auto"/>
                <w:spacing w:val="-4"/>
                <w:kern w:val="2"/>
                <w:sz w:val="24"/>
                <w:szCs w:val="24"/>
                <w:highlight w:val="none"/>
                <w:lang w:val="en-US" w:eastAsia="zh-CN"/>
              </w:rPr>
              <w:t>45</w:t>
            </w:r>
            <w:r>
              <w:rPr>
                <w:rFonts w:hint="eastAsia" w:ascii="宋体" w:hAnsi="宋体" w:cs="宋体"/>
                <w:color w:val="auto"/>
                <w:spacing w:val="-4"/>
                <w:kern w:val="2"/>
                <w:sz w:val="24"/>
                <w:szCs w:val="24"/>
                <w:highlight w:val="none"/>
              </w:rPr>
              <w:t>分）</w:t>
            </w:r>
          </w:p>
        </w:tc>
        <w:tc>
          <w:tcPr>
            <w:tcW w:w="6582" w:type="dxa"/>
            <w:noWrap w:val="0"/>
            <w:vAlign w:val="center"/>
          </w:tcPr>
          <w:p w14:paraId="7D1CBD03">
            <w:pPr>
              <w:keepNext w:val="0"/>
              <w:keepLines w:val="0"/>
              <w:pageBreakBefore w:val="0"/>
              <w:widowControl/>
              <w:kinsoku/>
              <w:overflowPunct/>
              <w:topLinePunct w:val="0"/>
              <w:bidi w:val="0"/>
              <w:spacing w:line="288"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1、论证报告使用气象及其它数据资料来源、数据真实性、资料完整性打分：数据来源合规、真实可靠、资料序列完整得 10 分；数据来源基本合规、较可靠、资料序列较完整得 7 分；数据来源基本合规、基本可靠、资料序列基本完整得 4 分；没有的不得分。</w:t>
            </w:r>
          </w:p>
          <w:p w14:paraId="11DF800F">
            <w:pPr>
              <w:keepNext w:val="0"/>
              <w:keepLines w:val="0"/>
              <w:pageBreakBefore w:val="0"/>
              <w:widowControl/>
              <w:numPr>
                <w:ilvl w:val="0"/>
                <w:numId w:val="7"/>
              </w:numPr>
              <w:kinsoku/>
              <w:overflowPunct/>
              <w:topLinePunct w:val="0"/>
              <w:bidi w:val="0"/>
              <w:spacing w:line="288"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论证报告采用技术方法的规范性、科学性、合理性及可行性打分：规范科学合理可行得 10 分，较规范合理可行得 7 分，基本合理、基本规范、基本可行得 4 分，</w:t>
            </w:r>
            <w:r>
              <w:rPr>
                <w:rFonts w:hint="eastAsia" w:ascii="宋体" w:hAnsi="宋体" w:cs="宋体"/>
                <w:color w:val="auto"/>
                <w:kern w:val="2"/>
                <w:sz w:val="24"/>
                <w:szCs w:val="24"/>
                <w:highlight w:val="none"/>
                <w:lang w:val="en-US" w:eastAsia="zh-CN" w:bidi="ar-SA"/>
              </w:rPr>
              <w:t>不提供不得分</w:t>
            </w:r>
            <w:r>
              <w:rPr>
                <w:rFonts w:hint="eastAsia" w:ascii="宋体" w:hAnsi="宋体" w:eastAsia="宋体" w:cs="宋体"/>
                <w:color w:val="auto"/>
                <w:kern w:val="2"/>
                <w:sz w:val="24"/>
                <w:szCs w:val="24"/>
                <w:highlight w:val="none"/>
                <w:lang w:val="en-US" w:eastAsia="zh-CN" w:bidi="ar-SA"/>
              </w:rPr>
              <w:t>。</w:t>
            </w:r>
          </w:p>
          <w:p w14:paraId="18940800">
            <w:pPr>
              <w:keepNext w:val="0"/>
              <w:keepLines w:val="0"/>
              <w:pageBreakBefore w:val="0"/>
              <w:widowControl/>
              <w:numPr>
                <w:ilvl w:val="0"/>
                <w:numId w:val="7"/>
              </w:numPr>
              <w:kinsoku/>
              <w:overflowPunct/>
              <w:topLinePunct w:val="0"/>
              <w:bidi w:val="0"/>
              <w:spacing w:line="288" w:lineRule="auto"/>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论证报告分析内容的完整性、实用性，论证报告技术分析内容完整实用得</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 xml:space="preserve">分，较完整较实用得 </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 xml:space="preserve"> 分，基本完整基本实用得 </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 xml:space="preserve"> 分,</w:t>
            </w:r>
            <w:r>
              <w:rPr>
                <w:rFonts w:hint="eastAsia" w:ascii="宋体" w:hAnsi="宋体" w:cs="宋体"/>
                <w:color w:val="auto"/>
                <w:kern w:val="2"/>
                <w:sz w:val="24"/>
                <w:szCs w:val="24"/>
                <w:highlight w:val="none"/>
                <w:lang w:val="en-US" w:eastAsia="zh-CN" w:bidi="ar-SA"/>
              </w:rPr>
              <w:t>不提供不得分</w:t>
            </w:r>
            <w:r>
              <w:rPr>
                <w:rFonts w:hint="eastAsia" w:ascii="宋体" w:hAnsi="宋体" w:eastAsia="宋体" w:cs="宋体"/>
                <w:color w:val="auto"/>
                <w:kern w:val="2"/>
                <w:sz w:val="24"/>
                <w:szCs w:val="24"/>
                <w:highlight w:val="none"/>
                <w:lang w:val="en-US" w:eastAsia="zh-CN" w:bidi="ar-SA"/>
              </w:rPr>
              <w:t>。</w:t>
            </w:r>
          </w:p>
          <w:p w14:paraId="792289E6">
            <w:pPr>
              <w:keepNext w:val="0"/>
              <w:keepLines w:val="0"/>
              <w:pageBreakBefore w:val="0"/>
              <w:widowControl/>
              <w:numPr>
                <w:ilvl w:val="0"/>
                <w:numId w:val="7"/>
              </w:numPr>
              <w:kinsoku/>
              <w:overflowPunct/>
              <w:topLinePunct w:val="0"/>
              <w:bidi w:val="0"/>
              <w:spacing w:line="288" w:lineRule="auto"/>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论证报告质量保障，工作进度安排，合理、保障措施内容齐全得 10 分，较合理、保障措施内容齐全得 7 分，基本合理、保障措施内容齐全得 4 分，</w:t>
            </w:r>
          </w:p>
          <w:p w14:paraId="31CD1FA5">
            <w:pPr>
              <w:keepNext w:val="0"/>
              <w:keepLines w:val="0"/>
              <w:pageBreakBefore w:val="0"/>
              <w:widowControl/>
              <w:numPr>
                <w:ilvl w:val="0"/>
                <w:numId w:val="0"/>
              </w:numPr>
              <w:kinsoku/>
              <w:overflowPunct/>
              <w:topLinePunct w:val="0"/>
              <w:bidi w:val="0"/>
              <w:spacing w:line="288" w:lineRule="auto"/>
              <w:ind w:lef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不提供不得分</w:t>
            </w:r>
            <w:r>
              <w:rPr>
                <w:rFonts w:hint="eastAsia" w:ascii="宋体" w:hAnsi="宋体" w:eastAsia="宋体" w:cs="宋体"/>
                <w:color w:val="auto"/>
                <w:kern w:val="2"/>
                <w:sz w:val="24"/>
                <w:szCs w:val="24"/>
                <w:highlight w:val="none"/>
                <w:lang w:val="en-US" w:eastAsia="zh-CN" w:bidi="ar-SA"/>
              </w:rPr>
              <w:t>。</w:t>
            </w:r>
          </w:p>
          <w:p w14:paraId="06D79B73">
            <w:pPr>
              <w:keepNext w:val="0"/>
              <w:keepLines w:val="0"/>
              <w:pageBreakBefore w:val="0"/>
              <w:widowControl/>
              <w:numPr>
                <w:ilvl w:val="0"/>
                <w:numId w:val="7"/>
              </w:numPr>
              <w:kinsoku/>
              <w:overflowPunct/>
              <w:topLinePunct w:val="0"/>
              <w:bidi w:val="0"/>
              <w:spacing w:line="288" w:lineRule="auto"/>
              <w:ind w:left="0" w:leftChars="0" w:firstLine="0" w:firstLineChars="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确保论证报告成果文件通过主管部门评审，协助采购人办理相关批复文件的措施打分：保证措施全面、操作可行的 10分，保证措施较全面、操作基本可行的 7 分，措施一般得 4 分，</w:t>
            </w:r>
            <w:r>
              <w:rPr>
                <w:rFonts w:hint="eastAsia" w:ascii="宋体" w:hAnsi="宋体" w:cs="宋体"/>
                <w:color w:val="auto"/>
                <w:kern w:val="2"/>
                <w:sz w:val="24"/>
                <w:szCs w:val="24"/>
                <w:highlight w:val="none"/>
                <w:lang w:val="en-US" w:eastAsia="zh-CN" w:bidi="ar-SA"/>
              </w:rPr>
              <w:t>不提供不得分</w:t>
            </w:r>
            <w:r>
              <w:rPr>
                <w:rFonts w:hint="eastAsia" w:ascii="宋体" w:hAnsi="宋体" w:eastAsia="宋体" w:cs="宋体"/>
                <w:color w:val="auto"/>
                <w:kern w:val="2"/>
                <w:sz w:val="24"/>
                <w:szCs w:val="24"/>
                <w:highlight w:val="none"/>
                <w:lang w:val="en-US" w:eastAsia="zh-CN" w:bidi="ar-SA"/>
              </w:rPr>
              <w:t>。</w:t>
            </w:r>
          </w:p>
        </w:tc>
      </w:tr>
      <w:tr w14:paraId="4A93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63" w:type="dxa"/>
            <w:vMerge w:val="restart"/>
            <w:noWrap w:val="0"/>
            <w:vAlign w:val="center"/>
          </w:tcPr>
          <w:p w14:paraId="3E0ABAA8">
            <w:pPr>
              <w:keepNext w:val="0"/>
              <w:keepLines w:val="0"/>
              <w:pageBreakBefore w:val="0"/>
              <w:kinsoku/>
              <w:overflowPunct/>
              <w:topLinePunct w:val="0"/>
              <w:bidi w:val="0"/>
              <w:spacing w:line="288"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2.3</w:t>
            </w:r>
          </w:p>
        </w:tc>
        <w:tc>
          <w:tcPr>
            <w:tcW w:w="1005" w:type="dxa"/>
            <w:vMerge w:val="restart"/>
            <w:noWrap w:val="0"/>
            <w:vAlign w:val="center"/>
          </w:tcPr>
          <w:p w14:paraId="0292A1E1">
            <w:pPr>
              <w:keepNext w:val="0"/>
              <w:keepLines w:val="0"/>
              <w:pageBreakBefore w:val="0"/>
              <w:kinsoku/>
              <w:wordWrap w:val="0"/>
              <w:overflowPunct/>
              <w:topLinePunct w:val="0"/>
              <w:bidi w:val="0"/>
              <w:adjustRightInd w:val="0"/>
              <w:snapToGrid w:val="0"/>
              <w:spacing w:line="288" w:lineRule="auto"/>
              <w:jc w:val="left"/>
              <w:textAlignment w:val="auto"/>
              <w:rPr>
                <w:rFonts w:hint="eastAsia" w:ascii="宋体" w:hAnsi="宋体" w:eastAsia="宋体" w:cs="宋体"/>
                <w:color w:val="auto"/>
                <w:sz w:val="24"/>
                <w:szCs w:val="24"/>
                <w:highlight w:val="none"/>
              </w:rPr>
            </w:pPr>
            <w:r>
              <w:rPr>
                <w:rFonts w:hint="eastAsia" w:ascii="宋体" w:hAnsi="宋体" w:cs="宋体"/>
                <w:i w:val="0"/>
                <w:iCs w:val="0"/>
                <w:color w:val="auto"/>
                <w:sz w:val="24"/>
                <w:szCs w:val="24"/>
                <w:highlight w:val="none"/>
                <w:lang w:val="en-US" w:eastAsia="zh-CN"/>
              </w:rPr>
              <w:t>商务</w:t>
            </w:r>
            <w:r>
              <w:rPr>
                <w:rFonts w:hint="eastAsia" w:ascii="宋体" w:hAnsi="宋体" w:eastAsia="宋体" w:cs="宋体"/>
                <w:i w:val="0"/>
                <w:iCs w:val="0"/>
                <w:color w:val="auto"/>
                <w:sz w:val="24"/>
                <w:szCs w:val="24"/>
                <w:highlight w:val="none"/>
              </w:rPr>
              <w:t>标（</w:t>
            </w:r>
            <w:r>
              <w:rPr>
                <w:rFonts w:hint="eastAsia" w:ascii="宋体" w:hAnsi="宋体" w:cs="宋体"/>
                <w:i w:val="0"/>
                <w:iCs w:val="0"/>
                <w:color w:val="auto"/>
                <w:sz w:val="24"/>
                <w:szCs w:val="24"/>
                <w:highlight w:val="none"/>
                <w:lang w:val="en-US" w:eastAsia="zh-CN"/>
              </w:rPr>
              <w:t>25</w:t>
            </w:r>
            <w:r>
              <w:rPr>
                <w:rFonts w:hint="eastAsia" w:ascii="宋体" w:hAnsi="宋体" w:eastAsia="宋体" w:cs="宋体"/>
                <w:i w:val="0"/>
                <w:iCs w:val="0"/>
                <w:color w:val="auto"/>
                <w:sz w:val="24"/>
                <w:szCs w:val="24"/>
                <w:highlight w:val="none"/>
              </w:rPr>
              <w:t>分）</w:t>
            </w:r>
          </w:p>
        </w:tc>
        <w:tc>
          <w:tcPr>
            <w:tcW w:w="1290" w:type="dxa"/>
            <w:noWrap w:val="0"/>
            <w:vAlign w:val="center"/>
          </w:tcPr>
          <w:p w14:paraId="0555205A">
            <w:pPr>
              <w:keepNext w:val="0"/>
              <w:keepLines w:val="0"/>
              <w:pageBreakBefore w:val="0"/>
              <w:widowControl/>
              <w:kinsoku/>
              <w:overflowPunct/>
              <w:topLinePunct w:val="0"/>
              <w:bidi w:val="0"/>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项目管理机构(</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分)</w:t>
            </w:r>
          </w:p>
        </w:tc>
        <w:tc>
          <w:tcPr>
            <w:tcW w:w="6582" w:type="dxa"/>
            <w:noWrap w:val="0"/>
            <w:vAlign w:val="center"/>
          </w:tcPr>
          <w:p w14:paraId="376AB603">
            <w:pPr>
              <w:keepNext w:val="0"/>
              <w:keepLines w:val="0"/>
              <w:pageBreakBefore w:val="0"/>
              <w:widowControl/>
              <w:kinsoku/>
              <w:overflowPunct/>
              <w:topLinePunct w:val="0"/>
              <w:bidi w:val="0"/>
              <w:spacing w:line="288"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供应商服务团队人员中具有气象及相关专业高级职称的，每提供 1 名高级职称的得 </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 xml:space="preserve"> 分，每提供 1 名中级职称</w:t>
            </w:r>
            <w:r>
              <w:rPr>
                <w:rFonts w:hint="eastAsia" w:ascii="宋体"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 xml:space="preserve">得 </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 xml:space="preserve"> 分，最多得</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分。</w:t>
            </w:r>
          </w:p>
          <w:p w14:paraId="07356379">
            <w:pPr>
              <w:keepNext w:val="0"/>
              <w:keepLines w:val="0"/>
              <w:pageBreakBefore w:val="0"/>
              <w:widowControl/>
              <w:kinsoku/>
              <w:overflowPunct/>
              <w:topLinePunct w:val="0"/>
              <w:bidi w:val="0"/>
              <w:spacing w:line="288" w:lineRule="auto"/>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注：响应文件中提供技术职称证书和劳动合同，未提供不得分</w:t>
            </w:r>
          </w:p>
        </w:tc>
      </w:tr>
      <w:tr w14:paraId="00F3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763" w:type="dxa"/>
            <w:vMerge w:val="continue"/>
            <w:noWrap w:val="0"/>
            <w:vAlign w:val="center"/>
          </w:tcPr>
          <w:p w14:paraId="2F4E2415">
            <w:pPr>
              <w:keepNext w:val="0"/>
              <w:keepLines w:val="0"/>
              <w:pageBreakBefore w:val="0"/>
              <w:kinsoku/>
              <w:wordWrap w:val="0"/>
              <w:overflowPunct/>
              <w:topLinePunct w:val="0"/>
              <w:bidi w:val="0"/>
              <w:spacing w:line="288" w:lineRule="auto"/>
              <w:jc w:val="center"/>
              <w:textAlignment w:val="auto"/>
              <w:rPr>
                <w:rFonts w:hint="eastAsia" w:ascii="宋体" w:hAnsi="宋体" w:eastAsia="宋体" w:cs="宋体"/>
                <w:i w:val="0"/>
                <w:iCs w:val="0"/>
                <w:color w:val="auto"/>
                <w:sz w:val="24"/>
                <w:szCs w:val="24"/>
                <w:highlight w:val="none"/>
              </w:rPr>
            </w:pPr>
          </w:p>
        </w:tc>
        <w:tc>
          <w:tcPr>
            <w:tcW w:w="1005" w:type="dxa"/>
            <w:vMerge w:val="continue"/>
            <w:noWrap w:val="0"/>
            <w:vAlign w:val="center"/>
          </w:tcPr>
          <w:p w14:paraId="11FA4C2A">
            <w:pPr>
              <w:keepNext w:val="0"/>
              <w:keepLines w:val="0"/>
              <w:pageBreakBefore w:val="0"/>
              <w:kinsoku/>
              <w:wordWrap w:val="0"/>
              <w:overflowPunct/>
              <w:topLinePunct w:val="0"/>
              <w:bidi w:val="0"/>
              <w:spacing w:line="288" w:lineRule="auto"/>
              <w:jc w:val="center"/>
              <w:textAlignment w:val="auto"/>
              <w:rPr>
                <w:rFonts w:hint="eastAsia" w:ascii="宋体" w:hAnsi="宋体" w:eastAsia="宋体" w:cs="宋体"/>
                <w:i w:val="0"/>
                <w:iCs w:val="0"/>
                <w:color w:val="auto"/>
                <w:sz w:val="24"/>
                <w:szCs w:val="24"/>
                <w:highlight w:val="none"/>
              </w:rPr>
            </w:pPr>
          </w:p>
        </w:tc>
        <w:tc>
          <w:tcPr>
            <w:tcW w:w="1290" w:type="dxa"/>
            <w:shd w:val="clear" w:color="auto" w:fill="auto"/>
            <w:noWrap w:val="0"/>
            <w:vAlign w:val="center"/>
          </w:tcPr>
          <w:p w14:paraId="67DDB07C">
            <w:pPr>
              <w:keepNext w:val="0"/>
              <w:keepLines w:val="0"/>
              <w:pageBreakBefore w:val="0"/>
              <w:widowControl/>
              <w:kinsoku/>
              <w:overflowPunct/>
              <w:topLinePunct w:val="0"/>
              <w:bidi w:val="0"/>
              <w:spacing w:line="288" w:lineRule="auto"/>
              <w:jc w:val="center"/>
              <w:textAlignment w:val="auto"/>
              <w:rPr>
                <w:rFonts w:hint="default" w:ascii="宋体" w:hAnsi="宋体" w:eastAsia="宋体" w:cs="宋体"/>
                <w:color w:val="0000FF"/>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业绩（</w:t>
            </w:r>
            <w:r>
              <w:rPr>
                <w:rFonts w:hint="eastAsia"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分）</w:t>
            </w:r>
          </w:p>
        </w:tc>
        <w:tc>
          <w:tcPr>
            <w:tcW w:w="6582" w:type="dxa"/>
            <w:noWrap w:val="0"/>
            <w:vAlign w:val="center"/>
          </w:tcPr>
          <w:p w14:paraId="3B7AB7E5">
            <w:pPr>
              <w:keepNext w:val="0"/>
              <w:keepLines w:val="0"/>
              <w:pageBreakBefore w:val="0"/>
              <w:widowControl/>
              <w:kinsoku/>
              <w:overflowPunct/>
              <w:topLinePunct w:val="0"/>
              <w:bidi w:val="0"/>
              <w:spacing w:line="288"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供应商提供自20</w:t>
            </w:r>
            <w:r>
              <w:rPr>
                <w:rFonts w:hint="eastAsia" w:ascii="宋体" w:hAnsi="宋体" w:cs="宋体"/>
                <w:color w:val="auto"/>
                <w:kern w:val="2"/>
                <w:sz w:val="24"/>
                <w:szCs w:val="24"/>
                <w:highlight w:val="none"/>
                <w:lang w:val="en-US" w:eastAsia="zh-CN" w:bidi="ar-SA"/>
              </w:rPr>
              <w:t>23</w:t>
            </w:r>
            <w:r>
              <w:rPr>
                <w:rFonts w:hint="eastAsia" w:ascii="宋体" w:hAnsi="宋体" w:eastAsia="宋体" w:cs="宋体"/>
                <w:color w:val="auto"/>
                <w:kern w:val="2"/>
                <w:sz w:val="24"/>
                <w:szCs w:val="24"/>
                <w:highlight w:val="none"/>
                <w:lang w:val="en-US" w:eastAsia="zh-CN" w:bidi="ar-SA"/>
              </w:rPr>
              <w:t>年1月1日以来完成的气候可行性论证报告合同业绩，每</w:t>
            </w:r>
            <w:r>
              <w:rPr>
                <w:rFonts w:hint="eastAsia" w:ascii="宋体" w:hAnsi="宋体" w:cs="宋体"/>
                <w:color w:val="auto"/>
                <w:kern w:val="2"/>
                <w:sz w:val="24"/>
                <w:szCs w:val="24"/>
                <w:highlight w:val="none"/>
                <w:lang w:val="en-US" w:eastAsia="zh-CN" w:bidi="ar-SA"/>
              </w:rPr>
              <w:t>提供一</w:t>
            </w:r>
            <w:r>
              <w:rPr>
                <w:rFonts w:hint="eastAsia" w:ascii="宋体" w:hAnsi="宋体" w:eastAsia="宋体" w:cs="宋体"/>
                <w:color w:val="auto"/>
                <w:kern w:val="2"/>
                <w:sz w:val="24"/>
                <w:szCs w:val="24"/>
                <w:highlight w:val="none"/>
                <w:lang w:val="en-US" w:eastAsia="zh-CN" w:bidi="ar-SA"/>
              </w:rPr>
              <w:t>个加</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分，最多加</w:t>
            </w:r>
            <w:r>
              <w:rPr>
                <w:rFonts w:hint="eastAsia"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分。</w:t>
            </w:r>
          </w:p>
          <w:p w14:paraId="2532C795">
            <w:pPr>
              <w:keepNext w:val="0"/>
              <w:keepLines w:val="0"/>
              <w:pageBreakBefore w:val="0"/>
              <w:widowControl/>
              <w:kinsoku/>
              <w:overflowPunct/>
              <w:topLinePunct w:val="0"/>
              <w:bidi w:val="0"/>
              <w:spacing w:line="288" w:lineRule="auto"/>
              <w:jc w:val="left"/>
              <w:textAlignment w:val="auto"/>
              <w:rPr>
                <w:rFonts w:hint="default"/>
                <w:color w:val="0000FF"/>
                <w:highlight w:val="none"/>
                <w:lang w:val="en-US" w:eastAsia="zh-CN"/>
              </w:rPr>
            </w:pPr>
            <w:r>
              <w:rPr>
                <w:rFonts w:hint="eastAsia" w:ascii="宋体" w:hAnsi="宋体" w:eastAsia="宋体" w:cs="宋体"/>
                <w:color w:val="auto"/>
                <w:kern w:val="2"/>
                <w:sz w:val="24"/>
                <w:szCs w:val="24"/>
                <w:highlight w:val="none"/>
                <w:lang w:val="en-US" w:eastAsia="zh-CN" w:bidi="ar-SA"/>
              </w:rPr>
              <w:t>注：以上内容需在文件中附项目合同复印件或扫描件，已完成项目提供专家评审意见，否则不予认可。</w:t>
            </w:r>
          </w:p>
        </w:tc>
      </w:tr>
      <w:tr w14:paraId="047A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63" w:type="dxa"/>
            <w:vMerge w:val="continue"/>
            <w:noWrap w:val="0"/>
            <w:vAlign w:val="center"/>
          </w:tcPr>
          <w:p w14:paraId="1B0A0931">
            <w:pPr>
              <w:keepNext w:val="0"/>
              <w:keepLines w:val="0"/>
              <w:pageBreakBefore w:val="0"/>
              <w:kinsoku/>
              <w:wordWrap w:val="0"/>
              <w:overflowPunct/>
              <w:topLinePunct w:val="0"/>
              <w:bidi w:val="0"/>
              <w:spacing w:line="288" w:lineRule="auto"/>
              <w:jc w:val="center"/>
              <w:textAlignment w:val="auto"/>
              <w:rPr>
                <w:rFonts w:hint="eastAsia" w:ascii="宋体" w:hAnsi="宋体" w:eastAsia="宋体" w:cs="宋体"/>
                <w:i w:val="0"/>
                <w:iCs w:val="0"/>
                <w:color w:val="auto"/>
                <w:sz w:val="24"/>
                <w:szCs w:val="24"/>
                <w:highlight w:val="none"/>
              </w:rPr>
            </w:pPr>
          </w:p>
        </w:tc>
        <w:tc>
          <w:tcPr>
            <w:tcW w:w="1005" w:type="dxa"/>
            <w:vMerge w:val="continue"/>
            <w:noWrap w:val="0"/>
            <w:vAlign w:val="center"/>
          </w:tcPr>
          <w:p w14:paraId="6812BFD1">
            <w:pPr>
              <w:keepNext w:val="0"/>
              <w:keepLines w:val="0"/>
              <w:pageBreakBefore w:val="0"/>
              <w:kinsoku/>
              <w:wordWrap w:val="0"/>
              <w:overflowPunct/>
              <w:topLinePunct w:val="0"/>
              <w:bidi w:val="0"/>
              <w:spacing w:line="288" w:lineRule="auto"/>
              <w:jc w:val="center"/>
              <w:textAlignment w:val="auto"/>
              <w:rPr>
                <w:rFonts w:hint="eastAsia" w:ascii="宋体" w:hAnsi="宋体" w:eastAsia="宋体" w:cs="宋体"/>
                <w:i w:val="0"/>
                <w:iCs w:val="0"/>
                <w:color w:val="auto"/>
                <w:sz w:val="24"/>
                <w:szCs w:val="24"/>
                <w:highlight w:val="none"/>
              </w:rPr>
            </w:pPr>
          </w:p>
        </w:tc>
        <w:tc>
          <w:tcPr>
            <w:tcW w:w="1290" w:type="dxa"/>
            <w:shd w:val="clear" w:color="auto" w:fill="auto"/>
            <w:noWrap w:val="0"/>
            <w:vAlign w:val="center"/>
          </w:tcPr>
          <w:p w14:paraId="0858988F">
            <w:pPr>
              <w:keepNext w:val="0"/>
              <w:keepLines w:val="0"/>
              <w:pageBreakBefore w:val="0"/>
              <w:widowControl/>
              <w:kinsoku/>
              <w:overflowPunct/>
              <w:topLinePunct w:val="0"/>
              <w:bidi w:val="0"/>
              <w:spacing w:line="288"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服务承诺</w:t>
            </w:r>
          </w:p>
          <w:p w14:paraId="5F823CF4">
            <w:pPr>
              <w:keepNext w:val="0"/>
              <w:keepLines w:val="0"/>
              <w:pageBreakBefore w:val="0"/>
              <w:widowControl/>
              <w:kinsoku/>
              <w:overflowPunct/>
              <w:topLinePunct w:val="0"/>
              <w:bidi w:val="0"/>
              <w:spacing w:line="288" w:lineRule="auto"/>
              <w:jc w:val="center"/>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分)</w:t>
            </w:r>
          </w:p>
        </w:tc>
        <w:tc>
          <w:tcPr>
            <w:tcW w:w="6582" w:type="dxa"/>
            <w:noWrap w:val="0"/>
            <w:vAlign w:val="center"/>
          </w:tcPr>
          <w:p w14:paraId="66C4F33D">
            <w:pPr>
              <w:keepNext w:val="0"/>
              <w:keepLines w:val="0"/>
              <w:pageBreakBefore w:val="0"/>
              <w:widowControl/>
              <w:kinsoku/>
              <w:overflowPunct/>
              <w:topLinePunct w:val="0"/>
              <w:bidi w:val="0"/>
              <w:spacing w:line="288"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①承诺拟派人员未经采购单位同意中途不得更换人员，且能够提供现场服务。</w:t>
            </w:r>
          </w:p>
          <w:p w14:paraId="46867E08">
            <w:pPr>
              <w:keepNext w:val="0"/>
              <w:keepLines w:val="0"/>
              <w:pageBreakBefore w:val="0"/>
              <w:widowControl/>
              <w:kinsoku/>
              <w:overflowPunct/>
              <w:topLinePunct w:val="0"/>
              <w:bidi w:val="0"/>
              <w:spacing w:line="288"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②承诺能够免费提供本项目以外有关内容口头咨询服务。</w:t>
            </w:r>
          </w:p>
          <w:p w14:paraId="4E476301">
            <w:pPr>
              <w:keepNext w:val="0"/>
              <w:keepLines w:val="0"/>
              <w:pageBreakBefore w:val="0"/>
              <w:widowControl/>
              <w:kinsoku/>
              <w:overflowPunct/>
              <w:topLinePunct w:val="0"/>
              <w:bidi w:val="0"/>
              <w:spacing w:line="288"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③在项目实施过程中，供应商与拟投入人员承诺廉洁自律，能够实事求是的实施项目、出具论证报告。</w:t>
            </w:r>
          </w:p>
          <w:p w14:paraId="4FD0DDED">
            <w:pPr>
              <w:keepNext w:val="0"/>
              <w:keepLines w:val="0"/>
              <w:pageBreakBefore w:val="0"/>
              <w:widowControl/>
              <w:kinsoku/>
              <w:overflowPunct/>
              <w:topLinePunct w:val="0"/>
              <w:bidi w:val="0"/>
              <w:spacing w:line="288"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服务承诺方案完备详细、有针对性的，得</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分；</w:t>
            </w:r>
          </w:p>
          <w:p w14:paraId="32CE0C2B">
            <w:pPr>
              <w:keepNext w:val="0"/>
              <w:keepLines w:val="0"/>
              <w:pageBreakBefore w:val="0"/>
              <w:widowControl/>
              <w:kinsoku/>
              <w:overflowPunct/>
              <w:topLinePunct w:val="0"/>
              <w:bidi w:val="0"/>
              <w:spacing w:line="288"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服务承诺方案完备但不够详细的，得 </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分；</w:t>
            </w:r>
          </w:p>
          <w:p w14:paraId="3AE8321C">
            <w:pPr>
              <w:keepNext w:val="0"/>
              <w:keepLines w:val="0"/>
              <w:pageBreakBefore w:val="0"/>
              <w:widowControl/>
              <w:kinsoku/>
              <w:overflowPunct/>
              <w:topLinePunct w:val="0"/>
              <w:bidi w:val="0"/>
              <w:spacing w:line="288"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服务承诺方案不完整的，得</w:t>
            </w: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 xml:space="preserve"> 分；</w:t>
            </w:r>
          </w:p>
          <w:p w14:paraId="5030C13A">
            <w:pPr>
              <w:keepNext w:val="0"/>
              <w:keepLines w:val="0"/>
              <w:pageBreakBefore w:val="0"/>
              <w:widowControl/>
              <w:kinsoku/>
              <w:overflowPunct/>
              <w:topLinePunct w:val="0"/>
              <w:bidi w:val="0"/>
              <w:spacing w:line="288" w:lineRule="auto"/>
              <w:jc w:val="left"/>
              <w:textAlignment w:val="auto"/>
              <w:rPr>
                <w:rFonts w:hint="default" w:ascii="宋体" w:hAnsi="宋体"/>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未提供服务承诺方案不得分。</w:t>
            </w:r>
          </w:p>
        </w:tc>
      </w:tr>
    </w:tbl>
    <w:p w14:paraId="3CCA3504">
      <w:pPr>
        <w:pStyle w:val="12"/>
        <w:ind w:left="0" w:leftChars="0" w:firstLine="0" w:firstLineChars="0"/>
        <w:rPr>
          <w:rFonts w:hint="eastAsia" w:ascii="宋体" w:hAnsi="宋体" w:eastAsia="宋体" w:cs="宋体"/>
          <w:b/>
          <w:bCs w:val="0"/>
          <w:color w:val="auto"/>
          <w:sz w:val="32"/>
          <w:szCs w:val="36"/>
          <w:highlight w:val="none"/>
          <w:lang w:val="zh-CN"/>
        </w:rPr>
      </w:pPr>
    </w:p>
    <w:p w14:paraId="75F304D7">
      <w:pPr>
        <w:rPr>
          <w:rFonts w:hint="eastAsia" w:ascii="宋体" w:hAnsi="宋体" w:eastAsia="宋体" w:cs="宋体"/>
          <w:b/>
          <w:bCs w:val="0"/>
          <w:color w:val="auto"/>
          <w:kern w:val="2"/>
          <w:sz w:val="32"/>
          <w:szCs w:val="36"/>
          <w:highlight w:val="none"/>
          <w:lang w:val="zh-CN" w:eastAsia="zh-CN" w:bidi="ar-SA"/>
        </w:rPr>
      </w:pPr>
      <w:r>
        <w:rPr>
          <w:rFonts w:hint="eastAsia" w:ascii="宋体" w:hAnsi="宋体" w:eastAsia="宋体" w:cs="宋体"/>
          <w:b/>
          <w:bCs w:val="0"/>
          <w:color w:val="auto"/>
          <w:kern w:val="2"/>
          <w:sz w:val="32"/>
          <w:szCs w:val="36"/>
          <w:highlight w:val="none"/>
          <w:lang w:val="zh-CN" w:eastAsia="zh-CN" w:bidi="ar-SA"/>
        </w:rPr>
        <w:br w:type="page"/>
      </w:r>
    </w:p>
    <w:p w14:paraId="1B9156C4">
      <w:pPr>
        <w:pStyle w:val="2"/>
        <w:bidi w:val="0"/>
        <w:jc w:val="center"/>
        <w:rPr>
          <w:rFonts w:hint="eastAsia" w:ascii="宋体" w:hAnsi="宋体" w:eastAsia="宋体" w:cs="宋体"/>
          <w:b/>
          <w:bCs w:val="0"/>
          <w:color w:val="auto"/>
          <w:sz w:val="32"/>
          <w:szCs w:val="36"/>
          <w:highlight w:val="none"/>
          <w:lang w:val="zh-CN"/>
        </w:rPr>
      </w:pPr>
      <w:bookmarkStart w:id="154" w:name="_Toc27085"/>
      <w:r>
        <w:rPr>
          <w:rFonts w:hint="eastAsia"/>
          <w:color w:val="auto"/>
          <w:sz w:val="32"/>
          <w:szCs w:val="32"/>
          <w:highlight w:val="none"/>
          <w:lang w:val="zh-CN" w:eastAsia="zh-CN"/>
        </w:rPr>
        <w:t>第五章</w:t>
      </w:r>
      <w:r>
        <w:rPr>
          <w:rFonts w:hint="eastAsia"/>
          <w:color w:val="auto"/>
          <w:sz w:val="32"/>
          <w:szCs w:val="32"/>
          <w:highlight w:val="none"/>
          <w:lang w:val="en-US" w:eastAsia="zh-CN"/>
        </w:rPr>
        <w:t xml:space="preserve">  </w:t>
      </w:r>
      <w:r>
        <w:rPr>
          <w:rFonts w:hint="eastAsia"/>
          <w:color w:val="auto"/>
          <w:sz w:val="32"/>
          <w:szCs w:val="32"/>
          <w:highlight w:val="none"/>
          <w:lang w:val="zh-CN"/>
        </w:rPr>
        <w:t>合同条款</w:t>
      </w:r>
      <w:bookmarkEnd w:id="12"/>
      <w:r>
        <w:rPr>
          <w:rFonts w:hint="eastAsia"/>
          <w:color w:val="auto"/>
          <w:sz w:val="32"/>
          <w:szCs w:val="32"/>
          <w:highlight w:val="none"/>
          <w:lang w:val="zh-CN"/>
        </w:rPr>
        <w:t>及格式</w:t>
      </w:r>
      <w:bookmarkEnd w:id="154"/>
    </w:p>
    <w:p w14:paraId="6F615F62">
      <w:pPr>
        <w:keepNext w:val="0"/>
        <w:keepLines w:val="0"/>
        <w:pageBreakBefore w:val="0"/>
        <w:kinsoku/>
        <w:wordWrap/>
        <w:overflowPunct/>
        <w:topLinePunct w:val="0"/>
        <w:autoSpaceDE w:val="0"/>
        <w:autoSpaceDN w:val="0"/>
        <w:bidi w:val="0"/>
        <w:snapToGrid/>
        <w:spacing w:line="560" w:lineRule="exact"/>
        <w:jc w:val="center"/>
        <w:textAlignment w:val="auto"/>
        <w:rPr>
          <w:rFonts w:ascii="宋体" w:hAnsi="宋体" w:cs="宋体"/>
          <w:color w:val="auto"/>
          <w:sz w:val="24"/>
        </w:rPr>
      </w:pPr>
      <w:bookmarkStart w:id="155" w:name="_Toc469928907"/>
      <w:r>
        <w:rPr>
          <w:rFonts w:hint="eastAsia" w:ascii="宋体" w:hAnsi="宋体" w:cs="宋体"/>
          <w:color w:val="auto"/>
          <w:sz w:val="24"/>
        </w:rPr>
        <w:t>注：本合同仅为合同的参考文本</w:t>
      </w:r>
    </w:p>
    <w:p w14:paraId="5171B048">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甲方（需方）：_________</w:t>
      </w:r>
    </w:p>
    <w:p w14:paraId="11D8CF88">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乙方（供方）：_________</w:t>
      </w:r>
    </w:p>
    <w:p w14:paraId="2DF89370">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经过双方友好协商，依据《中华人民共和国</w:t>
      </w:r>
      <w:r>
        <w:rPr>
          <w:rFonts w:hint="eastAsia" w:ascii="宋体" w:hAnsi="宋体" w:cs="宋体"/>
          <w:color w:val="auto"/>
          <w:kern w:val="0"/>
          <w:sz w:val="24"/>
          <w:lang w:eastAsia="zh-CN"/>
        </w:rPr>
        <w:t>民法典</w:t>
      </w:r>
      <w:r>
        <w:rPr>
          <w:rFonts w:hint="eastAsia" w:ascii="宋体" w:hAnsi="宋体" w:cs="宋体"/>
          <w:color w:val="auto"/>
          <w:kern w:val="0"/>
          <w:sz w:val="24"/>
        </w:rPr>
        <w:t>》，双方同意签订以下合同条款，以便双方共同遵守、履行合同。</w:t>
      </w:r>
    </w:p>
    <w:p w14:paraId="5DE31AEB">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一、合同金额</w:t>
      </w:r>
    </w:p>
    <w:p w14:paraId="7F04ED87">
      <w:pPr>
        <w:keepNext w:val="0"/>
        <w:keepLines w:val="0"/>
        <w:pageBreakBefore w:val="0"/>
        <w:widowControl w:val="0"/>
        <w:kinsoku/>
        <w:wordWrap/>
        <w:overflowPunct/>
        <w:topLinePunct w:val="0"/>
        <w:autoSpaceDE w:val="0"/>
        <w:autoSpaceDN w:val="0"/>
        <w:bidi w:val="0"/>
        <w:snapToGrid/>
        <w:spacing w:line="560"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合同金额为（</w:t>
      </w:r>
      <w:r>
        <w:rPr>
          <w:rFonts w:hint="eastAsia" w:cs="宋体"/>
          <w:color w:val="auto"/>
          <w:kern w:val="0"/>
          <w:sz w:val="24"/>
          <w:lang w:val="en-US" w:eastAsia="zh-CN"/>
        </w:rPr>
        <w:t>元</w:t>
      </w:r>
      <w:r>
        <w:rPr>
          <w:rFonts w:hint="eastAsia" w:ascii="宋体" w:hAnsi="宋体" w:cs="宋体"/>
          <w:color w:val="auto"/>
          <w:kern w:val="0"/>
          <w:sz w:val="24"/>
        </w:rPr>
        <w:t>）：</w:t>
      </w:r>
      <w:r>
        <w:rPr>
          <w:rFonts w:hint="eastAsia" w:cs="宋体"/>
          <w:color w:val="auto"/>
          <w:kern w:val="0"/>
          <w:sz w:val="24"/>
          <w:u w:val="single"/>
          <w:lang w:val="en-US" w:eastAsia="zh-CN"/>
        </w:rPr>
        <w:t xml:space="preserve">大写：    小写：    </w:t>
      </w:r>
      <w:r>
        <w:rPr>
          <w:rFonts w:hint="eastAsia" w:ascii="宋体" w:hAnsi="宋体" w:cs="宋体"/>
          <w:color w:val="auto"/>
          <w:kern w:val="0"/>
          <w:sz w:val="24"/>
        </w:rPr>
        <w:t>。</w:t>
      </w:r>
    </w:p>
    <w:p w14:paraId="1A912E55">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二、服务范围</w:t>
      </w:r>
    </w:p>
    <w:p w14:paraId="34067C86">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乙方提供以下服务：</w:t>
      </w:r>
    </w:p>
    <w:p w14:paraId="314DAB37">
      <w:pPr>
        <w:keepNext w:val="0"/>
        <w:keepLines w:val="0"/>
        <w:pageBreakBefore w:val="0"/>
        <w:widowControl w:val="0"/>
        <w:kinsoku/>
        <w:wordWrap/>
        <w:overflowPunct/>
        <w:topLinePunct w:val="0"/>
        <w:autoSpaceDE w:val="0"/>
        <w:autoSpaceDN w:val="0"/>
        <w:bidi w:val="0"/>
        <w:snapToGrid/>
        <w:spacing w:line="560" w:lineRule="exact"/>
        <w:ind w:firstLine="480" w:firstLineChars="200"/>
        <w:textAlignment w:val="auto"/>
        <w:rPr>
          <w:rFonts w:ascii="宋体" w:hAnsi="宋体" w:cs="宋体"/>
          <w:bCs/>
          <w:color w:val="auto"/>
          <w:sz w:val="24"/>
        </w:rPr>
      </w:pPr>
      <w:r>
        <w:rPr>
          <w:rFonts w:hint="eastAsia" w:ascii="宋体" w:hAnsi="宋体" w:cs="宋体"/>
          <w:bCs/>
          <w:color w:val="auto"/>
          <w:sz w:val="24"/>
        </w:rPr>
        <w:t>1.__________________________</w:t>
      </w:r>
    </w:p>
    <w:p w14:paraId="58A2FD1A">
      <w:pPr>
        <w:keepNext w:val="0"/>
        <w:keepLines w:val="0"/>
        <w:pageBreakBefore w:val="0"/>
        <w:widowControl w:val="0"/>
        <w:kinsoku/>
        <w:wordWrap/>
        <w:overflowPunct/>
        <w:topLinePunct w:val="0"/>
        <w:autoSpaceDE w:val="0"/>
        <w:autoSpaceDN w:val="0"/>
        <w:bidi w:val="0"/>
        <w:snapToGrid/>
        <w:spacing w:line="560" w:lineRule="exact"/>
        <w:ind w:firstLine="480" w:firstLineChars="200"/>
        <w:textAlignment w:val="auto"/>
        <w:rPr>
          <w:rFonts w:ascii="宋体" w:hAnsi="宋体" w:cs="宋体"/>
          <w:bCs/>
          <w:color w:val="auto"/>
          <w:sz w:val="24"/>
        </w:rPr>
      </w:pPr>
      <w:r>
        <w:rPr>
          <w:rFonts w:hint="eastAsia" w:ascii="宋体" w:hAnsi="宋体" w:cs="宋体"/>
          <w:bCs/>
          <w:color w:val="auto"/>
          <w:sz w:val="24"/>
        </w:rPr>
        <w:t>2.__________________________</w:t>
      </w:r>
    </w:p>
    <w:p w14:paraId="6E9A3369">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w:t>
      </w:r>
    </w:p>
    <w:p w14:paraId="07BBEE33">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三、甲方乙方的权利和义务</w:t>
      </w:r>
    </w:p>
    <w:p w14:paraId="11EA9627">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1.甲方的权利和义务</w:t>
      </w:r>
    </w:p>
    <w:p w14:paraId="06353481">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2.乙方的权利和义务</w:t>
      </w:r>
    </w:p>
    <w:p w14:paraId="6BA1B531">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四、服务期限（项目完成期限）</w:t>
      </w:r>
    </w:p>
    <w:p w14:paraId="08EDDA77">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委托服务期限自____年____月至____年____月止。</w:t>
      </w:r>
    </w:p>
    <w:p w14:paraId="32A36E80">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五、付款方式</w:t>
      </w:r>
    </w:p>
    <w:p w14:paraId="29C4FD17">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highlight w:val="green"/>
        </w:rPr>
      </w:pPr>
      <w:r>
        <w:rPr>
          <w:rFonts w:hint="eastAsia" w:ascii="宋体" w:hAnsi="宋体" w:cs="宋体"/>
          <w:color w:val="auto"/>
          <w:kern w:val="0"/>
          <w:sz w:val="24"/>
        </w:rPr>
        <w:t>合同签订之后，甲方负责对乙方进行全过程监管，并支付其工程款：</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w:t>
      </w:r>
    </w:p>
    <w:p w14:paraId="5ABF6BB9">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ascii="宋体" w:hAnsi="宋体" w:cs="宋体"/>
          <w:color w:val="auto"/>
          <w:sz w:val="24"/>
        </w:rPr>
      </w:pPr>
      <w:r>
        <w:rPr>
          <w:rFonts w:hint="eastAsia" w:ascii="宋体" w:hAnsi="宋体" w:cs="宋体"/>
          <w:b/>
          <w:color w:val="auto"/>
          <w:sz w:val="24"/>
        </w:rPr>
        <w:t>六、 知识产权归属</w:t>
      </w:r>
    </w:p>
    <w:p w14:paraId="646647AF">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 xml:space="preserve">七、 保密 </w:t>
      </w:r>
    </w:p>
    <w:p w14:paraId="100CCC6B">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 xml:space="preserve">八、 违约责任与赔偿损失 </w:t>
      </w:r>
    </w:p>
    <w:p w14:paraId="7E43C6EF">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1. 乙方提供的服务不符合本合同规定的，甲方有权拒收，并且乙方须向甲方方支付本合同总价__%的违约金。 </w:t>
      </w:r>
    </w:p>
    <w:p w14:paraId="7DD76353">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2.乙方未能按本合同规定的交货时间提供服务，从逾期之日起每日按本合同总价__%的数额向甲方支付违约金；逾期半个月以上的，甲方有权终止合同，由此造成的甲方经济损失由乙方承担。 </w:t>
      </w:r>
    </w:p>
    <w:p w14:paraId="0C078379">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3. 甲方无正当理由拒收接受服务，到期拒付服务款项的，甲方向乙方偿付本合同总的__%的违约金。甲方人逾期付款，则每日按本合同总价的__%向乙方偿付违约金。 </w:t>
      </w:r>
    </w:p>
    <w:p w14:paraId="5FFC5983">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4. 其它违约责任按</w:t>
      </w:r>
      <w:r>
        <w:rPr>
          <w:color w:val="auto"/>
          <w:sz w:val="24"/>
        </w:rPr>
        <w:t>《中华人民共和国</w:t>
      </w:r>
      <w:r>
        <w:rPr>
          <w:rFonts w:hint="eastAsia"/>
          <w:color w:val="auto"/>
          <w:sz w:val="24"/>
          <w:lang w:eastAsia="zh-CN"/>
        </w:rPr>
        <w:t>民法典</w:t>
      </w:r>
      <w:r>
        <w:rPr>
          <w:color w:val="auto"/>
          <w:sz w:val="24"/>
        </w:rPr>
        <w:t>》</w:t>
      </w:r>
      <w:r>
        <w:rPr>
          <w:rFonts w:hint="eastAsia" w:ascii="宋体" w:hAnsi="宋体" w:cs="宋体"/>
          <w:color w:val="auto"/>
          <w:kern w:val="0"/>
          <w:sz w:val="24"/>
        </w:rPr>
        <w:t xml:space="preserve">处理。 </w:t>
      </w:r>
    </w:p>
    <w:p w14:paraId="356C2205">
      <w:pPr>
        <w:keepNext w:val="0"/>
        <w:keepLines w:val="0"/>
        <w:pageBreakBefore w:val="0"/>
        <w:kinsoku/>
        <w:wordWrap/>
        <w:overflowPunct/>
        <w:topLinePunct w:val="0"/>
        <w:autoSpaceDE w:val="0"/>
        <w:autoSpaceDN w:val="0"/>
        <w:bidi w:val="0"/>
        <w:snapToGrid/>
        <w:spacing w:line="560" w:lineRule="exact"/>
        <w:ind w:firstLine="482" w:firstLineChars="200"/>
        <w:textAlignment w:val="auto"/>
        <w:rPr>
          <w:rFonts w:ascii="宋体" w:hAnsi="宋体" w:cs="宋体"/>
          <w:color w:val="auto"/>
          <w:sz w:val="24"/>
        </w:rPr>
      </w:pPr>
      <w:r>
        <w:rPr>
          <w:rFonts w:hint="eastAsia" w:ascii="宋体" w:hAnsi="宋体" w:cs="宋体"/>
          <w:b/>
          <w:color w:val="auto"/>
          <w:sz w:val="24"/>
        </w:rPr>
        <w:t>九、争议的解决</w:t>
      </w:r>
    </w:p>
    <w:p w14:paraId="1909C9D0">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1. 合同执行过程中发生的任何争议，如双方不能通过友好协商解决，按相关法律法规处理。 </w:t>
      </w:r>
    </w:p>
    <w:p w14:paraId="32A48559">
      <w:pPr>
        <w:keepNext w:val="0"/>
        <w:keepLines w:val="0"/>
        <w:pageBreakBefore w:val="0"/>
        <w:kinsoku/>
        <w:wordWrap/>
        <w:overflowPunct/>
        <w:topLinePunct w:val="0"/>
        <w:autoSpaceDE w:val="0"/>
        <w:autoSpaceDN w:val="0"/>
        <w:bidi w:val="0"/>
        <w:snapToGrid/>
        <w:spacing w:line="560" w:lineRule="exact"/>
        <w:ind w:firstLine="482" w:firstLineChars="200"/>
        <w:textAlignment w:val="auto"/>
        <w:rPr>
          <w:rFonts w:ascii="宋体" w:hAnsi="宋体" w:cs="宋体"/>
          <w:color w:val="auto"/>
          <w:sz w:val="24"/>
        </w:rPr>
      </w:pPr>
      <w:r>
        <w:rPr>
          <w:rFonts w:hint="eastAsia" w:ascii="宋体" w:hAnsi="宋体" w:cs="宋体"/>
          <w:b/>
          <w:color w:val="auto"/>
          <w:sz w:val="24"/>
        </w:rPr>
        <w:t>十、 不可抗力</w:t>
      </w:r>
    </w:p>
    <w:p w14:paraId="2A30AEA1">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1. 任何一方由于不可抗力原因不能履行合同时，应在不可抗力事件结束后__日内向对方通报，以减轻可能给对方造成的损失，在取得有关机构的不可抗力证明或双方谅解确认后，允许延期履行或修订合同，并根据情况可部分或全部免于承担违约责任。</w:t>
      </w:r>
    </w:p>
    <w:p w14:paraId="4C4197B7">
      <w:pPr>
        <w:keepNext w:val="0"/>
        <w:keepLines w:val="0"/>
        <w:pageBreakBefore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 xml:space="preserve">十一、 税费 </w:t>
      </w:r>
    </w:p>
    <w:p w14:paraId="60B0641A">
      <w:pPr>
        <w:keepNext w:val="0"/>
        <w:keepLines w:val="0"/>
        <w:pageBreakBefore w:val="0"/>
        <w:kinsoku/>
        <w:wordWrap/>
        <w:overflowPunct/>
        <w:topLinePunct w:val="0"/>
        <w:autoSpaceDE w:val="0"/>
        <w:autoSpaceDN w:val="0"/>
        <w:bidi w:val="0"/>
        <w:snapToGrid/>
        <w:spacing w:line="560" w:lineRule="exact"/>
        <w:ind w:firstLine="480" w:firstLineChars="200"/>
        <w:textAlignment w:val="auto"/>
        <w:rPr>
          <w:rFonts w:ascii="宋体" w:hAnsi="宋体" w:cs="宋体"/>
          <w:color w:val="auto"/>
          <w:sz w:val="24"/>
        </w:rPr>
      </w:pPr>
      <w:r>
        <w:rPr>
          <w:rFonts w:hint="eastAsia" w:ascii="宋体" w:hAnsi="宋体" w:cs="宋体"/>
          <w:color w:val="auto"/>
          <w:kern w:val="0"/>
          <w:sz w:val="24"/>
        </w:rPr>
        <w:t>1. 在中国境内、外发生的与本合同执行有关的一切税费均由乙方负担。</w:t>
      </w:r>
    </w:p>
    <w:p w14:paraId="54B6EE5B">
      <w:pPr>
        <w:keepNext w:val="0"/>
        <w:keepLines w:val="0"/>
        <w:pageBreakBefore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 xml:space="preserve">十二、 其它 </w:t>
      </w:r>
    </w:p>
    <w:p w14:paraId="3D274AEA">
      <w:pPr>
        <w:keepNext w:val="0"/>
        <w:keepLines w:val="0"/>
        <w:pageBreakBefore w:val="0"/>
        <w:widowControl/>
        <w:kinsoku/>
        <w:wordWrap/>
        <w:overflowPunct/>
        <w:topLinePunct w:val="0"/>
        <w:autoSpaceDE w:val="0"/>
        <w:autoSpaceDN w:val="0"/>
        <w:bidi w:val="0"/>
        <w:snapToGrid/>
        <w:spacing w:line="560" w:lineRule="exact"/>
        <w:ind w:firstLine="480" w:firstLineChars="200"/>
        <w:jc w:val="left"/>
        <w:textAlignment w:val="auto"/>
        <w:rPr>
          <w:rFonts w:ascii="宋体" w:hAnsi="宋体" w:cs="宋体"/>
          <w:color w:val="auto"/>
          <w:sz w:val="24"/>
        </w:rPr>
      </w:pPr>
      <w:r>
        <w:rPr>
          <w:rFonts w:hint="eastAsia" w:ascii="宋体" w:hAnsi="宋体" w:cs="宋体"/>
          <w:color w:val="auto"/>
          <w:sz w:val="24"/>
        </w:rPr>
        <w:t>1. 本合同所有附件、</w:t>
      </w:r>
      <w:r>
        <w:rPr>
          <w:rFonts w:hint="eastAsia" w:ascii="宋体" w:hAnsi="宋体" w:cs="宋体"/>
          <w:color w:val="auto"/>
          <w:sz w:val="24"/>
          <w:lang w:eastAsia="zh-CN"/>
        </w:rPr>
        <w:t>磋商</w:t>
      </w:r>
      <w:r>
        <w:rPr>
          <w:rFonts w:hint="eastAsia" w:ascii="宋体" w:hAnsi="宋体" w:cs="宋体"/>
          <w:color w:val="auto"/>
          <w:sz w:val="24"/>
        </w:rPr>
        <w:t>文件、</w:t>
      </w:r>
      <w:r>
        <w:rPr>
          <w:rFonts w:hint="eastAsia" w:ascii="宋体" w:hAnsi="宋体" w:cs="宋体"/>
          <w:color w:val="auto"/>
          <w:sz w:val="24"/>
          <w:lang w:eastAsia="zh-CN"/>
        </w:rPr>
        <w:t>响应</w:t>
      </w:r>
      <w:r>
        <w:rPr>
          <w:rFonts w:hint="eastAsia" w:ascii="宋体" w:hAnsi="宋体" w:cs="宋体"/>
          <w:color w:val="auto"/>
          <w:sz w:val="24"/>
        </w:rPr>
        <w:t>文件、中标通知书均为合同的有效组成部分，与本合</w:t>
      </w:r>
    </w:p>
    <w:p w14:paraId="2089BC3E">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同具有同等法律效力。</w:t>
      </w:r>
    </w:p>
    <w:p w14:paraId="3DC7385F">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 2. 在执行本合同的过程中，所有经双方签署确认的文件（包括会议纪要、补充协议、往来信函）即成为本合同的有效组成部分。 </w:t>
      </w:r>
    </w:p>
    <w:p w14:paraId="316DBE0A">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如一方地址、电话、传真号码有变更，应在变更当日内书面通知对方，否则，应承担相应责任。</w:t>
      </w:r>
    </w:p>
    <w:p w14:paraId="0AA4A80E">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 4. 除甲方事先书面同意外，乙方不得部分或全部转让其应履行的合同项下的义务。 </w:t>
      </w:r>
    </w:p>
    <w:p w14:paraId="307A7A46">
      <w:pPr>
        <w:keepNext w:val="0"/>
        <w:keepLines w:val="0"/>
        <w:pageBreakBefore w:val="0"/>
        <w:kinsoku/>
        <w:wordWrap/>
        <w:overflowPunct/>
        <w:topLinePunct w:val="0"/>
        <w:autoSpaceDE w:val="0"/>
        <w:autoSpaceDN w:val="0"/>
        <w:bidi w:val="0"/>
        <w:adjustRightInd w:val="0"/>
        <w:snapToGrid/>
        <w:spacing w:line="560" w:lineRule="exact"/>
        <w:ind w:firstLine="482" w:firstLineChars="200"/>
        <w:jc w:val="left"/>
        <w:textAlignment w:val="auto"/>
        <w:rPr>
          <w:rFonts w:ascii="宋体" w:hAnsi="宋体" w:cs="宋体"/>
          <w:b/>
          <w:color w:val="auto"/>
          <w:kern w:val="0"/>
          <w:sz w:val="24"/>
        </w:rPr>
      </w:pPr>
      <w:r>
        <w:rPr>
          <w:rFonts w:hint="eastAsia" w:ascii="宋体" w:hAnsi="宋体" w:cs="宋体"/>
          <w:b/>
          <w:color w:val="auto"/>
          <w:kern w:val="0"/>
          <w:sz w:val="24"/>
        </w:rPr>
        <w:t xml:space="preserve">十三、 合同生效： </w:t>
      </w:r>
    </w:p>
    <w:p w14:paraId="48679BBC">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1.本合同在甲乙双方法人代表或其授权代表签字盖章后生效。 </w:t>
      </w:r>
    </w:p>
    <w:p w14:paraId="61F43587">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2. 合同一式__份。 </w:t>
      </w:r>
    </w:p>
    <w:p w14:paraId="2CE8E3D8">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甲方（盖章）：                   </w:t>
      </w:r>
      <w:r>
        <w:rPr>
          <w:rFonts w:hint="eastAsia" w:cs="宋体"/>
          <w:color w:val="auto"/>
          <w:kern w:val="0"/>
          <w:sz w:val="24"/>
          <w:lang w:val="en-US" w:eastAsia="zh-CN"/>
        </w:rPr>
        <w:t xml:space="preserve">     </w:t>
      </w: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乙方（盖章）： </w:t>
      </w:r>
    </w:p>
    <w:p w14:paraId="18C21510">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代表：                           </w:t>
      </w:r>
      <w:r>
        <w:rPr>
          <w:rFonts w:hint="eastAsia" w:cs="宋体"/>
          <w:color w:val="auto"/>
          <w:kern w:val="0"/>
          <w:sz w:val="24"/>
          <w:lang w:val="en-US" w:eastAsia="zh-CN"/>
        </w:rPr>
        <w:t xml:space="preserve">     </w:t>
      </w: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代表： </w:t>
      </w:r>
    </w:p>
    <w:p w14:paraId="4AA0FC6D">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签定地点： </w:t>
      </w:r>
    </w:p>
    <w:p w14:paraId="0E8FD491">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签定日期： 年 月 日               </w:t>
      </w:r>
      <w:r>
        <w:rPr>
          <w:rFonts w:hint="eastAsia" w:cs="宋体"/>
          <w:color w:val="auto"/>
          <w:kern w:val="0"/>
          <w:sz w:val="24"/>
          <w:lang w:val="en-US" w:eastAsia="zh-CN"/>
        </w:rPr>
        <w:t xml:space="preserve">    </w:t>
      </w: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签定日期： 年 月 日 </w:t>
      </w:r>
    </w:p>
    <w:p w14:paraId="33EF4DF6">
      <w:pPr>
        <w:keepNext w:val="0"/>
        <w:keepLines w:val="0"/>
        <w:pageBreakBefore w:val="0"/>
        <w:kinsoku/>
        <w:wordWrap/>
        <w:overflowPunct/>
        <w:topLinePunct w:val="0"/>
        <w:autoSpaceDE w:val="0"/>
        <w:autoSpaceDN w:val="0"/>
        <w:bidi w:val="0"/>
        <w:adjustRightInd w:val="0"/>
        <w:snapToGrid/>
        <w:spacing w:line="560" w:lineRule="exact"/>
        <w:jc w:val="left"/>
        <w:textAlignment w:val="auto"/>
        <w:rPr>
          <w:rFonts w:ascii="宋体" w:hAnsi="宋体" w:cs="宋体"/>
          <w:color w:val="auto"/>
          <w:kern w:val="0"/>
          <w:sz w:val="24"/>
        </w:rPr>
      </w:pP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开户名称： </w:t>
      </w:r>
    </w:p>
    <w:p w14:paraId="244A5938">
      <w:pPr>
        <w:keepNext w:val="0"/>
        <w:keepLines w:val="0"/>
        <w:pageBreakBefore w:val="0"/>
        <w:kinsoku/>
        <w:wordWrap/>
        <w:overflowPunct/>
        <w:topLinePunct w:val="0"/>
        <w:autoSpaceDE w:val="0"/>
        <w:autoSpaceDN w:val="0"/>
        <w:bidi w:val="0"/>
        <w:adjustRightInd w:val="0"/>
        <w:snapToGrid/>
        <w:spacing w:line="560" w:lineRule="exact"/>
        <w:jc w:val="left"/>
        <w:textAlignment w:val="auto"/>
        <w:rPr>
          <w:rFonts w:ascii="宋体" w:hAnsi="宋体" w:cs="宋体"/>
          <w:color w:val="auto"/>
          <w:kern w:val="0"/>
          <w:sz w:val="24"/>
        </w:rPr>
      </w:pP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银行帐号： </w:t>
      </w:r>
    </w:p>
    <w:p w14:paraId="0EBEEA1A">
      <w:pPr>
        <w:keepNext w:val="0"/>
        <w:keepLines w:val="0"/>
        <w:pageBreakBefore w:val="0"/>
        <w:kinsoku/>
        <w:wordWrap/>
        <w:overflowPunct/>
        <w:topLinePunct w:val="0"/>
        <w:autoSpaceDE w:val="0"/>
        <w:autoSpaceDN w:val="0"/>
        <w:bidi w:val="0"/>
        <w:adjustRightInd w:val="0"/>
        <w:snapToGrid/>
        <w:spacing w:line="560" w:lineRule="exact"/>
        <w:jc w:val="left"/>
        <w:textAlignment w:val="auto"/>
        <w:rPr>
          <w:rFonts w:hint="eastAsia" w:ascii="宋体" w:hAnsi="宋体" w:cs="宋体"/>
          <w:color w:val="auto"/>
          <w:kern w:val="0"/>
          <w:sz w:val="24"/>
        </w:rPr>
      </w:pP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开 户 行： </w:t>
      </w:r>
    </w:p>
    <w:p w14:paraId="065B3638">
      <w:pPr>
        <w:spacing w:line="360" w:lineRule="auto"/>
        <w:rPr>
          <w:rFonts w:hint="eastAsia" w:ascii="宋体" w:hAnsi="宋体" w:eastAsia="宋体" w:cs="宋体"/>
          <w:bCs/>
          <w:color w:val="auto"/>
          <w:sz w:val="22"/>
          <w:highlight w:val="none"/>
        </w:rPr>
      </w:pPr>
      <w:r>
        <w:rPr>
          <w:rFonts w:ascii="宋体" w:hAnsi="宋体"/>
          <w:color w:val="auto"/>
          <w:sz w:val="24"/>
          <w:szCs w:val="24"/>
          <w:highlight w:val="none"/>
        </w:rPr>
        <w:br w:type="page"/>
      </w:r>
    </w:p>
    <w:bookmarkEnd w:id="155"/>
    <w:p w14:paraId="76989438">
      <w:pPr>
        <w:pStyle w:val="2"/>
        <w:bidi w:val="0"/>
        <w:jc w:val="center"/>
        <w:rPr>
          <w:rFonts w:hint="eastAsia"/>
          <w:color w:val="auto"/>
          <w:sz w:val="32"/>
          <w:szCs w:val="32"/>
          <w:highlight w:val="none"/>
        </w:rPr>
      </w:pPr>
      <w:bookmarkStart w:id="156" w:name="_Toc26672"/>
      <w:r>
        <w:rPr>
          <w:rFonts w:hint="eastAsia"/>
          <w:color w:val="auto"/>
          <w:sz w:val="32"/>
          <w:szCs w:val="32"/>
          <w:highlight w:val="none"/>
        </w:rPr>
        <w:t>第六章  响应文件格式</w:t>
      </w:r>
      <w:bookmarkEnd w:id="156"/>
    </w:p>
    <w:p w14:paraId="1472D329">
      <w:pPr>
        <w:spacing w:line="480" w:lineRule="auto"/>
        <w:ind w:firstLine="480"/>
        <w:rPr>
          <w:rFonts w:hint="eastAsia" w:ascii="宋体" w:hAnsi="宋体" w:eastAsia="宋体" w:cs="宋体"/>
          <w:bCs/>
          <w:color w:val="auto"/>
          <w:sz w:val="22"/>
          <w:highlight w:val="none"/>
        </w:rPr>
      </w:pPr>
    </w:p>
    <w:p w14:paraId="4A3C81D0">
      <w:pPr>
        <w:spacing w:line="480" w:lineRule="auto"/>
        <w:ind w:firstLine="480"/>
        <w:jc w:val="center"/>
        <w:rPr>
          <w:rFonts w:hint="eastAsia" w:ascii="宋体" w:hAnsi="宋体" w:eastAsia="宋体" w:cs="宋体"/>
          <w:bCs/>
          <w:color w:val="auto"/>
          <w:sz w:val="32"/>
          <w:szCs w:val="36"/>
          <w:highlight w:val="none"/>
        </w:rPr>
      </w:pPr>
      <w:r>
        <w:rPr>
          <w:rFonts w:hint="eastAsia" w:ascii="宋体" w:hAnsi="宋体" w:cs="宋体"/>
          <w:bCs/>
          <w:color w:val="auto"/>
          <w:sz w:val="32"/>
          <w:szCs w:val="36"/>
          <w:highlight w:val="none"/>
          <w:u w:val="single"/>
          <w:lang w:val="en-US" w:eastAsia="zh-CN"/>
        </w:rPr>
        <w:t xml:space="preserve">                </w:t>
      </w:r>
      <w:r>
        <w:rPr>
          <w:rFonts w:hint="eastAsia" w:ascii="宋体" w:hAnsi="宋体" w:eastAsia="宋体" w:cs="宋体"/>
          <w:bCs/>
          <w:color w:val="auto"/>
          <w:sz w:val="32"/>
          <w:szCs w:val="36"/>
          <w:highlight w:val="none"/>
        </w:rPr>
        <w:t>（项目名称）</w:t>
      </w:r>
    </w:p>
    <w:p w14:paraId="3A7E99D6">
      <w:pPr>
        <w:spacing w:line="480" w:lineRule="auto"/>
        <w:ind w:firstLine="480"/>
        <w:rPr>
          <w:rFonts w:hint="eastAsia" w:ascii="宋体" w:hAnsi="宋体" w:eastAsia="宋体" w:cs="宋体"/>
          <w:bCs/>
          <w:color w:val="auto"/>
          <w:sz w:val="22"/>
          <w:highlight w:val="none"/>
        </w:rPr>
      </w:pPr>
    </w:p>
    <w:p w14:paraId="4F8FB76B">
      <w:pPr>
        <w:spacing w:line="480" w:lineRule="auto"/>
        <w:ind w:firstLine="48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项目编号：</w:t>
      </w:r>
    </w:p>
    <w:p w14:paraId="728E4B62">
      <w:pPr>
        <w:spacing w:line="480" w:lineRule="auto"/>
        <w:rPr>
          <w:rFonts w:hint="eastAsia" w:ascii="宋体" w:hAnsi="宋体" w:eastAsia="宋体" w:cs="宋体"/>
          <w:bCs/>
          <w:color w:val="auto"/>
          <w:sz w:val="22"/>
          <w:highlight w:val="none"/>
        </w:rPr>
      </w:pPr>
    </w:p>
    <w:p w14:paraId="19A8098B">
      <w:pPr>
        <w:spacing w:line="480" w:lineRule="auto"/>
        <w:ind w:firstLine="480"/>
        <w:jc w:val="center"/>
        <w:rPr>
          <w:rFonts w:hint="eastAsia" w:ascii="宋体" w:hAnsi="宋体" w:eastAsia="宋体" w:cs="宋体"/>
          <w:bCs/>
          <w:color w:val="auto"/>
          <w:sz w:val="22"/>
          <w:highlight w:val="none"/>
        </w:rPr>
      </w:pPr>
      <w:r>
        <w:rPr>
          <w:rFonts w:hint="eastAsia" w:ascii="宋体" w:hAnsi="宋体" w:eastAsia="宋体" w:cs="宋体"/>
          <w:b/>
          <w:bCs w:val="0"/>
          <w:color w:val="auto"/>
          <w:sz w:val="72"/>
          <w:szCs w:val="96"/>
          <w:highlight w:val="none"/>
        </w:rPr>
        <w:t>响应文件</w:t>
      </w:r>
    </w:p>
    <w:p w14:paraId="0473AA0C">
      <w:pPr>
        <w:spacing w:line="480" w:lineRule="auto"/>
        <w:ind w:firstLine="480"/>
        <w:rPr>
          <w:rFonts w:hint="eastAsia" w:ascii="宋体" w:hAnsi="宋体" w:eastAsia="宋体" w:cs="宋体"/>
          <w:bCs/>
          <w:color w:val="auto"/>
          <w:sz w:val="22"/>
          <w:highlight w:val="none"/>
        </w:rPr>
      </w:pPr>
    </w:p>
    <w:p w14:paraId="5EA6407D">
      <w:pPr>
        <w:pStyle w:val="3"/>
        <w:rPr>
          <w:rFonts w:hint="eastAsia" w:ascii="宋体" w:hAnsi="宋体" w:eastAsia="宋体" w:cs="宋体"/>
          <w:bCs/>
          <w:color w:val="auto"/>
          <w:sz w:val="22"/>
          <w:highlight w:val="none"/>
        </w:rPr>
      </w:pPr>
    </w:p>
    <w:p w14:paraId="5E4F0318">
      <w:pPr>
        <w:rPr>
          <w:rFonts w:hint="eastAsia" w:ascii="宋体" w:hAnsi="宋体" w:eastAsia="宋体" w:cs="宋体"/>
          <w:bCs/>
          <w:color w:val="auto"/>
          <w:sz w:val="22"/>
          <w:highlight w:val="none"/>
        </w:rPr>
      </w:pPr>
    </w:p>
    <w:p w14:paraId="7453F1E5">
      <w:pPr>
        <w:pStyle w:val="3"/>
        <w:rPr>
          <w:rFonts w:hint="eastAsia" w:ascii="宋体" w:hAnsi="宋体" w:eastAsia="宋体" w:cs="宋体"/>
          <w:bCs/>
          <w:color w:val="auto"/>
          <w:sz w:val="22"/>
          <w:highlight w:val="none"/>
        </w:rPr>
      </w:pPr>
    </w:p>
    <w:p w14:paraId="41CE8B8F">
      <w:pPr>
        <w:rPr>
          <w:rFonts w:hint="eastAsia" w:ascii="宋体" w:hAnsi="宋体" w:eastAsia="宋体" w:cs="宋体"/>
          <w:bCs/>
          <w:color w:val="auto"/>
          <w:sz w:val="22"/>
          <w:highlight w:val="none"/>
        </w:rPr>
      </w:pPr>
    </w:p>
    <w:p w14:paraId="0947CA30">
      <w:pPr>
        <w:pStyle w:val="3"/>
        <w:rPr>
          <w:rFonts w:hint="eastAsia" w:ascii="宋体" w:hAnsi="宋体" w:eastAsia="宋体" w:cs="宋体"/>
          <w:bCs/>
          <w:color w:val="auto"/>
          <w:sz w:val="22"/>
          <w:highlight w:val="none"/>
        </w:rPr>
      </w:pPr>
    </w:p>
    <w:p w14:paraId="141F8693">
      <w:pPr>
        <w:rPr>
          <w:rFonts w:hint="eastAsia" w:ascii="宋体" w:hAnsi="宋体" w:eastAsia="宋体" w:cs="宋体"/>
          <w:bCs/>
          <w:color w:val="auto"/>
          <w:sz w:val="22"/>
          <w:highlight w:val="none"/>
        </w:rPr>
      </w:pPr>
    </w:p>
    <w:p w14:paraId="674A6154">
      <w:pPr>
        <w:pStyle w:val="3"/>
        <w:rPr>
          <w:rFonts w:hint="eastAsia" w:ascii="宋体" w:hAnsi="宋体" w:eastAsia="宋体" w:cs="宋体"/>
          <w:bCs/>
          <w:color w:val="auto"/>
          <w:sz w:val="22"/>
          <w:highlight w:val="none"/>
        </w:rPr>
      </w:pPr>
    </w:p>
    <w:p w14:paraId="61951825">
      <w:pPr>
        <w:pStyle w:val="3"/>
        <w:rPr>
          <w:rFonts w:hint="eastAsia" w:ascii="宋体" w:hAnsi="宋体" w:eastAsia="宋体" w:cs="宋体"/>
          <w:bCs/>
          <w:color w:val="auto"/>
          <w:sz w:val="22"/>
          <w:highlight w:val="none"/>
        </w:rPr>
      </w:pPr>
    </w:p>
    <w:p w14:paraId="6F01C339">
      <w:pPr>
        <w:rPr>
          <w:rFonts w:hint="eastAsia" w:ascii="宋体" w:hAnsi="宋体" w:eastAsia="宋体" w:cs="宋体"/>
          <w:bCs/>
          <w:color w:val="auto"/>
          <w:sz w:val="22"/>
          <w:highlight w:val="none"/>
        </w:rPr>
      </w:pPr>
    </w:p>
    <w:p w14:paraId="6F37F9F5">
      <w:pPr>
        <w:pStyle w:val="3"/>
        <w:rPr>
          <w:rFonts w:hint="eastAsia" w:ascii="宋体" w:hAnsi="宋体" w:eastAsia="宋体" w:cs="宋体"/>
          <w:bCs/>
          <w:color w:val="auto"/>
          <w:sz w:val="22"/>
          <w:highlight w:val="none"/>
        </w:rPr>
      </w:pPr>
    </w:p>
    <w:p w14:paraId="2AB547D1">
      <w:pPr>
        <w:rPr>
          <w:rFonts w:hint="eastAsia" w:ascii="宋体" w:hAnsi="宋体" w:eastAsia="宋体" w:cs="宋体"/>
          <w:bCs/>
          <w:color w:val="auto"/>
          <w:sz w:val="22"/>
          <w:highlight w:val="none"/>
        </w:rPr>
      </w:pPr>
    </w:p>
    <w:p w14:paraId="24870227">
      <w:pPr>
        <w:pStyle w:val="3"/>
        <w:rPr>
          <w:rFonts w:hint="eastAsia"/>
          <w:color w:val="auto"/>
          <w:highlight w:val="none"/>
        </w:rPr>
      </w:pPr>
    </w:p>
    <w:p w14:paraId="47290714">
      <w:pPr>
        <w:spacing w:line="480" w:lineRule="auto"/>
        <w:ind w:firstLine="48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供应商：</w:t>
      </w:r>
      <w:r>
        <w:rPr>
          <w:rFonts w:hint="eastAsia" w:ascii="宋体" w:hAnsi="宋体" w:eastAsia="宋体" w:cs="宋体"/>
          <w:bCs/>
          <w:color w:val="auto"/>
          <w:sz w:val="24"/>
          <w:szCs w:val="28"/>
          <w:highlight w:val="none"/>
          <w:u w:val="single"/>
        </w:rPr>
        <w:t xml:space="preserve">                                  </w:t>
      </w:r>
      <w:r>
        <w:rPr>
          <w:rFonts w:hint="eastAsia" w:ascii="宋体" w:hAnsi="宋体" w:eastAsia="宋体" w:cs="宋体"/>
          <w:bCs/>
          <w:color w:val="auto"/>
          <w:sz w:val="24"/>
          <w:szCs w:val="28"/>
          <w:highlight w:val="none"/>
        </w:rPr>
        <w:t>（企业电子签章）</w:t>
      </w:r>
    </w:p>
    <w:p w14:paraId="2BF7ABEA">
      <w:pPr>
        <w:spacing w:line="480" w:lineRule="auto"/>
        <w:ind w:firstLine="48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法定代表人或其委托代理人：</w:t>
      </w:r>
      <w:r>
        <w:rPr>
          <w:rFonts w:hint="eastAsia" w:ascii="宋体" w:hAnsi="宋体" w:eastAsia="宋体" w:cs="宋体"/>
          <w:bCs/>
          <w:color w:val="auto"/>
          <w:sz w:val="24"/>
          <w:szCs w:val="28"/>
          <w:highlight w:val="none"/>
          <w:u w:val="single"/>
        </w:rPr>
        <w:t xml:space="preserve">                </w:t>
      </w:r>
      <w:r>
        <w:rPr>
          <w:rFonts w:hint="eastAsia" w:ascii="宋体" w:hAnsi="宋体" w:eastAsia="宋体" w:cs="宋体"/>
          <w:bCs/>
          <w:color w:val="auto"/>
          <w:sz w:val="24"/>
          <w:szCs w:val="28"/>
          <w:highlight w:val="none"/>
        </w:rPr>
        <w:t>（签章）</w:t>
      </w:r>
    </w:p>
    <w:p w14:paraId="170FFE62">
      <w:pPr>
        <w:spacing w:line="480" w:lineRule="auto"/>
        <w:ind w:firstLine="48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年        月        日</w:t>
      </w:r>
    </w:p>
    <w:p w14:paraId="2B53C6EA">
      <w:pPr>
        <w:spacing w:line="480" w:lineRule="auto"/>
        <w:rPr>
          <w:rFonts w:hint="eastAsia" w:ascii="宋体" w:hAnsi="宋体" w:eastAsia="宋体" w:cs="宋体"/>
          <w:bCs/>
          <w:color w:val="auto"/>
          <w:sz w:val="22"/>
          <w:highlight w:val="none"/>
        </w:rPr>
      </w:pPr>
    </w:p>
    <w:p w14:paraId="0591F32B">
      <w:pPr>
        <w:spacing w:line="480" w:lineRule="auto"/>
        <w:ind w:firstLine="480"/>
        <w:jc w:val="center"/>
        <w:rPr>
          <w:rFonts w:hint="eastAsia" w:ascii="宋体" w:hAnsi="宋体" w:eastAsia="宋体" w:cs="宋体"/>
          <w:bCs/>
          <w:color w:val="auto"/>
          <w:sz w:val="32"/>
          <w:szCs w:val="36"/>
          <w:highlight w:val="none"/>
        </w:rPr>
      </w:pPr>
    </w:p>
    <w:p w14:paraId="245138F5">
      <w:pPr>
        <w:spacing w:line="480" w:lineRule="auto"/>
        <w:ind w:firstLine="480"/>
        <w:jc w:val="center"/>
        <w:rPr>
          <w:rFonts w:hint="eastAsia" w:ascii="宋体" w:hAnsi="宋体" w:eastAsia="宋体" w:cs="宋体"/>
          <w:b/>
          <w:bCs w:val="0"/>
          <w:color w:val="auto"/>
          <w:sz w:val="32"/>
          <w:szCs w:val="36"/>
          <w:highlight w:val="none"/>
        </w:rPr>
      </w:pPr>
      <w:r>
        <w:rPr>
          <w:rFonts w:hint="eastAsia" w:ascii="宋体" w:hAnsi="宋体" w:eastAsia="宋体" w:cs="宋体"/>
          <w:b/>
          <w:bCs w:val="0"/>
          <w:color w:val="auto"/>
          <w:sz w:val="32"/>
          <w:szCs w:val="36"/>
          <w:highlight w:val="none"/>
        </w:rPr>
        <w:t>目    录</w:t>
      </w:r>
    </w:p>
    <w:p w14:paraId="19C9EC32">
      <w:pPr>
        <w:spacing w:line="480" w:lineRule="exact"/>
        <w:jc w:val="left"/>
        <w:outlineLvl w:val="0"/>
        <w:rPr>
          <w:rFonts w:ascii="宋体" w:hAnsi="宋体" w:cs="宋体"/>
          <w:color w:val="auto"/>
          <w:kern w:val="2"/>
          <w:sz w:val="24"/>
          <w:szCs w:val="24"/>
          <w:highlight w:val="none"/>
        </w:rPr>
      </w:pPr>
      <w:bookmarkStart w:id="157" w:name="_Toc148365424"/>
      <w:bookmarkStart w:id="158" w:name="_Toc148365097"/>
      <w:bookmarkStart w:id="159" w:name="_Toc3790"/>
      <w:r>
        <w:rPr>
          <w:rFonts w:hint="eastAsia" w:ascii="宋体" w:hAnsi="宋体" w:cs="宋体"/>
          <w:color w:val="auto"/>
          <w:kern w:val="2"/>
          <w:sz w:val="24"/>
          <w:szCs w:val="24"/>
          <w:highlight w:val="none"/>
        </w:rPr>
        <w:t>一、磋商函及磋商报价表</w:t>
      </w:r>
      <w:bookmarkEnd w:id="157"/>
      <w:bookmarkEnd w:id="158"/>
      <w:bookmarkEnd w:id="159"/>
    </w:p>
    <w:p w14:paraId="348B7D65">
      <w:pPr>
        <w:spacing w:line="480" w:lineRule="exact"/>
        <w:jc w:val="left"/>
        <w:outlineLvl w:val="0"/>
        <w:rPr>
          <w:rFonts w:ascii="宋体" w:hAnsi="宋体" w:cs="宋体"/>
          <w:color w:val="auto"/>
          <w:kern w:val="2"/>
          <w:sz w:val="24"/>
          <w:szCs w:val="24"/>
          <w:highlight w:val="none"/>
        </w:rPr>
      </w:pPr>
      <w:bookmarkStart w:id="160" w:name="_Toc148365098"/>
      <w:bookmarkStart w:id="161" w:name="_Toc148365425"/>
      <w:bookmarkStart w:id="162" w:name="_Toc15187"/>
      <w:r>
        <w:rPr>
          <w:rFonts w:hint="eastAsia" w:ascii="宋体" w:hAnsi="宋体" w:cs="宋体"/>
          <w:color w:val="auto"/>
          <w:kern w:val="2"/>
          <w:sz w:val="24"/>
          <w:szCs w:val="24"/>
          <w:highlight w:val="none"/>
        </w:rPr>
        <w:t>二、法定代表人身份证明</w:t>
      </w:r>
      <w:bookmarkEnd w:id="160"/>
      <w:bookmarkEnd w:id="161"/>
      <w:bookmarkEnd w:id="162"/>
    </w:p>
    <w:p w14:paraId="566F5D0C">
      <w:pPr>
        <w:spacing w:line="480" w:lineRule="exact"/>
        <w:jc w:val="left"/>
        <w:outlineLvl w:val="0"/>
        <w:rPr>
          <w:rFonts w:ascii="宋体" w:hAnsi="宋体" w:cs="宋体"/>
          <w:color w:val="auto"/>
          <w:kern w:val="2"/>
          <w:sz w:val="24"/>
          <w:szCs w:val="24"/>
          <w:highlight w:val="none"/>
        </w:rPr>
      </w:pPr>
      <w:bookmarkStart w:id="163" w:name="_Toc920"/>
      <w:bookmarkStart w:id="164" w:name="_Toc148365426"/>
      <w:bookmarkStart w:id="165" w:name="_Toc148365099"/>
      <w:r>
        <w:rPr>
          <w:rFonts w:hint="eastAsia" w:ascii="宋体" w:hAnsi="宋体" w:cs="宋体"/>
          <w:color w:val="auto"/>
          <w:kern w:val="2"/>
          <w:sz w:val="24"/>
          <w:szCs w:val="24"/>
          <w:highlight w:val="none"/>
        </w:rPr>
        <w:t>三、授权委托书</w:t>
      </w:r>
      <w:bookmarkEnd w:id="163"/>
      <w:bookmarkEnd w:id="164"/>
      <w:bookmarkEnd w:id="165"/>
    </w:p>
    <w:p w14:paraId="327246AB">
      <w:pPr>
        <w:spacing w:line="480" w:lineRule="exact"/>
        <w:jc w:val="left"/>
        <w:outlineLvl w:val="0"/>
        <w:rPr>
          <w:rFonts w:ascii="宋体" w:hAnsi="宋体" w:cs="宋体"/>
          <w:color w:val="auto"/>
          <w:kern w:val="2"/>
          <w:sz w:val="24"/>
          <w:szCs w:val="24"/>
          <w:highlight w:val="none"/>
        </w:rPr>
      </w:pPr>
      <w:bookmarkStart w:id="166" w:name="_Toc148365427"/>
      <w:bookmarkStart w:id="167" w:name="_Toc148365100"/>
      <w:bookmarkStart w:id="168" w:name="_Toc29822"/>
      <w:r>
        <w:rPr>
          <w:rFonts w:hint="eastAsia" w:ascii="宋体" w:hAnsi="宋体" w:cs="宋体"/>
          <w:color w:val="auto"/>
          <w:kern w:val="2"/>
          <w:sz w:val="24"/>
          <w:szCs w:val="24"/>
          <w:highlight w:val="none"/>
        </w:rPr>
        <w:t>四、磋商承诺函</w:t>
      </w:r>
      <w:bookmarkEnd w:id="166"/>
      <w:bookmarkEnd w:id="167"/>
      <w:bookmarkEnd w:id="168"/>
    </w:p>
    <w:p w14:paraId="29C13D11">
      <w:pPr>
        <w:spacing w:line="480" w:lineRule="exact"/>
        <w:jc w:val="left"/>
        <w:outlineLvl w:val="0"/>
        <w:rPr>
          <w:rFonts w:ascii="宋体" w:hAnsi="宋体" w:cs="宋体"/>
          <w:color w:val="auto"/>
          <w:kern w:val="2"/>
          <w:sz w:val="24"/>
          <w:szCs w:val="24"/>
          <w:highlight w:val="none"/>
        </w:rPr>
      </w:pPr>
      <w:bookmarkStart w:id="169" w:name="_Toc148365428"/>
      <w:bookmarkStart w:id="170" w:name="_Toc27418"/>
      <w:bookmarkStart w:id="171" w:name="_Toc148365101"/>
      <w:r>
        <w:rPr>
          <w:rFonts w:hint="eastAsia" w:ascii="宋体" w:hAnsi="宋体" w:cs="宋体"/>
          <w:color w:val="auto"/>
          <w:kern w:val="2"/>
          <w:sz w:val="24"/>
          <w:szCs w:val="24"/>
          <w:highlight w:val="none"/>
        </w:rPr>
        <w:t>五、供应商情况</w:t>
      </w:r>
      <w:bookmarkEnd w:id="169"/>
      <w:bookmarkEnd w:id="170"/>
      <w:bookmarkEnd w:id="171"/>
    </w:p>
    <w:p w14:paraId="52A2A51D">
      <w:pPr>
        <w:spacing w:line="480" w:lineRule="exact"/>
        <w:jc w:val="left"/>
        <w:outlineLvl w:val="0"/>
        <w:rPr>
          <w:rFonts w:hint="default" w:ascii="宋体" w:hAnsi="宋体" w:eastAsia="宋体" w:cs="宋体"/>
          <w:color w:val="auto"/>
          <w:kern w:val="2"/>
          <w:sz w:val="24"/>
          <w:szCs w:val="24"/>
          <w:highlight w:val="none"/>
          <w:lang w:val="en-US" w:eastAsia="zh-CN"/>
        </w:rPr>
      </w:pPr>
      <w:bookmarkStart w:id="172" w:name="_Toc148365102"/>
      <w:bookmarkStart w:id="173" w:name="_Toc148365429"/>
      <w:bookmarkStart w:id="174" w:name="_Toc30739"/>
      <w:r>
        <w:rPr>
          <w:rFonts w:hint="eastAsia" w:ascii="宋体" w:hAnsi="宋体" w:cs="宋体"/>
          <w:color w:val="auto"/>
          <w:kern w:val="2"/>
          <w:sz w:val="24"/>
          <w:szCs w:val="24"/>
          <w:highlight w:val="none"/>
        </w:rPr>
        <w:t>六、</w:t>
      </w:r>
      <w:bookmarkEnd w:id="172"/>
      <w:bookmarkEnd w:id="173"/>
      <w:r>
        <w:rPr>
          <w:rFonts w:hint="eastAsia" w:ascii="宋体" w:hAnsi="宋体" w:cs="宋体"/>
          <w:color w:val="auto"/>
          <w:kern w:val="2"/>
          <w:sz w:val="24"/>
          <w:szCs w:val="24"/>
          <w:highlight w:val="none"/>
          <w:lang w:val="en-US" w:eastAsia="zh-CN"/>
        </w:rPr>
        <w:t>技术标</w:t>
      </w:r>
      <w:bookmarkEnd w:id="174"/>
    </w:p>
    <w:p w14:paraId="314B6142">
      <w:pPr>
        <w:spacing w:line="480" w:lineRule="exact"/>
        <w:jc w:val="left"/>
        <w:outlineLvl w:val="0"/>
        <w:rPr>
          <w:rFonts w:hint="default" w:ascii="宋体" w:hAnsi="宋体" w:eastAsia="宋体" w:cs="宋体"/>
          <w:color w:val="auto"/>
          <w:kern w:val="2"/>
          <w:sz w:val="24"/>
          <w:szCs w:val="24"/>
          <w:highlight w:val="none"/>
          <w:lang w:val="en-US" w:eastAsia="zh-CN"/>
        </w:rPr>
      </w:pPr>
      <w:bookmarkStart w:id="175" w:name="_Toc148365103"/>
      <w:bookmarkStart w:id="176" w:name="_Toc148365430"/>
      <w:bookmarkStart w:id="177" w:name="_Toc22701"/>
      <w:r>
        <w:rPr>
          <w:rFonts w:hint="eastAsia" w:ascii="宋体" w:hAnsi="宋体" w:cs="宋体"/>
          <w:color w:val="auto"/>
          <w:kern w:val="2"/>
          <w:sz w:val="24"/>
          <w:szCs w:val="24"/>
          <w:highlight w:val="none"/>
        </w:rPr>
        <w:t>七、</w:t>
      </w:r>
      <w:bookmarkEnd w:id="175"/>
      <w:bookmarkEnd w:id="176"/>
      <w:r>
        <w:rPr>
          <w:rFonts w:hint="eastAsia" w:ascii="宋体" w:hAnsi="宋体" w:cs="宋体"/>
          <w:color w:val="auto"/>
          <w:kern w:val="2"/>
          <w:sz w:val="24"/>
          <w:szCs w:val="24"/>
          <w:highlight w:val="none"/>
          <w:lang w:val="en-US" w:eastAsia="zh-CN"/>
        </w:rPr>
        <w:t>综合标</w:t>
      </w:r>
      <w:bookmarkEnd w:id="177"/>
    </w:p>
    <w:p w14:paraId="63673E44">
      <w:pPr>
        <w:spacing w:line="480" w:lineRule="exact"/>
        <w:jc w:val="left"/>
        <w:outlineLvl w:val="0"/>
        <w:rPr>
          <w:rFonts w:ascii="宋体" w:hAnsi="宋体" w:cs="宋体"/>
          <w:color w:val="auto"/>
          <w:kern w:val="2"/>
          <w:sz w:val="24"/>
          <w:szCs w:val="24"/>
          <w:highlight w:val="none"/>
        </w:rPr>
      </w:pPr>
      <w:bookmarkStart w:id="178" w:name="_Toc148365431"/>
      <w:bookmarkStart w:id="179" w:name="_Toc21116"/>
      <w:bookmarkStart w:id="180" w:name="_Toc148365104"/>
      <w:r>
        <w:rPr>
          <w:rFonts w:hint="eastAsia" w:ascii="宋体" w:hAnsi="宋体" w:cs="宋体"/>
          <w:color w:val="auto"/>
          <w:kern w:val="2"/>
          <w:sz w:val="24"/>
          <w:szCs w:val="24"/>
          <w:highlight w:val="none"/>
        </w:rPr>
        <w:t>八、其他资料</w:t>
      </w:r>
      <w:bookmarkEnd w:id="178"/>
      <w:bookmarkEnd w:id="179"/>
      <w:bookmarkEnd w:id="180"/>
    </w:p>
    <w:p w14:paraId="7560BB18">
      <w:pPr>
        <w:spacing w:line="480" w:lineRule="auto"/>
        <w:ind w:firstLine="480"/>
        <w:jc w:val="center"/>
        <w:rPr>
          <w:rFonts w:hint="eastAsia" w:ascii="宋体" w:hAnsi="宋体" w:cs="宋体"/>
          <w:b/>
          <w:color w:val="auto"/>
          <w:kern w:val="2"/>
          <w:sz w:val="24"/>
          <w:szCs w:val="24"/>
          <w:highlight w:val="none"/>
        </w:rPr>
      </w:pPr>
      <w:r>
        <w:rPr>
          <w:rFonts w:hint="eastAsia" w:ascii="宋体" w:hAnsi="宋体" w:eastAsia="宋体" w:cs="宋体"/>
          <w:bCs/>
          <w:color w:val="auto"/>
          <w:sz w:val="22"/>
          <w:highlight w:val="none"/>
        </w:rPr>
        <w:br w:type="page"/>
      </w:r>
      <w:r>
        <w:rPr>
          <w:rFonts w:hint="eastAsia" w:ascii="宋体" w:hAnsi="宋体" w:eastAsia="宋体" w:cs="宋体"/>
          <w:b/>
          <w:bCs w:val="0"/>
          <w:color w:val="auto"/>
          <w:sz w:val="24"/>
          <w:szCs w:val="24"/>
          <w:highlight w:val="none"/>
          <w:lang w:val="en-US" w:eastAsia="zh-CN"/>
        </w:rPr>
        <w:t>一</w:t>
      </w:r>
      <w:r>
        <w:rPr>
          <w:rFonts w:hint="eastAsia" w:ascii="宋体" w:hAnsi="宋体" w:eastAsia="宋体" w:cs="宋体"/>
          <w:b/>
          <w:bCs w:val="0"/>
          <w:color w:val="auto"/>
          <w:sz w:val="24"/>
          <w:szCs w:val="24"/>
          <w:highlight w:val="none"/>
        </w:rPr>
        <w:t>、</w:t>
      </w:r>
      <w:r>
        <w:rPr>
          <w:rFonts w:hint="eastAsia" w:ascii="宋体" w:hAnsi="宋体" w:cs="宋体"/>
          <w:b/>
          <w:color w:val="auto"/>
          <w:kern w:val="2"/>
          <w:sz w:val="24"/>
          <w:szCs w:val="24"/>
          <w:highlight w:val="none"/>
        </w:rPr>
        <w:t>磋商函及磋商报价表</w:t>
      </w:r>
    </w:p>
    <w:p w14:paraId="610CE9D1">
      <w:pPr>
        <w:spacing w:line="480" w:lineRule="auto"/>
        <w:ind w:firstLine="480"/>
        <w:jc w:val="center"/>
        <w:rPr>
          <w:rFonts w:hint="eastAsia"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lang w:val="en-US" w:eastAsia="zh-CN"/>
        </w:rPr>
        <w:t>（一）</w:t>
      </w:r>
      <w:r>
        <w:rPr>
          <w:rFonts w:hint="eastAsia" w:ascii="宋体" w:hAnsi="宋体" w:cs="宋体"/>
          <w:b/>
          <w:color w:val="auto"/>
          <w:kern w:val="2"/>
          <w:sz w:val="24"/>
          <w:szCs w:val="24"/>
          <w:highlight w:val="none"/>
        </w:rPr>
        <w:t>磋商函</w:t>
      </w:r>
    </w:p>
    <w:p w14:paraId="04C627A8">
      <w:pPr>
        <w:spacing w:line="360" w:lineRule="auto"/>
        <w:rPr>
          <w:color w:val="auto"/>
          <w:sz w:val="24"/>
        </w:rPr>
      </w:pPr>
      <w:r>
        <w:rPr>
          <w:rFonts w:hint="eastAsia"/>
          <w:color w:val="auto"/>
          <w:sz w:val="24"/>
          <w:u w:val="single"/>
        </w:rPr>
        <w:t>（采购人名称）</w:t>
      </w:r>
      <w:r>
        <w:rPr>
          <w:rFonts w:hint="eastAsia"/>
          <w:color w:val="auto"/>
          <w:sz w:val="24"/>
        </w:rPr>
        <w:t>：</w:t>
      </w:r>
    </w:p>
    <w:p w14:paraId="151FB6F4">
      <w:pPr>
        <w:spacing w:line="360" w:lineRule="auto"/>
        <w:ind w:firstLine="480" w:firstLineChars="200"/>
        <w:rPr>
          <w:color w:val="auto"/>
          <w:sz w:val="24"/>
        </w:rPr>
      </w:pPr>
      <w:r>
        <w:rPr>
          <w:rFonts w:hint="eastAsia"/>
          <w:color w:val="auto"/>
          <w:sz w:val="24"/>
        </w:rPr>
        <w:t xml:space="preserve">1．我方在考察现场并充分研究 </w:t>
      </w:r>
      <w:r>
        <w:rPr>
          <w:rFonts w:hint="eastAsia"/>
          <w:color w:val="auto"/>
          <w:sz w:val="24"/>
          <w:u w:val="single"/>
        </w:rPr>
        <w:t xml:space="preserve">      （项目名称）</w:t>
      </w:r>
      <w:r>
        <w:rPr>
          <w:rFonts w:hint="eastAsia"/>
          <w:color w:val="auto"/>
          <w:sz w:val="24"/>
          <w:u w:val="single"/>
          <w:lang w:val="en-US" w:eastAsia="zh-CN"/>
        </w:rPr>
        <w:t xml:space="preserve"> </w:t>
      </w:r>
      <w:r>
        <w:rPr>
          <w:rFonts w:hint="eastAsia"/>
          <w:color w:val="auto"/>
          <w:sz w:val="24"/>
        </w:rPr>
        <w:t>磋商文件的全部内容，愿意以磋商函附录中的报价</w:t>
      </w:r>
      <w:r>
        <w:rPr>
          <w:rFonts w:hint="eastAsia"/>
          <w:color w:val="auto"/>
          <w:sz w:val="24"/>
          <w:u w:val="single"/>
          <w:lang w:val="en-US" w:eastAsia="zh-CN"/>
        </w:rPr>
        <w:t xml:space="preserve">大写：    小写：      </w:t>
      </w:r>
      <w:r>
        <w:rPr>
          <w:rFonts w:hint="eastAsia"/>
          <w:color w:val="auto"/>
          <w:sz w:val="24"/>
        </w:rPr>
        <w:t>，质量</w:t>
      </w:r>
      <w:r>
        <w:rPr>
          <w:rFonts w:hint="eastAsia"/>
          <w:color w:val="auto"/>
          <w:sz w:val="24"/>
          <w:lang w:val="en-US" w:eastAsia="zh-CN"/>
        </w:rPr>
        <w:t>要求</w:t>
      </w:r>
      <w:r>
        <w:rPr>
          <w:rFonts w:hint="eastAsia"/>
          <w:color w:val="auto"/>
          <w:sz w:val="24"/>
          <w:u w:val="single"/>
          <w:lang w:val="en-US" w:eastAsia="zh-CN"/>
        </w:rPr>
        <w:t xml:space="preserve">     </w:t>
      </w:r>
      <w:r>
        <w:rPr>
          <w:rFonts w:hint="eastAsia"/>
          <w:color w:val="auto"/>
          <w:sz w:val="24"/>
        </w:rPr>
        <w:t>，</w:t>
      </w:r>
      <w:r>
        <w:rPr>
          <w:rFonts w:hint="eastAsia"/>
          <w:color w:val="auto"/>
          <w:sz w:val="24"/>
          <w:lang w:val="en-US" w:eastAsia="zh-CN"/>
        </w:rPr>
        <w:t>服务期限</w:t>
      </w:r>
      <w:r>
        <w:rPr>
          <w:rFonts w:hint="eastAsia"/>
          <w:color w:val="auto"/>
          <w:sz w:val="24"/>
          <w:u w:val="single"/>
          <w:lang w:val="en-US" w:eastAsia="zh-CN"/>
        </w:rPr>
        <w:t xml:space="preserve">    </w:t>
      </w:r>
      <w:r>
        <w:rPr>
          <w:rFonts w:hint="eastAsia"/>
          <w:color w:val="auto"/>
          <w:sz w:val="24"/>
        </w:rPr>
        <w:t>，并严格按照合同约定完成相关服务。</w:t>
      </w:r>
    </w:p>
    <w:p w14:paraId="31F44885">
      <w:pPr>
        <w:spacing w:line="360" w:lineRule="auto"/>
        <w:ind w:firstLine="480" w:firstLineChars="200"/>
        <w:rPr>
          <w:color w:val="auto"/>
          <w:sz w:val="24"/>
        </w:rPr>
      </w:pPr>
      <w:r>
        <w:rPr>
          <w:rFonts w:hint="eastAsia"/>
          <w:color w:val="auto"/>
          <w:sz w:val="24"/>
          <w:lang w:val="en-US"/>
        </w:rPr>
        <w:t>2</w:t>
      </w:r>
      <w:r>
        <w:rPr>
          <w:rFonts w:hint="eastAsia"/>
          <w:color w:val="auto"/>
          <w:sz w:val="24"/>
        </w:rPr>
        <w:t>．</w:t>
      </w:r>
      <w:r>
        <w:rPr>
          <w:color w:val="auto"/>
          <w:sz w:val="24"/>
        </w:rPr>
        <w:t>据此函，经考察现场并</w:t>
      </w:r>
      <w:r>
        <w:rPr>
          <w:rFonts w:hint="eastAsia"/>
          <w:color w:val="auto"/>
          <w:sz w:val="24"/>
        </w:rPr>
        <w:t>认真</w:t>
      </w:r>
      <w:r>
        <w:rPr>
          <w:color w:val="auto"/>
          <w:sz w:val="24"/>
        </w:rPr>
        <w:t>研究</w:t>
      </w:r>
      <w:r>
        <w:rPr>
          <w:rFonts w:hint="eastAsia"/>
          <w:color w:val="auto"/>
          <w:sz w:val="24"/>
        </w:rPr>
        <w:t>磋商</w:t>
      </w:r>
      <w:r>
        <w:rPr>
          <w:color w:val="auto"/>
          <w:sz w:val="24"/>
        </w:rPr>
        <w:t>文件后，</w:t>
      </w:r>
      <w:r>
        <w:rPr>
          <w:rFonts w:hint="eastAsia"/>
          <w:color w:val="auto"/>
          <w:sz w:val="24"/>
        </w:rPr>
        <w:t>我方</w:t>
      </w:r>
      <w:r>
        <w:rPr>
          <w:color w:val="auto"/>
          <w:sz w:val="24"/>
        </w:rPr>
        <w:t>同意：</w:t>
      </w:r>
    </w:p>
    <w:p w14:paraId="45273C86">
      <w:pPr>
        <w:spacing w:line="360" w:lineRule="auto"/>
        <w:ind w:firstLine="480" w:firstLineChars="200"/>
        <w:rPr>
          <w:color w:val="auto"/>
          <w:sz w:val="24"/>
        </w:rPr>
      </w:pPr>
      <w:r>
        <w:rPr>
          <w:rFonts w:hint="eastAsia"/>
          <w:color w:val="auto"/>
          <w:sz w:val="24"/>
          <w:lang w:val="en-US"/>
        </w:rPr>
        <w:t>2</w:t>
      </w:r>
      <w:r>
        <w:rPr>
          <w:color w:val="auto"/>
          <w:sz w:val="24"/>
        </w:rPr>
        <w:t>.1</w:t>
      </w:r>
      <w:r>
        <w:rPr>
          <w:rFonts w:hint="eastAsia"/>
          <w:color w:val="auto"/>
          <w:sz w:val="24"/>
          <w:lang w:val="en-US" w:eastAsia="zh-CN"/>
        </w:rPr>
        <w:t xml:space="preserve"> </w:t>
      </w:r>
      <w:r>
        <w:rPr>
          <w:rFonts w:hint="eastAsia"/>
          <w:color w:val="auto"/>
          <w:sz w:val="24"/>
        </w:rPr>
        <w:t>根据项目情况，</w:t>
      </w:r>
      <w:r>
        <w:rPr>
          <w:color w:val="auto"/>
          <w:sz w:val="24"/>
        </w:rPr>
        <w:t>自主报价参与商务投标报价并承担</w:t>
      </w:r>
      <w:r>
        <w:rPr>
          <w:rFonts w:hint="eastAsia"/>
          <w:color w:val="auto"/>
          <w:sz w:val="24"/>
        </w:rPr>
        <w:t>磋商</w:t>
      </w:r>
      <w:r>
        <w:rPr>
          <w:color w:val="auto"/>
          <w:sz w:val="24"/>
        </w:rPr>
        <w:t>文件规定的</w:t>
      </w:r>
      <w:r>
        <w:rPr>
          <w:rFonts w:hint="eastAsia"/>
          <w:color w:val="auto"/>
          <w:sz w:val="24"/>
        </w:rPr>
        <w:t>各项内容及服务</w:t>
      </w:r>
      <w:r>
        <w:rPr>
          <w:color w:val="auto"/>
          <w:sz w:val="24"/>
        </w:rPr>
        <w:t>（报价表附后）。</w:t>
      </w:r>
    </w:p>
    <w:p w14:paraId="3D86E0EF">
      <w:pPr>
        <w:spacing w:line="360" w:lineRule="auto"/>
        <w:ind w:firstLine="480" w:firstLineChars="200"/>
        <w:rPr>
          <w:color w:val="auto"/>
          <w:sz w:val="24"/>
        </w:rPr>
      </w:pPr>
      <w:r>
        <w:rPr>
          <w:rFonts w:hint="eastAsia"/>
          <w:color w:val="auto"/>
          <w:sz w:val="24"/>
          <w:lang w:val="en-US"/>
        </w:rPr>
        <w:t>2</w:t>
      </w:r>
      <w:r>
        <w:rPr>
          <w:color w:val="auto"/>
          <w:sz w:val="24"/>
        </w:rPr>
        <w:t>.2</w:t>
      </w:r>
      <w:r>
        <w:rPr>
          <w:rFonts w:hint="eastAsia"/>
          <w:color w:val="auto"/>
          <w:sz w:val="24"/>
          <w:lang w:val="en-US" w:eastAsia="zh-CN"/>
        </w:rPr>
        <w:t xml:space="preserve"> </w:t>
      </w:r>
      <w:r>
        <w:rPr>
          <w:color w:val="auto"/>
          <w:sz w:val="24"/>
        </w:rPr>
        <w:t>接受</w:t>
      </w:r>
      <w:r>
        <w:rPr>
          <w:rFonts w:hint="eastAsia"/>
          <w:color w:val="auto"/>
          <w:sz w:val="24"/>
        </w:rPr>
        <w:t>采购人“合同文本”中</w:t>
      </w:r>
      <w:r>
        <w:rPr>
          <w:color w:val="auto"/>
          <w:sz w:val="24"/>
        </w:rPr>
        <w:t>条款的所有要求。</w:t>
      </w:r>
    </w:p>
    <w:p w14:paraId="5E5569A9">
      <w:pPr>
        <w:spacing w:line="360" w:lineRule="auto"/>
        <w:ind w:firstLine="480" w:firstLineChars="200"/>
        <w:rPr>
          <w:color w:val="auto"/>
          <w:sz w:val="24"/>
        </w:rPr>
      </w:pPr>
      <w:r>
        <w:rPr>
          <w:rFonts w:hint="eastAsia"/>
          <w:color w:val="auto"/>
          <w:sz w:val="24"/>
          <w:lang w:val="en-US"/>
        </w:rPr>
        <w:t>2</w:t>
      </w:r>
      <w:r>
        <w:rPr>
          <w:color w:val="auto"/>
          <w:sz w:val="24"/>
        </w:rPr>
        <w:t>.3</w:t>
      </w:r>
      <w:r>
        <w:rPr>
          <w:rFonts w:hint="eastAsia"/>
          <w:color w:val="auto"/>
          <w:sz w:val="24"/>
          <w:lang w:val="en-US" w:eastAsia="zh-CN"/>
        </w:rPr>
        <w:t xml:space="preserve"> </w:t>
      </w:r>
      <w:r>
        <w:rPr>
          <w:color w:val="auto"/>
          <w:sz w:val="24"/>
        </w:rPr>
        <w:t>一旦我方</w:t>
      </w:r>
      <w:r>
        <w:rPr>
          <w:rFonts w:hint="eastAsia"/>
          <w:color w:val="auto"/>
          <w:sz w:val="24"/>
        </w:rPr>
        <w:t>成交</w:t>
      </w:r>
      <w:r>
        <w:rPr>
          <w:color w:val="auto"/>
          <w:sz w:val="24"/>
        </w:rPr>
        <w:t>，保证按</w:t>
      </w:r>
      <w:r>
        <w:rPr>
          <w:rFonts w:hint="eastAsia"/>
          <w:color w:val="auto"/>
          <w:sz w:val="24"/>
        </w:rPr>
        <w:t>磋商</w:t>
      </w:r>
      <w:r>
        <w:rPr>
          <w:color w:val="auto"/>
          <w:sz w:val="24"/>
        </w:rPr>
        <w:t>文件的规定和投标时的相关承诺提供</w:t>
      </w:r>
      <w:r>
        <w:rPr>
          <w:rFonts w:hint="eastAsia"/>
          <w:color w:val="auto"/>
          <w:sz w:val="24"/>
        </w:rPr>
        <w:t>相关产品及</w:t>
      </w:r>
      <w:r>
        <w:rPr>
          <w:color w:val="auto"/>
          <w:sz w:val="24"/>
        </w:rPr>
        <w:t>服务。</w:t>
      </w:r>
    </w:p>
    <w:p w14:paraId="214DC370">
      <w:pPr>
        <w:spacing w:line="360" w:lineRule="auto"/>
        <w:ind w:firstLine="480" w:firstLineChars="200"/>
        <w:rPr>
          <w:color w:val="auto"/>
          <w:sz w:val="24"/>
        </w:rPr>
      </w:pPr>
      <w:r>
        <w:rPr>
          <w:rFonts w:hint="eastAsia"/>
          <w:color w:val="auto"/>
          <w:sz w:val="24"/>
          <w:lang w:val="en-US"/>
        </w:rPr>
        <w:t>2</w:t>
      </w:r>
      <w:r>
        <w:rPr>
          <w:rFonts w:hint="eastAsia"/>
          <w:color w:val="auto"/>
          <w:sz w:val="24"/>
        </w:rPr>
        <w:t>.</w:t>
      </w:r>
      <w:r>
        <w:rPr>
          <w:color w:val="auto"/>
          <w:sz w:val="24"/>
        </w:rPr>
        <w:t>4</w:t>
      </w:r>
      <w:r>
        <w:rPr>
          <w:rFonts w:hint="eastAsia"/>
          <w:color w:val="auto"/>
          <w:sz w:val="24"/>
          <w:lang w:val="en-US" w:eastAsia="zh-CN"/>
        </w:rPr>
        <w:t xml:space="preserve"> </w:t>
      </w:r>
      <w:r>
        <w:rPr>
          <w:color w:val="auto"/>
          <w:sz w:val="24"/>
        </w:rPr>
        <w:t>按</w:t>
      </w:r>
      <w:r>
        <w:rPr>
          <w:rFonts w:hint="eastAsia"/>
          <w:color w:val="auto"/>
          <w:sz w:val="24"/>
        </w:rPr>
        <w:t>磋商</w:t>
      </w:r>
      <w:r>
        <w:rPr>
          <w:color w:val="auto"/>
          <w:sz w:val="24"/>
        </w:rPr>
        <w:t>文件中的规定，认定本</w:t>
      </w:r>
      <w:r>
        <w:rPr>
          <w:rFonts w:hint="eastAsia"/>
          <w:color w:val="auto"/>
          <w:sz w:val="24"/>
        </w:rPr>
        <w:t>响应</w:t>
      </w:r>
      <w:r>
        <w:rPr>
          <w:color w:val="auto"/>
          <w:sz w:val="24"/>
        </w:rPr>
        <w:t>文件的有效期为</w:t>
      </w:r>
      <w:r>
        <w:rPr>
          <w:rFonts w:hint="eastAsia"/>
          <w:color w:val="auto"/>
          <w:sz w:val="24"/>
        </w:rPr>
        <w:t>响应文件递交</w:t>
      </w:r>
      <w:r>
        <w:rPr>
          <w:color w:val="auto"/>
          <w:sz w:val="24"/>
        </w:rPr>
        <w:t>截止</w:t>
      </w:r>
      <w:r>
        <w:rPr>
          <w:rFonts w:hint="eastAsia"/>
          <w:color w:val="auto"/>
          <w:sz w:val="24"/>
        </w:rPr>
        <w:t>日</w:t>
      </w:r>
      <w:r>
        <w:rPr>
          <w:color w:val="auto"/>
          <w:sz w:val="24"/>
        </w:rPr>
        <w:t>后</w:t>
      </w:r>
      <w:r>
        <w:rPr>
          <w:rFonts w:hint="eastAsia"/>
          <w:color w:val="auto"/>
          <w:sz w:val="24"/>
          <w:u w:val="single"/>
          <w:lang w:val="en-US" w:eastAsia="zh-CN"/>
        </w:rPr>
        <w:t xml:space="preserve">    </w:t>
      </w:r>
      <w:r>
        <w:rPr>
          <w:rFonts w:hint="eastAsia"/>
          <w:color w:val="auto"/>
          <w:sz w:val="24"/>
        </w:rPr>
        <w:t>日历</w:t>
      </w:r>
      <w:r>
        <w:rPr>
          <w:color w:val="auto"/>
          <w:sz w:val="24"/>
        </w:rPr>
        <w:t>天。本</w:t>
      </w:r>
      <w:r>
        <w:rPr>
          <w:rFonts w:hint="eastAsia"/>
          <w:color w:val="auto"/>
          <w:sz w:val="24"/>
        </w:rPr>
        <w:t>响应</w:t>
      </w:r>
      <w:r>
        <w:rPr>
          <w:color w:val="auto"/>
          <w:sz w:val="24"/>
        </w:rPr>
        <w:t>文件在截止</w:t>
      </w:r>
      <w:r>
        <w:rPr>
          <w:rFonts w:hint="eastAsia"/>
          <w:color w:val="auto"/>
          <w:sz w:val="24"/>
        </w:rPr>
        <w:t>日起即</w:t>
      </w:r>
      <w:r>
        <w:rPr>
          <w:color w:val="auto"/>
          <w:sz w:val="24"/>
        </w:rPr>
        <w:t>对我方</w:t>
      </w:r>
      <w:r>
        <w:rPr>
          <w:rFonts w:hint="eastAsia"/>
          <w:color w:val="auto"/>
          <w:sz w:val="24"/>
        </w:rPr>
        <w:t>具</w:t>
      </w:r>
      <w:r>
        <w:rPr>
          <w:color w:val="auto"/>
          <w:sz w:val="24"/>
        </w:rPr>
        <w:t>有约束力</w:t>
      </w:r>
      <w:r>
        <w:rPr>
          <w:rFonts w:hint="eastAsia"/>
          <w:color w:val="auto"/>
          <w:sz w:val="24"/>
        </w:rPr>
        <w:t>。</w:t>
      </w:r>
    </w:p>
    <w:p w14:paraId="320154E1">
      <w:pPr>
        <w:spacing w:line="360" w:lineRule="auto"/>
        <w:ind w:firstLine="480" w:firstLineChars="200"/>
        <w:rPr>
          <w:color w:val="auto"/>
          <w:sz w:val="24"/>
        </w:rPr>
      </w:pPr>
      <w:r>
        <w:rPr>
          <w:rFonts w:hint="eastAsia"/>
          <w:color w:val="auto"/>
          <w:sz w:val="24"/>
          <w:lang w:val="en-US"/>
        </w:rPr>
        <w:t>2</w:t>
      </w:r>
      <w:r>
        <w:rPr>
          <w:rFonts w:hint="eastAsia"/>
          <w:color w:val="auto"/>
          <w:sz w:val="24"/>
        </w:rPr>
        <w:t>.</w:t>
      </w:r>
      <w:r>
        <w:rPr>
          <w:color w:val="auto"/>
          <w:sz w:val="24"/>
        </w:rPr>
        <w:t>5</w:t>
      </w:r>
      <w:r>
        <w:rPr>
          <w:rFonts w:hint="eastAsia"/>
          <w:color w:val="auto"/>
          <w:sz w:val="24"/>
          <w:lang w:val="en-US" w:eastAsia="zh-CN"/>
        </w:rPr>
        <w:t xml:space="preserve"> </w:t>
      </w:r>
      <w:r>
        <w:rPr>
          <w:color w:val="auto"/>
          <w:sz w:val="24"/>
        </w:rPr>
        <w:t>提供</w:t>
      </w:r>
      <w:r>
        <w:rPr>
          <w:rFonts w:hint="eastAsia"/>
          <w:color w:val="auto"/>
          <w:sz w:val="24"/>
        </w:rPr>
        <w:t>磋商</w:t>
      </w:r>
      <w:r>
        <w:rPr>
          <w:color w:val="auto"/>
          <w:sz w:val="24"/>
        </w:rPr>
        <w:t>文件中要求的所有文件资料。</w:t>
      </w:r>
    </w:p>
    <w:p w14:paraId="4FC17BC9">
      <w:pPr>
        <w:spacing w:line="360" w:lineRule="auto"/>
        <w:ind w:firstLine="480" w:firstLineChars="200"/>
        <w:rPr>
          <w:color w:val="auto"/>
          <w:sz w:val="24"/>
        </w:rPr>
      </w:pPr>
      <w:r>
        <w:rPr>
          <w:rFonts w:hint="eastAsia"/>
          <w:color w:val="auto"/>
          <w:sz w:val="24"/>
          <w:lang w:val="en-US"/>
        </w:rPr>
        <w:t>2</w:t>
      </w:r>
      <w:r>
        <w:rPr>
          <w:rFonts w:hint="eastAsia"/>
          <w:color w:val="auto"/>
          <w:sz w:val="24"/>
        </w:rPr>
        <w:t>.</w:t>
      </w:r>
      <w:r>
        <w:rPr>
          <w:color w:val="auto"/>
          <w:sz w:val="24"/>
        </w:rPr>
        <w:t>6</w:t>
      </w:r>
      <w:r>
        <w:rPr>
          <w:rFonts w:hint="eastAsia"/>
          <w:color w:val="auto"/>
          <w:sz w:val="24"/>
          <w:lang w:val="en-US" w:eastAsia="zh-CN"/>
        </w:rPr>
        <w:t xml:space="preserve"> </w:t>
      </w:r>
      <w:r>
        <w:rPr>
          <w:color w:val="auto"/>
          <w:sz w:val="24"/>
        </w:rPr>
        <w:t>承认报价是评标的重要因素，但不是唯一标准。</w:t>
      </w:r>
      <w:r>
        <w:rPr>
          <w:rFonts w:hint="eastAsia"/>
          <w:color w:val="auto"/>
          <w:sz w:val="24"/>
        </w:rPr>
        <w:t>我方完全理解采购人不一定将合同授予最低报价的供应商的行为。</w:t>
      </w:r>
    </w:p>
    <w:p w14:paraId="223B917F">
      <w:pPr>
        <w:spacing w:line="360" w:lineRule="auto"/>
        <w:ind w:firstLine="480" w:firstLineChars="200"/>
        <w:rPr>
          <w:color w:val="auto"/>
          <w:sz w:val="24"/>
        </w:rPr>
      </w:pPr>
      <w:r>
        <w:rPr>
          <w:rFonts w:hint="eastAsia"/>
          <w:color w:val="auto"/>
          <w:sz w:val="24"/>
          <w:lang w:val="en-US"/>
        </w:rPr>
        <w:t>2</w:t>
      </w:r>
      <w:r>
        <w:rPr>
          <w:rFonts w:hint="eastAsia"/>
          <w:color w:val="auto"/>
          <w:sz w:val="24"/>
        </w:rPr>
        <w:t>.7</w:t>
      </w:r>
      <w:r>
        <w:rPr>
          <w:rFonts w:hint="eastAsia"/>
          <w:color w:val="auto"/>
          <w:sz w:val="24"/>
          <w:lang w:val="en-US" w:eastAsia="zh-CN"/>
        </w:rPr>
        <w:t xml:space="preserve"> </w:t>
      </w:r>
      <w:r>
        <w:rPr>
          <w:color w:val="auto"/>
          <w:sz w:val="24"/>
        </w:rPr>
        <w:t>已经详细审核了全部</w:t>
      </w:r>
      <w:r>
        <w:rPr>
          <w:rFonts w:hint="eastAsia"/>
          <w:color w:val="auto"/>
          <w:sz w:val="24"/>
        </w:rPr>
        <w:t>磋商</w:t>
      </w:r>
      <w:r>
        <w:rPr>
          <w:color w:val="auto"/>
          <w:sz w:val="24"/>
        </w:rPr>
        <w:t>文件，包括修改、补充的文件（如果有的话）和参考资料，我们完全理解并同意放弃对这方面有不明及误解的权利。</w:t>
      </w:r>
    </w:p>
    <w:p w14:paraId="130C13E1">
      <w:pPr>
        <w:spacing w:line="360" w:lineRule="auto"/>
        <w:ind w:firstLine="480" w:firstLineChars="200"/>
        <w:rPr>
          <w:color w:val="auto"/>
          <w:sz w:val="24"/>
        </w:rPr>
      </w:pPr>
      <w:r>
        <w:rPr>
          <w:rFonts w:hint="eastAsia"/>
          <w:color w:val="auto"/>
          <w:sz w:val="24"/>
          <w:lang w:val="en-US"/>
        </w:rPr>
        <w:t>2</w:t>
      </w:r>
      <w:r>
        <w:rPr>
          <w:rFonts w:hint="eastAsia"/>
          <w:color w:val="auto"/>
          <w:sz w:val="24"/>
        </w:rPr>
        <w:t>.8</w:t>
      </w:r>
      <w:r>
        <w:rPr>
          <w:rFonts w:hint="eastAsia"/>
          <w:color w:val="auto"/>
          <w:sz w:val="24"/>
          <w:lang w:val="en-US" w:eastAsia="zh-CN"/>
        </w:rPr>
        <w:t xml:space="preserve"> </w:t>
      </w:r>
      <w:r>
        <w:rPr>
          <w:color w:val="auto"/>
          <w:sz w:val="24"/>
        </w:rPr>
        <w:t>按《中华人民共和国</w:t>
      </w:r>
      <w:r>
        <w:rPr>
          <w:rFonts w:hint="eastAsia"/>
          <w:color w:val="auto"/>
          <w:sz w:val="24"/>
          <w:lang w:eastAsia="zh-CN"/>
        </w:rPr>
        <w:t>民法典</w:t>
      </w:r>
      <w:r>
        <w:rPr>
          <w:color w:val="auto"/>
          <w:sz w:val="24"/>
        </w:rPr>
        <w:t>》履行自己的全部责任。</w:t>
      </w:r>
    </w:p>
    <w:p w14:paraId="57558292">
      <w:pPr>
        <w:spacing w:line="480" w:lineRule="auto"/>
        <w:ind w:firstLine="5520" w:firstLineChars="2300"/>
        <w:rPr>
          <w:rFonts w:hint="eastAsia" w:ascii="宋体" w:hAnsi="宋体" w:eastAsia="宋体" w:cs="宋体"/>
          <w:bCs/>
          <w:color w:val="auto"/>
          <w:sz w:val="24"/>
          <w:szCs w:val="24"/>
          <w:highlight w:val="none"/>
        </w:rPr>
      </w:pPr>
    </w:p>
    <w:p w14:paraId="2DDA7FBF">
      <w:pPr>
        <w:spacing w:line="480" w:lineRule="auto"/>
        <w:ind w:firstLine="5520" w:firstLineChars="2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供应商：（企业电子签章）</w:t>
      </w:r>
    </w:p>
    <w:p w14:paraId="4DB0A3A7">
      <w:pPr>
        <w:spacing w:line="480" w:lineRule="auto"/>
        <w:ind w:firstLine="5520" w:firstLineChars="2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法定代表人：（签章）</w:t>
      </w:r>
    </w:p>
    <w:p w14:paraId="307DEBCB">
      <w:pPr>
        <w:spacing w:line="480" w:lineRule="auto"/>
        <w:ind w:firstLine="5520" w:firstLineChars="2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    年   月   日</w:t>
      </w:r>
    </w:p>
    <w:p w14:paraId="7EC53D70">
      <w:pPr>
        <w:spacing w:line="480" w:lineRule="auto"/>
        <w:rPr>
          <w:rFonts w:hint="eastAsia" w:ascii="宋体" w:hAnsi="宋体" w:eastAsia="宋体" w:cs="宋体"/>
          <w:bCs/>
          <w:color w:val="auto"/>
          <w:sz w:val="22"/>
          <w:highlight w:val="none"/>
        </w:rPr>
      </w:pPr>
    </w:p>
    <w:p w14:paraId="66F13C31">
      <w:pPr>
        <w:spacing w:afterLines="50" w:line="360" w:lineRule="auto"/>
        <w:jc w:val="both"/>
        <w:outlineLvl w:val="1"/>
        <w:rPr>
          <w:rFonts w:hint="eastAsia" w:ascii="宋体" w:hAnsi="宋体" w:cs="宋体"/>
          <w:color w:val="auto"/>
          <w:spacing w:val="-1"/>
          <w:kern w:val="2"/>
          <w:sz w:val="24"/>
          <w:szCs w:val="22"/>
          <w:highlight w:val="none"/>
          <w:lang w:val="en-US" w:eastAsia="zh-CN"/>
        </w:rPr>
      </w:pPr>
      <w:bookmarkStart w:id="181" w:name="_Toc25303"/>
    </w:p>
    <w:bookmarkEnd w:id="181"/>
    <w:p w14:paraId="3FDEC693">
      <w:pPr>
        <w:spacing w:afterLines="50" w:line="360" w:lineRule="auto"/>
        <w:jc w:val="center"/>
        <w:outlineLvl w:val="1"/>
        <w:rPr>
          <w:rFonts w:hint="eastAsia" w:ascii="宋体" w:hAnsi="宋体" w:cs="宋体"/>
          <w:b/>
          <w:bCs/>
          <w:color w:val="auto"/>
          <w:spacing w:val="-1"/>
          <w:kern w:val="2"/>
          <w:sz w:val="24"/>
          <w:szCs w:val="22"/>
          <w:highlight w:val="none"/>
          <w:lang w:val="en-US" w:eastAsia="zh-CN"/>
        </w:rPr>
      </w:pPr>
      <w:bookmarkStart w:id="182" w:name="_Toc361651110"/>
    </w:p>
    <w:p w14:paraId="6DEE01FD">
      <w:pPr>
        <w:spacing w:afterLines="50" w:line="360" w:lineRule="auto"/>
        <w:jc w:val="center"/>
        <w:outlineLvl w:val="1"/>
        <w:rPr>
          <w:rFonts w:hint="eastAsia" w:ascii="宋体" w:hAnsi="宋体" w:cs="宋体"/>
          <w:b/>
          <w:bCs/>
          <w:color w:val="auto"/>
          <w:spacing w:val="-1"/>
          <w:kern w:val="2"/>
          <w:sz w:val="24"/>
          <w:szCs w:val="22"/>
          <w:highlight w:val="none"/>
          <w:lang w:val="en-US" w:eastAsia="zh-CN"/>
        </w:rPr>
      </w:pPr>
    </w:p>
    <w:p w14:paraId="52072290">
      <w:pPr>
        <w:numPr>
          <w:ilvl w:val="0"/>
          <w:numId w:val="8"/>
        </w:numPr>
        <w:autoSpaceDE w:val="0"/>
        <w:autoSpaceDN w:val="0"/>
        <w:adjustRightInd w:val="0"/>
        <w:snapToGrid w:val="0"/>
        <w:spacing w:after="200" w:line="360" w:lineRule="auto"/>
        <w:ind w:left="-178" w:leftChars="-85"/>
        <w:jc w:val="center"/>
        <w:rPr>
          <w:rFonts w:hint="eastAsia" w:ascii="宋体" w:hAnsi="宋体" w:cs="宋体"/>
          <w:b/>
          <w:bCs/>
          <w:color w:val="auto"/>
          <w:spacing w:val="-1"/>
          <w:kern w:val="2"/>
          <w:sz w:val="24"/>
          <w:szCs w:val="22"/>
          <w:highlight w:val="none"/>
        </w:rPr>
      </w:pPr>
      <w:r>
        <w:rPr>
          <w:rFonts w:hint="eastAsia" w:ascii="宋体" w:hAnsi="宋体" w:cs="宋体"/>
          <w:b/>
          <w:bCs/>
          <w:color w:val="auto"/>
          <w:spacing w:val="-1"/>
          <w:kern w:val="2"/>
          <w:sz w:val="24"/>
          <w:szCs w:val="22"/>
          <w:highlight w:val="none"/>
        </w:rPr>
        <w:t>磋商报价表（一次报价）</w:t>
      </w:r>
      <w:bookmarkEnd w:id="182"/>
    </w:p>
    <w:p w14:paraId="4805E395">
      <w:pPr>
        <w:numPr>
          <w:ilvl w:val="0"/>
          <w:numId w:val="0"/>
        </w:numPr>
        <w:autoSpaceDE w:val="0"/>
        <w:autoSpaceDN w:val="0"/>
        <w:adjustRightInd w:val="0"/>
        <w:snapToGrid w:val="0"/>
        <w:spacing w:after="200" w:line="360" w:lineRule="auto"/>
        <w:jc w:val="center"/>
        <w:rPr>
          <w:rFonts w:hint="eastAsia" w:ascii="宋体" w:hAnsi="宋体" w:cs="宋体"/>
          <w:b/>
          <w:bCs/>
          <w:color w:val="auto"/>
          <w:spacing w:val="-1"/>
          <w:kern w:val="2"/>
          <w:sz w:val="24"/>
          <w:szCs w:val="22"/>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1425"/>
        <w:gridCol w:w="3231"/>
      </w:tblGrid>
      <w:tr w14:paraId="74A9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0E602F7">
            <w:pPr>
              <w:spacing w:line="331" w:lineRule="exact"/>
              <w:ind w:right="-239"/>
              <w:jc w:val="center"/>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项目名称</w:t>
            </w:r>
          </w:p>
        </w:tc>
        <w:tc>
          <w:tcPr>
            <w:tcW w:w="6589" w:type="dxa"/>
            <w:gridSpan w:val="3"/>
            <w:tcBorders>
              <w:top w:val="single" w:color="auto" w:sz="4" w:space="0"/>
              <w:left w:val="nil"/>
              <w:bottom w:val="single" w:color="auto" w:sz="4" w:space="0"/>
              <w:right w:val="single" w:color="auto" w:sz="4" w:space="0"/>
            </w:tcBorders>
            <w:noWrap w:val="0"/>
            <w:vAlign w:val="center"/>
          </w:tcPr>
          <w:p w14:paraId="7D987B63">
            <w:pPr>
              <w:spacing w:line="331" w:lineRule="exact"/>
              <w:jc w:val="center"/>
              <w:rPr>
                <w:rFonts w:ascii="宋体" w:hAnsi="宋体" w:cs="宋体"/>
                <w:color w:val="auto"/>
                <w:kern w:val="2"/>
                <w:sz w:val="24"/>
                <w:szCs w:val="22"/>
                <w:highlight w:val="none"/>
              </w:rPr>
            </w:pPr>
          </w:p>
        </w:tc>
      </w:tr>
      <w:tr w14:paraId="38DF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9711100">
            <w:pPr>
              <w:spacing w:line="300" w:lineRule="exact"/>
              <w:ind w:right="-239"/>
              <w:jc w:val="center"/>
              <w:rPr>
                <w:rFonts w:ascii="宋体" w:hAnsi="宋体" w:cs="宋体"/>
                <w:color w:val="auto"/>
                <w:kern w:val="2"/>
                <w:sz w:val="24"/>
                <w:szCs w:val="22"/>
                <w:highlight w:val="none"/>
              </w:rPr>
            </w:pPr>
            <w:r>
              <w:rPr>
                <w:rFonts w:hint="eastAsia" w:ascii="宋体" w:hAnsi="宋体" w:cs="宋体"/>
                <w:color w:val="auto"/>
                <w:sz w:val="24"/>
                <w:szCs w:val="24"/>
                <w:highlight w:val="none"/>
                <w:lang w:val="en-GB"/>
              </w:rPr>
              <w:t>供应商</w:t>
            </w:r>
            <w:r>
              <w:rPr>
                <w:rFonts w:hint="eastAsia" w:ascii="宋体" w:hAnsi="宋体" w:cs="宋体"/>
                <w:color w:val="auto"/>
                <w:spacing w:val="-1"/>
                <w:kern w:val="2"/>
                <w:sz w:val="24"/>
                <w:szCs w:val="22"/>
                <w:highlight w:val="none"/>
              </w:rPr>
              <w:t>名称</w:t>
            </w:r>
          </w:p>
        </w:tc>
        <w:tc>
          <w:tcPr>
            <w:tcW w:w="6589" w:type="dxa"/>
            <w:gridSpan w:val="3"/>
            <w:tcBorders>
              <w:top w:val="single" w:color="auto" w:sz="4" w:space="0"/>
              <w:left w:val="nil"/>
              <w:bottom w:val="single" w:color="auto" w:sz="4" w:space="0"/>
              <w:right w:val="single" w:color="auto" w:sz="4" w:space="0"/>
            </w:tcBorders>
            <w:noWrap w:val="0"/>
            <w:vAlign w:val="center"/>
          </w:tcPr>
          <w:p w14:paraId="6A8BDFEA">
            <w:pPr>
              <w:spacing w:line="300" w:lineRule="exact"/>
              <w:jc w:val="center"/>
              <w:rPr>
                <w:rFonts w:ascii="宋体" w:hAnsi="宋体" w:cs="宋体"/>
                <w:color w:val="auto"/>
                <w:kern w:val="2"/>
                <w:sz w:val="24"/>
                <w:szCs w:val="22"/>
                <w:highlight w:val="none"/>
              </w:rPr>
            </w:pPr>
          </w:p>
        </w:tc>
      </w:tr>
      <w:tr w14:paraId="53B3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F06D4E6">
            <w:pPr>
              <w:spacing w:line="300" w:lineRule="exact"/>
              <w:ind w:right="-239"/>
              <w:jc w:val="center"/>
              <w:rPr>
                <w:rFonts w:ascii="宋体" w:hAnsi="宋体" w:cs="宋体"/>
                <w:color w:val="auto"/>
                <w:spacing w:val="-1"/>
                <w:kern w:val="2"/>
                <w:sz w:val="24"/>
                <w:szCs w:val="22"/>
                <w:highlight w:val="none"/>
              </w:rPr>
            </w:pPr>
            <w:r>
              <w:rPr>
                <w:rFonts w:hint="eastAsia" w:ascii="宋体" w:hAnsi="宋体" w:cs="宋体"/>
                <w:color w:val="auto"/>
                <w:sz w:val="24"/>
                <w:szCs w:val="24"/>
                <w:highlight w:val="none"/>
                <w:lang w:val="en-GB"/>
              </w:rPr>
              <w:t>供应商</w:t>
            </w:r>
            <w:r>
              <w:rPr>
                <w:rFonts w:hint="eastAsia" w:ascii="宋体" w:hAnsi="宋体" w:cs="宋体"/>
                <w:color w:val="auto"/>
                <w:spacing w:val="-1"/>
                <w:kern w:val="2"/>
                <w:sz w:val="24"/>
                <w:szCs w:val="22"/>
                <w:highlight w:val="none"/>
              </w:rPr>
              <w:t>地址</w:t>
            </w:r>
          </w:p>
        </w:tc>
        <w:tc>
          <w:tcPr>
            <w:tcW w:w="6589" w:type="dxa"/>
            <w:gridSpan w:val="3"/>
            <w:tcBorders>
              <w:top w:val="single" w:color="auto" w:sz="4" w:space="0"/>
              <w:left w:val="nil"/>
              <w:bottom w:val="single" w:color="auto" w:sz="4" w:space="0"/>
              <w:right w:val="single" w:color="auto" w:sz="4" w:space="0"/>
            </w:tcBorders>
            <w:noWrap w:val="0"/>
            <w:vAlign w:val="center"/>
          </w:tcPr>
          <w:p w14:paraId="6C35324B">
            <w:pPr>
              <w:spacing w:line="300" w:lineRule="exact"/>
              <w:jc w:val="center"/>
              <w:rPr>
                <w:rFonts w:ascii="宋体" w:hAnsi="宋体" w:cs="宋体"/>
                <w:color w:val="auto"/>
                <w:kern w:val="2"/>
                <w:sz w:val="24"/>
                <w:szCs w:val="22"/>
                <w:highlight w:val="none"/>
              </w:rPr>
            </w:pPr>
          </w:p>
        </w:tc>
      </w:tr>
      <w:tr w14:paraId="1049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1B3FB99">
            <w:pPr>
              <w:spacing w:line="300" w:lineRule="exact"/>
              <w:ind w:right="-239"/>
              <w:jc w:val="center"/>
              <w:rPr>
                <w:rFonts w:ascii="宋体" w:hAnsi="宋体" w:cs="宋体"/>
                <w:color w:val="auto"/>
                <w:spacing w:val="-1"/>
                <w:kern w:val="2"/>
                <w:sz w:val="24"/>
                <w:szCs w:val="22"/>
                <w:highlight w:val="none"/>
              </w:rPr>
            </w:pPr>
            <w:r>
              <w:rPr>
                <w:rFonts w:hint="eastAsia" w:ascii="宋体" w:hAnsi="宋体" w:cs="宋体"/>
                <w:color w:val="auto"/>
                <w:spacing w:val="-1"/>
                <w:kern w:val="2"/>
                <w:sz w:val="24"/>
                <w:szCs w:val="22"/>
                <w:highlight w:val="none"/>
              </w:rPr>
              <w:t>法定代表人姓名</w:t>
            </w:r>
          </w:p>
        </w:tc>
        <w:tc>
          <w:tcPr>
            <w:tcW w:w="6589" w:type="dxa"/>
            <w:gridSpan w:val="3"/>
            <w:tcBorders>
              <w:top w:val="single" w:color="auto" w:sz="4" w:space="0"/>
              <w:left w:val="nil"/>
              <w:bottom w:val="single" w:color="auto" w:sz="4" w:space="0"/>
              <w:right w:val="single" w:color="auto" w:sz="4" w:space="0"/>
            </w:tcBorders>
            <w:noWrap w:val="0"/>
            <w:vAlign w:val="center"/>
          </w:tcPr>
          <w:p w14:paraId="7A0BD70A">
            <w:pPr>
              <w:spacing w:line="300" w:lineRule="exact"/>
              <w:jc w:val="center"/>
              <w:rPr>
                <w:rFonts w:ascii="宋体" w:hAnsi="宋体" w:cs="宋体"/>
                <w:color w:val="auto"/>
                <w:kern w:val="2"/>
                <w:sz w:val="24"/>
                <w:szCs w:val="22"/>
                <w:highlight w:val="none"/>
              </w:rPr>
            </w:pPr>
          </w:p>
        </w:tc>
      </w:tr>
      <w:tr w14:paraId="3E72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A239E9F">
            <w:pPr>
              <w:spacing w:line="300" w:lineRule="exact"/>
              <w:ind w:right="-239"/>
              <w:jc w:val="center"/>
              <w:rPr>
                <w:rFonts w:ascii="宋体" w:hAnsi="宋体" w:cs="宋体"/>
                <w:color w:val="auto"/>
                <w:spacing w:val="-1"/>
                <w:kern w:val="2"/>
                <w:sz w:val="24"/>
                <w:szCs w:val="22"/>
                <w:highlight w:val="none"/>
              </w:rPr>
            </w:pPr>
            <w:r>
              <w:rPr>
                <w:rFonts w:hint="eastAsia" w:ascii="宋体" w:hAnsi="宋体" w:cs="宋体"/>
                <w:color w:val="auto"/>
                <w:spacing w:val="-1"/>
                <w:kern w:val="2"/>
                <w:sz w:val="24"/>
                <w:szCs w:val="22"/>
                <w:highlight w:val="none"/>
              </w:rPr>
              <w:t>统一机构代码</w:t>
            </w:r>
          </w:p>
        </w:tc>
        <w:tc>
          <w:tcPr>
            <w:tcW w:w="6589" w:type="dxa"/>
            <w:gridSpan w:val="3"/>
            <w:tcBorders>
              <w:top w:val="single" w:color="auto" w:sz="4" w:space="0"/>
              <w:left w:val="nil"/>
              <w:bottom w:val="single" w:color="auto" w:sz="4" w:space="0"/>
              <w:right w:val="single" w:color="auto" w:sz="4" w:space="0"/>
            </w:tcBorders>
            <w:noWrap w:val="0"/>
            <w:vAlign w:val="center"/>
          </w:tcPr>
          <w:p w14:paraId="7E94D3F7">
            <w:pPr>
              <w:spacing w:line="300" w:lineRule="exact"/>
              <w:jc w:val="center"/>
              <w:rPr>
                <w:rFonts w:ascii="宋体" w:hAnsi="宋体" w:cs="宋体"/>
                <w:color w:val="auto"/>
                <w:kern w:val="2"/>
                <w:sz w:val="24"/>
                <w:szCs w:val="22"/>
                <w:highlight w:val="none"/>
              </w:rPr>
            </w:pPr>
          </w:p>
        </w:tc>
      </w:tr>
      <w:tr w14:paraId="3175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2BA2E1B">
            <w:pPr>
              <w:spacing w:line="300" w:lineRule="exact"/>
              <w:ind w:right="-239"/>
              <w:jc w:val="center"/>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项目负责人</w:t>
            </w:r>
          </w:p>
        </w:tc>
        <w:tc>
          <w:tcPr>
            <w:tcW w:w="1933" w:type="dxa"/>
            <w:tcBorders>
              <w:top w:val="single" w:color="auto" w:sz="4" w:space="0"/>
              <w:left w:val="nil"/>
              <w:bottom w:val="single" w:color="auto" w:sz="4" w:space="0"/>
              <w:right w:val="single" w:color="auto" w:sz="4" w:space="0"/>
            </w:tcBorders>
            <w:noWrap w:val="0"/>
            <w:vAlign w:val="center"/>
          </w:tcPr>
          <w:p w14:paraId="67530127">
            <w:pPr>
              <w:spacing w:line="300" w:lineRule="exact"/>
              <w:jc w:val="center"/>
              <w:rPr>
                <w:rFonts w:ascii="宋体" w:hAnsi="宋体" w:cs="宋体"/>
                <w:color w:val="auto"/>
                <w:kern w:val="2"/>
                <w:sz w:val="24"/>
                <w:szCs w:val="22"/>
                <w:highlight w:val="none"/>
              </w:rPr>
            </w:pPr>
          </w:p>
        </w:tc>
        <w:tc>
          <w:tcPr>
            <w:tcW w:w="1425" w:type="dxa"/>
            <w:tcBorders>
              <w:top w:val="single" w:color="auto" w:sz="4" w:space="0"/>
              <w:left w:val="nil"/>
              <w:bottom w:val="single" w:color="auto" w:sz="4" w:space="0"/>
              <w:right w:val="single" w:color="auto" w:sz="4" w:space="0"/>
            </w:tcBorders>
            <w:noWrap w:val="0"/>
            <w:vAlign w:val="center"/>
          </w:tcPr>
          <w:p w14:paraId="44BB1084">
            <w:pPr>
              <w:spacing w:line="300" w:lineRule="exact"/>
              <w:ind w:right="-239"/>
              <w:rPr>
                <w:rFonts w:ascii="宋体" w:hAnsi="宋体" w:cs="宋体"/>
                <w:color w:val="auto"/>
                <w:kern w:val="2"/>
                <w:sz w:val="24"/>
                <w:szCs w:val="22"/>
                <w:highlight w:val="none"/>
              </w:rPr>
            </w:pPr>
            <w:r>
              <w:rPr>
                <w:rFonts w:hint="eastAsia" w:ascii="宋体" w:hAnsi="宋体" w:cs="宋体"/>
                <w:color w:val="auto"/>
                <w:kern w:val="2"/>
                <w:sz w:val="24"/>
                <w:szCs w:val="22"/>
                <w:highlight w:val="none"/>
              </w:rPr>
              <w:t>联系方式</w:t>
            </w:r>
          </w:p>
        </w:tc>
        <w:tc>
          <w:tcPr>
            <w:tcW w:w="3231" w:type="dxa"/>
            <w:tcBorders>
              <w:top w:val="single" w:color="auto" w:sz="4" w:space="0"/>
              <w:left w:val="nil"/>
              <w:bottom w:val="single" w:color="auto" w:sz="4" w:space="0"/>
              <w:right w:val="single" w:color="auto" w:sz="4" w:space="0"/>
            </w:tcBorders>
            <w:noWrap w:val="0"/>
            <w:vAlign w:val="center"/>
          </w:tcPr>
          <w:p w14:paraId="3AA4B13E">
            <w:pPr>
              <w:spacing w:line="300" w:lineRule="exact"/>
              <w:jc w:val="center"/>
              <w:rPr>
                <w:rFonts w:ascii="宋体" w:hAnsi="宋体" w:cs="宋体"/>
                <w:color w:val="auto"/>
                <w:kern w:val="2"/>
                <w:sz w:val="24"/>
                <w:szCs w:val="22"/>
                <w:highlight w:val="none"/>
              </w:rPr>
            </w:pPr>
          </w:p>
        </w:tc>
      </w:tr>
      <w:tr w14:paraId="6AC7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6EFAA9C">
            <w:pPr>
              <w:spacing w:line="295" w:lineRule="exact"/>
              <w:ind w:right="-239"/>
              <w:jc w:val="center"/>
              <w:rPr>
                <w:rFonts w:hint="default" w:ascii="宋体" w:hAnsi="宋体" w:eastAsia="宋体" w:cs="宋体"/>
                <w:color w:val="auto"/>
                <w:kern w:val="2"/>
                <w:sz w:val="24"/>
                <w:szCs w:val="22"/>
                <w:highlight w:val="none"/>
                <w:lang w:val="en-US" w:eastAsia="zh-CN"/>
              </w:rPr>
            </w:pPr>
            <w:r>
              <w:rPr>
                <w:rFonts w:hint="eastAsia" w:ascii="宋体" w:hAnsi="宋体" w:cs="宋体"/>
                <w:color w:val="auto"/>
                <w:kern w:val="2"/>
                <w:sz w:val="24"/>
                <w:szCs w:val="22"/>
                <w:highlight w:val="none"/>
                <w:lang w:val="en-US" w:eastAsia="zh-CN"/>
              </w:rPr>
              <w:t>服务内容</w:t>
            </w:r>
          </w:p>
        </w:tc>
        <w:tc>
          <w:tcPr>
            <w:tcW w:w="6589" w:type="dxa"/>
            <w:gridSpan w:val="3"/>
            <w:tcBorders>
              <w:top w:val="single" w:color="auto" w:sz="4" w:space="0"/>
              <w:left w:val="nil"/>
              <w:bottom w:val="single" w:color="auto" w:sz="4" w:space="0"/>
              <w:right w:val="single" w:color="auto" w:sz="4" w:space="0"/>
            </w:tcBorders>
            <w:noWrap w:val="0"/>
            <w:vAlign w:val="center"/>
          </w:tcPr>
          <w:p w14:paraId="725CAB86">
            <w:pPr>
              <w:spacing w:line="295" w:lineRule="exact"/>
              <w:jc w:val="center"/>
              <w:rPr>
                <w:rFonts w:ascii="宋体" w:hAnsi="宋体" w:cs="宋体"/>
                <w:color w:val="auto"/>
                <w:kern w:val="2"/>
                <w:sz w:val="24"/>
                <w:szCs w:val="22"/>
                <w:highlight w:val="none"/>
                <w:u w:val="single"/>
              </w:rPr>
            </w:pPr>
          </w:p>
        </w:tc>
      </w:tr>
      <w:tr w14:paraId="7A14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374A679">
            <w:pPr>
              <w:spacing w:line="307" w:lineRule="exact"/>
              <w:ind w:right="-239"/>
              <w:jc w:val="center"/>
              <w:rPr>
                <w:rFonts w:hint="eastAsia" w:ascii="宋体" w:hAnsi="宋体" w:cs="宋体"/>
                <w:color w:val="auto"/>
                <w:spacing w:val="-1"/>
                <w:kern w:val="2"/>
                <w:sz w:val="24"/>
                <w:szCs w:val="22"/>
                <w:highlight w:val="none"/>
              </w:rPr>
            </w:pPr>
            <w:r>
              <w:rPr>
                <w:rFonts w:hint="eastAsia" w:ascii="宋体" w:hAnsi="宋体" w:cs="宋体"/>
                <w:color w:val="auto"/>
                <w:spacing w:val="10"/>
                <w:kern w:val="2"/>
                <w:sz w:val="24"/>
                <w:szCs w:val="24"/>
                <w:highlight w:val="none"/>
                <w:lang w:eastAsia="zh-CN"/>
              </w:rPr>
              <w:t>服务期限</w:t>
            </w:r>
          </w:p>
        </w:tc>
        <w:tc>
          <w:tcPr>
            <w:tcW w:w="6589" w:type="dxa"/>
            <w:gridSpan w:val="3"/>
            <w:tcBorders>
              <w:top w:val="single" w:color="auto" w:sz="4" w:space="0"/>
              <w:left w:val="nil"/>
              <w:bottom w:val="single" w:color="auto" w:sz="4" w:space="0"/>
              <w:right w:val="single" w:color="auto" w:sz="4" w:space="0"/>
            </w:tcBorders>
            <w:noWrap w:val="0"/>
            <w:vAlign w:val="center"/>
          </w:tcPr>
          <w:p w14:paraId="4A5BFAAB">
            <w:pPr>
              <w:spacing w:line="307" w:lineRule="exact"/>
              <w:ind w:left="108" w:right="-239"/>
              <w:rPr>
                <w:rFonts w:hint="eastAsia" w:ascii="宋体" w:hAnsi="宋体" w:cs="宋体"/>
                <w:color w:val="auto"/>
                <w:spacing w:val="-1"/>
                <w:kern w:val="2"/>
                <w:sz w:val="24"/>
                <w:szCs w:val="22"/>
                <w:highlight w:val="none"/>
              </w:rPr>
            </w:pPr>
          </w:p>
        </w:tc>
      </w:tr>
      <w:tr w14:paraId="1559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279E08E">
            <w:pPr>
              <w:spacing w:line="307" w:lineRule="exact"/>
              <w:ind w:right="-239"/>
              <w:jc w:val="center"/>
              <w:rPr>
                <w:rFonts w:hint="default" w:ascii="宋体" w:hAnsi="宋体" w:cs="宋体"/>
                <w:color w:val="auto"/>
                <w:spacing w:val="10"/>
                <w:kern w:val="2"/>
                <w:sz w:val="24"/>
                <w:szCs w:val="24"/>
                <w:highlight w:val="none"/>
                <w:lang w:val="en-US" w:eastAsia="zh-CN"/>
              </w:rPr>
            </w:pPr>
            <w:r>
              <w:rPr>
                <w:rFonts w:hint="eastAsia" w:ascii="宋体" w:hAnsi="宋体" w:cs="宋体"/>
                <w:color w:val="auto"/>
                <w:spacing w:val="10"/>
                <w:kern w:val="2"/>
                <w:sz w:val="24"/>
                <w:szCs w:val="24"/>
                <w:highlight w:val="none"/>
                <w:lang w:val="en-US" w:eastAsia="zh-CN"/>
              </w:rPr>
              <w:t>磋商范围</w:t>
            </w:r>
          </w:p>
        </w:tc>
        <w:tc>
          <w:tcPr>
            <w:tcW w:w="6589" w:type="dxa"/>
            <w:gridSpan w:val="3"/>
            <w:tcBorders>
              <w:top w:val="single" w:color="auto" w:sz="4" w:space="0"/>
              <w:left w:val="nil"/>
              <w:bottom w:val="single" w:color="auto" w:sz="4" w:space="0"/>
              <w:right w:val="single" w:color="auto" w:sz="4" w:space="0"/>
            </w:tcBorders>
            <w:noWrap w:val="0"/>
            <w:vAlign w:val="center"/>
          </w:tcPr>
          <w:p w14:paraId="0964F065">
            <w:pPr>
              <w:spacing w:line="307" w:lineRule="exact"/>
              <w:ind w:left="108" w:right="-239"/>
              <w:rPr>
                <w:rFonts w:hint="eastAsia" w:ascii="宋体" w:hAnsi="宋体" w:cs="宋体"/>
                <w:color w:val="auto"/>
                <w:spacing w:val="-1"/>
                <w:kern w:val="2"/>
                <w:sz w:val="24"/>
                <w:szCs w:val="22"/>
                <w:highlight w:val="none"/>
              </w:rPr>
            </w:pPr>
          </w:p>
        </w:tc>
      </w:tr>
      <w:tr w14:paraId="419D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FC09AA9">
            <w:pPr>
              <w:spacing w:line="307" w:lineRule="exact"/>
              <w:ind w:right="-239"/>
              <w:jc w:val="center"/>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磋商总报价</w:t>
            </w:r>
          </w:p>
        </w:tc>
        <w:tc>
          <w:tcPr>
            <w:tcW w:w="6589" w:type="dxa"/>
            <w:gridSpan w:val="3"/>
            <w:tcBorders>
              <w:top w:val="single" w:color="auto" w:sz="4" w:space="0"/>
              <w:left w:val="nil"/>
              <w:bottom w:val="single" w:color="auto" w:sz="4" w:space="0"/>
              <w:right w:val="single" w:color="auto" w:sz="4" w:space="0"/>
            </w:tcBorders>
            <w:noWrap w:val="0"/>
            <w:vAlign w:val="center"/>
          </w:tcPr>
          <w:p w14:paraId="2A765F4F">
            <w:pPr>
              <w:spacing w:line="240" w:lineRule="exact"/>
              <w:ind w:left="108" w:right="-239"/>
              <w:jc w:val="center"/>
              <w:rPr>
                <w:rFonts w:ascii="宋体" w:hAnsi="宋体" w:cs="宋体"/>
                <w:color w:val="auto"/>
                <w:kern w:val="2"/>
                <w:sz w:val="24"/>
                <w:szCs w:val="22"/>
                <w:highlight w:val="none"/>
              </w:rPr>
            </w:pPr>
          </w:p>
          <w:p w14:paraId="27DBD587">
            <w:pPr>
              <w:spacing w:line="307" w:lineRule="exact"/>
              <w:ind w:left="108" w:right="-239"/>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大写：</w:t>
            </w:r>
            <w:r>
              <w:rPr>
                <w:rFonts w:hint="eastAsia" w:ascii="宋体" w:hAnsi="宋体" w:cs="宋体"/>
                <w:color w:val="auto"/>
                <w:spacing w:val="4"/>
                <w:kern w:val="2"/>
                <w:sz w:val="24"/>
                <w:szCs w:val="22"/>
                <w:highlight w:val="none"/>
              </w:rPr>
              <w:t xml:space="preserve">       </w:t>
            </w:r>
          </w:p>
          <w:p w14:paraId="453082EF">
            <w:pPr>
              <w:spacing w:line="307" w:lineRule="exact"/>
              <w:ind w:left="108" w:right="-239"/>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小写：</w:t>
            </w:r>
            <w:r>
              <w:rPr>
                <w:rFonts w:hint="eastAsia" w:ascii="宋体" w:hAnsi="宋体" w:cs="宋体"/>
                <w:color w:val="auto"/>
                <w:spacing w:val="4"/>
                <w:kern w:val="2"/>
                <w:sz w:val="24"/>
                <w:szCs w:val="22"/>
                <w:highlight w:val="none"/>
              </w:rPr>
              <w:t xml:space="preserve">      </w:t>
            </w:r>
          </w:p>
        </w:tc>
      </w:tr>
      <w:tr w14:paraId="154B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24FF5A4">
            <w:pPr>
              <w:spacing w:line="427" w:lineRule="exact"/>
              <w:ind w:right="-239"/>
              <w:jc w:val="center"/>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磋商有效期</w:t>
            </w:r>
          </w:p>
        </w:tc>
        <w:tc>
          <w:tcPr>
            <w:tcW w:w="6589" w:type="dxa"/>
            <w:gridSpan w:val="3"/>
            <w:tcBorders>
              <w:top w:val="single" w:color="auto" w:sz="4" w:space="0"/>
              <w:left w:val="nil"/>
              <w:bottom w:val="single" w:color="auto" w:sz="4" w:space="0"/>
              <w:right w:val="single" w:color="auto" w:sz="4" w:space="0"/>
            </w:tcBorders>
            <w:noWrap w:val="0"/>
            <w:vAlign w:val="center"/>
          </w:tcPr>
          <w:p w14:paraId="37EA4891">
            <w:pPr>
              <w:spacing w:line="423" w:lineRule="exact"/>
              <w:ind w:right="-239"/>
              <w:rPr>
                <w:rFonts w:ascii="宋体" w:hAnsi="宋体" w:cs="宋体"/>
                <w:color w:val="auto"/>
                <w:kern w:val="2"/>
                <w:sz w:val="24"/>
                <w:szCs w:val="22"/>
                <w:highlight w:val="none"/>
              </w:rPr>
            </w:pPr>
          </w:p>
        </w:tc>
      </w:tr>
      <w:tr w14:paraId="1C53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7BBF83B">
            <w:pPr>
              <w:adjustRightInd w:val="0"/>
              <w:snapToGrid w:val="0"/>
              <w:spacing w:line="400" w:lineRule="exact"/>
              <w:jc w:val="center"/>
              <w:rPr>
                <w:rFonts w:ascii="宋体" w:hAnsi="宋体" w:cs="宋体"/>
                <w:b/>
                <w:color w:val="auto"/>
                <w:kern w:val="2"/>
                <w:sz w:val="24"/>
                <w:szCs w:val="22"/>
                <w:highlight w:val="none"/>
              </w:rPr>
            </w:pPr>
            <w:r>
              <w:rPr>
                <w:rFonts w:hint="eastAsia" w:ascii="宋体" w:hAnsi="宋体" w:cs="宋体"/>
                <w:bCs/>
                <w:color w:val="auto"/>
                <w:kern w:val="2"/>
                <w:sz w:val="24"/>
                <w:szCs w:val="22"/>
                <w:highlight w:val="none"/>
              </w:rPr>
              <w:t>备注</w:t>
            </w:r>
          </w:p>
        </w:tc>
        <w:tc>
          <w:tcPr>
            <w:tcW w:w="6589" w:type="dxa"/>
            <w:gridSpan w:val="3"/>
            <w:tcBorders>
              <w:top w:val="single" w:color="auto" w:sz="4" w:space="0"/>
              <w:left w:val="nil"/>
              <w:bottom w:val="single" w:color="auto" w:sz="4" w:space="0"/>
              <w:right w:val="single" w:color="auto" w:sz="4" w:space="0"/>
            </w:tcBorders>
            <w:noWrap w:val="0"/>
            <w:vAlign w:val="center"/>
          </w:tcPr>
          <w:p w14:paraId="4E643E69">
            <w:pPr>
              <w:suppressAutoHyphens/>
              <w:snapToGrid w:val="0"/>
              <w:spacing w:line="400" w:lineRule="exact"/>
              <w:rPr>
                <w:rFonts w:ascii="宋体" w:hAnsi="宋体" w:cs="宋体"/>
                <w:b/>
                <w:color w:val="auto"/>
                <w:kern w:val="2"/>
                <w:sz w:val="24"/>
                <w:szCs w:val="22"/>
                <w:highlight w:val="none"/>
              </w:rPr>
            </w:pPr>
          </w:p>
        </w:tc>
      </w:tr>
    </w:tbl>
    <w:p w14:paraId="553ED15B">
      <w:pPr>
        <w:widowControl w:val="0"/>
        <w:autoSpaceDE w:val="0"/>
        <w:autoSpaceDN w:val="0"/>
        <w:adjustRightInd w:val="0"/>
        <w:spacing w:line="360" w:lineRule="auto"/>
        <w:ind w:firstLine="520" w:firstLineChars="200"/>
        <w:rPr>
          <w:rFonts w:ascii="宋体" w:hAnsi="宋体" w:cs="宋体"/>
          <w:color w:val="auto"/>
          <w:sz w:val="24"/>
          <w:szCs w:val="24"/>
          <w:highlight w:val="none"/>
          <w:lang w:val="en-GB"/>
        </w:rPr>
      </w:pPr>
      <w:r>
        <w:rPr>
          <w:rFonts w:hint="eastAsia" w:ascii="宋体" w:hAnsi="宋体" w:cs="宋体"/>
          <w:color w:val="auto"/>
          <w:spacing w:val="10"/>
          <w:sz w:val="24"/>
          <w:szCs w:val="24"/>
          <w:highlight w:val="none"/>
        </w:rPr>
        <w:t>表中内容不允许缺项。</w:t>
      </w:r>
    </w:p>
    <w:p w14:paraId="6BF1BA02">
      <w:pPr>
        <w:autoSpaceDE w:val="0"/>
        <w:autoSpaceDN w:val="0"/>
        <w:adjustRightInd w:val="0"/>
        <w:snapToGrid w:val="0"/>
        <w:spacing w:after="200" w:line="360" w:lineRule="auto"/>
        <w:ind w:firstLine="1920" w:firstLineChars="800"/>
        <w:rPr>
          <w:rFonts w:hint="eastAsia" w:ascii="宋体" w:hAnsi="宋体" w:cs="宋体"/>
          <w:color w:val="auto"/>
          <w:sz w:val="24"/>
          <w:szCs w:val="24"/>
          <w:highlight w:val="none"/>
          <w:lang w:val="en-GB"/>
        </w:rPr>
      </w:pPr>
    </w:p>
    <w:p w14:paraId="4F15488F">
      <w:pPr>
        <w:autoSpaceDE w:val="0"/>
        <w:autoSpaceDN w:val="0"/>
        <w:adjustRightInd w:val="0"/>
        <w:snapToGrid w:val="0"/>
        <w:spacing w:after="200" w:line="360" w:lineRule="auto"/>
        <w:ind w:firstLine="2640" w:firstLineChars="11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供应商：</w:t>
      </w:r>
      <w:r>
        <w:rPr>
          <w:rFonts w:hint="eastAsia" w:ascii="宋体" w:hAnsi="宋体" w:cs="宋体"/>
          <w:color w:val="auto"/>
          <w:sz w:val="24"/>
          <w:szCs w:val="24"/>
          <w:highlight w:val="none"/>
          <w:u w:val="single"/>
          <w:lang w:val="en-GB"/>
        </w:rPr>
        <w:t xml:space="preserve">                         </w:t>
      </w:r>
      <w:r>
        <w:rPr>
          <w:rFonts w:hint="eastAsia" w:ascii="宋体" w:hAnsi="宋体" w:cs="宋体"/>
          <w:color w:val="auto"/>
          <w:sz w:val="24"/>
          <w:szCs w:val="24"/>
          <w:highlight w:val="none"/>
          <w:lang w:val="en-GB"/>
        </w:rPr>
        <w:t>（</w:t>
      </w:r>
      <w:r>
        <w:rPr>
          <w:rFonts w:hint="eastAsia" w:ascii="宋体" w:hAnsi="宋体" w:eastAsia="宋体" w:cs="宋体"/>
          <w:bCs/>
          <w:color w:val="auto"/>
          <w:sz w:val="24"/>
          <w:szCs w:val="24"/>
          <w:highlight w:val="none"/>
        </w:rPr>
        <w:t>企业电子签章</w:t>
      </w:r>
      <w:r>
        <w:rPr>
          <w:rFonts w:hint="eastAsia" w:ascii="宋体" w:hAnsi="宋体" w:cs="宋体"/>
          <w:color w:val="auto"/>
          <w:sz w:val="24"/>
          <w:szCs w:val="24"/>
          <w:highlight w:val="none"/>
          <w:lang w:val="en-GB"/>
        </w:rPr>
        <w:t>）</w:t>
      </w:r>
    </w:p>
    <w:p w14:paraId="4DDA6B96">
      <w:pPr>
        <w:autoSpaceDE w:val="0"/>
        <w:autoSpaceDN w:val="0"/>
        <w:adjustRightInd w:val="0"/>
        <w:snapToGrid w:val="0"/>
        <w:spacing w:after="200" w:line="360" w:lineRule="auto"/>
        <w:ind w:firstLine="2640" w:firstLineChars="11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法定代表人或授权委托人：</w:t>
      </w:r>
      <w:r>
        <w:rPr>
          <w:rFonts w:hint="eastAsia" w:ascii="宋体" w:hAnsi="宋体" w:cs="宋体"/>
          <w:color w:val="auto"/>
          <w:sz w:val="24"/>
          <w:szCs w:val="24"/>
          <w:highlight w:val="none"/>
          <w:u w:val="single"/>
          <w:lang w:val="en-GB"/>
        </w:rPr>
        <w:t xml:space="preserve">           </w:t>
      </w:r>
      <w:r>
        <w:rPr>
          <w:rFonts w:hint="eastAsia" w:ascii="宋体" w:hAnsi="宋体" w:cs="宋体"/>
          <w:color w:val="auto"/>
          <w:sz w:val="24"/>
          <w:szCs w:val="24"/>
          <w:highlight w:val="none"/>
          <w:lang w:val="en-GB"/>
        </w:rPr>
        <w:t>（签章）</w:t>
      </w:r>
    </w:p>
    <w:p w14:paraId="4389665C">
      <w:pPr>
        <w:spacing w:line="480" w:lineRule="auto"/>
        <w:ind w:firstLine="2880" w:firstLineChars="1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        年      月      日</w:t>
      </w:r>
    </w:p>
    <w:p w14:paraId="576FC711">
      <w:pPr>
        <w:autoSpaceDE w:val="0"/>
        <w:autoSpaceDN w:val="0"/>
        <w:adjustRightInd w:val="0"/>
        <w:snapToGrid w:val="0"/>
        <w:spacing w:after="200" w:line="360" w:lineRule="auto"/>
        <w:rPr>
          <w:rFonts w:ascii="宋体" w:hAnsi="宋体" w:cs="宋体"/>
          <w:color w:val="auto"/>
          <w:sz w:val="24"/>
          <w:szCs w:val="24"/>
          <w:highlight w:val="none"/>
          <w:lang w:val="en-GB"/>
        </w:rPr>
      </w:pPr>
    </w:p>
    <w:p w14:paraId="2CF763DB">
      <w:pPr>
        <w:spacing w:line="480" w:lineRule="exact"/>
        <w:jc w:val="both"/>
        <w:outlineLvl w:val="0"/>
        <w:rPr>
          <w:rFonts w:hint="eastAsia" w:ascii="宋体" w:hAnsi="宋体" w:eastAsia="宋体" w:cs="宋体"/>
          <w:b/>
          <w:color w:val="auto"/>
          <w:kern w:val="2"/>
          <w:sz w:val="24"/>
          <w:szCs w:val="24"/>
          <w:highlight w:val="none"/>
        </w:rPr>
      </w:pPr>
      <w:bookmarkStart w:id="183" w:name="_Toc148365111"/>
      <w:bookmarkStart w:id="184" w:name="_Toc20257"/>
      <w:bookmarkStart w:id="185" w:name="_Toc148365438"/>
    </w:p>
    <w:p w14:paraId="35BDB804">
      <w:pPr>
        <w:jc w:val="center"/>
        <w:rPr>
          <w:rFonts w:hint="eastAsia" w:ascii="宋体" w:hAnsi="宋体" w:eastAsia="宋体" w:cs="宋体"/>
          <w:b/>
          <w:bCs/>
          <w:color w:val="auto"/>
          <w:kern w:val="2"/>
          <w:sz w:val="24"/>
          <w:szCs w:val="24"/>
          <w:highlight w:val="none"/>
        </w:rPr>
      </w:pPr>
      <w:bookmarkStart w:id="186" w:name="_Toc15276"/>
      <w:r>
        <w:rPr>
          <w:rFonts w:hint="eastAsia" w:ascii="宋体" w:hAnsi="宋体" w:eastAsia="宋体" w:cs="宋体"/>
          <w:b/>
          <w:color w:val="auto"/>
          <w:kern w:val="2"/>
          <w:sz w:val="24"/>
          <w:szCs w:val="24"/>
          <w:highlight w:val="none"/>
        </w:rPr>
        <w:t>二、法定代表人身份证明</w:t>
      </w:r>
      <w:bookmarkEnd w:id="183"/>
      <w:bookmarkEnd w:id="184"/>
      <w:bookmarkEnd w:id="185"/>
      <w:bookmarkEnd w:id="186"/>
    </w:p>
    <w:p w14:paraId="6C0F05C5">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p>
    <w:p w14:paraId="79585763">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单位性质：</w:t>
      </w:r>
    </w:p>
    <w:p w14:paraId="08FD1ECE">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地址：</w:t>
      </w:r>
    </w:p>
    <w:p w14:paraId="7D1AF1DC">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成立时间： 年 月 日</w:t>
      </w:r>
    </w:p>
    <w:p w14:paraId="5EA95769">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经营期限：</w:t>
      </w:r>
    </w:p>
    <w:p w14:paraId="10A2EC5E">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姓名： 性别： 年龄：职务：</w:t>
      </w:r>
    </w:p>
    <w:p w14:paraId="17FC0553">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系（供应商名称）的法定代表人。</w:t>
      </w:r>
    </w:p>
    <w:p w14:paraId="2B588121">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特此证明。</w:t>
      </w:r>
    </w:p>
    <w:p w14:paraId="67D842D8">
      <w:pPr>
        <w:spacing w:line="480" w:lineRule="auto"/>
        <w:ind w:firstLine="2916" w:firstLineChars="1215"/>
        <w:rPr>
          <w:rFonts w:hint="eastAsia" w:ascii="宋体" w:hAnsi="宋体" w:eastAsia="宋体" w:cs="宋体"/>
          <w:color w:val="auto"/>
          <w:kern w:val="2"/>
          <w:sz w:val="24"/>
          <w:szCs w:val="24"/>
          <w:highlight w:val="none"/>
        </w:rPr>
      </w:pPr>
    </w:p>
    <w:p w14:paraId="5E2554F2">
      <w:pPr>
        <w:spacing w:line="480" w:lineRule="exact"/>
        <w:ind w:firstLine="480" w:firstLineChars="200"/>
        <w:jc w:val="center"/>
        <w:rPr>
          <w:rFonts w:hint="eastAsia" w:ascii="宋体" w:hAnsi="宋体" w:eastAsia="宋体" w:cs="宋体"/>
          <w:color w:val="auto"/>
          <w:kern w:val="2"/>
          <w:sz w:val="24"/>
          <w:szCs w:val="24"/>
          <w:highlight w:val="none"/>
        </w:rPr>
      </w:pPr>
    </w:p>
    <w:p w14:paraId="4E573784">
      <w:pPr>
        <w:spacing w:line="600" w:lineRule="auto"/>
        <w:ind w:firstLine="3880" w:firstLineChars="161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供应商：(企业电子签章)</w:t>
      </w:r>
    </w:p>
    <w:p w14:paraId="71F90F46">
      <w:pPr>
        <w:spacing w:line="600" w:lineRule="auto"/>
        <w:ind w:firstLine="3880" w:firstLineChars="161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年   月   日</w:t>
      </w:r>
    </w:p>
    <w:p w14:paraId="3D44F3B0">
      <w:pPr>
        <w:spacing w:line="480" w:lineRule="auto"/>
        <w:ind w:firstLine="480"/>
        <w:rPr>
          <w:rFonts w:hint="eastAsia" w:ascii="宋体" w:hAnsi="宋体" w:eastAsia="宋体" w:cs="宋体"/>
          <w:bCs/>
          <w:color w:val="auto"/>
          <w:sz w:val="22"/>
          <w:highlight w:val="none"/>
        </w:rPr>
      </w:pPr>
    </w:p>
    <w:p w14:paraId="6E2C848C">
      <w:pPr>
        <w:spacing w:line="480" w:lineRule="auto"/>
        <w:ind w:firstLine="480"/>
        <w:rPr>
          <w:rFonts w:hint="eastAsia" w:ascii="宋体" w:hAnsi="宋体" w:eastAsia="宋体" w:cs="宋体"/>
          <w:bCs/>
          <w:color w:val="auto"/>
          <w:sz w:val="22"/>
          <w:highlight w:val="none"/>
        </w:rPr>
      </w:pPr>
    </w:p>
    <w:p w14:paraId="3E0AF6AC">
      <w:pPr>
        <w:spacing w:line="480" w:lineRule="auto"/>
        <w:ind w:firstLine="480"/>
        <w:rPr>
          <w:rFonts w:hint="eastAsia" w:ascii="宋体" w:hAnsi="宋体" w:eastAsia="宋体" w:cs="宋体"/>
          <w:bCs/>
          <w:color w:val="auto"/>
          <w:sz w:val="22"/>
          <w:highlight w:val="none"/>
        </w:rPr>
        <w:sectPr>
          <w:headerReference r:id="rId5" w:type="default"/>
          <w:footerReference r:id="rId6" w:type="default"/>
          <w:pgSz w:w="11906" w:h="16838"/>
          <w:pgMar w:top="1418" w:right="1134" w:bottom="1418" w:left="1134" w:header="851" w:footer="992" w:gutter="0"/>
          <w:pgNumType w:fmt="decimal"/>
          <w:cols w:space="720" w:num="1"/>
          <w:docGrid w:type="lines" w:linePitch="312" w:charSpace="0"/>
        </w:sectPr>
      </w:pPr>
    </w:p>
    <w:p w14:paraId="4C676D96">
      <w:pPr>
        <w:rPr>
          <w:rFonts w:hint="eastAsia"/>
          <w:color w:val="auto"/>
          <w:highlight w:val="none"/>
        </w:rPr>
      </w:pPr>
    </w:p>
    <w:p w14:paraId="62B66A24">
      <w:pPr>
        <w:spacing w:line="480" w:lineRule="exact"/>
        <w:jc w:val="center"/>
        <w:outlineLvl w:val="0"/>
        <w:rPr>
          <w:rFonts w:ascii="宋体" w:hAnsi="宋体"/>
          <w:b/>
          <w:bCs/>
          <w:color w:val="auto"/>
          <w:kern w:val="2"/>
          <w:sz w:val="24"/>
          <w:szCs w:val="24"/>
          <w:highlight w:val="none"/>
        </w:rPr>
      </w:pPr>
      <w:bookmarkStart w:id="187" w:name="_Toc148365439"/>
      <w:bookmarkStart w:id="188" w:name="_Toc16371"/>
      <w:bookmarkStart w:id="189" w:name="_Toc5964"/>
      <w:bookmarkStart w:id="190" w:name="_Toc148365112"/>
      <w:r>
        <w:rPr>
          <w:rFonts w:hint="eastAsia" w:ascii="宋体" w:hAnsi="宋体" w:cs="宋体"/>
          <w:b/>
          <w:color w:val="auto"/>
          <w:kern w:val="2"/>
          <w:sz w:val="24"/>
          <w:szCs w:val="24"/>
          <w:highlight w:val="none"/>
        </w:rPr>
        <w:t>三、授权委托书</w:t>
      </w:r>
      <w:bookmarkEnd w:id="187"/>
      <w:bookmarkEnd w:id="188"/>
      <w:bookmarkEnd w:id="189"/>
      <w:bookmarkEnd w:id="190"/>
    </w:p>
    <w:p w14:paraId="7F9E074B">
      <w:pPr>
        <w:topLinePunct/>
        <w:spacing w:line="480" w:lineRule="exact"/>
        <w:ind w:firstLine="480" w:firstLineChars="200"/>
        <w:rPr>
          <w:rFonts w:ascii="宋体" w:hAnsi="宋体"/>
          <w:color w:val="auto"/>
          <w:kern w:val="2"/>
          <w:sz w:val="24"/>
          <w:szCs w:val="24"/>
          <w:highlight w:val="none"/>
        </w:rPr>
      </w:pPr>
      <w:r>
        <w:rPr>
          <w:rFonts w:ascii="宋体" w:hAnsi="宋体"/>
          <w:color w:val="auto"/>
          <w:kern w:val="2"/>
          <w:sz w:val="24"/>
          <w:szCs w:val="24"/>
          <w:highlight w:val="none"/>
        </w:rPr>
        <w:t>本人</w:t>
      </w:r>
      <w:r>
        <w:rPr>
          <w:rFonts w:ascii="宋体" w:hAnsi="宋体"/>
          <w:color w:val="auto"/>
          <w:kern w:val="2"/>
          <w:sz w:val="24"/>
          <w:szCs w:val="24"/>
          <w:highlight w:val="none"/>
          <w:u w:val="single"/>
        </w:rPr>
        <w:t>（姓名）</w:t>
      </w:r>
      <w:r>
        <w:rPr>
          <w:rFonts w:ascii="宋体" w:hAnsi="宋体"/>
          <w:color w:val="auto"/>
          <w:kern w:val="2"/>
          <w:sz w:val="24"/>
          <w:szCs w:val="24"/>
          <w:highlight w:val="none"/>
        </w:rPr>
        <w:t>系</w:t>
      </w:r>
      <w:r>
        <w:rPr>
          <w:rFonts w:ascii="宋体" w:hAnsi="宋体"/>
          <w:color w:val="auto"/>
          <w:kern w:val="2"/>
          <w:sz w:val="24"/>
          <w:szCs w:val="24"/>
          <w:highlight w:val="none"/>
          <w:u w:val="single"/>
        </w:rPr>
        <w:t>（</w:t>
      </w:r>
      <w:r>
        <w:rPr>
          <w:rFonts w:hint="eastAsia" w:ascii="宋体" w:hAnsi="宋体"/>
          <w:color w:val="auto"/>
          <w:kern w:val="2"/>
          <w:sz w:val="24"/>
          <w:szCs w:val="24"/>
          <w:highlight w:val="none"/>
          <w:u w:val="single"/>
        </w:rPr>
        <w:t>供应商</w:t>
      </w:r>
      <w:r>
        <w:rPr>
          <w:rFonts w:ascii="宋体" w:hAnsi="宋体"/>
          <w:color w:val="auto"/>
          <w:kern w:val="2"/>
          <w:sz w:val="24"/>
          <w:szCs w:val="24"/>
          <w:highlight w:val="none"/>
          <w:u w:val="single"/>
        </w:rPr>
        <w:t>名称）</w:t>
      </w:r>
      <w:r>
        <w:rPr>
          <w:rFonts w:ascii="宋体" w:hAnsi="宋体"/>
          <w:color w:val="auto"/>
          <w:kern w:val="2"/>
          <w:sz w:val="24"/>
          <w:szCs w:val="24"/>
          <w:highlight w:val="none"/>
        </w:rPr>
        <w:t>的法定代表人，现委托</w:t>
      </w:r>
      <w:r>
        <w:rPr>
          <w:rFonts w:ascii="宋体" w:hAnsi="宋体"/>
          <w:color w:val="auto"/>
          <w:kern w:val="2"/>
          <w:sz w:val="24"/>
          <w:szCs w:val="24"/>
          <w:highlight w:val="none"/>
          <w:u w:val="single"/>
        </w:rPr>
        <w:t>（姓名）</w:t>
      </w:r>
      <w:r>
        <w:rPr>
          <w:rFonts w:ascii="宋体" w:hAnsi="宋体"/>
          <w:color w:val="auto"/>
          <w:kern w:val="2"/>
          <w:sz w:val="24"/>
          <w:szCs w:val="24"/>
          <w:highlight w:val="none"/>
        </w:rPr>
        <w:t>为我方代理人。代理人根据授权，以我方名义签署、澄清</w:t>
      </w:r>
      <w:r>
        <w:rPr>
          <w:rFonts w:hint="eastAsia" w:ascii="宋体" w:hAnsi="宋体"/>
          <w:color w:val="auto"/>
          <w:kern w:val="2"/>
          <w:sz w:val="24"/>
          <w:szCs w:val="24"/>
          <w:highlight w:val="none"/>
        </w:rPr>
        <w:t>、说明、补正</w:t>
      </w:r>
      <w:r>
        <w:rPr>
          <w:rFonts w:ascii="宋体" w:hAnsi="宋体"/>
          <w:color w:val="auto"/>
          <w:kern w:val="2"/>
          <w:sz w:val="24"/>
          <w:szCs w:val="24"/>
          <w:highlight w:val="none"/>
        </w:rPr>
        <w:t>、递交、撤回、修改</w:t>
      </w:r>
      <w:r>
        <w:rPr>
          <w:rFonts w:ascii="宋体" w:hAnsi="宋体"/>
          <w:color w:val="auto"/>
          <w:kern w:val="2"/>
          <w:sz w:val="24"/>
          <w:szCs w:val="24"/>
          <w:highlight w:val="none"/>
          <w:u w:val="single"/>
        </w:rPr>
        <w:t>（项目名称）</w:t>
      </w:r>
      <w:r>
        <w:rPr>
          <w:rFonts w:hint="eastAsia" w:ascii="宋体" w:hAnsi="宋体"/>
          <w:color w:val="auto"/>
          <w:kern w:val="2"/>
          <w:sz w:val="24"/>
          <w:szCs w:val="24"/>
          <w:highlight w:val="none"/>
        </w:rPr>
        <w:t>磋商响应文件</w:t>
      </w:r>
      <w:r>
        <w:rPr>
          <w:rFonts w:ascii="宋体" w:hAnsi="宋体"/>
          <w:color w:val="auto"/>
          <w:kern w:val="2"/>
          <w:sz w:val="24"/>
          <w:szCs w:val="24"/>
          <w:highlight w:val="none"/>
        </w:rPr>
        <w:t>、签订合同和处理有关事宜，其法律后果由我方承担。</w:t>
      </w:r>
    </w:p>
    <w:p w14:paraId="625738A4">
      <w:pPr>
        <w:spacing w:line="480" w:lineRule="exact"/>
        <w:ind w:firstLine="480" w:firstLineChars="200"/>
        <w:rPr>
          <w:rFonts w:ascii="宋体" w:hAnsi="宋体"/>
          <w:color w:val="auto"/>
          <w:kern w:val="2"/>
          <w:sz w:val="24"/>
          <w:szCs w:val="24"/>
          <w:highlight w:val="none"/>
        </w:rPr>
      </w:pPr>
      <w:r>
        <w:rPr>
          <w:rFonts w:ascii="宋体" w:hAnsi="宋体"/>
          <w:color w:val="auto"/>
          <w:kern w:val="2"/>
          <w:sz w:val="24"/>
          <w:szCs w:val="24"/>
          <w:highlight w:val="none"/>
        </w:rPr>
        <w:t>委托期限：</w:t>
      </w:r>
      <w:r>
        <w:rPr>
          <w:rFonts w:hint="eastAsia" w:ascii="宋体" w:hAnsi="宋体"/>
          <w:color w:val="auto"/>
          <w:kern w:val="2"/>
          <w:sz w:val="24"/>
          <w:szCs w:val="24"/>
          <w:highlight w:val="none"/>
          <w:u w:val="single"/>
        </w:rPr>
        <w:t xml:space="preserve">         </w:t>
      </w:r>
      <w:r>
        <w:rPr>
          <w:rFonts w:hint="eastAsia" w:ascii="宋体" w:hAnsi="宋体"/>
          <w:color w:val="auto"/>
          <w:kern w:val="2"/>
          <w:sz w:val="24"/>
          <w:szCs w:val="24"/>
          <w:highlight w:val="none"/>
        </w:rPr>
        <w:t>。</w:t>
      </w:r>
    </w:p>
    <w:p w14:paraId="0D2B0142">
      <w:pPr>
        <w:spacing w:line="480" w:lineRule="exact"/>
        <w:ind w:firstLine="480" w:firstLineChars="200"/>
        <w:rPr>
          <w:rFonts w:ascii="宋体" w:hAnsi="宋体"/>
          <w:color w:val="auto"/>
          <w:kern w:val="2"/>
          <w:sz w:val="24"/>
          <w:szCs w:val="24"/>
          <w:highlight w:val="none"/>
        </w:rPr>
      </w:pPr>
      <w:r>
        <w:rPr>
          <w:rFonts w:ascii="宋体" w:hAnsi="宋体"/>
          <w:color w:val="auto"/>
          <w:kern w:val="2"/>
          <w:sz w:val="24"/>
          <w:szCs w:val="24"/>
          <w:highlight w:val="none"/>
        </w:rPr>
        <w:t>代理人无转委托权。</w:t>
      </w:r>
    </w:p>
    <w:p w14:paraId="35811E8D">
      <w:pPr>
        <w:jc w:val="left"/>
        <w:rPr>
          <w:rFonts w:ascii="宋体" w:hAnsi="Calibri"/>
          <w:color w:val="auto"/>
          <w:kern w:val="2"/>
          <w:sz w:val="24"/>
          <w:szCs w:val="24"/>
          <w:highlight w:val="none"/>
        </w:rPr>
      </w:pPr>
    </w:p>
    <w:p w14:paraId="537CCC0F">
      <w:pPr>
        <w:spacing w:line="480" w:lineRule="exact"/>
        <w:ind w:firstLine="3036" w:firstLineChars="1265"/>
        <w:rPr>
          <w:rFonts w:ascii="宋体" w:hAnsi="宋体"/>
          <w:bCs/>
          <w:color w:val="auto"/>
          <w:kern w:val="2"/>
          <w:sz w:val="24"/>
          <w:szCs w:val="24"/>
          <w:highlight w:val="none"/>
        </w:rPr>
      </w:pPr>
      <w:r>
        <w:rPr>
          <w:rFonts w:hint="eastAsia" w:ascii="宋体" w:hAnsi="宋体"/>
          <w:bCs/>
          <w:color w:val="auto"/>
          <w:kern w:val="2"/>
          <w:sz w:val="24"/>
          <w:szCs w:val="24"/>
          <w:highlight w:val="none"/>
        </w:rPr>
        <w:t xml:space="preserve">供应商：（企业电子签章） </w:t>
      </w:r>
    </w:p>
    <w:p w14:paraId="2B7AC6CE">
      <w:pPr>
        <w:spacing w:line="480" w:lineRule="exact"/>
        <w:ind w:firstLine="3036" w:firstLineChars="1265"/>
        <w:rPr>
          <w:rFonts w:ascii="宋体" w:hAnsi="宋体"/>
          <w:bCs/>
          <w:color w:val="auto"/>
          <w:kern w:val="2"/>
          <w:sz w:val="24"/>
          <w:szCs w:val="24"/>
          <w:highlight w:val="none"/>
        </w:rPr>
      </w:pPr>
    </w:p>
    <w:p w14:paraId="1C30275D">
      <w:pPr>
        <w:spacing w:line="480" w:lineRule="exact"/>
        <w:ind w:firstLine="3036" w:firstLineChars="1265"/>
        <w:rPr>
          <w:rFonts w:ascii="宋体" w:hAnsi="宋体"/>
          <w:bCs/>
          <w:color w:val="auto"/>
          <w:kern w:val="2"/>
          <w:sz w:val="24"/>
          <w:szCs w:val="24"/>
          <w:highlight w:val="none"/>
          <w:u w:val="single"/>
        </w:rPr>
      </w:pPr>
      <w:r>
        <w:rPr>
          <w:rFonts w:hint="eastAsia" w:ascii="宋体" w:hAnsi="宋体"/>
          <w:bCs/>
          <w:color w:val="auto"/>
          <w:kern w:val="2"/>
          <w:sz w:val="24"/>
          <w:szCs w:val="24"/>
          <w:highlight w:val="none"/>
        </w:rPr>
        <w:t>法定代表人：（签章）</w:t>
      </w:r>
    </w:p>
    <w:p w14:paraId="2FF11159">
      <w:pPr>
        <w:spacing w:line="480" w:lineRule="exact"/>
        <w:ind w:firstLine="3036" w:firstLineChars="1265"/>
        <w:rPr>
          <w:rFonts w:ascii="宋体" w:hAnsi="宋体"/>
          <w:bCs/>
          <w:color w:val="auto"/>
          <w:kern w:val="2"/>
          <w:sz w:val="24"/>
          <w:szCs w:val="24"/>
          <w:highlight w:val="none"/>
        </w:rPr>
      </w:pPr>
    </w:p>
    <w:p w14:paraId="60C455FB">
      <w:pPr>
        <w:spacing w:line="480" w:lineRule="exact"/>
        <w:ind w:firstLine="3036" w:firstLineChars="1265"/>
        <w:rPr>
          <w:rFonts w:ascii="宋体" w:hAnsi="宋体"/>
          <w:bCs/>
          <w:color w:val="auto"/>
          <w:kern w:val="2"/>
          <w:sz w:val="24"/>
          <w:szCs w:val="24"/>
          <w:highlight w:val="none"/>
        </w:rPr>
      </w:pPr>
      <w:r>
        <w:rPr>
          <w:rFonts w:hint="eastAsia" w:ascii="宋体" w:hAnsi="宋体"/>
          <w:bCs/>
          <w:color w:val="auto"/>
          <w:kern w:val="2"/>
          <w:sz w:val="24"/>
          <w:szCs w:val="24"/>
          <w:highlight w:val="none"/>
        </w:rPr>
        <w:t>委托代理人姓名：</w:t>
      </w:r>
    </w:p>
    <w:p w14:paraId="3098DED8">
      <w:pPr>
        <w:spacing w:line="480" w:lineRule="exact"/>
        <w:ind w:firstLine="3036" w:firstLineChars="1265"/>
        <w:rPr>
          <w:rFonts w:ascii="宋体" w:hAnsi="宋体"/>
          <w:bCs/>
          <w:color w:val="auto"/>
          <w:kern w:val="2"/>
          <w:sz w:val="24"/>
          <w:szCs w:val="24"/>
          <w:highlight w:val="none"/>
        </w:rPr>
      </w:pPr>
    </w:p>
    <w:p w14:paraId="6285EE56">
      <w:pPr>
        <w:spacing w:line="480" w:lineRule="exact"/>
        <w:ind w:firstLine="3036" w:firstLineChars="1265"/>
        <w:rPr>
          <w:rFonts w:ascii="宋体" w:hAnsi="宋体"/>
          <w:bCs/>
          <w:color w:val="auto"/>
          <w:kern w:val="2"/>
          <w:sz w:val="24"/>
          <w:szCs w:val="24"/>
          <w:highlight w:val="none"/>
          <w:u w:val="single"/>
        </w:rPr>
      </w:pPr>
      <w:r>
        <w:rPr>
          <w:rFonts w:hint="eastAsia" w:ascii="宋体" w:hAnsi="宋体"/>
          <w:bCs/>
          <w:color w:val="auto"/>
          <w:kern w:val="2"/>
          <w:sz w:val="24"/>
          <w:szCs w:val="24"/>
          <w:highlight w:val="none"/>
        </w:rPr>
        <w:t>委托代理人身份证号：</w:t>
      </w:r>
    </w:p>
    <w:p w14:paraId="11BADE83">
      <w:pPr>
        <w:spacing w:line="480" w:lineRule="exact"/>
        <w:ind w:firstLine="3036" w:firstLineChars="1265"/>
        <w:rPr>
          <w:rFonts w:ascii="宋体" w:hAnsi="宋体"/>
          <w:bCs/>
          <w:color w:val="auto"/>
          <w:kern w:val="2"/>
          <w:sz w:val="24"/>
          <w:szCs w:val="24"/>
          <w:highlight w:val="none"/>
        </w:rPr>
      </w:pPr>
    </w:p>
    <w:p w14:paraId="0B9981BE">
      <w:pPr>
        <w:spacing w:line="480" w:lineRule="exact"/>
        <w:ind w:firstLine="3036" w:firstLineChars="1265"/>
        <w:rPr>
          <w:rFonts w:ascii="宋体" w:hAnsi="宋体"/>
          <w:color w:val="auto"/>
          <w:kern w:val="2"/>
          <w:sz w:val="24"/>
          <w:szCs w:val="24"/>
          <w:highlight w:val="none"/>
        </w:rPr>
      </w:pPr>
      <w:r>
        <w:rPr>
          <w:rFonts w:hint="eastAsia" w:ascii="宋体" w:hAnsi="宋体"/>
          <w:color w:val="auto"/>
          <w:kern w:val="2"/>
          <w:sz w:val="24"/>
          <w:szCs w:val="24"/>
          <w:highlight w:val="none"/>
        </w:rPr>
        <w:t xml:space="preserve">日期：   </w:t>
      </w:r>
      <w:r>
        <w:rPr>
          <w:rFonts w:ascii="宋体" w:hAnsi="宋体"/>
          <w:color w:val="auto"/>
          <w:kern w:val="2"/>
          <w:sz w:val="24"/>
          <w:szCs w:val="24"/>
          <w:highlight w:val="none"/>
        </w:rPr>
        <w:t>年</w:t>
      </w:r>
      <w:r>
        <w:rPr>
          <w:rFonts w:hint="eastAsia" w:ascii="宋体" w:hAnsi="宋体"/>
          <w:color w:val="auto"/>
          <w:kern w:val="2"/>
          <w:sz w:val="24"/>
          <w:szCs w:val="24"/>
          <w:highlight w:val="none"/>
        </w:rPr>
        <w:t xml:space="preserve">  </w:t>
      </w:r>
      <w:r>
        <w:rPr>
          <w:rFonts w:ascii="宋体" w:hAnsi="宋体"/>
          <w:color w:val="auto"/>
          <w:kern w:val="2"/>
          <w:sz w:val="24"/>
          <w:szCs w:val="24"/>
          <w:highlight w:val="none"/>
        </w:rPr>
        <w:t>月</w:t>
      </w:r>
      <w:r>
        <w:rPr>
          <w:rFonts w:hint="eastAsia" w:ascii="宋体" w:hAnsi="宋体"/>
          <w:color w:val="auto"/>
          <w:kern w:val="2"/>
          <w:sz w:val="24"/>
          <w:szCs w:val="24"/>
          <w:highlight w:val="none"/>
        </w:rPr>
        <w:t xml:space="preserve">  </w:t>
      </w:r>
      <w:r>
        <w:rPr>
          <w:rFonts w:ascii="宋体" w:hAnsi="宋体"/>
          <w:color w:val="auto"/>
          <w:kern w:val="2"/>
          <w:sz w:val="24"/>
          <w:szCs w:val="24"/>
          <w:highlight w:val="none"/>
        </w:rPr>
        <w:t>日</w:t>
      </w:r>
    </w:p>
    <w:p w14:paraId="497D94CB">
      <w:pPr>
        <w:spacing w:line="480" w:lineRule="exact"/>
        <w:ind w:firstLine="480" w:firstLineChars="200"/>
        <w:rPr>
          <w:rFonts w:ascii="宋体" w:hAnsi="宋体"/>
          <w:bCs/>
          <w:color w:val="auto"/>
          <w:kern w:val="2"/>
          <w:sz w:val="24"/>
          <w:szCs w:val="24"/>
          <w:highlight w:val="none"/>
        </w:rPr>
      </w:pPr>
    </w:p>
    <w:p w14:paraId="4E5E04DD">
      <w:pPr>
        <w:spacing w:line="480" w:lineRule="exact"/>
        <w:ind w:firstLine="480" w:firstLineChars="200"/>
        <w:rPr>
          <w:rFonts w:ascii="宋体" w:hAnsi="宋体"/>
          <w:color w:val="auto"/>
          <w:kern w:val="2"/>
          <w:sz w:val="24"/>
          <w:szCs w:val="24"/>
          <w:highlight w:val="none"/>
        </w:rPr>
      </w:pPr>
    </w:p>
    <w:p w14:paraId="31D1D4DF">
      <w:pPr>
        <w:spacing w:line="48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rPr>
        <w:t>附法定代表人及委托代理人的身份证正反面原件扫描件加盖</w:t>
      </w:r>
      <w:r>
        <w:rPr>
          <w:rFonts w:hint="eastAsia" w:ascii="宋体" w:hAnsi="宋体"/>
          <w:bCs/>
          <w:color w:val="auto"/>
          <w:kern w:val="2"/>
          <w:sz w:val="24"/>
          <w:szCs w:val="24"/>
          <w:highlight w:val="none"/>
        </w:rPr>
        <w:t>企业电子签章</w:t>
      </w:r>
      <w:r>
        <w:rPr>
          <w:rFonts w:hint="eastAsia" w:ascii="宋体" w:hAnsi="宋体"/>
          <w:color w:val="auto"/>
          <w:kern w:val="2"/>
          <w:sz w:val="24"/>
          <w:szCs w:val="24"/>
          <w:highlight w:val="none"/>
        </w:rPr>
        <w:t>；</w:t>
      </w:r>
    </w:p>
    <w:p w14:paraId="7A073016">
      <w:pPr>
        <w:spacing w:line="480" w:lineRule="auto"/>
        <w:ind w:firstLine="480"/>
        <w:rPr>
          <w:rFonts w:hint="eastAsia" w:ascii="宋体" w:hAnsi="宋体" w:eastAsia="宋体" w:cs="宋体"/>
          <w:bCs/>
          <w:color w:val="auto"/>
          <w:sz w:val="22"/>
          <w:highlight w:val="none"/>
          <w:lang w:val="zh-CN"/>
        </w:rPr>
      </w:pPr>
    </w:p>
    <w:p w14:paraId="5E367E4F">
      <w:pPr>
        <w:spacing w:line="480" w:lineRule="auto"/>
        <w:rPr>
          <w:rFonts w:hint="eastAsia" w:ascii="宋体" w:hAnsi="宋体" w:eastAsia="宋体" w:cs="宋体"/>
          <w:bCs/>
          <w:color w:val="auto"/>
          <w:sz w:val="22"/>
          <w:highlight w:val="none"/>
        </w:rPr>
      </w:pPr>
      <w:bookmarkStart w:id="191" w:name="_Toc419273080"/>
    </w:p>
    <w:p w14:paraId="79C870BD">
      <w:pPr>
        <w:spacing w:line="480" w:lineRule="auto"/>
        <w:rPr>
          <w:rFonts w:hint="eastAsia" w:ascii="宋体" w:hAnsi="宋体" w:eastAsia="宋体" w:cs="宋体"/>
          <w:bCs/>
          <w:color w:val="auto"/>
          <w:sz w:val="22"/>
          <w:highlight w:val="none"/>
        </w:rPr>
      </w:pPr>
    </w:p>
    <w:p w14:paraId="0EF1454A">
      <w:pPr>
        <w:spacing w:line="480" w:lineRule="auto"/>
        <w:ind w:firstLine="480"/>
        <w:jc w:val="center"/>
        <w:rPr>
          <w:rFonts w:hint="eastAsia" w:ascii="宋体" w:hAnsi="宋体" w:eastAsia="宋体" w:cs="宋体"/>
          <w:bCs/>
          <w:color w:val="auto"/>
          <w:sz w:val="24"/>
          <w:szCs w:val="28"/>
          <w:highlight w:val="none"/>
          <w:lang w:val="en-US" w:eastAsia="zh-CN"/>
        </w:rPr>
      </w:pPr>
    </w:p>
    <w:p w14:paraId="6E049C6D">
      <w:pPr>
        <w:spacing w:line="480" w:lineRule="auto"/>
        <w:ind w:firstLine="480"/>
        <w:jc w:val="center"/>
        <w:rPr>
          <w:rFonts w:hint="eastAsia" w:ascii="宋体" w:hAnsi="宋体" w:eastAsia="宋体" w:cs="宋体"/>
          <w:bCs/>
          <w:color w:val="auto"/>
          <w:sz w:val="24"/>
          <w:szCs w:val="28"/>
          <w:highlight w:val="none"/>
          <w:lang w:val="en-US" w:eastAsia="zh-CN"/>
        </w:rPr>
      </w:pPr>
    </w:p>
    <w:p w14:paraId="3E3C69BE">
      <w:pPr>
        <w:spacing w:line="480" w:lineRule="auto"/>
        <w:ind w:firstLine="480"/>
        <w:jc w:val="center"/>
        <w:rPr>
          <w:rFonts w:hint="eastAsia" w:ascii="宋体" w:hAnsi="宋体" w:eastAsia="宋体" w:cs="宋体"/>
          <w:bCs/>
          <w:color w:val="auto"/>
          <w:sz w:val="24"/>
          <w:szCs w:val="28"/>
          <w:highlight w:val="none"/>
          <w:lang w:val="en-US" w:eastAsia="zh-CN"/>
        </w:rPr>
      </w:pPr>
    </w:p>
    <w:p w14:paraId="3E9D81A9">
      <w:pPr>
        <w:spacing w:line="480" w:lineRule="exact"/>
        <w:jc w:val="center"/>
        <w:outlineLvl w:val="0"/>
        <w:rPr>
          <w:rFonts w:hint="eastAsia" w:ascii="宋体" w:hAnsi="宋体" w:eastAsia="宋体" w:cs="宋体"/>
          <w:b/>
          <w:color w:val="auto"/>
          <w:kern w:val="2"/>
          <w:sz w:val="24"/>
          <w:szCs w:val="24"/>
          <w:highlight w:val="none"/>
        </w:rPr>
      </w:pPr>
      <w:bookmarkStart w:id="192" w:name="_Toc7425"/>
      <w:bookmarkStart w:id="193" w:name="_Toc148365113"/>
      <w:bookmarkStart w:id="194" w:name="_Toc148365440"/>
    </w:p>
    <w:p w14:paraId="4BD8E516">
      <w:pPr>
        <w:spacing w:line="480" w:lineRule="exact"/>
        <w:jc w:val="center"/>
        <w:outlineLvl w:val="0"/>
        <w:rPr>
          <w:rFonts w:hint="eastAsia" w:ascii="宋体" w:hAnsi="宋体" w:eastAsia="宋体" w:cs="宋体"/>
          <w:b/>
          <w:bCs/>
          <w:color w:val="auto"/>
          <w:kern w:val="2"/>
          <w:sz w:val="24"/>
          <w:szCs w:val="24"/>
          <w:highlight w:val="none"/>
        </w:rPr>
      </w:pPr>
      <w:bookmarkStart w:id="195" w:name="_Toc26759"/>
      <w:r>
        <w:rPr>
          <w:rFonts w:hint="eastAsia" w:ascii="宋体" w:hAnsi="宋体" w:eastAsia="宋体" w:cs="宋体"/>
          <w:b/>
          <w:color w:val="auto"/>
          <w:kern w:val="2"/>
          <w:sz w:val="24"/>
          <w:szCs w:val="24"/>
          <w:highlight w:val="none"/>
        </w:rPr>
        <w:t>四、磋商承诺函</w:t>
      </w:r>
      <w:bookmarkEnd w:id="192"/>
      <w:bookmarkEnd w:id="193"/>
      <w:bookmarkEnd w:id="194"/>
      <w:bookmarkEnd w:id="195"/>
    </w:p>
    <w:p w14:paraId="565D9BBB">
      <w:pPr>
        <w:spacing w:line="360" w:lineRule="auto"/>
        <w:jc w:val="left"/>
        <w:rPr>
          <w:rFonts w:hint="eastAsia" w:ascii="宋体" w:hAnsi="宋体" w:eastAsia="宋体" w:cs="宋体"/>
          <w:bCs/>
          <w:color w:val="auto"/>
          <w:kern w:val="2"/>
          <w:sz w:val="24"/>
          <w:szCs w:val="24"/>
          <w:highlight w:val="none"/>
          <w:u w:val="single"/>
        </w:rPr>
      </w:pPr>
      <w:r>
        <w:rPr>
          <w:rFonts w:hint="eastAsia" w:ascii="宋体" w:hAnsi="宋体" w:eastAsia="宋体" w:cs="宋体"/>
          <w:color w:val="auto"/>
          <w:kern w:val="2"/>
          <w:sz w:val="24"/>
          <w:szCs w:val="24"/>
          <w:highlight w:val="none"/>
        </w:rPr>
        <w:t>致：</w:t>
      </w:r>
      <w:r>
        <w:rPr>
          <w:rFonts w:hint="eastAsia" w:ascii="宋体" w:hAnsi="宋体" w:eastAsia="宋体" w:cs="宋体"/>
          <w:bCs/>
          <w:color w:val="auto"/>
          <w:kern w:val="2"/>
          <w:sz w:val="24"/>
          <w:szCs w:val="24"/>
          <w:highlight w:val="none"/>
          <w:u w:val="single"/>
        </w:rPr>
        <w:t xml:space="preserve">  （采购人）      </w:t>
      </w:r>
    </w:p>
    <w:p w14:paraId="08477535">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我方已充分了解了（</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kern w:val="2"/>
          <w:sz w:val="24"/>
          <w:szCs w:val="24"/>
          <w:highlight w:val="none"/>
        </w:rPr>
        <w:t>的竞争性磋商文件，愿意遵照本项目《竞争性磋商文件》、《中华人民共和国政府采购法》等有关规定参与竞标，并承诺如下：</w:t>
      </w:r>
    </w:p>
    <w:p w14:paraId="257A0FF9">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1、我方承诺将严格按照“公开、公平、公正和诚实信用原则”参与本项目竞标活动。</w:t>
      </w:r>
    </w:p>
    <w:p w14:paraId="70BC81FF">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2、我方承诺在</w:t>
      </w:r>
      <w:r>
        <w:rPr>
          <w:rFonts w:hint="eastAsia" w:ascii="宋体" w:hAnsi="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有效期内不撤销响应性文件；</w:t>
      </w:r>
    </w:p>
    <w:p w14:paraId="2C873826">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3、我方承诺在响应性文件及对三门峡市公共资源交易供应商诚信库中提供的材料真实有效；</w:t>
      </w:r>
    </w:p>
    <w:p w14:paraId="10C89C40">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4、我方承诺绝不与采购人、其他投标供应商或者代理机构恶意串通的投标；</w:t>
      </w:r>
    </w:p>
    <w:p w14:paraId="0AABB6F6">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5、我方承诺绝不以他人的名义投标、串通投标、以行贿手段谋取中标或者以其他弄虚作假方式投标；</w:t>
      </w:r>
    </w:p>
    <w:p w14:paraId="59B3A9E0">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6、我方承诺绝不采取不正当手段谋取中标；</w:t>
      </w:r>
    </w:p>
    <w:p w14:paraId="7A2958C2">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30EEF662">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8、如我方违反此约定，愿意承担对本项目造成的一切经济损失，并同时依法承担相应法律责任。</w:t>
      </w:r>
    </w:p>
    <w:p w14:paraId="73CB5E1F">
      <w:pPr>
        <w:autoSpaceDE w:val="0"/>
        <w:autoSpaceDN w:val="0"/>
        <w:adjustRightInd w:val="0"/>
        <w:spacing w:line="500" w:lineRule="exact"/>
        <w:ind w:firstLine="564" w:firstLineChars="235"/>
        <w:jc w:val="left"/>
        <w:rPr>
          <w:rFonts w:hint="eastAsia" w:ascii="宋体" w:hAnsi="宋体" w:eastAsia="宋体" w:cs="宋体"/>
          <w:color w:val="auto"/>
          <w:sz w:val="24"/>
          <w:szCs w:val="24"/>
          <w:highlight w:val="none"/>
        </w:rPr>
      </w:pPr>
    </w:p>
    <w:p w14:paraId="7445D90B">
      <w:pPr>
        <w:spacing w:line="360" w:lineRule="auto"/>
        <w:ind w:firstLine="3280" w:firstLineChars="136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供应商：（企业电子签章）</w:t>
      </w:r>
    </w:p>
    <w:p w14:paraId="13C4FE7A">
      <w:pPr>
        <w:spacing w:line="360" w:lineRule="auto"/>
        <w:ind w:firstLine="3280" w:firstLineChars="136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法定代表人：（签章）</w:t>
      </w:r>
    </w:p>
    <w:p w14:paraId="7F5EC97F">
      <w:pPr>
        <w:spacing w:line="360" w:lineRule="auto"/>
        <w:ind w:firstLine="3280" w:firstLineChars="136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年   月   日</w:t>
      </w:r>
    </w:p>
    <w:p w14:paraId="622ABD16">
      <w:pPr>
        <w:spacing w:line="480" w:lineRule="auto"/>
        <w:ind w:firstLine="480"/>
        <w:rPr>
          <w:rFonts w:hint="eastAsia" w:ascii="宋体" w:hAnsi="宋体" w:eastAsia="宋体" w:cs="宋体"/>
          <w:bCs/>
          <w:color w:val="auto"/>
          <w:sz w:val="22"/>
          <w:highlight w:val="none"/>
          <w:lang w:val="zh-CN"/>
        </w:rPr>
      </w:pPr>
    </w:p>
    <w:p w14:paraId="23EAB83F">
      <w:pPr>
        <w:spacing w:line="480" w:lineRule="exact"/>
        <w:jc w:val="center"/>
        <w:outlineLvl w:val="0"/>
        <w:rPr>
          <w:rFonts w:ascii="宋体" w:hAnsi="宋体" w:cs="宋体"/>
          <w:b/>
          <w:color w:val="auto"/>
          <w:kern w:val="2"/>
          <w:sz w:val="24"/>
          <w:szCs w:val="24"/>
          <w:highlight w:val="none"/>
        </w:rPr>
      </w:pPr>
      <w:r>
        <w:rPr>
          <w:rFonts w:hint="eastAsia" w:ascii="宋体" w:hAnsi="宋体" w:eastAsia="宋体" w:cs="宋体"/>
          <w:bCs/>
          <w:color w:val="auto"/>
          <w:sz w:val="22"/>
          <w:highlight w:val="none"/>
        </w:rPr>
        <w:br w:type="page"/>
      </w:r>
      <w:bookmarkStart w:id="196" w:name="_Toc148365114"/>
      <w:bookmarkStart w:id="197" w:name="_Toc148365441"/>
      <w:bookmarkStart w:id="198" w:name="_Toc12231"/>
      <w:r>
        <w:rPr>
          <w:rFonts w:hint="eastAsia" w:ascii="宋体" w:hAnsi="宋体" w:cs="宋体"/>
          <w:b/>
          <w:color w:val="auto"/>
          <w:kern w:val="2"/>
          <w:sz w:val="24"/>
          <w:szCs w:val="24"/>
          <w:highlight w:val="none"/>
        </w:rPr>
        <w:t>五、供应商情况</w:t>
      </w:r>
      <w:bookmarkEnd w:id="196"/>
      <w:bookmarkEnd w:id="197"/>
      <w:bookmarkEnd w:id="198"/>
    </w:p>
    <w:p w14:paraId="340EC935">
      <w:pPr>
        <w:widowControl/>
        <w:spacing w:line="520" w:lineRule="atLeast"/>
        <w:jc w:val="center"/>
        <w:rPr>
          <w:rFonts w:ascii="宋体" w:hAnsi="宋体"/>
          <w:b/>
          <w:bCs/>
          <w:color w:val="auto"/>
          <w:sz w:val="24"/>
          <w:szCs w:val="24"/>
          <w:highlight w:val="none"/>
        </w:rPr>
      </w:pPr>
      <w:r>
        <w:rPr>
          <w:rFonts w:hint="eastAsia" w:ascii="宋体" w:hAnsi="宋体"/>
          <w:b/>
          <w:bCs/>
          <w:color w:val="auto"/>
          <w:sz w:val="24"/>
          <w:szCs w:val="24"/>
          <w:highlight w:val="none"/>
        </w:rPr>
        <w:t>（一）基本情况表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73"/>
        <w:gridCol w:w="1551"/>
        <w:gridCol w:w="1119"/>
        <w:gridCol w:w="1132"/>
        <w:gridCol w:w="235"/>
        <w:gridCol w:w="1679"/>
      </w:tblGrid>
      <w:tr w14:paraId="41C7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2EE3259">
            <w:pPr>
              <w:keepNext w:val="0"/>
              <w:keepLines w:val="0"/>
              <w:pageBreakBefore w:val="0"/>
              <w:kinsoku/>
              <w:wordWrap w:val="0"/>
              <w:overflowPunct/>
              <w:topLinePunct w:val="0"/>
              <w:bidi w:val="0"/>
              <w:spacing w:line="360" w:lineRule="auto"/>
              <w:jc w:val="center"/>
              <w:rPr>
                <w:color w:val="auto"/>
                <w:sz w:val="24"/>
                <w:highlight w:val="none"/>
              </w:rPr>
            </w:pPr>
            <w:r>
              <w:rPr>
                <w:rFonts w:hint="eastAsia"/>
                <w:color w:val="auto"/>
                <w:sz w:val="24"/>
                <w:highlight w:val="none"/>
              </w:rPr>
              <w:t>供应商名称</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3383EB8A">
            <w:pPr>
              <w:keepNext w:val="0"/>
              <w:keepLines w:val="0"/>
              <w:pageBreakBefore w:val="0"/>
              <w:kinsoku/>
              <w:wordWrap w:val="0"/>
              <w:overflowPunct/>
              <w:topLinePunct w:val="0"/>
              <w:bidi w:val="0"/>
              <w:spacing w:line="360" w:lineRule="auto"/>
              <w:rPr>
                <w:color w:val="auto"/>
                <w:sz w:val="24"/>
                <w:highlight w:val="none"/>
              </w:rPr>
            </w:pPr>
          </w:p>
        </w:tc>
      </w:tr>
      <w:tr w14:paraId="5FC4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B48F4F5">
            <w:pPr>
              <w:keepNext w:val="0"/>
              <w:keepLines w:val="0"/>
              <w:pageBreakBefore w:val="0"/>
              <w:kinsoku/>
              <w:wordWrap w:val="0"/>
              <w:overflowPunct/>
              <w:topLinePunct w:val="0"/>
              <w:bidi w:val="0"/>
              <w:spacing w:line="360" w:lineRule="auto"/>
              <w:jc w:val="center"/>
              <w:rPr>
                <w:color w:val="auto"/>
                <w:sz w:val="24"/>
                <w:highlight w:val="none"/>
              </w:rPr>
            </w:pPr>
            <w:r>
              <w:rPr>
                <w:rFonts w:hint="eastAsia"/>
                <w:color w:val="auto"/>
                <w:sz w:val="24"/>
                <w:highlight w:val="none"/>
              </w:rPr>
              <w:t>注册地址</w:t>
            </w:r>
          </w:p>
        </w:tc>
        <w:tc>
          <w:tcPr>
            <w:tcW w:w="3643" w:type="dxa"/>
            <w:gridSpan w:val="3"/>
            <w:tcBorders>
              <w:top w:val="single" w:color="auto" w:sz="4" w:space="0"/>
              <w:left w:val="single" w:color="auto" w:sz="4" w:space="0"/>
              <w:bottom w:val="single" w:color="auto" w:sz="4" w:space="0"/>
              <w:right w:val="single" w:color="auto" w:sz="4" w:space="0"/>
            </w:tcBorders>
            <w:noWrap/>
            <w:vAlign w:val="center"/>
          </w:tcPr>
          <w:p w14:paraId="7D9E8D43">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34CD7770">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邮政编码</w:t>
            </w:r>
          </w:p>
        </w:tc>
        <w:tc>
          <w:tcPr>
            <w:tcW w:w="1679" w:type="dxa"/>
            <w:tcBorders>
              <w:top w:val="single" w:color="auto" w:sz="4" w:space="0"/>
              <w:left w:val="single" w:color="auto" w:sz="4" w:space="0"/>
              <w:bottom w:val="single" w:color="auto" w:sz="4" w:space="0"/>
              <w:right w:val="single" w:color="auto" w:sz="4" w:space="0"/>
            </w:tcBorders>
            <w:noWrap/>
            <w:vAlign w:val="center"/>
          </w:tcPr>
          <w:p w14:paraId="5F3AA6E7">
            <w:pPr>
              <w:keepNext w:val="0"/>
              <w:keepLines w:val="0"/>
              <w:pageBreakBefore w:val="0"/>
              <w:kinsoku/>
              <w:wordWrap w:val="0"/>
              <w:overflowPunct/>
              <w:topLinePunct w:val="0"/>
              <w:bidi w:val="0"/>
              <w:spacing w:line="360" w:lineRule="auto"/>
              <w:rPr>
                <w:color w:val="auto"/>
                <w:sz w:val="24"/>
                <w:highlight w:val="none"/>
              </w:rPr>
            </w:pPr>
          </w:p>
        </w:tc>
      </w:tr>
      <w:tr w14:paraId="484B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1" w:type="dxa"/>
            <w:vMerge w:val="restart"/>
            <w:tcBorders>
              <w:top w:val="single" w:color="auto" w:sz="4" w:space="0"/>
              <w:left w:val="single" w:color="auto" w:sz="4" w:space="0"/>
              <w:bottom w:val="single" w:color="auto" w:sz="4" w:space="0"/>
              <w:right w:val="single" w:color="auto" w:sz="4" w:space="0"/>
            </w:tcBorders>
            <w:noWrap/>
            <w:vAlign w:val="center"/>
          </w:tcPr>
          <w:p w14:paraId="25166E9C">
            <w:pPr>
              <w:keepNext w:val="0"/>
              <w:keepLines w:val="0"/>
              <w:pageBreakBefore w:val="0"/>
              <w:kinsoku/>
              <w:wordWrap w:val="0"/>
              <w:overflowPunct/>
              <w:topLinePunct w:val="0"/>
              <w:bidi w:val="0"/>
              <w:spacing w:line="360" w:lineRule="auto"/>
              <w:jc w:val="center"/>
              <w:rPr>
                <w:color w:val="auto"/>
                <w:sz w:val="24"/>
                <w:highlight w:val="none"/>
              </w:rPr>
            </w:pPr>
            <w:r>
              <w:rPr>
                <w:rFonts w:hint="eastAsia"/>
                <w:color w:val="auto"/>
                <w:sz w:val="24"/>
                <w:highlight w:val="none"/>
              </w:rPr>
              <w:t>联系方式</w:t>
            </w:r>
          </w:p>
        </w:tc>
        <w:tc>
          <w:tcPr>
            <w:tcW w:w="973" w:type="dxa"/>
            <w:tcBorders>
              <w:top w:val="single" w:color="auto" w:sz="4" w:space="0"/>
              <w:left w:val="single" w:color="auto" w:sz="4" w:space="0"/>
              <w:bottom w:val="single" w:color="auto" w:sz="4" w:space="0"/>
              <w:right w:val="single" w:color="auto" w:sz="4" w:space="0"/>
            </w:tcBorders>
            <w:noWrap/>
            <w:vAlign w:val="center"/>
          </w:tcPr>
          <w:p w14:paraId="2EB7716A">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联系人</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7F6665B4">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554E6CAF">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电话</w:t>
            </w:r>
          </w:p>
        </w:tc>
        <w:tc>
          <w:tcPr>
            <w:tcW w:w="1679" w:type="dxa"/>
            <w:tcBorders>
              <w:top w:val="single" w:color="auto" w:sz="4" w:space="0"/>
              <w:left w:val="single" w:color="auto" w:sz="4" w:space="0"/>
              <w:bottom w:val="single" w:color="auto" w:sz="4" w:space="0"/>
              <w:right w:val="single" w:color="auto" w:sz="4" w:space="0"/>
            </w:tcBorders>
            <w:noWrap/>
            <w:vAlign w:val="center"/>
          </w:tcPr>
          <w:p w14:paraId="5FFBED67">
            <w:pPr>
              <w:keepNext w:val="0"/>
              <w:keepLines w:val="0"/>
              <w:pageBreakBefore w:val="0"/>
              <w:kinsoku/>
              <w:wordWrap w:val="0"/>
              <w:overflowPunct/>
              <w:topLinePunct w:val="0"/>
              <w:bidi w:val="0"/>
              <w:spacing w:line="360" w:lineRule="auto"/>
              <w:rPr>
                <w:color w:val="auto"/>
                <w:sz w:val="24"/>
                <w:highlight w:val="none"/>
              </w:rPr>
            </w:pPr>
          </w:p>
        </w:tc>
      </w:tr>
      <w:tr w14:paraId="5103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1" w:type="dxa"/>
            <w:vMerge w:val="continue"/>
            <w:tcBorders>
              <w:top w:val="single" w:color="auto" w:sz="4" w:space="0"/>
              <w:left w:val="single" w:color="auto" w:sz="4" w:space="0"/>
              <w:bottom w:val="single" w:color="auto" w:sz="4" w:space="0"/>
              <w:right w:val="single" w:color="auto" w:sz="4" w:space="0"/>
            </w:tcBorders>
            <w:noWrap/>
            <w:vAlign w:val="center"/>
          </w:tcPr>
          <w:p w14:paraId="31C0AEC8">
            <w:pPr>
              <w:keepNext w:val="0"/>
              <w:keepLines w:val="0"/>
              <w:pageBreakBefore w:val="0"/>
              <w:kinsoku/>
              <w:wordWrap w:val="0"/>
              <w:overflowPunct/>
              <w:topLinePunct w:val="0"/>
              <w:bidi w:val="0"/>
              <w:jc w:val="center"/>
              <w:rPr>
                <w:color w:val="auto"/>
                <w:sz w:val="20"/>
                <w:szCs w:val="20"/>
                <w:highlight w:val="none"/>
              </w:rPr>
            </w:pPr>
          </w:p>
        </w:tc>
        <w:tc>
          <w:tcPr>
            <w:tcW w:w="973" w:type="dxa"/>
            <w:tcBorders>
              <w:top w:val="single" w:color="auto" w:sz="4" w:space="0"/>
              <w:left w:val="single" w:color="auto" w:sz="4" w:space="0"/>
              <w:bottom w:val="single" w:color="auto" w:sz="4" w:space="0"/>
              <w:right w:val="single" w:color="auto" w:sz="4" w:space="0"/>
            </w:tcBorders>
            <w:noWrap/>
            <w:vAlign w:val="center"/>
          </w:tcPr>
          <w:p w14:paraId="1F78F863">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传真</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5771AA6B">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145845CD">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网址</w:t>
            </w:r>
          </w:p>
        </w:tc>
        <w:tc>
          <w:tcPr>
            <w:tcW w:w="1679" w:type="dxa"/>
            <w:tcBorders>
              <w:top w:val="single" w:color="auto" w:sz="4" w:space="0"/>
              <w:left w:val="single" w:color="auto" w:sz="4" w:space="0"/>
              <w:bottom w:val="single" w:color="auto" w:sz="4" w:space="0"/>
              <w:right w:val="single" w:color="auto" w:sz="4" w:space="0"/>
            </w:tcBorders>
            <w:noWrap/>
            <w:vAlign w:val="center"/>
          </w:tcPr>
          <w:p w14:paraId="6DCAAE8F">
            <w:pPr>
              <w:keepNext w:val="0"/>
              <w:keepLines w:val="0"/>
              <w:pageBreakBefore w:val="0"/>
              <w:kinsoku/>
              <w:wordWrap w:val="0"/>
              <w:overflowPunct/>
              <w:topLinePunct w:val="0"/>
              <w:bidi w:val="0"/>
              <w:spacing w:line="360" w:lineRule="auto"/>
              <w:rPr>
                <w:color w:val="auto"/>
                <w:sz w:val="24"/>
                <w:highlight w:val="none"/>
              </w:rPr>
            </w:pPr>
          </w:p>
        </w:tc>
      </w:tr>
      <w:tr w14:paraId="2351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31900D5">
            <w:pPr>
              <w:keepNext w:val="0"/>
              <w:keepLines w:val="0"/>
              <w:pageBreakBefore w:val="0"/>
              <w:kinsoku/>
              <w:wordWrap w:val="0"/>
              <w:overflowPunct/>
              <w:topLinePunct w:val="0"/>
              <w:bidi w:val="0"/>
              <w:spacing w:line="360" w:lineRule="auto"/>
              <w:jc w:val="center"/>
              <w:rPr>
                <w:color w:val="auto"/>
                <w:sz w:val="24"/>
                <w:highlight w:val="none"/>
              </w:rPr>
            </w:pPr>
            <w:r>
              <w:rPr>
                <w:rFonts w:hint="eastAsia"/>
                <w:color w:val="auto"/>
                <w:sz w:val="24"/>
                <w:highlight w:val="none"/>
              </w:rPr>
              <w:t>组织结构</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3FFABF22">
            <w:pPr>
              <w:keepNext w:val="0"/>
              <w:keepLines w:val="0"/>
              <w:pageBreakBefore w:val="0"/>
              <w:tabs>
                <w:tab w:val="left" w:pos="4776"/>
              </w:tabs>
              <w:kinsoku/>
              <w:wordWrap w:val="0"/>
              <w:overflowPunct/>
              <w:topLinePunct w:val="0"/>
              <w:bidi w:val="0"/>
              <w:spacing w:line="360" w:lineRule="auto"/>
              <w:rPr>
                <w:color w:val="auto"/>
                <w:sz w:val="24"/>
                <w:highlight w:val="none"/>
              </w:rPr>
            </w:pPr>
          </w:p>
        </w:tc>
      </w:tr>
      <w:tr w14:paraId="4FFA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641B9068">
            <w:pPr>
              <w:keepNext w:val="0"/>
              <w:keepLines w:val="0"/>
              <w:pageBreakBefore w:val="0"/>
              <w:kinsoku/>
              <w:wordWrap w:val="0"/>
              <w:overflowPunct/>
              <w:topLinePunct w:val="0"/>
              <w:bidi w:val="0"/>
              <w:spacing w:line="360" w:lineRule="auto"/>
              <w:jc w:val="center"/>
              <w:rPr>
                <w:color w:val="auto"/>
                <w:sz w:val="24"/>
                <w:highlight w:val="none"/>
              </w:rPr>
            </w:pPr>
            <w:r>
              <w:rPr>
                <w:rFonts w:hint="eastAsia"/>
                <w:color w:val="auto"/>
                <w:sz w:val="24"/>
                <w:highlight w:val="none"/>
              </w:rPr>
              <w:t>法定代表人</w:t>
            </w:r>
          </w:p>
        </w:tc>
        <w:tc>
          <w:tcPr>
            <w:tcW w:w="973" w:type="dxa"/>
            <w:tcBorders>
              <w:top w:val="single" w:color="auto" w:sz="4" w:space="0"/>
              <w:left w:val="single" w:color="auto" w:sz="4" w:space="0"/>
              <w:bottom w:val="single" w:color="auto" w:sz="4" w:space="0"/>
              <w:right w:val="single" w:color="auto" w:sz="4" w:space="0"/>
            </w:tcBorders>
            <w:noWrap/>
            <w:vAlign w:val="center"/>
          </w:tcPr>
          <w:p w14:paraId="10CB6FDC">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姓名</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3C10F51A">
            <w:pPr>
              <w:keepNext w:val="0"/>
              <w:keepLines w:val="0"/>
              <w:pageBreakBefore w:val="0"/>
              <w:kinsoku/>
              <w:wordWrap w:val="0"/>
              <w:overflowPunct/>
              <w:topLinePunct w:val="0"/>
              <w:bidi w:val="0"/>
              <w:spacing w:line="360" w:lineRule="auto"/>
              <w:rPr>
                <w:color w:val="auto"/>
                <w:sz w:val="24"/>
                <w:highlight w:val="none"/>
              </w:rPr>
            </w:pPr>
          </w:p>
        </w:tc>
        <w:tc>
          <w:tcPr>
            <w:tcW w:w="1132" w:type="dxa"/>
            <w:tcBorders>
              <w:top w:val="single" w:color="auto" w:sz="4" w:space="0"/>
              <w:left w:val="single" w:color="auto" w:sz="4" w:space="0"/>
              <w:bottom w:val="single" w:color="auto" w:sz="4" w:space="0"/>
              <w:right w:val="single" w:color="auto" w:sz="4" w:space="0"/>
            </w:tcBorders>
            <w:noWrap/>
            <w:vAlign w:val="center"/>
          </w:tcPr>
          <w:p w14:paraId="71D9C068">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电话</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47C6F3E0">
            <w:pPr>
              <w:keepNext w:val="0"/>
              <w:keepLines w:val="0"/>
              <w:pageBreakBefore w:val="0"/>
              <w:kinsoku/>
              <w:wordWrap w:val="0"/>
              <w:overflowPunct/>
              <w:topLinePunct w:val="0"/>
              <w:bidi w:val="0"/>
              <w:spacing w:line="360" w:lineRule="auto"/>
              <w:rPr>
                <w:color w:val="auto"/>
                <w:sz w:val="24"/>
                <w:highlight w:val="none"/>
              </w:rPr>
            </w:pPr>
          </w:p>
        </w:tc>
      </w:tr>
      <w:tr w14:paraId="6C835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2F24A16C">
            <w:pPr>
              <w:keepNext w:val="0"/>
              <w:keepLines w:val="0"/>
              <w:pageBreakBefore w:val="0"/>
              <w:kinsoku/>
              <w:wordWrap w:val="0"/>
              <w:overflowPunct/>
              <w:topLinePunct w:val="0"/>
              <w:bidi w:val="0"/>
              <w:spacing w:line="360" w:lineRule="auto"/>
              <w:jc w:val="center"/>
              <w:rPr>
                <w:rFonts w:hint="eastAsia" w:eastAsia="宋体"/>
                <w:color w:val="auto"/>
                <w:sz w:val="24"/>
                <w:highlight w:val="none"/>
                <w:lang w:val="en-US" w:eastAsia="zh-CN"/>
              </w:rPr>
            </w:pPr>
            <w:r>
              <w:rPr>
                <w:rFonts w:hint="eastAsia"/>
                <w:color w:val="auto"/>
                <w:sz w:val="24"/>
                <w:highlight w:val="none"/>
                <w:lang w:val="en-US" w:eastAsia="zh-CN"/>
              </w:rPr>
              <w:t>项目负责人</w:t>
            </w:r>
          </w:p>
        </w:tc>
        <w:tc>
          <w:tcPr>
            <w:tcW w:w="973" w:type="dxa"/>
            <w:tcBorders>
              <w:top w:val="single" w:color="auto" w:sz="4" w:space="0"/>
              <w:left w:val="single" w:color="auto" w:sz="4" w:space="0"/>
              <w:bottom w:val="single" w:color="auto" w:sz="4" w:space="0"/>
              <w:right w:val="single" w:color="auto" w:sz="4" w:space="0"/>
            </w:tcBorders>
            <w:noWrap/>
            <w:vAlign w:val="center"/>
          </w:tcPr>
          <w:p w14:paraId="41F5B827">
            <w:pPr>
              <w:keepNext w:val="0"/>
              <w:keepLines w:val="0"/>
              <w:pageBreakBefore w:val="0"/>
              <w:kinsoku/>
              <w:wordWrap w:val="0"/>
              <w:overflowPunct/>
              <w:topLinePunct w:val="0"/>
              <w:bidi w:val="0"/>
              <w:spacing w:line="360" w:lineRule="auto"/>
              <w:rPr>
                <w:rFonts w:hint="eastAsia" w:eastAsia="宋体"/>
                <w:color w:val="auto"/>
                <w:sz w:val="24"/>
                <w:highlight w:val="none"/>
                <w:lang w:val="en-US" w:eastAsia="zh-CN"/>
              </w:rPr>
            </w:pPr>
            <w:r>
              <w:rPr>
                <w:rFonts w:hint="eastAsia"/>
                <w:color w:val="auto"/>
                <w:sz w:val="24"/>
                <w:highlight w:val="none"/>
                <w:lang w:val="en-US" w:eastAsia="zh-CN"/>
              </w:rPr>
              <w:t>姓名</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58DE98BC">
            <w:pPr>
              <w:keepNext w:val="0"/>
              <w:keepLines w:val="0"/>
              <w:pageBreakBefore w:val="0"/>
              <w:kinsoku/>
              <w:wordWrap w:val="0"/>
              <w:overflowPunct/>
              <w:topLinePunct w:val="0"/>
              <w:bidi w:val="0"/>
              <w:spacing w:line="360" w:lineRule="auto"/>
              <w:rPr>
                <w:color w:val="auto"/>
                <w:sz w:val="24"/>
                <w:highlight w:val="none"/>
              </w:rPr>
            </w:pPr>
          </w:p>
        </w:tc>
        <w:tc>
          <w:tcPr>
            <w:tcW w:w="1132" w:type="dxa"/>
            <w:tcBorders>
              <w:top w:val="single" w:color="auto" w:sz="4" w:space="0"/>
              <w:left w:val="single" w:color="auto" w:sz="4" w:space="0"/>
              <w:bottom w:val="single" w:color="auto" w:sz="4" w:space="0"/>
              <w:right w:val="single" w:color="auto" w:sz="4" w:space="0"/>
            </w:tcBorders>
            <w:noWrap/>
            <w:vAlign w:val="center"/>
          </w:tcPr>
          <w:p w14:paraId="069045D1">
            <w:pPr>
              <w:keepNext w:val="0"/>
              <w:keepLines w:val="0"/>
              <w:pageBreakBefore w:val="0"/>
              <w:kinsoku/>
              <w:wordWrap w:val="0"/>
              <w:overflowPunct/>
              <w:topLinePunct w:val="0"/>
              <w:bidi w:val="0"/>
              <w:spacing w:line="360" w:lineRule="auto"/>
              <w:jc w:val="center"/>
              <w:rPr>
                <w:rFonts w:hint="default" w:eastAsia="宋体"/>
                <w:color w:val="auto"/>
                <w:sz w:val="24"/>
                <w:highlight w:val="none"/>
                <w:lang w:val="en-US" w:eastAsia="zh-CN"/>
              </w:rPr>
            </w:pPr>
            <w:r>
              <w:rPr>
                <w:rFonts w:hint="eastAsia"/>
                <w:color w:val="auto"/>
                <w:sz w:val="24"/>
                <w:highlight w:val="none"/>
                <w:lang w:val="en-US" w:eastAsia="zh-CN"/>
              </w:rPr>
              <w:t>职称及编号</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60288A33">
            <w:pPr>
              <w:keepNext w:val="0"/>
              <w:keepLines w:val="0"/>
              <w:pageBreakBefore w:val="0"/>
              <w:kinsoku/>
              <w:wordWrap w:val="0"/>
              <w:overflowPunct/>
              <w:topLinePunct w:val="0"/>
              <w:bidi w:val="0"/>
              <w:spacing w:line="360" w:lineRule="auto"/>
              <w:rPr>
                <w:color w:val="auto"/>
                <w:sz w:val="24"/>
                <w:highlight w:val="none"/>
              </w:rPr>
            </w:pPr>
          </w:p>
        </w:tc>
      </w:tr>
      <w:tr w14:paraId="3AC5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24F9AE1">
            <w:pPr>
              <w:keepNext w:val="0"/>
              <w:keepLines w:val="0"/>
              <w:pageBreakBefore w:val="0"/>
              <w:kinsoku/>
              <w:wordWrap w:val="0"/>
              <w:overflowPunct/>
              <w:topLinePunct w:val="0"/>
              <w:bidi w:val="0"/>
              <w:spacing w:line="360" w:lineRule="auto"/>
              <w:jc w:val="center"/>
              <w:rPr>
                <w:color w:val="auto"/>
                <w:sz w:val="24"/>
                <w:highlight w:val="none"/>
              </w:rPr>
            </w:pPr>
            <w:r>
              <w:rPr>
                <w:rFonts w:hint="eastAsia"/>
                <w:color w:val="auto"/>
                <w:sz w:val="24"/>
                <w:highlight w:val="none"/>
              </w:rPr>
              <w:t>成立时间</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1BE4C1B5">
            <w:pPr>
              <w:keepNext w:val="0"/>
              <w:keepLines w:val="0"/>
              <w:pageBreakBefore w:val="0"/>
              <w:kinsoku/>
              <w:wordWrap w:val="0"/>
              <w:overflowPunct/>
              <w:topLinePunct w:val="0"/>
              <w:bidi w:val="0"/>
              <w:spacing w:line="360" w:lineRule="auto"/>
              <w:rPr>
                <w:color w:val="auto"/>
                <w:sz w:val="24"/>
                <w:highlight w:val="none"/>
              </w:rPr>
            </w:pPr>
          </w:p>
        </w:tc>
        <w:tc>
          <w:tcPr>
            <w:tcW w:w="4165" w:type="dxa"/>
            <w:gridSpan w:val="4"/>
            <w:tcBorders>
              <w:top w:val="single" w:color="auto" w:sz="4" w:space="0"/>
              <w:left w:val="single" w:color="auto" w:sz="4" w:space="0"/>
              <w:bottom w:val="single" w:color="auto" w:sz="4" w:space="0"/>
              <w:right w:val="single" w:color="auto" w:sz="4" w:space="0"/>
            </w:tcBorders>
            <w:noWrap/>
            <w:vAlign w:val="center"/>
          </w:tcPr>
          <w:p w14:paraId="35AE2C53">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员工总人数：</w:t>
            </w:r>
          </w:p>
        </w:tc>
      </w:tr>
      <w:tr w14:paraId="756B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801B3DA">
            <w:pPr>
              <w:keepNext w:val="0"/>
              <w:keepLines w:val="0"/>
              <w:pageBreakBefore w:val="0"/>
              <w:kinsoku/>
              <w:wordWrap w:val="0"/>
              <w:overflowPunct/>
              <w:topLinePunct w:val="0"/>
              <w:bidi w:val="0"/>
              <w:spacing w:line="360" w:lineRule="auto"/>
              <w:jc w:val="center"/>
              <w:rPr>
                <w:color w:val="auto"/>
                <w:sz w:val="24"/>
                <w:highlight w:val="none"/>
              </w:rPr>
            </w:pPr>
            <w:r>
              <w:rPr>
                <w:rFonts w:hint="eastAsia"/>
                <w:color w:val="auto"/>
                <w:sz w:val="24"/>
                <w:highlight w:val="none"/>
              </w:rPr>
              <w:t>营业执照号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13F54D49">
            <w:pPr>
              <w:keepNext w:val="0"/>
              <w:keepLines w:val="0"/>
              <w:pageBreakBefore w:val="0"/>
              <w:kinsoku/>
              <w:wordWrap w:val="0"/>
              <w:overflowPunct/>
              <w:topLinePunct w:val="0"/>
              <w:bidi w:val="0"/>
              <w:spacing w:line="360" w:lineRule="auto"/>
              <w:rPr>
                <w:color w:val="auto"/>
                <w:sz w:val="24"/>
                <w:highlight w:val="none"/>
              </w:rPr>
            </w:pPr>
          </w:p>
        </w:tc>
      </w:tr>
      <w:tr w14:paraId="6320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934B9FD">
            <w:pPr>
              <w:keepNext w:val="0"/>
              <w:keepLines w:val="0"/>
              <w:pageBreakBefore w:val="0"/>
              <w:kinsoku/>
              <w:wordWrap w:val="0"/>
              <w:overflowPunct/>
              <w:topLinePunct w:val="0"/>
              <w:bidi w:val="0"/>
              <w:spacing w:line="360" w:lineRule="auto"/>
              <w:jc w:val="center"/>
              <w:rPr>
                <w:color w:val="auto"/>
                <w:sz w:val="24"/>
                <w:highlight w:val="none"/>
              </w:rPr>
            </w:pPr>
            <w:r>
              <w:rPr>
                <w:rFonts w:hint="eastAsia"/>
                <w:color w:val="auto"/>
                <w:sz w:val="24"/>
                <w:highlight w:val="none"/>
              </w:rPr>
              <w:t>注册资金</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6688D82B">
            <w:pPr>
              <w:keepNext w:val="0"/>
              <w:keepLines w:val="0"/>
              <w:pageBreakBefore w:val="0"/>
              <w:kinsoku/>
              <w:wordWrap w:val="0"/>
              <w:overflowPunct/>
              <w:topLinePunct w:val="0"/>
              <w:bidi w:val="0"/>
              <w:spacing w:line="360" w:lineRule="auto"/>
              <w:rPr>
                <w:color w:val="auto"/>
                <w:sz w:val="24"/>
                <w:highlight w:val="none"/>
              </w:rPr>
            </w:pP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14:paraId="4500E3F9">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开户银行</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2844ADCE">
            <w:pPr>
              <w:keepNext w:val="0"/>
              <w:keepLines w:val="0"/>
              <w:pageBreakBefore w:val="0"/>
              <w:kinsoku/>
              <w:wordWrap w:val="0"/>
              <w:overflowPunct/>
              <w:topLinePunct w:val="0"/>
              <w:bidi w:val="0"/>
              <w:spacing w:line="360" w:lineRule="auto"/>
              <w:rPr>
                <w:color w:val="auto"/>
                <w:sz w:val="24"/>
                <w:highlight w:val="none"/>
              </w:rPr>
            </w:pPr>
          </w:p>
        </w:tc>
      </w:tr>
      <w:tr w14:paraId="6F52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F869CCB">
            <w:pPr>
              <w:keepNext w:val="0"/>
              <w:keepLines w:val="0"/>
              <w:pageBreakBefore w:val="0"/>
              <w:kinsoku/>
              <w:wordWrap w:val="0"/>
              <w:overflowPunct/>
              <w:topLinePunct w:val="0"/>
              <w:bidi w:val="0"/>
              <w:spacing w:line="360" w:lineRule="auto"/>
              <w:jc w:val="center"/>
              <w:rPr>
                <w:color w:val="auto"/>
                <w:sz w:val="24"/>
                <w:highlight w:val="none"/>
              </w:rPr>
            </w:pPr>
            <w:r>
              <w:rPr>
                <w:rFonts w:hint="eastAsia"/>
                <w:color w:val="auto"/>
                <w:sz w:val="24"/>
                <w:highlight w:val="none"/>
              </w:rPr>
              <w:t>账号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6D21D014">
            <w:pPr>
              <w:keepNext w:val="0"/>
              <w:keepLines w:val="0"/>
              <w:pageBreakBefore w:val="0"/>
              <w:kinsoku/>
              <w:wordWrap w:val="0"/>
              <w:overflowPunct/>
              <w:topLinePunct w:val="0"/>
              <w:bidi w:val="0"/>
              <w:spacing w:line="360" w:lineRule="auto"/>
              <w:rPr>
                <w:color w:val="auto"/>
                <w:sz w:val="24"/>
                <w:highlight w:val="none"/>
              </w:rPr>
            </w:pPr>
          </w:p>
        </w:tc>
      </w:tr>
      <w:tr w14:paraId="355B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AC21D29">
            <w:pPr>
              <w:keepNext w:val="0"/>
              <w:keepLines w:val="0"/>
              <w:pageBreakBefore w:val="0"/>
              <w:kinsoku/>
              <w:wordWrap w:val="0"/>
              <w:overflowPunct/>
              <w:topLinePunct w:val="0"/>
              <w:bidi w:val="0"/>
              <w:spacing w:line="360" w:lineRule="auto"/>
              <w:jc w:val="center"/>
              <w:rPr>
                <w:color w:val="auto"/>
                <w:sz w:val="24"/>
                <w:highlight w:val="none"/>
              </w:rPr>
            </w:pPr>
            <w:r>
              <w:rPr>
                <w:rFonts w:hint="eastAsia"/>
                <w:color w:val="auto"/>
                <w:sz w:val="24"/>
                <w:highlight w:val="none"/>
              </w:rPr>
              <w:t>经营范围备注</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401407D3">
            <w:pPr>
              <w:keepNext w:val="0"/>
              <w:keepLines w:val="0"/>
              <w:pageBreakBefore w:val="0"/>
              <w:kinsoku/>
              <w:wordWrap w:val="0"/>
              <w:overflowPunct/>
              <w:topLinePunct w:val="0"/>
              <w:bidi w:val="0"/>
              <w:spacing w:line="360" w:lineRule="auto"/>
              <w:rPr>
                <w:color w:val="auto"/>
                <w:sz w:val="24"/>
                <w:highlight w:val="none"/>
              </w:rPr>
            </w:pPr>
          </w:p>
        </w:tc>
      </w:tr>
    </w:tbl>
    <w:p w14:paraId="514193D4">
      <w:pPr>
        <w:widowControl/>
        <w:spacing w:line="520" w:lineRule="atLeast"/>
        <w:jc w:val="right"/>
        <w:rPr>
          <w:rFonts w:ascii="宋体" w:hAnsi="宋体"/>
          <w:color w:val="auto"/>
          <w:sz w:val="24"/>
          <w:szCs w:val="24"/>
          <w:highlight w:val="none"/>
        </w:rPr>
      </w:pPr>
    </w:p>
    <w:p w14:paraId="67BFA6A8">
      <w:pPr>
        <w:spacing w:line="360" w:lineRule="auto"/>
        <w:ind w:firstLine="3280" w:firstLineChars="1367"/>
        <w:jc w:val="left"/>
        <w:rPr>
          <w:rFonts w:ascii="宋体" w:hAnsi="宋体"/>
          <w:color w:val="auto"/>
          <w:kern w:val="2"/>
          <w:sz w:val="24"/>
          <w:szCs w:val="24"/>
          <w:highlight w:val="none"/>
        </w:rPr>
      </w:pPr>
      <w:r>
        <w:rPr>
          <w:rFonts w:hint="eastAsia" w:ascii="宋体" w:hAnsi="宋体"/>
          <w:color w:val="auto"/>
          <w:kern w:val="2"/>
          <w:sz w:val="24"/>
          <w:szCs w:val="24"/>
          <w:highlight w:val="none"/>
        </w:rPr>
        <w:t>供应商：</w:t>
      </w:r>
      <w:r>
        <w:rPr>
          <w:rFonts w:hint="eastAsia" w:ascii="宋体" w:hAnsi="宋体"/>
          <w:color w:val="auto"/>
          <w:kern w:val="2"/>
          <w:sz w:val="24"/>
          <w:szCs w:val="24"/>
          <w:highlight w:val="none"/>
          <w:lang w:val="en-US" w:eastAsia="zh-CN"/>
        </w:rPr>
        <w:t xml:space="preserve">        </w:t>
      </w:r>
      <w:r>
        <w:rPr>
          <w:rFonts w:hint="eastAsia" w:ascii="宋体" w:hAnsi="宋体"/>
          <w:color w:val="auto"/>
          <w:kern w:val="2"/>
          <w:sz w:val="24"/>
          <w:szCs w:val="24"/>
          <w:highlight w:val="none"/>
        </w:rPr>
        <w:t>（企业电子签章）</w:t>
      </w:r>
    </w:p>
    <w:p w14:paraId="17C08701">
      <w:pPr>
        <w:spacing w:line="360" w:lineRule="auto"/>
        <w:ind w:firstLine="3280" w:firstLineChars="1367"/>
        <w:jc w:val="left"/>
        <w:rPr>
          <w:rFonts w:ascii="宋体" w:hAnsi="宋体"/>
          <w:color w:val="auto"/>
          <w:kern w:val="2"/>
          <w:sz w:val="24"/>
          <w:szCs w:val="24"/>
          <w:highlight w:val="none"/>
        </w:rPr>
      </w:pPr>
      <w:r>
        <w:rPr>
          <w:rFonts w:hint="eastAsia" w:ascii="宋体" w:hAnsi="宋体"/>
          <w:color w:val="auto"/>
          <w:kern w:val="2"/>
          <w:sz w:val="24"/>
          <w:szCs w:val="24"/>
          <w:highlight w:val="none"/>
        </w:rPr>
        <w:t>法定代表人：</w:t>
      </w:r>
      <w:r>
        <w:rPr>
          <w:rFonts w:hint="eastAsia" w:ascii="宋体" w:hAnsi="宋体"/>
          <w:color w:val="auto"/>
          <w:kern w:val="2"/>
          <w:sz w:val="24"/>
          <w:szCs w:val="24"/>
          <w:highlight w:val="none"/>
          <w:lang w:val="en-US" w:eastAsia="zh-CN"/>
        </w:rPr>
        <w:t xml:space="preserve">    </w:t>
      </w:r>
      <w:r>
        <w:rPr>
          <w:rFonts w:hint="eastAsia" w:ascii="宋体" w:hAnsi="宋体"/>
          <w:color w:val="auto"/>
          <w:kern w:val="2"/>
          <w:sz w:val="24"/>
          <w:szCs w:val="24"/>
          <w:highlight w:val="none"/>
        </w:rPr>
        <w:t>（签章）</w:t>
      </w:r>
    </w:p>
    <w:p w14:paraId="7904C55E">
      <w:pPr>
        <w:spacing w:line="360" w:lineRule="auto"/>
        <w:ind w:firstLine="3280" w:firstLineChars="1367"/>
        <w:jc w:val="left"/>
        <w:rPr>
          <w:rFonts w:ascii="宋体" w:hAnsi="宋体"/>
          <w:color w:val="auto"/>
          <w:kern w:val="2"/>
          <w:sz w:val="24"/>
          <w:szCs w:val="24"/>
          <w:highlight w:val="none"/>
        </w:rPr>
      </w:pPr>
      <w:r>
        <w:rPr>
          <w:rFonts w:hint="eastAsia" w:ascii="宋体" w:hAnsi="宋体"/>
          <w:color w:val="auto"/>
          <w:kern w:val="2"/>
          <w:sz w:val="24"/>
          <w:szCs w:val="24"/>
          <w:highlight w:val="none"/>
        </w:rPr>
        <w:t xml:space="preserve">日期：   </w:t>
      </w:r>
      <w:r>
        <w:rPr>
          <w:rFonts w:ascii="宋体" w:hAnsi="宋体"/>
          <w:color w:val="auto"/>
          <w:kern w:val="2"/>
          <w:sz w:val="24"/>
          <w:szCs w:val="24"/>
          <w:highlight w:val="none"/>
        </w:rPr>
        <w:t>年</w:t>
      </w:r>
      <w:r>
        <w:rPr>
          <w:rFonts w:hint="eastAsia" w:ascii="宋体" w:hAnsi="宋体"/>
          <w:color w:val="auto"/>
          <w:kern w:val="2"/>
          <w:sz w:val="24"/>
          <w:szCs w:val="24"/>
          <w:highlight w:val="none"/>
        </w:rPr>
        <w:t xml:space="preserve">   </w:t>
      </w:r>
      <w:r>
        <w:rPr>
          <w:rFonts w:ascii="宋体" w:hAnsi="宋体"/>
          <w:color w:val="auto"/>
          <w:kern w:val="2"/>
          <w:sz w:val="24"/>
          <w:szCs w:val="24"/>
          <w:highlight w:val="none"/>
        </w:rPr>
        <w:t>月</w:t>
      </w:r>
      <w:r>
        <w:rPr>
          <w:rFonts w:hint="eastAsia" w:ascii="宋体" w:hAnsi="宋体"/>
          <w:color w:val="auto"/>
          <w:kern w:val="2"/>
          <w:sz w:val="24"/>
          <w:szCs w:val="24"/>
          <w:highlight w:val="none"/>
        </w:rPr>
        <w:t xml:space="preserve">   </w:t>
      </w:r>
      <w:r>
        <w:rPr>
          <w:rFonts w:ascii="宋体" w:hAnsi="宋体"/>
          <w:color w:val="auto"/>
          <w:kern w:val="2"/>
          <w:sz w:val="24"/>
          <w:szCs w:val="24"/>
          <w:highlight w:val="none"/>
        </w:rPr>
        <w:t>日</w:t>
      </w:r>
    </w:p>
    <w:p w14:paraId="7F1CFCF2">
      <w:pPr>
        <w:keepNext/>
        <w:keepLines/>
        <w:spacing w:line="360" w:lineRule="auto"/>
        <w:textAlignment w:val="baseline"/>
        <w:outlineLvl w:val="1"/>
        <w:rPr>
          <w:rFonts w:hint="eastAsia" w:ascii="仿宋" w:hAnsi="仿宋" w:eastAsia="仿宋" w:cs="仿宋"/>
          <w:b/>
          <w:color w:val="auto"/>
          <w:sz w:val="24"/>
          <w:szCs w:val="28"/>
        </w:rPr>
      </w:pPr>
    </w:p>
    <w:p w14:paraId="17B5D4E0">
      <w:pPr>
        <w:keepNext/>
        <w:keepLines/>
        <w:spacing w:line="360" w:lineRule="auto"/>
        <w:textAlignment w:val="baseline"/>
        <w:outlineLvl w:val="1"/>
        <w:rPr>
          <w:rFonts w:hint="eastAsia" w:ascii="仿宋" w:hAnsi="仿宋" w:eastAsia="仿宋" w:cs="仿宋"/>
          <w:b/>
          <w:color w:val="auto"/>
          <w:sz w:val="24"/>
          <w:szCs w:val="28"/>
        </w:rPr>
      </w:pPr>
    </w:p>
    <w:p w14:paraId="664109AC">
      <w:pPr>
        <w:rPr>
          <w:rFonts w:hint="eastAsia" w:ascii="仿宋" w:hAnsi="仿宋" w:eastAsia="仿宋" w:cs="仿宋"/>
          <w:b/>
          <w:color w:val="auto"/>
          <w:sz w:val="24"/>
          <w:szCs w:val="28"/>
        </w:rPr>
      </w:pPr>
      <w:r>
        <w:rPr>
          <w:rFonts w:hint="eastAsia" w:ascii="仿宋" w:hAnsi="仿宋" w:eastAsia="仿宋" w:cs="仿宋"/>
          <w:b/>
          <w:color w:val="auto"/>
          <w:sz w:val="24"/>
          <w:szCs w:val="28"/>
        </w:rPr>
        <w:br w:type="page"/>
      </w:r>
    </w:p>
    <w:p w14:paraId="7D705993">
      <w:pPr>
        <w:keepNext/>
        <w:keepLines/>
        <w:spacing w:line="360" w:lineRule="auto"/>
        <w:jc w:val="center"/>
        <w:textAlignment w:val="baseline"/>
        <w:outlineLvl w:val="1"/>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拟投入项目管理机构人员表</w:t>
      </w:r>
    </w:p>
    <w:tbl>
      <w:tblPr>
        <w:tblStyle w:val="17"/>
        <w:tblW w:w="10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288"/>
        <w:gridCol w:w="1395"/>
        <w:gridCol w:w="1523"/>
        <w:gridCol w:w="1938"/>
        <w:gridCol w:w="1462"/>
        <w:gridCol w:w="1361"/>
      </w:tblGrid>
      <w:tr w14:paraId="7381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79" w:type="dxa"/>
            <w:noWrap w:val="0"/>
            <w:vAlign w:val="center"/>
          </w:tcPr>
          <w:p w14:paraId="7B8CD85A">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序号</w:t>
            </w:r>
          </w:p>
        </w:tc>
        <w:tc>
          <w:tcPr>
            <w:tcW w:w="1288" w:type="dxa"/>
            <w:noWrap w:val="0"/>
            <w:vAlign w:val="center"/>
          </w:tcPr>
          <w:p w14:paraId="17392ACE">
            <w:pPr>
              <w:spacing w:line="360" w:lineRule="auto"/>
              <w:jc w:val="center"/>
              <w:rPr>
                <w:rFonts w:hint="eastAsia" w:ascii="宋体" w:hAnsi="宋体" w:eastAsia="宋体" w:cs="宋体"/>
                <w:color w:val="auto"/>
                <w:sz w:val="24"/>
                <w:szCs w:val="24"/>
              </w:rPr>
            </w:pPr>
            <w:bookmarkStart w:id="199" w:name="_Toc365647279"/>
            <w:r>
              <w:rPr>
                <w:rFonts w:hint="eastAsia" w:ascii="宋体" w:hAnsi="宋体" w:eastAsia="宋体" w:cs="宋体"/>
                <w:color w:val="auto"/>
                <w:sz w:val="24"/>
                <w:szCs w:val="24"/>
              </w:rPr>
              <w:t>姓名</w:t>
            </w:r>
            <w:bookmarkEnd w:id="199"/>
          </w:p>
        </w:tc>
        <w:tc>
          <w:tcPr>
            <w:tcW w:w="1395" w:type="dxa"/>
            <w:noWrap w:val="0"/>
            <w:vAlign w:val="center"/>
          </w:tcPr>
          <w:p w14:paraId="3C2D3B94">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年龄</w:t>
            </w:r>
          </w:p>
        </w:tc>
        <w:tc>
          <w:tcPr>
            <w:tcW w:w="1523" w:type="dxa"/>
            <w:noWrap w:val="0"/>
            <w:vAlign w:val="center"/>
          </w:tcPr>
          <w:p w14:paraId="2FB5D1E8">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学历及专业</w:t>
            </w:r>
          </w:p>
        </w:tc>
        <w:tc>
          <w:tcPr>
            <w:tcW w:w="1938" w:type="dxa"/>
            <w:noWrap w:val="0"/>
            <w:vAlign w:val="center"/>
          </w:tcPr>
          <w:p w14:paraId="4D0D51A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相关职称（资格）</w:t>
            </w:r>
          </w:p>
        </w:tc>
        <w:tc>
          <w:tcPr>
            <w:tcW w:w="1462" w:type="dxa"/>
            <w:noWrap w:val="0"/>
            <w:vAlign w:val="center"/>
          </w:tcPr>
          <w:p w14:paraId="517D5A67">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工作年限</w:t>
            </w:r>
          </w:p>
        </w:tc>
        <w:tc>
          <w:tcPr>
            <w:tcW w:w="1361" w:type="dxa"/>
            <w:noWrap w:val="0"/>
            <w:vAlign w:val="center"/>
          </w:tcPr>
          <w:p w14:paraId="665013A2">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其他</w:t>
            </w:r>
          </w:p>
        </w:tc>
      </w:tr>
      <w:tr w14:paraId="287C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79" w:type="dxa"/>
            <w:noWrap w:val="0"/>
            <w:vAlign w:val="top"/>
          </w:tcPr>
          <w:p w14:paraId="07E22A3C">
            <w:pPr>
              <w:spacing w:line="360" w:lineRule="auto"/>
              <w:rPr>
                <w:rFonts w:hint="eastAsia" w:ascii="宋体" w:hAnsi="宋体" w:eastAsia="宋体" w:cs="宋体"/>
                <w:color w:val="auto"/>
                <w:sz w:val="24"/>
                <w:szCs w:val="24"/>
              </w:rPr>
            </w:pPr>
          </w:p>
        </w:tc>
        <w:tc>
          <w:tcPr>
            <w:tcW w:w="1288" w:type="dxa"/>
            <w:noWrap w:val="0"/>
            <w:vAlign w:val="top"/>
          </w:tcPr>
          <w:p w14:paraId="66FC8B15">
            <w:pPr>
              <w:spacing w:line="360" w:lineRule="auto"/>
              <w:rPr>
                <w:rFonts w:hint="eastAsia" w:ascii="宋体" w:hAnsi="宋体" w:eastAsia="宋体" w:cs="宋体"/>
                <w:color w:val="auto"/>
                <w:sz w:val="24"/>
                <w:szCs w:val="24"/>
              </w:rPr>
            </w:pPr>
          </w:p>
        </w:tc>
        <w:tc>
          <w:tcPr>
            <w:tcW w:w="1395" w:type="dxa"/>
            <w:noWrap w:val="0"/>
            <w:vAlign w:val="top"/>
          </w:tcPr>
          <w:p w14:paraId="33524CB8">
            <w:pPr>
              <w:spacing w:line="360" w:lineRule="auto"/>
              <w:rPr>
                <w:rFonts w:hint="eastAsia" w:ascii="宋体" w:hAnsi="宋体" w:eastAsia="宋体" w:cs="宋体"/>
                <w:color w:val="auto"/>
                <w:sz w:val="24"/>
                <w:szCs w:val="24"/>
              </w:rPr>
            </w:pPr>
          </w:p>
        </w:tc>
        <w:tc>
          <w:tcPr>
            <w:tcW w:w="1523" w:type="dxa"/>
            <w:noWrap w:val="0"/>
            <w:vAlign w:val="top"/>
          </w:tcPr>
          <w:p w14:paraId="3D2E5342">
            <w:pPr>
              <w:spacing w:line="360" w:lineRule="auto"/>
              <w:rPr>
                <w:rFonts w:hint="eastAsia" w:ascii="宋体" w:hAnsi="宋体" w:eastAsia="宋体" w:cs="宋体"/>
                <w:color w:val="auto"/>
                <w:sz w:val="24"/>
                <w:szCs w:val="24"/>
              </w:rPr>
            </w:pPr>
          </w:p>
        </w:tc>
        <w:tc>
          <w:tcPr>
            <w:tcW w:w="1938" w:type="dxa"/>
            <w:noWrap w:val="0"/>
            <w:vAlign w:val="top"/>
          </w:tcPr>
          <w:p w14:paraId="1D031FA5">
            <w:pPr>
              <w:spacing w:line="360" w:lineRule="auto"/>
              <w:rPr>
                <w:rFonts w:hint="eastAsia" w:ascii="宋体" w:hAnsi="宋体" w:eastAsia="宋体" w:cs="宋体"/>
                <w:color w:val="auto"/>
                <w:sz w:val="24"/>
                <w:szCs w:val="24"/>
              </w:rPr>
            </w:pPr>
          </w:p>
        </w:tc>
        <w:tc>
          <w:tcPr>
            <w:tcW w:w="1462" w:type="dxa"/>
            <w:noWrap w:val="0"/>
            <w:vAlign w:val="top"/>
          </w:tcPr>
          <w:p w14:paraId="4846C2C2">
            <w:pPr>
              <w:spacing w:line="360" w:lineRule="auto"/>
              <w:rPr>
                <w:rFonts w:hint="eastAsia" w:ascii="宋体" w:hAnsi="宋体" w:eastAsia="宋体" w:cs="宋体"/>
                <w:color w:val="auto"/>
                <w:sz w:val="24"/>
                <w:szCs w:val="24"/>
              </w:rPr>
            </w:pPr>
          </w:p>
        </w:tc>
        <w:tc>
          <w:tcPr>
            <w:tcW w:w="1361" w:type="dxa"/>
            <w:noWrap w:val="0"/>
            <w:vAlign w:val="top"/>
          </w:tcPr>
          <w:p w14:paraId="579909A4">
            <w:pPr>
              <w:spacing w:line="360" w:lineRule="auto"/>
              <w:rPr>
                <w:rFonts w:hint="eastAsia" w:ascii="宋体" w:hAnsi="宋体" w:eastAsia="宋体" w:cs="宋体"/>
                <w:color w:val="auto"/>
                <w:sz w:val="24"/>
                <w:szCs w:val="24"/>
              </w:rPr>
            </w:pPr>
          </w:p>
        </w:tc>
      </w:tr>
      <w:tr w14:paraId="6CF3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79" w:type="dxa"/>
            <w:noWrap w:val="0"/>
            <w:vAlign w:val="top"/>
          </w:tcPr>
          <w:p w14:paraId="2677A9BA">
            <w:pPr>
              <w:spacing w:line="360" w:lineRule="auto"/>
              <w:rPr>
                <w:rFonts w:hint="eastAsia" w:ascii="宋体" w:hAnsi="宋体" w:eastAsia="宋体" w:cs="宋体"/>
                <w:color w:val="auto"/>
                <w:sz w:val="24"/>
                <w:szCs w:val="24"/>
              </w:rPr>
            </w:pPr>
          </w:p>
        </w:tc>
        <w:tc>
          <w:tcPr>
            <w:tcW w:w="1288" w:type="dxa"/>
            <w:noWrap w:val="0"/>
            <w:vAlign w:val="top"/>
          </w:tcPr>
          <w:p w14:paraId="7008F2D0">
            <w:pPr>
              <w:spacing w:line="360" w:lineRule="auto"/>
              <w:rPr>
                <w:rFonts w:hint="eastAsia" w:ascii="宋体" w:hAnsi="宋体" w:eastAsia="宋体" w:cs="宋体"/>
                <w:color w:val="auto"/>
                <w:sz w:val="24"/>
                <w:szCs w:val="24"/>
              </w:rPr>
            </w:pPr>
          </w:p>
        </w:tc>
        <w:tc>
          <w:tcPr>
            <w:tcW w:w="1395" w:type="dxa"/>
            <w:noWrap w:val="0"/>
            <w:vAlign w:val="top"/>
          </w:tcPr>
          <w:p w14:paraId="025E65FE">
            <w:pPr>
              <w:spacing w:line="360" w:lineRule="auto"/>
              <w:rPr>
                <w:rFonts w:hint="eastAsia" w:ascii="宋体" w:hAnsi="宋体" w:eastAsia="宋体" w:cs="宋体"/>
                <w:color w:val="auto"/>
                <w:sz w:val="24"/>
                <w:szCs w:val="24"/>
              </w:rPr>
            </w:pPr>
          </w:p>
        </w:tc>
        <w:tc>
          <w:tcPr>
            <w:tcW w:w="1523" w:type="dxa"/>
            <w:noWrap w:val="0"/>
            <w:vAlign w:val="top"/>
          </w:tcPr>
          <w:p w14:paraId="17B176C9">
            <w:pPr>
              <w:spacing w:line="360" w:lineRule="auto"/>
              <w:rPr>
                <w:rFonts w:hint="eastAsia" w:ascii="宋体" w:hAnsi="宋体" w:eastAsia="宋体" w:cs="宋体"/>
                <w:color w:val="auto"/>
                <w:sz w:val="24"/>
                <w:szCs w:val="24"/>
              </w:rPr>
            </w:pPr>
          </w:p>
        </w:tc>
        <w:tc>
          <w:tcPr>
            <w:tcW w:w="1938" w:type="dxa"/>
            <w:noWrap w:val="0"/>
            <w:vAlign w:val="top"/>
          </w:tcPr>
          <w:p w14:paraId="24DFA4F2">
            <w:pPr>
              <w:spacing w:line="360" w:lineRule="auto"/>
              <w:rPr>
                <w:rFonts w:hint="eastAsia" w:ascii="宋体" w:hAnsi="宋体" w:eastAsia="宋体" w:cs="宋体"/>
                <w:color w:val="auto"/>
                <w:sz w:val="24"/>
                <w:szCs w:val="24"/>
              </w:rPr>
            </w:pPr>
          </w:p>
        </w:tc>
        <w:tc>
          <w:tcPr>
            <w:tcW w:w="1462" w:type="dxa"/>
            <w:noWrap w:val="0"/>
            <w:vAlign w:val="top"/>
          </w:tcPr>
          <w:p w14:paraId="30E17A89">
            <w:pPr>
              <w:spacing w:line="360" w:lineRule="auto"/>
              <w:rPr>
                <w:rFonts w:hint="eastAsia" w:ascii="宋体" w:hAnsi="宋体" w:eastAsia="宋体" w:cs="宋体"/>
                <w:color w:val="auto"/>
                <w:sz w:val="24"/>
                <w:szCs w:val="24"/>
              </w:rPr>
            </w:pPr>
          </w:p>
        </w:tc>
        <w:tc>
          <w:tcPr>
            <w:tcW w:w="1361" w:type="dxa"/>
            <w:noWrap w:val="0"/>
            <w:vAlign w:val="top"/>
          </w:tcPr>
          <w:p w14:paraId="0979B789">
            <w:pPr>
              <w:spacing w:line="360" w:lineRule="auto"/>
              <w:rPr>
                <w:rFonts w:hint="eastAsia" w:ascii="宋体" w:hAnsi="宋体" w:eastAsia="宋体" w:cs="宋体"/>
                <w:color w:val="auto"/>
                <w:sz w:val="24"/>
                <w:szCs w:val="24"/>
              </w:rPr>
            </w:pPr>
          </w:p>
        </w:tc>
      </w:tr>
      <w:tr w14:paraId="0FF5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79" w:type="dxa"/>
            <w:noWrap w:val="0"/>
            <w:vAlign w:val="top"/>
          </w:tcPr>
          <w:p w14:paraId="56C5EAE5">
            <w:pPr>
              <w:spacing w:line="360" w:lineRule="auto"/>
              <w:rPr>
                <w:rFonts w:hint="eastAsia" w:ascii="宋体" w:hAnsi="宋体" w:eastAsia="宋体" w:cs="宋体"/>
                <w:color w:val="auto"/>
                <w:sz w:val="24"/>
                <w:szCs w:val="24"/>
              </w:rPr>
            </w:pPr>
          </w:p>
        </w:tc>
        <w:tc>
          <w:tcPr>
            <w:tcW w:w="1288" w:type="dxa"/>
            <w:noWrap w:val="0"/>
            <w:vAlign w:val="top"/>
          </w:tcPr>
          <w:p w14:paraId="28E42BFF">
            <w:pPr>
              <w:spacing w:line="360" w:lineRule="auto"/>
              <w:rPr>
                <w:rFonts w:hint="eastAsia" w:ascii="宋体" w:hAnsi="宋体" w:eastAsia="宋体" w:cs="宋体"/>
                <w:color w:val="auto"/>
                <w:sz w:val="24"/>
                <w:szCs w:val="24"/>
              </w:rPr>
            </w:pPr>
          </w:p>
        </w:tc>
        <w:tc>
          <w:tcPr>
            <w:tcW w:w="1395" w:type="dxa"/>
            <w:noWrap w:val="0"/>
            <w:vAlign w:val="top"/>
          </w:tcPr>
          <w:p w14:paraId="7BB1C4BD">
            <w:pPr>
              <w:spacing w:line="360" w:lineRule="auto"/>
              <w:rPr>
                <w:rFonts w:hint="eastAsia" w:ascii="宋体" w:hAnsi="宋体" w:eastAsia="宋体" w:cs="宋体"/>
                <w:color w:val="auto"/>
                <w:sz w:val="24"/>
                <w:szCs w:val="24"/>
              </w:rPr>
            </w:pPr>
          </w:p>
        </w:tc>
        <w:tc>
          <w:tcPr>
            <w:tcW w:w="1523" w:type="dxa"/>
            <w:noWrap w:val="0"/>
            <w:vAlign w:val="top"/>
          </w:tcPr>
          <w:p w14:paraId="51F3CFC8">
            <w:pPr>
              <w:spacing w:line="360" w:lineRule="auto"/>
              <w:rPr>
                <w:rFonts w:hint="eastAsia" w:ascii="宋体" w:hAnsi="宋体" w:eastAsia="宋体" w:cs="宋体"/>
                <w:color w:val="auto"/>
                <w:sz w:val="24"/>
                <w:szCs w:val="24"/>
              </w:rPr>
            </w:pPr>
          </w:p>
        </w:tc>
        <w:tc>
          <w:tcPr>
            <w:tcW w:w="1938" w:type="dxa"/>
            <w:noWrap w:val="0"/>
            <w:vAlign w:val="top"/>
          </w:tcPr>
          <w:p w14:paraId="67DAF7A1">
            <w:pPr>
              <w:spacing w:line="360" w:lineRule="auto"/>
              <w:rPr>
                <w:rFonts w:hint="eastAsia" w:ascii="宋体" w:hAnsi="宋体" w:eastAsia="宋体" w:cs="宋体"/>
                <w:color w:val="auto"/>
                <w:sz w:val="24"/>
                <w:szCs w:val="24"/>
              </w:rPr>
            </w:pPr>
          </w:p>
        </w:tc>
        <w:tc>
          <w:tcPr>
            <w:tcW w:w="1462" w:type="dxa"/>
            <w:noWrap w:val="0"/>
            <w:vAlign w:val="top"/>
          </w:tcPr>
          <w:p w14:paraId="47EDEF47">
            <w:pPr>
              <w:spacing w:line="360" w:lineRule="auto"/>
              <w:rPr>
                <w:rFonts w:hint="eastAsia" w:ascii="宋体" w:hAnsi="宋体" w:eastAsia="宋体" w:cs="宋体"/>
                <w:color w:val="auto"/>
                <w:sz w:val="24"/>
                <w:szCs w:val="24"/>
              </w:rPr>
            </w:pPr>
          </w:p>
        </w:tc>
        <w:tc>
          <w:tcPr>
            <w:tcW w:w="1361" w:type="dxa"/>
            <w:noWrap w:val="0"/>
            <w:vAlign w:val="top"/>
          </w:tcPr>
          <w:p w14:paraId="24C3F7D7">
            <w:pPr>
              <w:spacing w:line="360" w:lineRule="auto"/>
              <w:rPr>
                <w:rFonts w:hint="eastAsia" w:ascii="宋体" w:hAnsi="宋体" w:eastAsia="宋体" w:cs="宋体"/>
                <w:color w:val="auto"/>
                <w:sz w:val="24"/>
                <w:szCs w:val="24"/>
              </w:rPr>
            </w:pPr>
          </w:p>
        </w:tc>
      </w:tr>
      <w:tr w14:paraId="02DE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79" w:type="dxa"/>
            <w:noWrap w:val="0"/>
            <w:vAlign w:val="top"/>
          </w:tcPr>
          <w:p w14:paraId="06BA711F">
            <w:pPr>
              <w:spacing w:line="360" w:lineRule="auto"/>
              <w:rPr>
                <w:rFonts w:hint="eastAsia" w:ascii="宋体" w:hAnsi="宋体" w:eastAsia="宋体" w:cs="宋体"/>
                <w:color w:val="auto"/>
                <w:sz w:val="24"/>
                <w:szCs w:val="24"/>
              </w:rPr>
            </w:pPr>
          </w:p>
        </w:tc>
        <w:tc>
          <w:tcPr>
            <w:tcW w:w="1288" w:type="dxa"/>
            <w:noWrap w:val="0"/>
            <w:vAlign w:val="top"/>
          </w:tcPr>
          <w:p w14:paraId="0F58C588">
            <w:pPr>
              <w:spacing w:line="360" w:lineRule="auto"/>
              <w:rPr>
                <w:rFonts w:hint="eastAsia" w:ascii="宋体" w:hAnsi="宋体" w:eastAsia="宋体" w:cs="宋体"/>
                <w:color w:val="auto"/>
                <w:sz w:val="24"/>
                <w:szCs w:val="24"/>
              </w:rPr>
            </w:pPr>
          </w:p>
        </w:tc>
        <w:tc>
          <w:tcPr>
            <w:tcW w:w="1395" w:type="dxa"/>
            <w:noWrap w:val="0"/>
            <w:vAlign w:val="top"/>
          </w:tcPr>
          <w:p w14:paraId="2433B3CA">
            <w:pPr>
              <w:spacing w:line="360" w:lineRule="auto"/>
              <w:rPr>
                <w:rFonts w:hint="eastAsia" w:ascii="宋体" w:hAnsi="宋体" w:eastAsia="宋体" w:cs="宋体"/>
                <w:color w:val="auto"/>
                <w:sz w:val="24"/>
                <w:szCs w:val="24"/>
              </w:rPr>
            </w:pPr>
          </w:p>
        </w:tc>
        <w:tc>
          <w:tcPr>
            <w:tcW w:w="1523" w:type="dxa"/>
            <w:noWrap w:val="0"/>
            <w:vAlign w:val="top"/>
          </w:tcPr>
          <w:p w14:paraId="56A8E3BC">
            <w:pPr>
              <w:spacing w:line="360" w:lineRule="auto"/>
              <w:rPr>
                <w:rFonts w:hint="eastAsia" w:ascii="宋体" w:hAnsi="宋体" w:eastAsia="宋体" w:cs="宋体"/>
                <w:color w:val="auto"/>
                <w:sz w:val="24"/>
                <w:szCs w:val="24"/>
              </w:rPr>
            </w:pPr>
          </w:p>
        </w:tc>
        <w:tc>
          <w:tcPr>
            <w:tcW w:w="1938" w:type="dxa"/>
            <w:noWrap w:val="0"/>
            <w:vAlign w:val="top"/>
          </w:tcPr>
          <w:p w14:paraId="61F07C23">
            <w:pPr>
              <w:spacing w:line="360" w:lineRule="auto"/>
              <w:rPr>
                <w:rFonts w:hint="eastAsia" w:ascii="宋体" w:hAnsi="宋体" w:eastAsia="宋体" w:cs="宋体"/>
                <w:color w:val="auto"/>
                <w:sz w:val="24"/>
                <w:szCs w:val="24"/>
              </w:rPr>
            </w:pPr>
          </w:p>
        </w:tc>
        <w:tc>
          <w:tcPr>
            <w:tcW w:w="1462" w:type="dxa"/>
            <w:noWrap w:val="0"/>
            <w:vAlign w:val="top"/>
          </w:tcPr>
          <w:p w14:paraId="2D9C79AB">
            <w:pPr>
              <w:spacing w:line="360" w:lineRule="auto"/>
              <w:rPr>
                <w:rFonts w:hint="eastAsia" w:ascii="宋体" w:hAnsi="宋体" w:eastAsia="宋体" w:cs="宋体"/>
                <w:color w:val="auto"/>
                <w:sz w:val="24"/>
                <w:szCs w:val="24"/>
              </w:rPr>
            </w:pPr>
          </w:p>
        </w:tc>
        <w:tc>
          <w:tcPr>
            <w:tcW w:w="1361" w:type="dxa"/>
            <w:noWrap w:val="0"/>
            <w:vAlign w:val="top"/>
          </w:tcPr>
          <w:p w14:paraId="12785A26">
            <w:pPr>
              <w:spacing w:line="360" w:lineRule="auto"/>
              <w:rPr>
                <w:rFonts w:hint="eastAsia" w:ascii="宋体" w:hAnsi="宋体" w:eastAsia="宋体" w:cs="宋体"/>
                <w:color w:val="auto"/>
                <w:sz w:val="24"/>
                <w:szCs w:val="24"/>
              </w:rPr>
            </w:pPr>
          </w:p>
        </w:tc>
      </w:tr>
      <w:tr w14:paraId="3059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79" w:type="dxa"/>
            <w:noWrap w:val="0"/>
            <w:vAlign w:val="top"/>
          </w:tcPr>
          <w:p w14:paraId="078CE514">
            <w:pPr>
              <w:spacing w:line="360" w:lineRule="auto"/>
              <w:rPr>
                <w:rFonts w:hint="eastAsia" w:ascii="宋体" w:hAnsi="宋体" w:eastAsia="宋体" w:cs="宋体"/>
                <w:color w:val="auto"/>
                <w:sz w:val="24"/>
                <w:szCs w:val="24"/>
              </w:rPr>
            </w:pPr>
          </w:p>
        </w:tc>
        <w:tc>
          <w:tcPr>
            <w:tcW w:w="1288" w:type="dxa"/>
            <w:noWrap w:val="0"/>
            <w:vAlign w:val="top"/>
          </w:tcPr>
          <w:p w14:paraId="2BDC03C5">
            <w:pPr>
              <w:spacing w:line="360" w:lineRule="auto"/>
              <w:rPr>
                <w:rFonts w:hint="eastAsia" w:ascii="宋体" w:hAnsi="宋体" w:eastAsia="宋体" w:cs="宋体"/>
                <w:color w:val="auto"/>
                <w:sz w:val="24"/>
                <w:szCs w:val="24"/>
              </w:rPr>
            </w:pPr>
          </w:p>
        </w:tc>
        <w:tc>
          <w:tcPr>
            <w:tcW w:w="1395" w:type="dxa"/>
            <w:noWrap w:val="0"/>
            <w:vAlign w:val="top"/>
          </w:tcPr>
          <w:p w14:paraId="4717C0FC">
            <w:pPr>
              <w:spacing w:line="360" w:lineRule="auto"/>
              <w:rPr>
                <w:rFonts w:hint="eastAsia" w:ascii="宋体" w:hAnsi="宋体" w:eastAsia="宋体" w:cs="宋体"/>
                <w:color w:val="auto"/>
                <w:sz w:val="24"/>
                <w:szCs w:val="24"/>
              </w:rPr>
            </w:pPr>
          </w:p>
        </w:tc>
        <w:tc>
          <w:tcPr>
            <w:tcW w:w="1523" w:type="dxa"/>
            <w:noWrap w:val="0"/>
            <w:vAlign w:val="top"/>
          </w:tcPr>
          <w:p w14:paraId="0F41BF69">
            <w:pPr>
              <w:spacing w:line="360" w:lineRule="auto"/>
              <w:rPr>
                <w:rFonts w:hint="eastAsia" w:ascii="宋体" w:hAnsi="宋体" w:eastAsia="宋体" w:cs="宋体"/>
                <w:color w:val="auto"/>
                <w:sz w:val="24"/>
                <w:szCs w:val="24"/>
              </w:rPr>
            </w:pPr>
          </w:p>
        </w:tc>
        <w:tc>
          <w:tcPr>
            <w:tcW w:w="1938" w:type="dxa"/>
            <w:noWrap w:val="0"/>
            <w:vAlign w:val="top"/>
          </w:tcPr>
          <w:p w14:paraId="2B3980B7">
            <w:pPr>
              <w:spacing w:line="360" w:lineRule="auto"/>
              <w:rPr>
                <w:rFonts w:hint="eastAsia" w:ascii="宋体" w:hAnsi="宋体" w:eastAsia="宋体" w:cs="宋体"/>
                <w:color w:val="auto"/>
                <w:sz w:val="24"/>
                <w:szCs w:val="24"/>
              </w:rPr>
            </w:pPr>
          </w:p>
        </w:tc>
        <w:tc>
          <w:tcPr>
            <w:tcW w:w="1462" w:type="dxa"/>
            <w:noWrap w:val="0"/>
            <w:vAlign w:val="top"/>
          </w:tcPr>
          <w:p w14:paraId="4D92D222">
            <w:pPr>
              <w:spacing w:line="360" w:lineRule="auto"/>
              <w:rPr>
                <w:rFonts w:hint="eastAsia" w:ascii="宋体" w:hAnsi="宋体" w:eastAsia="宋体" w:cs="宋体"/>
                <w:color w:val="auto"/>
                <w:sz w:val="24"/>
                <w:szCs w:val="24"/>
              </w:rPr>
            </w:pPr>
          </w:p>
        </w:tc>
        <w:tc>
          <w:tcPr>
            <w:tcW w:w="1361" w:type="dxa"/>
            <w:noWrap w:val="0"/>
            <w:vAlign w:val="top"/>
          </w:tcPr>
          <w:p w14:paraId="057F7FF8">
            <w:pPr>
              <w:spacing w:line="360" w:lineRule="auto"/>
              <w:rPr>
                <w:rFonts w:hint="eastAsia" w:ascii="宋体" w:hAnsi="宋体" w:eastAsia="宋体" w:cs="宋体"/>
                <w:color w:val="auto"/>
                <w:sz w:val="24"/>
                <w:szCs w:val="24"/>
              </w:rPr>
            </w:pPr>
          </w:p>
        </w:tc>
      </w:tr>
      <w:tr w14:paraId="6A3D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79" w:type="dxa"/>
            <w:noWrap w:val="0"/>
            <w:vAlign w:val="top"/>
          </w:tcPr>
          <w:p w14:paraId="5B29F7A4">
            <w:pPr>
              <w:spacing w:line="360" w:lineRule="auto"/>
              <w:rPr>
                <w:rFonts w:hint="eastAsia" w:ascii="宋体" w:hAnsi="宋体" w:eastAsia="宋体" w:cs="宋体"/>
                <w:color w:val="auto"/>
                <w:sz w:val="24"/>
                <w:szCs w:val="24"/>
              </w:rPr>
            </w:pPr>
          </w:p>
        </w:tc>
        <w:tc>
          <w:tcPr>
            <w:tcW w:w="1288" w:type="dxa"/>
            <w:noWrap w:val="0"/>
            <w:vAlign w:val="top"/>
          </w:tcPr>
          <w:p w14:paraId="2419A2E8">
            <w:pPr>
              <w:spacing w:line="360" w:lineRule="auto"/>
              <w:rPr>
                <w:rFonts w:hint="eastAsia" w:ascii="宋体" w:hAnsi="宋体" w:eastAsia="宋体" w:cs="宋体"/>
                <w:color w:val="auto"/>
                <w:sz w:val="24"/>
                <w:szCs w:val="24"/>
              </w:rPr>
            </w:pPr>
          </w:p>
        </w:tc>
        <w:tc>
          <w:tcPr>
            <w:tcW w:w="1395" w:type="dxa"/>
            <w:noWrap w:val="0"/>
            <w:vAlign w:val="top"/>
          </w:tcPr>
          <w:p w14:paraId="55FB26A7">
            <w:pPr>
              <w:spacing w:line="360" w:lineRule="auto"/>
              <w:rPr>
                <w:rFonts w:hint="eastAsia" w:ascii="宋体" w:hAnsi="宋体" w:eastAsia="宋体" w:cs="宋体"/>
                <w:color w:val="auto"/>
                <w:sz w:val="24"/>
                <w:szCs w:val="24"/>
              </w:rPr>
            </w:pPr>
          </w:p>
        </w:tc>
        <w:tc>
          <w:tcPr>
            <w:tcW w:w="1523" w:type="dxa"/>
            <w:noWrap w:val="0"/>
            <w:vAlign w:val="top"/>
          </w:tcPr>
          <w:p w14:paraId="0DD2C3B3">
            <w:pPr>
              <w:spacing w:line="360" w:lineRule="auto"/>
              <w:rPr>
                <w:rFonts w:hint="eastAsia" w:ascii="宋体" w:hAnsi="宋体" w:eastAsia="宋体" w:cs="宋体"/>
                <w:color w:val="auto"/>
                <w:sz w:val="24"/>
                <w:szCs w:val="24"/>
              </w:rPr>
            </w:pPr>
          </w:p>
        </w:tc>
        <w:tc>
          <w:tcPr>
            <w:tcW w:w="1938" w:type="dxa"/>
            <w:noWrap w:val="0"/>
            <w:vAlign w:val="top"/>
          </w:tcPr>
          <w:p w14:paraId="366813B3">
            <w:pPr>
              <w:spacing w:line="360" w:lineRule="auto"/>
              <w:rPr>
                <w:rFonts w:hint="eastAsia" w:ascii="宋体" w:hAnsi="宋体" w:eastAsia="宋体" w:cs="宋体"/>
                <w:color w:val="auto"/>
                <w:sz w:val="24"/>
                <w:szCs w:val="24"/>
              </w:rPr>
            </w:pPr>
          </w:p>
        </w:tc>
        <w:tc>
          <w:tcPr>
            <w:tcW w:w="1462" w:type="dxa"/>
            <w:noWrap w:val="0"/>
            <w:vAlign w:val="top"/>
          </w:tcPr>
          <w:p w14:paraId="48DA1794">
            <w:pPr>
              <w:spacing w:line="360" w:lineRule="auto"/>
              <w:rPr>
                <w:rFonts w:hint="eastAsia" w:ascii="宋体" w:hAnsi="宋体" w:eastAsia="宋体" w:cs="宋体"/>
                <w:color w:val="auto"/>
                <w:sz w:val="24"/>
                <w:szCs w:val="24"/>
              </w:rPr>
            </w:pPr>
          </w:p>
        </w:tc>
        <w:tc>
          <w:tcPr>
            <w:tcW w:w="1361" w:type="dxa"/>
            <w:noWrap w:val="0"/>
            <w:vAlign w:val="top"/>
          </w:tcPr>
          <w:p w14:paraId="7B3A6E0E">
            <w:pPr>
              <w:spacing w:line="360" w:lineRule="auto"/>
              <w:rPr>
                <w:rFonts w:hint="eastAsia" w:ascii="宋体" w:hAnsi="宋体" w:eastAsia="宋体" w:cs="宋体"/>
                <w:color w:val="auto"/>
                <w:sz w:val="24"/>
                <w:szCs w:val="24"/>
              </w:rPr>
            </w:pPr>
          </w:p>
        </w:tc>
      </w:tr>
      <w:tr w14:paraId="5DBA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79" w:type="dxa"/>
            <w:noWrap w:val="0"/>
            <w:vAlign w:val="top"/>
          </w:tcPr>
          <w:p w14:paraId="72D4FDED">
            <w:pPr>
              <w:spacing w:line="360" w:lineRule="auto"/>
              <w:rPr>
                <w:rFonts w:hint="eastAsia" w:ascii="宋体" w:hAnsi="宋体" w:eastAsia="宋体" w:cs="宋体"/>
                <w:color w:val="auto"/>
                <w:sz w:val="24"/>
                <w:szCs w:val="24"/>
              </w:rPr>
            </w:pPr>
          </w:p>
        </w:tc>
        <w:tc>
          <w:tcPr>
            <w:tcW w:w="1288" w:type="dxa"/>
            <w:noWrap w:val="0"/>
            <w:vAlign w:val="top"/>
          </w:tcPr>
          <w:p w14:paraId="5180CEB6">
            <w:pPr>
              <w:spacing w:line="360" w:lineRule="auto"/>
              <w:rPr>
                <w:rFonts w:hint="eastAsia" w:ascii="宋体" w:hAnsi="宋体" w:eastAsia="宋体" w:cs="宋体"/>
                <w:color w:val="auto"/>
                <w:sz w:val="24"/>
                <w:szCs w:val="24"/>
              </w:rPr>
            </w:pPr>
          </w:p>
        </w:tc>
        <w:tc>
          <w:tcPr>
            <w:tcW w:w="1395" w:type="dxa"/>
            <w:noWrap w:val="0"/>
            <w:vAlign w:val="top"/>
          </w:tcPr>
          <w:p w14:paraId="32C7F2CD">
            <w:pPr>
              <w:spacing w:line="360" w:lineRule="auto"/>
              <w:rPr>
                <w:rFonts w:hint="eastAsia" w:ascii="宋体" w:hAnsi="宋体" w:eastAsia="宋体" w:cs="宋体"/>
                <w:color w:val="auto"/>
                <w:sz w:val="24"/>
                <w:szCs w:val="24"/>
              </w:rPr>
            </w:pPr>
          </w:p>
        </w:tc>
        <w:tc>
          <w:tcPr>
            <w:tcW w:w="1523" w:type="dxa"/>
            <w:noWrap w:val="0"/>
            <w:vAlign w:val="top"/>
          </w:tcPr>
          <w:p w14:paraId="481C993D">
            <w:pPr>
              <w:spacing w:line="360" w:lineRule="auto"/>
              <w:rPr>
                <w:rFonts w:hint="eastAsia" w:ascii="宋体" w:hAnsi="宋体" w:eastAsia="宋体" w:cs="宋体"/>
                <w:color w:val="auto"/>
                <w:sz w:val="24"/>
                <w:szCs w:val="24"/>
              </w:rPr>
            </w:pPr>
          </w:p>
        </w:tc>
        <w:tc>
          <w:tcPr>
            <w:tcW w:w="1938" w:type="dxa"/>
            <w:noWrap w:val="0"/>
            <w:vAlign w:val="top"/>
          </w:tcPr>
          <w:p w14:paraId="67ECD773">
            <w:pPr>
              <w:spacing w:line="360" w:lineRule="auto"/>
              <w:rPr>
                <w:rFonts w:hint="eastAsia" w:ascii="宋体" w:hAnsi="宋体" w:eastAsia="宋体" w:cs="宋体"/>
                <w:color w:val="auto"/>
                <w:sz w:val="24"/>
                <w:szCs w:val="24"/>
              </w:rPr>
            </w:pPr>
          </w:p>
        </w:tc>
        <w:tc>
          <w:tcPr>
            <w:tcW w:w="1462" w:type="dxa"/>
            <w:noWrap w:val="0"/>
            <w:vAlign w:val="top"/>
          </w:tcPr>
          <w:p w14:paraId="1446F1BD">
            <w:pPr>
              <w:spacing w:line="360" w:lineRule="auto"/>
              <w:rPr>
                <w:rFonts w:hint="eastAsia" w:ascii="宋体" w:hAnsi="宋体" w:eastAsia="宋体" w:cs="宋体"/>
                <w:color w:val="auto"/>
                <w:sz w:val="24"/>
                <w:szCs w:val="24"/>
              </w:rPr>
            </w:pPr>
          </w:p>
        </w:tc>
        <w:tc>
          <w:tcPr>
            <w:tcW w:w="1361" w:type="dxa"/>
            <w:noWrap w:val="0"/>
            <w:vAlign w:val="top"/>
          </w:tcPr>
          <w:p w14:paraId="1EE16F1A">
            <w:pPr>
              <w:spacing w:line="360" w:lineRule="auto"/>
              <w:rPr>
                <w:rFonts w:hint="eastAsia" w:ascii="宋体" w:hAnsi="宋体" w:eastAsia="宋体" w:cs="宋体"/>
                <w:color w:val="auto"/>
                <w:sz w:val="24"/>
                <w:szCs w:val="24"/>
              </w:rPr>
            </w:pPr>
          </w:p>
        </w:tc>
      </w:tr>
      <w:tr w14:paraId="4D0E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79" w:type="dxa"/>
            <w:noWrap w:val="0"/>
            <w:vAlign w:val="top"/>
          </w:tcPr>
          <w:p w14:paraId="0760889A">
            <w:pPr>
              <w:spacing w:line="360" w:lineRule="auto"/>
              <w:rPr>
                <w:rFonts w:hint="eastAsia" w:ascii="宋体" w:hAnsi="宋体" w:eastAsia="宋体" w:cs="宋体"/>
                <w:color w:val="auto"/>
                <w:sz w:val="24"/>
                <w:szCs w:val="24"/>
              </w:rPr>
            </w:pPr>
          </w:p>
        </w:tc>
        <w:tc>
          <w:tcPr>
            <w:tcW w:w="1288" w:type="dxa"/>
            <w:noWrap w:val="0"/>
            <w:vAlign w:val="top"/>
          </w:tcPr>
          <w:p w14:paraId="4A201F22">
            <w:pPr>
              <w:spacing w:line="360" w:lineRule="auto"/>
              <w:rPr>
                <w:rFonts w:hint="eastAsia" w:ascii="宋体" w:hAnsi="宋体" w:eastAsia="宋体" w:cs="宋体"/>
                <w:color w:val="auto"/>
                <w:sz w:val="24"/>
                <w:szCs w:val="24"/>
              </w:rPr>
            </w:pPr>
          </w:p>
        </w:tc>
        <w:tc>
          <w:tcPr>
            <w:tcW w:w="1395" w:type="dxa"/>
            <w:noWrap w:val="0"/>
            <w:vAlign w:val="top"/>
          </w:tcPr>
          <w:p w14:paraId="6935539D">
            <w:pPr>
              <w:spacing w:line="360" w:lineRule="auto"/>
              <w:rPr>
                <w:rFonts w:hint="eastAsia" w:ascii="宋体" w:hAnsi="宋体" w:eastAsia="宋体" w:cs="宋体"/>
                <w:color w:val="auto"/>
                <w:sz w:val="24"/>
                <w:szCs w:val="24"/>
              </w:rPr>
            </w:pPr>
          </w:p>
        </w:tc>
        <w:tc>
          <w:tcPr>
            <w:tcW w:w="1523" w:type="dxa"/>
            <w:noWrap w:val="0"/>
            <w:vAlign w:val="top"/>
          </w:tcPr>
          <w:p w14:paraId="102F09AE">
            <w:pPr>
              <w:spacing w:line="360" w:lineRule="auto"/>
              <w:rPr>
                <w:rFonts w:hint="eastAsia" w:ascii="宋体" w:hAnsi="宋体" w:eastAsia="宋体" w:cs="宋体"/>
                <w:color w:val="auto"/>
                <w:sz w:val="24"/>
                <w:szCs w:val="24"/>
              </w:rPr>
            </w:pPr>
          </w:p>
        </w:tc>
        <w:tc>
          <w:tcPr>
            <w:tcW w:w="1938" w:type="dxa"/>
            <w:noWrap w:val="0"/>
            <w:vAlign w:val="top"/>
          </w:tcPr>
          <w:p w14:paraId="2412FACB">
            <w:pPr>
              <w:spacing w:line="360" w:lineRule="auto"/>
              <w:rPr>
                <w:rFonts w:hint="eastAsia" w:ascii="宋体" w:hAnsi="宋体" w:eastAsia="宋体" w:cs="宋体"/>
                <w:color w:val="auto"/>
                <w:sz w:val="24"/>
                <w:szCs w:val="24"/>
              </w:rPr>
            </w:pPr>
          </w:p>
        </w:tc>
        <w:tc>
          <w:tcPr>
            <w:tcW w:w="1462" w:type="dxa"/>
            <w:noWrap w:val="0"/>
            <w:vAlign w:val="top"/>
          </w:tcPr>
          <w:p w14:paraId="4C0861B5">
            <w:pPr>
              <w:spacing w:line="360" w:lineRule="auto"/>
              <w:rPr>
                <w:rFonts w:hint="eastAsia" w:ascii="宋体" w:hAnsi="宋体" w:eastAsia="宋体" w:cs="宋体"/>
                <w:color w:val="auto"/>
                <w:sz w:val="24"/>
                <w:szCs w:val="24"/>
              </w:rPr>
            </w:pPr>
          </w:p>
        </w:tc>
        <w:tc>
          <w:tcPr>
            <w:tcW w:w="1361" w:type="dxa"/>
            <w:noWrap w:val="0"/>
            <w:vAlign w:val="top"/>
          </w:tcPr>
          <w:p w14:paraId="4468DA38">
            <w:pPr>
              <w:spacing w:line="360" w:lineRule="auto"/>
              <w:rPr>
                <w:rFonts w:hint="eastAsia" w:ascii="宋体" w:hAnsi="宋体" w:eastAsia="宋体" w:cs="宋体"/>
                <w:color w:val="auto"/>
                <w:sz w:val="24"/>
                <w:szCs w:val="24"/>
              </w:rPr>
            </w:pPr>
          </w:p>
        </w:tc>
      </w:tr>
      <w:tr w14:paraId="18B5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79" w:type="dxa"/>
            <w:noWrap w:val="0"/>
            <w:vAlign w:val="top"/>
          </w:tcPr>
          <w:p w14:paraId="14FFCF58">
            <w:pPr>
              <w:spacing w:line="360" w:lineRule="auto"/>
              <w:rPr>
                <w:rFonts w:hint="eastAsia" w:ascii="宋体" w:hAnsi="宋体" w:eastAsia="宋体" w:cs="宋体"/>
                <w:color w:val="auto"/>
                <w:sz w:val="24"/>
                <w:szCs w:val="24"/>
              </w:rPr>
            </w:pPr>
          </w:p>
        </w:tc>
        <w:tc>
          <w:tcPr>
            <w:tcW w:w="1288" w:type="dxa"/>
            <w:noWrap w:val="0"/>
            <w:vAlign w:val="top"/>
          </w:tcPr>
          <w:p w14:paraId="42FBDD74">
            <w:pPr>
              <w:spacing w:line="360" w:lineRule="auto"/>
              <w:rPr>
                <w:rFonts w:hint="eastAsia" w:ascii="宋体" w:hAnsi="宋体" w:eastAsia="宋体" w:cs="宋体"/>
                <w:color w:val="auto"/>
                <w:sz w:val="24"/>
                <w:szCs w:val="24"/>
              </w:rPr>
            </w:pPr>
          </w:p>
        </w:tc>
        <w:tc>
          <w:tcPr>
            <w:tcW w:w="1395" w:type="dxa"/>
            <w:noWrap w:val="0"/>
            <w:vAlign w:val="top"/>
          </w:tcPr>
          <w:p w14:paraId="1620A097">
            <w:pPr>
              <w:spacing w:line="360" w:lineRule="auto"/>
              <w:rPr>
                <w:rFonts w:hint="eastAsia" w:ascii="宋体" w:hAnsi="宋体" w:eastAsia="宋体" w:cs="宋体"/>
                <w:color w:val="auto"/>
                <w:sz w:val="24"/>
                <w:szCs w:val="24"/>
              </w:rPr>
            </w:pPr>
          </w:p>
        </w:tc>
        <w:tc>
          <w:tcPr>
            <w:tcW w:w="1523" w:type="dxa"/>
            <w:noWrap w:val="0"/>
            <w:vAlign w:val="top"/>
          </w:tcPr>
          <w:p w14:paraId="4B1E6EFA">
            <w:pPr>
              <w:spacing w:line="360" w:lineRule="auto"/>
              <w:rPr>
                <w:rFonts w:hint="eastAsia" w:ascii="宋体" w:hAnsi="宋体" w:eastAsia="宋体" w:cs="宋体"/>
                <w:color w:val="auto"/>
                <w:sz w:val="24"/>
                <w:szCs w:val="24"/>
              </w:rPr>
            </w:pPr>
          </w:p>
        </w:tc>
        <w:tc>
          <w:tcPr>
            <w:tcW w:w="1938" w:type="dxa"/>
            <w:noWrap w:val="0"/>
            <w:vAlign w:val="top"/>
          </w:tcPr>
          <w:p w14:paraId="4473EC18">
            <w:pPr>
              <w:spacing w:line="360" w:lineRule="auto"/>
              <w:rPr>
                <w:rFonts w:hint="eastAsia" w:ascii="宋体" w:hAnsi="宋体" w:eastAsia="宋体" w:cs="宋体"/>
                <w:color w:val="auto"/>
                <w:sz w:val="24"/>
                <w:szCs w:val="24"/>
              </w:rPr>
            </w:pPr>
          </w:p>
        </w:tc>
        <w:tc>
          <w:tcPr>
            <w:tcW w:w="1462" w:type="dxa"/>
            <w:noWrap w:val="0"/>
            <w:vAlign w:val="top"/>
          </w:tcPr>
          <w:p w14:paraId="51463DCE">
            <w:pPr>
              <w:spacing w:line="360" w:lineRule="auto"/>
              <w:rPr>
                <w:rFonts w:hint="eastAsia" w:ascii="宋体" w:hAnsi="宋体" w:eastAsia="宋体" w:cs="宋体"/>
                <w:color w:val="auto"/>
                <w:sz w:val="24"/>
                <w:szCs w:val="24"/>
              </w:rPr>
            </w:pPr>
          </w:p>
        </w:tc>
        <w:tc>
          <w:tcPr>
            <w:tcW w:w="1361" w:type="dxa"/>
            <w:noWrap w:val="0"/>
            <w:vAlign w:val="top"/>
          </w:tcPr>
          <w:p w14:paraId="2E014731">
            <w:pPr>
              <w:spacing w:line="360" w:lineRule="auto"/>
              <w:rPr>
                <w:rFonts w:hint="eastAsia" w:ascii="宋体" w:hAnsi="宋体" w:eastAsia="宋体" w:cs="宋体"/>
                <w:color w:val="auto"/>
                <w:sz w:val="24"/>
                <w:szCs w:val="24"/>
              </w:rPr>
            </w:pPr>
          </w:p>
        </w:tc>
      </w:tr>
      <w:tr w14:paraId="7950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79" w:type="dxa"/>
            <w:noWrap w:val="0"/>
            <w:vAlign w:val="top"/>
          </w:tcPr>
          <w:p w14:paraId="22021749">
            <w:pPr>
              <w:spacing w:line="360" w:lineRule="auto"/>
              <w:rPr>
                <w:rFonts w:hint="eastAsia" w:ascii="宋体" w:hAnsi="宋体" w:eastAsia="宋体" w:cs="宋体"/>
                <w:color w:val="auto"/>
                <w:sz w:val="24"/>
                <w:szCs w:val="24"/>
              </w:rPr>
            </w:pPr>
          </w:p>
        </w:tc>
        <w:tc>
          <w:tcPr>
            <w:tcW w:w="1288" w:type="dxa"/>
            <w:noWrap w:val="0"/>
            <w:vAlign w:val="top"/>
          </w:tcPr>
          <w:p w14:paraId="0D89ACD3">
            <w:pPr>
              <w:spacing w:line="360" w:lineRule="auto"/>
              <w:rPr>
                <w:rFonts w:hint="eastAsia" w:ascii="宋体" w:hAnsi="宋体" w:eastAsia="宋体" w:cs="宋体"/>
                <w:color w:val="auto"/>
                <w:sz w:val="24"/>
                <w:szCs w:val="24"/>
              </w:rPr>
            </w:pPr>
          </w:p>
        </w:tc>
        <w:tc>
          <w:tcPr>
            <w:tcW w:w="1395" w:type="dxa"/>
            <w:noWrap w:val="0"/>
            <w:vAlign w:val="top"/>
          </w:tcPr>
          <w:p w14:paraId="210CFF9A">
            <w:pPr>
              <w:spacing w:line="360" w:lineRule="auto"/>
              <w:rPr>
                <w:rFonts w:hint="eastAsia" w:ascii="宋体" w:hAnsi="宋体" w:eastAsia="宋体" w:cs="宋体"/>
                <w:color w:val="auto"/>
                <w:sz w:val="24"/>
                <w:szCs w:val="24"/>
              </w:rPr>
            </w:pPr>
          </w:p>
        </w:tc>
        <w:tc>
          <w:tcPr>
            <w:tcW w:w="1523" w:type="dxa"/>
            <w:noWrap w:val="0"/>
            <w:vAlign w:val="top"/>
          </w:tcPr>
          <w:p w14:paraId="132D41EC">
            <w:pPr>
              <w:spacing w:line="360" w:lineRule="auto"/>
              <w:rPr>
                <w:rFonts w:hint="eastAsia" w:ascii="宋体" w:hAnsi="宋体" w:eastAsia="宋体" w:cs="宋体"/>
                <w:color w:val="auto"/>
                <w:sz w:val="24"/>
                <w:szCs w:val="24"/>
              </w:rPr>
            </w:pPr>
          </w:p>
        </w:tc>
        <w:tc>
          <w:tcPr>
            <w:tcW w:w="1938" w:type="dxa"/>
            <w:noWrap w:val="0"/>
            <w:vAlign w:val="top"/>
          </w:tcPr>
          <w:p w14:paraId="6ACF79CC">
            <w:pPr>
              <w:spacing w:line="360" w:lineRule="auto"/>
              <w:rPr>
                <w:rFonts w:hint="eastAsia" w:ascii="宋体" w:hAnsi="宋体" w:eastAsia="宋体" w:cs="宋体"/>
                <w:color w:val="auto"/>
                <w:sz w:val="24"/>
                <w:szCs w:val="24"/>
              </w:rPr>
            </w:pPr>
          </w:p>
        </w:tc>
        <w:tc>
          <w:tcPr>
            <w:tcW w:w="1462" w:type="dxa"/>
            <w:noWrap w:val="0"/>
            <w:vAlign w:val="top"/>
          </w:tcPr>
          <w:p w14:paraId="775CE7E5">
            <w:pPr>
              <w:spacing w:line="360" w:lineRule="auto"/>
              <w:rPr>
                <w:rFonts w:hint="eastAsia" w:ascii="宋体" w:hAnsi="宋体" w:eastAsia="宋体" w:cs="宋体"/>
                <w:color w:val="auto"/>
                <w:sz w:val="24"/>
                <w:szCs w:val="24"/>
              </w:rPr>
            </w:pPr>
          </w:p>
        </w:tc>
        <w:tc>
          <w:tcPr>
            <w:tcW w:w="1361" w:type="dxa"/>
            <w:noWrap w:val="0"/>
            <w:vAlign w:val="top"/>
          </w:tcPr>
          <w:p w14:paraId="6E51679F">
            <w:pPr>
              <w:spacing w:line="360" w:lineRule="auto"/>
              <w:rPr>
                <w:rFonts w:hint="eastAsia" w:ascii="宋体" w:hAnsi="宋体" w:eastAsia="宋体" w:cs="宋体"/>
                <w:color w:val="auto"/>
                <w:sz w:val="24"/>
                <w:szCs w:val="24"/>
              </w:rPr>
            </w:pPr>
          </w:p>
        </w:tc>
      </w:tr>
      <w:tr w14:paraId="2C0C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79" w:type="dxa"/>
            <w:noWrap w:val="0"/>
            <w:vAlign w:val="top"/>
          </w:tcPr>
          <w:p w14:paraId="2B50CA2F">
            <w:pPr>
              <w:spacing w:line="360" w:lineRule="auto"/>
              <w:rPr>
                <w:rFonts w:hint="eastAsia" w:ascii="宋体" w:hAnsi="宋体" w:eastAsia="宋体" w:cs="宋体"/>
                <w:color w:val="auto"/>
                <w:sz w:val="24"/>
                <w:szCs w:val="24"/>
              </w:rPr>
            </w:pPr>
          </w:p>
        </w:tc>
        <w:tc>
          <w:tcPr>
            <w:tcW w:w="1288" w:type="dxa"/>
            <w:noWrap w:val="0"/>
            <w:vAlign w:val="top"/>
          </w:tcPr>
          <w:p w14:paraId="25E45351">
            <w:pPr>
              <w:spacing w:line="360" w:lineRule="auto"/>
              <w:rPr>
                <w:rFonts w:hint="eastAsia" w:ascii="宋体" w:hAnsi="宋体" w:eastAsia="宋体" w:cs="宋体"/>
                <w:color w:val="auto"/>
                <w:sz w:val="24"/>
                <w:szCs w:val="24"/>
              </w:rPr>
            </w:pPr>
          </w:p>
        </w:tc>
        <w:tc>
          <w:tcPr>
            <w:tcW w:w="1395" w:type="dxa"/>
            <w:noWrap w:val="0"/>
            <w:vAlign w:val="top"/>
          </w:tcPr>
          <w:p w14:paraId="758B186C">
            <w:pPr>
              <w:spacing w:line="360" w:lineRule="auto"/>
              <w:rPr>
                <w:rFonts w:hint="eastAsia" w:ascii="宋体" w:hAnsi="宋体" w:eastAsia="宋体" w:cs="宋体"/>
                <w:color w:val="auto"/>
                <w:sz w:val="24"/>
                <w:szCs w:val="24"/>
              </w:rPr>
            </w:pPr>
          </w:p>
        </w:tc>
        <w:tc>
          <w:tcPr>
            <w:tcW w:w="1523" w:type="dxa"/>
            <w:noWrap w:val="0"/>
            <w:vAlign w:val="top"/>
          </w:tcPr>
          <w:p w14:paraId="1C24812F">
            <w:pPr>
              <w:spacing w:line="360" w:lineRule="auto"/>
              <w:rPr>
                <w:rFonts w:hint="eastAsia" w:ascii="宋体" w:hAnsi="宋体" w:eastAsia="宋体" w:cs="宋体"/>
                <w:color w:val="auto"/>
                <w:sz w:val="24"/>
                <w:szCs w:val="24"/>
              </w:rPr>
            </w:pPr>
          </w:p>
        </w:tc>
        <w:tc>
          <w:tcPr>
            <w:tcW w:w="1938" w:type="dxa"/>
            <w:noWrap w:val="0"/>
            <w:vAlign w:val="top"/>
          </w:tcPr>
          <w:p w14:paraId="5EE5D07B">
            <w:pPr>
              <w:spacing w:line="360" w:lineRule="auto"/>
              <w:rPr>
                <w:rFonts w:hint="eastAsia" w:ascii="宋体" w:hAnsi="宋体" w:eastAsia="宋体" w:cs="宋体"/>
                <w:color w:val="auto"/>
                <w:sz w:val="24"/>
                <w:szCs w:val="24"/>
              </w:rPr>
            </w:pPr>
          </w:p>
        </w:tc>
        <w:tc>
          <w:tcPr>
            <w:tcW w:w="1462" w:type="dxa"/>
            <w:noWrap w:val="0"/>
            <w:vAlign w:val="top"/>
          </w:tcPr>
          <w:p w14:paraId="3E1A31DD">
            <w:pPr>
              <w:spacing w:line="360" w:lineRule="auto"/>
              <w:rPr>
                <w:rFonts w:hint="eastAsia" w:ascii="宋体" w:hAnsi="宋体" w:eastAsia="宋体" w:cs="宋体"/>
                <w:color w:val="auto"/>
                <w:sz w:val="24"/>
                <w:szCs w:val="24"/>
              </w:rPr>
            </w:pPr>
          </w:p>
        </w:tc>
        <w:tc>
          <w:tcPr>
            <w:tcW w:w="1361" w:type="dxa"/>
            <w:noWrap w:val="0"/>
            <w:vAlign w:val="top"/>
          </w:tcPr>
          <w:p w14:paraId="3D96CE36">
            <w:pPr>
              <w:spacing w:line="360" w:lineRule="auto"/>
              <w:rPr>
                <w:rFonts w:hint="eastAsia" w:ascii="宋体" w:hAnsi="宋体" w:eastAsia="宋体" w:cs="宋体"/>
                <w:color w:val="auto"/>
                <w:sz w:val="24"/>
                <w:szCs w:val="24"/>
              </w:rPr>
            </w:pPr>
          </w:p>
        </w:tc>
      </w:tr>
      <w:tr w14:paraId="4033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79" w:type="dxa"/>
            <w:noWrap w:val="0"/>
            <w:vAlign w:val="top"/>
          </w:tcPr>
          <w:p w14:paraId="47658524">
            <w:pPr>
              <w:spacing w:line="360" w:lineRule="auto"/>
              <w:rPr>
                <w:rFonts w:hint="eastAsia" w:ascii="宋体" w:hAnsi="宋体" w:eastAsia="宋体" w:cs="宋体"/>
                <w:color w:val="auto"/>
                <w:sz w:val="24"/>
                <w:szCs w:val="24"/>
              </w:rPr>
            </w:pPr>
          </w:p>
        </w:tc>
        <w:tc>
          <w:tcPr>
            <w:tcW w:w="1288" w:type="dxa"/>
            <w:noWrap w:val="0"/>
            <w:vAlign w:val="top"/>
          </w:tcPr>
          <w:p w14:paraId="20F2AC8F">
            <w:pPr>
              <w:spacing w:line="360" w:lineRule="auto"/>
              <w:rPr>
                <w:rFonts w:hint="eastAsia" w:ascii="宋体" w:hAnsi="宋体" w:eastAsia="宋体" w:cs="宋体"/>
                <w:color w:val="auto"/>
                <w:sz w:val="24"/>
                <w:szCs w:val="24"/>
              </w:rPr>
            </w:pPr>
          </w:p>
        </w:tc>
        <w:tc>
          <w:tcPr>
            <w:tcW w:w="1395" w:type="dxa"/>
            <w:noWrap w:val="0"/>
            <w:vAlign w:val="top"/>
          </w:tcPr>
          <w:p w14:paraId="30EE2F8D">
            <w:pPr>
              <w:spacing w:line="360" w:lineRule="auto"/>
              <w:rPr>
                <w:rFonts w:hint="eastAsia" w:ascii="宋体" w:hAnsi="宋体" w:eastAsia="宋体" w:cs="宋体"/>
                <w:color w:val="auto"/>
                <w:sz w:val="24"/>
                <w:szCs w:val="24"/>
              </w:rPr>
            </w:pPr>
          </w:p>
        </w:tc>
        <w:tc>
          <w:tcPr>
            <w:tcW w:w="1523" w:type="dxa"/>
            <w:noWrap w:val="0"/>
            <w:vAlign w:val="top"/>
          </w:tcPr>
          <w:p w14:paraId="76790068">
            <w:pPr>
              <w:spacing w:line="360" w:lineRule="auto"/>
              <w:rPr>
                <w:rFonts w:hint="eastAsia" w:ascii="宋体" w:hAnsi="宋体" w:eastAsia="宋体" w:cs="宋体"/>
                <w:color w:val="auto"/>
                <w:sz w:val="24"/>
                <w:szCs w:val="24"/>
              </w:rPr>
            </w:pPr>
          </w:p>
        </w:tc>
        <w:tc>
          <w:tcPr>
            <w:tcW w:w="1938" w:type="dxa"/>
            <w:noWrap w:val="0"/>
            <w:vAlign w:val="top"/>
          </w:tcPr>
          <w:p w14:paraId="7EA4E08A">
            <w:pPr>
              <w:spacing w:line="360" w:lineRule="auto"/>
              <w:rPr>
                <w:rFonts w:hint="eastAsia" w:ascii="宋体" w:hAnsi="宋体" w:eastAsia="宋体" w:cs="宋体"/>
                <w:color w:val="auto"/>
                <w:sz w:val="24"/>
                <w:szCs w:val="24"/>
              </w:rPr>
            </w:pPr>
          </w:p>
        </w:tc>
        <w:tc>
          <w:tcPr>
            <w:tcW w:w="1462" w:type="dxa"/>
            <w:noWrap w:val="0"/>
            <w:vAlign w:val="top"/>
          </w:tcPr>
          <w:p w14:paraId="5FFAC4F2">
            <w:pPr>
              <w:spacing w:line="360" w:lineRule="auto"/>
              <w:rPr>
                <w:rFonts w:hint="eastAsia" w:ascii="宋体" w:hAnsi="宋体" w:eastAsia="宋体" w:cs="宋体"/>
                <w:color w:val="auto"/>
                <w:sz w:val="24"/>
                <w:szCs w:val="24"/>
              </w:rPr>
            </w:pPr>
          </w:p>
        </w:tc>
        <w:tc>
          <w:tcPr>
            <w:tcW w:w="1361" w:type="dxa"/>
            <w:noWrap w:val="0"/>
            <w:vAlign w:val="top"/>
          </w:tcPr>
          <w:p w14:paraId="0DD3AE7B">
            <w:pPr>
              <w:spacing w:line="360" w:lineRule="auto"/>
              <w:rPr>
                <w:rFonts w:hint="eastAsia" w:ascii="宋体" w:hAnsi="宋体" w:eastAsia="宋体" w:cs="宋体"/>
                <w:color w:val="auto"/>
                <w:sz w:val="24"/>
                <w:szCs w:val="24"/>
              </w:rPr>
            </w:pPr>
          </w:p>
        </w:tc>
      </w:tr>
      <w:tr w14:paraId="77FC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79" w:type="dxa"/>
            <w:noWrap w:val="0"/>
            <w:vAlign w:val="top"/>
          </w:tcPr>
          <w:p w14:paraId="637AB654">
            <w:pPr>
              <w:spacing w:line="360" w:lineRule="auto"/>
              <w:rPr>
                <w:rFonts w:hint="eastAsia" w:ascii="宋体" w:hAnsi="宋体" w:eastAsia="宋体" w:cs="宋体"/>
                <w:color w:val="auto"/>
                <w:sz w:val="24"/>
                <w:szCs w:val="24"/>
              </w:rPr>
            </w:pPr>
          </w:p>
        </w:tc>
        <w:tc>
          <w:tcPr>
            <w:tcW w:w="1288" w:type="dxa"/>
            <w:noWrap w:val="0"/>
            <w:vAlign w:val="top"/>
          </w:tcPr>
          <w:p w14:paraId="3CFB6622">
            <w:pPr>
              <w:spacing w:line="360" w:lineRule="auto"/>
              <w:rPr>
                <w:rFonts w:hint="eastAsia" w:ascii="宋体" w:hAnsi="宋体" w:eastAsia="宋体" w:cs="宋体"/>
                <w:color w:val="auto"/>
                <w:sz w:val="24"/>
                <w:szCs w:val="24"/>
              </w:rPr>
            </w:pPr>
          </w:p>
        </w:tc>
        <w:tc>
          <w:tcPr>
            <w:tcW w:w="1395" w:type="dxa"/>
            <w:noWrap w:val="0"/>
            <w:vAlign w:val="top"/>
          </w:tcPr>
          <w:p w14:paraId="433927EF">
            <w:pPr>
              <w:spacing w:line="360" w:lineRule="auto"/>
              <w:rPr>
                <w:rFonts w:hint="eastAsia" w:ascii="宋体" w:hAnsi="宋体" w:eastAsia="宋体" w:cs="宋体"/>
                <w:color w:val="auto"/>
                <w:sz w:val="24"/>
                <w:szCs w:val="24"/>
              </w:rPr>
            </w:pPr>
          </w:p>
        </w:tc>
        <w:tc>
          <w:tcPr>
            <w:tcW w:w="1523" w:type="dxa"/>
            <w:noWrap w:val="0"/>
            <w:vAlign w:val="top"/>
          </w:tcPr>
          <w:p w14:paraId="3D383815">
            <w:pPr>
              <w:spacing w:line="360" w:lineRule="auto"/>
              <w:rPr>
                <w:rFonts w:hint="eastAsia" w:ascii="宋体" w:hAnsi="宋体" w:eastAsia="宋体" w:cs="宋体"/>
                <w:color w:val="auto"/>
                <w:sz w:val="24"/>
                <w:szCs w:val="24"/>
              </w:rPr>
            </w:pPr>
          </w:p>
        </w:tc>
        <w:tc>
          <w:tcPr>
            <w:tcW w:w="1938" w:type="dxa"/>
            <w:noWrap w:val="0"/>
            <w:vAlign w:val="top"/>
          </w:tcPr>
          <w:p w14:paraId="6D5716B1">
            <w:pPr>
              <w:spacing w:line="360" w:lineRule="auto"/>
              <w:rPr>
                <w:rFonts w:hint="eastAsia" w:ascii="宋体" w:hAnsi="宋体" w:eastAsia="宋体" w:cs="宋体"/>
                <w:color w:val="auto"/>
                <w:sz w:val="24"/>
                <w:szCs w:val="24"/>
              </w:rPr>
            </w:pPr>
          </w:p>
        </w:tc>
        <w:tc>
          <w:tcPr>
            <w:tcW w:w="1462" w:type="dxa"/>
            <w:noWrap w:val="0"/>
            <w:vAlign w:val="top"/>
          </w:tcPr>
          <w:p w14:paraId="502FFA6C">
            <w:pPr>
              <w:spacing w:line="360" w:lineRule="auto"/>
              <w:rPr>
                <w:rFonts w:hint="eastAsia" w:ascii="宋体" w:hAnsi="宋体" w:eastAsia="宋体" w:cs="宋体"/>
                <w:color w:val="auto"/>
                <w:sz w:val="24"/>
                <w:szCs w:val="24"/>
              </w:rPr>
            </w:pPr>
          </w:p>
        </w:tc>
        <w:tc>
          <w:tcPr>
            <w:tcW w:w="1361" w:type="dxa"/>
            <w:noWrap w:val="0"/>
            <w:vAlign w:val="top"/>
          </w:tcPr>
          <w:p w14:paraId="55AB0D07">
            <w:pPr>
              <w:spacing w:line="360" w:lineRule="auto"/>
              <w:rPr>
                <w:rFonts w:hint="eastAsia" w:ascii="宋体" w:hAnsi="宋体" w:eastAsia="宋体" w:cs="宋体"/>
                <w:color w:val="auto"/>
                <w:sz w:val="24"/>
                <w:szCs w:val="24"/>
              </w:rPr>
            </w:pPr>
          </w:p>
        </w:tc>
      </w:tr>
      <w:tr w14:paraId="05CA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79" w:type="dxa"/>
            <w:noWrap w:val="0"/>
            <w:vAlign w:val="top"/>
          </w:tcPr>
          <w:p w14:paraId="6E024FAF">
            <w:pPr>
              <w:spacing w:line="360" w:lineRule="auto"/>
              <w:rPr>
                <w:rFonts w:hint="eastAsia" w:ascii="宋体" w:hAnsi="宋体" w:eastAsia="宋体" w:cs="宋体"/>
                <w:color w:val="auto"/>
                <w:sz w:val="24"/>
                <w:szCs w:val="24"/>
              </w:rPr>
            </w:pPr>
          </w:p>
        </w:tc>
        <w:tc>
          <w:tcPr>
            <w:tcW w:w="1288" w:type="dxa"/>
            <w:noWrap w:val="0"/>
            <w:vAlign w:val="top"/>
          </w:tcPr>
          <w:p w14:paraId="12A70D93">
            <w:pPr>
              <w:spacing w:line="360" w:lineRule="auto"/>
              <w:rPr>
                <w:rFonts w:hint="eastAsia" w:ascii="宋体" w:hAnsi="宋体" w:eastAsia="宋体" w:cs="宋体"/>
                <w:color w:val="auto"/>
                <w:sz w:val="24"/>
                <w:szCs w:val="24"/>
              </w:rPr>
            </w:pPr>
          </w:p>
        </w:tc>
        <w:tc>
          <w:tcPr>
            <w:tcW w:w="1395" w:type="dxa"/>
            <w:noWrap w:val="0"/>
            <w:vAlign w:val="top"/>
          </w:tcPr>
          <w:p w14:paraId="69F4202D">
            <w:pPr>
              <w:spacing w:line="360" w:lineRule="auto"/>
              <w:rPr>
                <w:rFonts w:hint="eastAsia" w:ascii="宋体" w:hAnsi="宋体" w:eastAsia="宋体" w:cs="宋体"/>
                <w:color w:val="auto"/>
                <w:sz w:val="24"/>
                <w:szCs w:val="24"/>
              </w:rPr>
            </w:pPr>
          </w:p>
        </w:tc>
        <w:tc>
          <w:tcPr>
            <w:tcW w:w="1523" w:type="dxa"/>
            <w:noWrap w:val="0"/>
            <w:vAlign w:val="top"/>
          </w:tcPr>
          <w:p w14:paraId="515BC7F0">
            <w:pPr>
              <w:spacing w:line="360" w:lineRule="auto"/>
              <w:rPr>
                <w:rFonts w:hint="eastAsia" w:ascii="宋体" w:hAnsi="宋体" w:eastAsia="宋体" w:cs="宋体"/>
                <w:color w:val="auto"/>
                <w:sz w:val="24"/>
                <w:szCs w:val="24"/>
              </w:rPr>
            </w:pPr>
          </w:p>
        </w:tc>
        <w:tc>
          <w:tcPr>
            <w:tcW w:w="1938" w:type="dxa"/>
            <w:noWrap w:val="0"/>
            <w:vAlign w:val="top"/>
          </w:tcPr>
          <w:p w14:paraId="34322BF1">
            <w:pPr>
              <w:spacing w:line="360" w:lineRule="auto"/>
              <w:rPr>
                <w:rFonts w:hint="eastAsia" w:ascii="宋体" w:hAnsi="宋体" w:eastAsia="宋体" w:cs="宋体"/>
                <w:color w:val="auto"/>
                <w:sz w:val="24"/>
                <w:szCs w:val="24"/>
              </w:rPr>
            </w:pPr>
          </w:p>
        </w:tc>
        <w:tc>
          <w:tcPr>
            <w:tcW w:w="1462" w:type="dxa"/>
            <w:noWrap w:val="0"/>
            <w:vAlign w:val="top"/>
          </w:tcPr>
          <w:p w14:paraId="2C0D78F3">
            <w:pPr>
              <w:spacing w:line="360" w:lineRule="auto"/>
              <w:rPr>
                <w:rFonts w:hint="eastAsia" w:ascii="宋体" w:hAnsi="宋体" w:eastAsia="宋体" w:cs="宋体"/>
                <w:color w:val="auto"/>
                <w:sz w:val="24"/>
                <w:szCs w:val="24"/>
              </w:rPr>
            </w:pPr>
          </w:p>
        </w:tc>
        <w:tc>
          <w:tcPr>
            <w:tcW w:w="1361" w:type="dxa"/>
            <w:noWrap w:val="0"/>
            <w:vAlign w:val="top"/>
          </w:tcPr>
          <w:p w14:paraId="636C7376">
            <w:pPr>
              <w:spacing w:line="360" w:lineRule="auto"/>
              <w:rPr>
                <w:rFonts w:hint="eastAsia" w:ascii="宋体" w:hAnsi="宋体" w:eastAsia="宋体" w:cs="宋体"/>
                <w:color w:val="auto"/>
                <w:sz w:val="24"/>
                <w:szCs w:val="24"/>
              </w:rPr>
            </w:pPr>
          </w:p>
        </w:tc>
      </w:tr>
    </w:tbl>
    <w:p w14:paraId="17011640">
      <w:pPr>
        <w:spacing w:line="360" w:lineRule="auto"/>
        <w:rPr>
          <w:rFonts w:hint="eastAsia" w:ascii="宋体" w:hAnsi="宋体" w:eastAsia="宋体" w:cs="宋体"/>
          <w:color w:val="auto"/>
          <w:sz w:val="24"/>
          <w:szCs w:val="24"/>
        </w:rPr>
      </w:pPr>
    </w:p>
    <w:p w14:paraId="0B6FBB46">
      <w:pPr>
        <w:spacing w:line="36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w:t>
      </w:r>
      <w:r>
        <w:rPr>
          <w:rFonts w:hint="eastAsia" w:ascii="宋体" w:hAnsi="宋体" w:eastAsia="宋体" w:cs="宋体"/>
          <w:color w:val="auto"/>
          <w:sz w:val="24"/>
          <w:szCs w:val="24"/>
          <w:lang w:val="en-US" w:eastAsia="zh-CN"/>
        </w:rPr>
        <w:t>电子签</w:t>
      </w:r>
      <w:r>
        <w:rPr>
          <w:rFonts w:hint="eastAsia" w:ascii="宋体" w:hAnsi="宋体" w:eastAsia="宋体" w:cs="宋体"/>
          <w:color w:val="auto"/>
          <w:sz w:val="24"/>
          <w:szCs w:val="24"/>
        </w:rPr>
        <w:t>章)：</w:t>
      </w:r>
    </w:p>
    <w:p w14:paraId="76C3FBC8">
      <w:pPr>
        <w:spacing w:line="36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法定代表人(签章)：</w:t>
      </w:r>
    </w:p>
    <w:p w14:paraId="000B33D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日期：年月日</w:t>
      </w:r>
    </w:p>
    <w:p w14:paraId="1A0291F9">
      <w:pPr>
        <w:spacing w:line="480" w:lineRule="auto"/>
        <w:ind w:firstLine="480"/>
        <w:rPr>
          <w:rFonts w:hint="eastAsia" w:ascii="宋体" w:hAnsi="宋体" w:eastAsia="宋体" w:cs="宋体"/>
          <w:bCs/>
          <w:color w:val="auto"/>
          <w:sz w:val="24"/>
          <w:szCs w:val="24"/>
          <w:highlight w:val="none"/>
        </w:rPr>
      </w:pPr>
    </w:p>
    <w:bookmarkEnd w:id="191"/>
    <w:p w14:paraId="6F7C021D">
      <w:pPr>
        <w:rPr>
          <w:rFonts w:hint="eastAsia" w:ascii="宋体" w:hAnsi="宋体" w:eastAsia="宋体" w:cs="宋体"/>
          <w:bCs/>
          <w:color w:val="auto"/>
          <w:sz w:val="24"/>
          <w:szCs w:val="24"/>
          <w:highlight w:val="none"/>
          <w:u w:val="none"/>
          <w:lang w:val="en-US" w:eastAsia="zh-CN"/>
        </w:rPr>
      </w:pPr>
      <w:r>
        <w:rPr>
          <w:rFonts w:hint="eastAsia" w:ascii="宋体" w:hAnsi="宋体" w:eastAsia="宋体" w:cs="宋体"/>
          <w:bCs/>
          <w:color w:val="auto"/>
          <w:sz w:val="24"/>
          <w:szCs w:val="24"/>
          <w:highlight w:val="none"/>
          <w:u w:val="none"/>
          <w:lang w:val="en-US" w:eastAsia="zh-CN"/>
        </w:rPr>
        <w:br w:type="page"/>
      </w:r>
    </w:p>
    <w:p w14:paraId="62B820A0">
      <w:pPr>
        <w:widowControl/>
        <w:spacing w:line="520" w:lineRule="atLeast"/>
        <w:jc w:val="center"/>
        <w:rPr>
          <w:rFonts w:ascii="宋体" w:hAnsi="宋体"/>
          <w:b/>
          <w:bCs/>
          <w:color w:val="auto"/>
          <w:sz w:val="24"/>
          <w:szCs w:val="24"/>
          <w:highlight w:val="none"/>
        </w:rPr>
      </w:pP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三</w:t>
      </w:r>
      <w:r>
        <w:rPr>
          <w:rFonts w:hint="eastAsia" w:ascii="宋体" w:hAnsi="宋体"/>
          <w:b/>
          <w:bCs/>
          <w:color w:val="auto"/>
          <w:sz w:val="24"/>
          <w:szCs w:val="24"/>
          <w:highlight w:val="none"/>
        </w:rPr>
        <w:t>）资格证明资料</w:t>
      </w:r>
    </w:p>
    <w:p w14:paraId="0A735161">
      <w:pPr>
        <w:spacing w:line="480" w:lineRule="auto"/>
        <w:ind w:firstLine="480"/>
        <w:rPr>
          <w:rFonts w:hint="eastAsia" w:ascii="宋体" w:hAnsi="宋体" w:eastAsia="宋体" w:cs="宋体"/>
          <w:bCs/>
          <w:color w:val="auto"/>
          <w:sz w:val="22"/>
          <w:highlight w:val="none"/>
        </w:rPr>
      </w:pPr>
    </w:p>
    <w:p w14:paraId="2F69070B">
      <w:pP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br w:type="page"/>
      </w:r>
    </w:p>
    <w:p w14:paraId="28876B4A">
      <w:pPr>
        <w:spacing w:line="480" w:lineRule="exact"/>
        <w:jc w:val="center"/>
        <w:outlineLvl w:val="0"/>
        <w:rPr>
          <w:rFonts w:hint="default" w:ascii="宋体" w:hAnsi="宋体" w:eastAsia="宋体"/>
          <w:b/>
          <w:bCs/>
          <w:color w:val="auto"/>
          <w:sz w:val="24"/>
          <w:szCs w:val="24"/>
          <w:highlight w:val="none"/>
          <w:lang w:val="en-US" w:eastAsia="zh-CN"/>
        </w:rPr>
      </w:pPr>
      <w:bookmarkStart w:id="200" w:name="_Toc148365442"/>
      <w:bookmarkStart w:id="201" w:name="_Toc148365115"/>
      <w:bookmarkStart w:id="202" w:name="_Toc13185"/>
      <w:r>
        <w:rPr>
          <w:rFonts w:hint="eastAsia" w:ascii="宋体" w:hAnsi="宋体"/>
          <w:b/>
          <w:color w:val="auto"/>
          <w:sz w:val="24"/>
          <w:szCs w:val="24"/>
          <w:highlight w:val="none"/>
        </w:rPr>
        <w:t>六、</w:t>
      </w:r>
      <w:bookmarkEnd w:id="200"/>
      <w:bookmarkEnd w:id="201"/>
      <w:r>
        <w:rPr>
          <w:rFonts w:hint="eastAsia" w:ascii="宋体" w:hAnsi="宋体"/>
          <w:b/>
          <w:bCs/>
          <w:color w:val="auto"/>
          <w:sz w:val="24"/>
          <w:szCs w:val="24"/>
          <w:highlight w:val="none"/>
          <w:lang w:val="en-US" w:eastAsia="zh-CN"/>
        </w:rPr>
        <w:t>技术标</w:t>
      </w:r>
      <w:bookmarkEnd w:id="202"/>
    </w:p>
    <w:p w14:paraId="49F2A9EA">
      <w:pPr>
        <w:widowControl/>
        <w:spacing w:line="520" w:lineRule="atLeast"/>
        <w:jc w:val="center"/>
        <w:rPr>
          <w:rFonts w:ascii="宋体" w:hAnsi="宋体"/>
          <w:color w:val="auto"/>
          <w:sz w:val="24"/>
          <w:szCs w:val="24"/>
          <w:highlight w:val="none"/>
        </w:rPr>
      </w:pPr>
      <w:r>
        <w:rPr>
          <w:rFonts w:hint="eastAsia" w:ascii="宋体" w:hAnsi="宋体"/>
          <w:color w:val="auto"/>
          <w:kern w:val="2"/>
          <w:sz w:val="24"/>
          <w:szCs w:val="24"/>
          <w:highlight w:val="none"/>
        </w:rPr>
        <w:t>此项格式自理，内容应包括但不限制于评分办法提到的内容。</w:t>
      </w:r>
    </w:p>
    <w:p w14:paraId="3A08A94C">
      <w:pPr>
        <w:spacing w:line="480" w:lineRule="auto"/>
        <w:rPr>
          <w:rFonts w:hint="eastAsia" w:ascii="宋体" w:hAnsi="宋体" w:eastAsia="宋体" w:cs="宋体"/>
          <w:bCs/>
          <w:color w:val="auto"/>
          <w:sz w:val="22"/>
          <w:highlight w:val="none"/>
        </w:rPr>
      </w:pPr>
    </w:p>
    <w:p w14:paraId="4EE8D48A">
      <w:pPr>
        <w:spacing w:line="480" w:lineRule="auto"/>
        <w:ind w:firstLine="480"/>
        <w:rPr>
          <w:rFonts w:hint="eastAsia" w:ascii="宋体" w:hAnsi="宋体" w:eastAsia="宋体" w:cs="宋体"/>
          <w:bCs/>
          <w:color w:val="auto"/>
          <w:sz w:val="22"/>
          <w:highlight w:val="none"/>
        </w:rPr>
      </w:pPr>
    </w:p>
    <w:p w14:paraId="79E916F0">
      <w:pPr>
        <w:spacing w:line="480" w:lineRule="auto"/>
        <w:ind w:firstLine="480"/>
        <w:rPr>
          <w:rFonts w:hint="eastAsia" w:ascii="宋体" w:hAnsi="宋体" w:eastAsia="宋体" w:cs="宋体"/>
          <w:bCs/>
          <w:color w:val="auto"/>
          <w:sz w:val="24"/>
          <w:szCs w:val="28"/>
          <w:highlight w:val="none"/>
        </w:rPr>
      </w:pPr>
    </w:p>
    <w:p w14:paraId="36867C01">
      <w:pPr>
        <w:spacing w:line="480" w:lineRule="auto"/>
        <w:ind w:firstLine="480"/>
        <w:rPr>
          <w:rFonts w:hint="eastAsia" w:ascii="宋体" w:hAnsi="宋体" w:eastAsia="宋体" w:cs="宋体"/>
          <w:bCs/>
          <w:color w:val="auto"/>
          <w:sz w:val="24"/>
          <w:szCs w:val="28"/>
          <w:highlight w:val="none"/>
        </w:rPr>
      </w:pPr>
    </w:p>
    <w:p w14:paraId="1490E77F">
      <w:pPr>
        <w:spacing w:line="480" w:lineRule="auto"/>
        <w:ind w:firstLine="480"/>
        <w:rPr>
          <w:rFonts w:hint="eastAsia" w:ascii="宋体" w:hAnsi="宋体" w:eastAsia="宋体" w:cs="宋体"/>
          <w:bCs/>
          <w:color w:val="auto"/>
          <w:sz w:val="24"/>
          <w:szCs w:val="28"/>
          <w:highlight w:val="none"/>
        </w:rPr>
      </w:pPr>
    </w:p>
    <w:p w14:paraId="513414AD">
      <w:pPr>
        <w:spacing w:line="480" w:lineRule="auto"/>
        <w:ind w:firstLine="480"/>
        <w:rPr>
          <w:rFonts w:hint="eastAsia" w:ascii="宋体" w:hAnsi="宋体" w:eastAsia="宋体" w:cs="宋体"/>
          <w:bCs/>
          <w:color w:val="auto"/>
          <w:sz w:val="24"/>
          <w:szCs w:val="28"/>
          <w:highlight w:val="none"/>
        </w:rPr>
      </w:pPr>
    </w:p>
    <w:p w14:paraId="647E3B7E">
      <w:pPr>
        <w:spacing w:line="480" w:lineRule="auto"/>
        <w:ind w:firstLine="480"/>
        <w:rPr>
          <w:rFonts w:hint="eastAsia" w:ascii="宋体" w:hAnsi="宋体" w:eastAsia="宋体" w:cs="宋体"/>
          <w:bCs/>
          <w:color w:val="auto"/>
          <w:sz w:val="24"/>
          <w:szCs w:val="28"/>
          <w:highlight w:val="none"/>
        </w:rPr>
      </w:pPr>
    </w:p>
    <w:p w14:paraId="00DB27E5">
      <w:pPr>
        <w:spacing w:line="480" w:lineRule="auto"/>
        <w:ind w:firstLine="480"/>
        <w:rPr>
          <w:rFonts w:hint="eastAsia" w:ascii="宋体" w:hAnsi="宋体" w:eastAsia="宋体" w:cs="宋体"/>
          <w:bCs/>
          <w:color w:val="auto"/>
          <w:sz w:val="24"/>
          <w:szCs w:val="28"/>
          <w:highlight w:val="none"/>
        </w:rPr>
      </w:pPr>
    </w:p>
    <w:p w14:paraId="716F4676">
      <w:pPr>
        <w:spacing w:line="480" w:lineRule="auto"/>
        <w:ind w:firstLine="480"/>
        <w:rPr>
          <w:rFonts w:hint="eastAsia" w:ascii="宋体" w:hAnsi="宋体" w:eastAsia="宋体" w:cs="宋体"/>
          <w:bCs/>
          <w:color w:val="auto"/>
          <w:sz w:val="24"/>
          <w:szCs w:val="28"/>
          <w:highlight w:val="none"/>
        </w:rPr>
      </w:pPr>
    </w:p>
    <w:p w14:paraId="10B5316E">
      <w:pPr>
        <w:spacing w:line="480" w:lineRule="auto"/>
        <w:ind w:firstLine="480"/>
        <w:rPr>
          <w:rFonts w:hint="eastAsia" w:ascii="宋体" w:hAnsi="宋体" w:eastAsia="宋体" w:cs="宋体"/>
          <w:bCs/>
          <w:color w:val="auto"/>
          <w:sz w:val="24"/>
          <w:szCs w:val="28"/>
          <w:highlight w:val="none"/>
        </w:rPr>
      </w:pPr>
    </w:p>
    <w:p w14:paraId="2E88D6E7">
      <w:pPr>
        <w:spacing w:line="480" w:lineRule="auto"/>
        <w:ind w:firstLine="480"/>
        <w:rPr>
          <w:rFonts w:hint="eastAsia" w:ascii="宋体" w:hAnsi="宋体" w:eastAsia="宋体" w:cs="宋体"/>
          <w:bCs/>
          <w:color w:val="auto"/>
          <w:sz w:val="24"/>
          <w:szCs w:val="28"/>
          <w:highlight w:val="none"/>
        </w:rPr>
      </w:pPr>
    </w:p>
    <w:p w14:paraId="405C16B0">
      <w:pPr>
        <w:spacing w:line="480" w:lineRule="auto"/>
        <w:ind w:firstLine="480"/>
        <w:rPr>
          <w:rFonts w:hint="eastAsia" w:ascii="宋体" w:hAnsi="宋体" w:eastAsia="宋体" w:cs="宋体"/>
          <w:bCs/>
          <w:color w:val="auto"/>
          <w:sz w:val="24"/>
          <w:szCs w:val="28"/>
          <w:highlight w:val="none"/>
        </w:rPr>
      </w:pPr>
    </w:p>
    <w:p w14:paraId="0FBD2EE4">
      <w:pPr>
        <w:spacing w:line="480" w:lineRule="auto"/>
        <w:ind w:firstLine="480"/>
        <w:rPr>
          <w:rFonts w:hint="eastAsia" w:ascii="宋体" w:hAnsi="宋体" w:eastAsia="宋体" w:cs="宋体"/>
          <w:bCs/>
          <w:color w:val="auto"/>
          <w:sz w:val="24"/>
          <w:szCs w:val="28"/>
          <w:highlight w:val="none"/>
        </w:rPr>
      </w:pPr>
    </w:p>
    <w:p w14:paraId="67D01DD3">
      <w:pPr>
        <w:spacing w:line="480" w:lineRule="auto"/>
        <w:ind w:firstLine="480"/>
        <w:rPr>
          <w:rFonts w:hint="eastAsia" w:ascii="宋体" w:hAnsi="宋体" w:eastAsia="宋体" w:cs="宋体"/>
          <w:bCs/>
          <w:color w:val="auto"/>
          <w:sz w:val="24"/>
          <w:szCs w:val="28"/>
          <w:highlight w:val="none"/>
        </w:rPr>
      </w:pPr>
    </w:p>
    <w:p w14:paraId="42D781B6">
      <w:pPr>
        <w:spacing w:line="480" w:lineRule="auto"/>
        <w:ind w:firstLine="480"/>
        <w:rPr>
          <w:rFonts w:hint="eastAsia" w:ascii="宋体" w:hAnsi="宋体" w:eastAsia="宋体" w:cs="宋体"/>
          <w:bCs/>
          <w:color w:val="auto"/>
          <w:sz w:val="24"/>
          <w:szCs w:val="28"/>
          <w:highlight w:val="none"/>
        </w:rPr>
      </w:pPr>
    </w:p>
    <w:p w14:paraId="69BA3806">
      <w:pPr>
        <w:spacing w:line="480" w:lineRule="auto"/>
        <w:ind w:firstLine="480"/>
        <w:rPr>
          <w:rFonts w:hint="eastAsia" w:ascii="宋体" w:hAnsi="宋体" w:eastAsia="宋体" w:cs="宋体"/>
          <w:bCs/>
          <w:color w:val="auto"/>
          <w:sz w:val="24"/>
          <w:szCs w:val="28"/>
          <w:highlight w:val="none"/>
        </w:rPr>
      </w:pPr>
    </w:p>
    <w:p w14:paraId="5084B6F1">
      <w:pPr>
        <w:spacing w:line="480" w:lineRule="auto"/>
        <w:ind w:firstLine="480"/>
        <w:rPr>
          <w:rFonts w:hint="eastAsia" w:ascii="宋体" w:hAnsi="宋体" w:eastAsia="宋体" w:cs="宋体"/>
          <w:bCs/>
          <w:color w:val="auto"/>
          <w:sz w:val="24"/>
          <w:szCs w:val="28"/>
          <w:highlight w:val="none"/>
        </w:rPr>
      </w:pPr>
    </w:p>
    <w:p w14:paraId="4FC217A7">
      <w:pPr>
        <w:spacing w:line="480" w:lineRule="auto"/>
        <w:ind w:firstLine="480"/>
        <w:rPr>
          <w:rFonts w:hint="eastAsia" w:ascii="宋体" w:hAnsi="宋体" w:eastAsia="宋体" w:cs="宋体"/>
          <w:bCs/>
          <w:color w:val="auto"/>
          <w:sz w:val="24"/>
          <w:szCs w:val="28"/>
          <w:highlight w:val="none"/>
        </w:rPr>
      </w:pPr>
    </w:p>
    <w:p w14:paraId="1E09B54B">
      <w:pPr>
        <w:spacing w:line="480" w:lineRule="auto"/>
        <w:ind w:firstLine="480"/>
        <w:rPr>
          <w:rFonts w:hint="eastAsia" w:ascii="宋体" w:hAnsi="宋体" w:eastAsia="宋体" w:cs="宋体"/>
          <w:bCs/>
          <w:color w:val="auto"/>
          <w:sz w:val="24"/>
          <w:szCs w:val="28"/>
          <w:highlight w:val="none"/>
        </w:rPr>
      </w:pPr>
    </w:p>
    <w:p w14:paraId="75F3F839">
      <w:pPr>
        <w:spacing w:line="480" w:lineRule="auto"/>
        <w:ind w:firstLine="480"/>
        <w:rPr>
          <w:rFonts w:hint="eastAsia" w:ascii="宋体" w:hAnsi="宋体" w:eastAsia="宋体" w:cs="宋体"/>
          <w:bCs/>
          <w:color w:val="auto"/>
          <w:sz w:val="24"/>
          <w:szCs w:val="28"/>
          <w:highlight w:val="none"/>
        </w:rPr>
      </w:pPr>
    </w:p>
    <w:p w14:paraId="641EE98D">
      <w:pPr>
        <w:spacing w:line="480" w:lineRule="auto"/>
        <w:ind w:firstLine="480"/>
        <w:rPr>
          <w:rFonts w:hint="eastAsia" w:ascii="宋体" w:hAnsi="宋体" w:eastAsia="宋体" w:cs="宋体"/>
          <w:bCs/>
          <w:color w:val="auto"/>
          <w:sz w:val="24"/>
          <w:szCs w:val="28"/>
          <w:highlight w:val="none"/>
        </w:rPr>
      </w:pPr>
    </w:p>
    <w:p w14:paraId="4D79D7A1">
      <w:pPr>
        <w:widowControl/>
        <w:jc w:val="center"/>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rPr>
        <w:t>七、</w:t>
      </w:r>
      <w:r>
        <w:rPr>
          <w:rFonts w:hint="eastAsia" w:ascii="宋体" w:hAnsi="宋体"/>
          <w:b/>
          <w:bCs/>
          <w:color w:val="auto"/>
          <w:sz w:val="24"/>
          <w:szCs w:val="24"/>
          <w:highlight w:val="none"/>
          <w:lang w:val="en-US" w:eastAsia="zh-CN"/>
        </w:rPr>
        <w:t>商务标</w:t>
      </w:r>
    </w:p>
    <w:p w14:paraId="03268139">
      <w:pPr>
        <w:widowControl/>
        <w:jc w:val="center"/>
        <w:rPr>
          <w:rFonts w:ascii="宋体" w:hAnsi="宋体"/>
          <w:bCs/>
          <w:color w:val="auto"/>
          <w:sz w:val="24"/>
          <w:szCs w:val="24"/>
          <w:highlight w:val="none"/>
        </w:rPr>
      </w:pPr>
    </w:p>
    <w:p w14:paraId="75A9C7CE">
      <w:pPr>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w:t>
      </w:r>
      <w:r>
        <w:rPr>
          <w:rFonts w:hint="eastAsia" w:ascii="宋体" w:hAnsi="宋体" w:eastAsia="宋体" w:cs="宋体"/>
          <w:bCs/>
          <w:color w:val="auto"/>
          <w:kern w:val="2"/>
          <w:sz w:val="24"/>
          <w:szCs w:val="24"/>
          <w:highlight w:val="none"/>
        </w:rPr>
        <w:t>、</w:t>
      </w:r>
      <w:r>
        <w:rPr>
          <w:rFonts w:hint="eastAsia" w:ascii="宋体" w:hAnsi="宋体" w:eastAsia="宋体" w:cs="宋体"/>
          <w:b/>
          <w:color w:val="auto"/>
          <w:sz w:val="24"/>
          <w:szCs w:val="24"/>
          <w:highlight w:val="none"/>
        </w:rPr>
        <w:t>业绩一览表及证明材料</w:t>
      </w:r>
    </w:p>
    <w:p w14:paraId="07358E16">
      <w:pPr>
        <w:spacing w:line="360" w:lineRule="auto"/>
        <w:ind w:firstLine="141" w:firstLineChars="5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项目名称：</w:t>
      </w:r>
    </w:p>
    <w:p w14:paraId="7DA15718">
      <w:pPr>
        <w:spacing w:line="360" w:lineRule="auto"/>
        <w:ind w:firstLine="141" w:firstLineChars="5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项目编号：</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440"/>
        <w:gridCol w:w="1356"/>
        <w:gridCol w:w="1356"/>
        <w:gridCol w:w="1731"/>
      </w:tblGrid>
      <w:tr w14:paraId="63E3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310CD1A">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1620" w:type="dxa"/>
            <w:noWrap w:val="0"/>
            <w:vAlign w:val="center"/>
          </w:tcPr>
          <w:p w14:paraId="17F4CB07">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项目名称</w:t>
            </w:r>
          </w:p>
        </w:tc>
        <w:tc>
          <w:tcPr>
            <w:tcW w:w="1440" w:type="dxa"/>
            <w:noWrap w:val="0"/>
            <w:vAlign w:val="center"/>
          </w:tcPr>
          <w:p w14:paraId="40C3363E">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中标日期</w:t>
            </w:r>
          </w:p>
        </w:tc>
        <w:tc>
          <w:tcPr>
            <w:tcW w:w="1356" w:type="dxa"/>
            <w:noWrap w:val="0"/>
            <w:vAlign w:val="center"/>
          </w:tcPr>
          <w:p w14:paraId="15C8D661">
            <w:pPr>
              <w:jc w:val="center"/>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val="en-US" w:eastAsia="zh-CN"/>
              </w:rPr>
              <w:t>服务</w:t>
            </w:r>
            <w:r>
              <w:rPr>
                <w:rFonts w:hint="eastAsia" w:ascii="宋体" w:hAnsi="宋体" w:eastAsia="宋体" w:cs="宋体"/>
                <w:color w:val="auto"/>
                <w:kern w:val="2"/>
                <w:sz w:val="24"/>
                <w:szCs w:val="24"/>
                <w:highlight w:val="none"/>
              </w:rPr>
              <w:t>单位</w:t>
            </w:r>
          </w:p>
        </w:tc>
        <w:tc>
          <w:tcPr>
            <w:tcW w:w="1356" w:type="dxa"/>
            <w:noWrap w:val="0"/>
            <w:vAlign w:val="center"/>
          </w:tcPr>
          <w:p w14:paraId="49A46EF1">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中标金额</w:t>
            </w:r>
          </w:p>
        </w:tc>
        <w:tc>
          <w:tcPr>
            <w:tcW w:w="1731" w:type="dxa"/>
            <w:noWrap w:val="0"/>
            <w:vAlign w:val="center"/>
          </w:tcPr>
          <w:p w14:paraId="069AEB01">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合同签订时间</w:t>
            </w:r>
          </w:p>
        </w:tc>
      </w:tr>
      <w:tr w14:paraId="562B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5E877CB">
            <w:pPr>
              <w:jc w:val="center"/>
              <w:rPr>
                <w:rFonts w:hint="eastAsia" w:ascii="宋体" w:hAnsi="宋体" w:eastAsia="宋体" w:cs="宋体"/>
                <w:color w:val="auto"/>
                <w:kern w:val="2"/>
                <w:sz w:val="24"/>
                <w:szCs w:val="24"/>
                <w:highlight w:val="none"/>
              </w:rPr>
            </w:pPr>
          </w:p>
        </w:tc>
        <w:tc>
          <w:tcPr>
            <w:tcW w:w="1620" w:type="dxa"/>
            <w:noWrap w:val="0"/>
            <w:vAlign w:val="center"/>
          </w:tcPr>
          <w:p w14:paraId="565805D8">
            <w:pPr>
              <w:jc w:val="center"/>
              <w:rPr>
                <w:rFonts w:hint="eastAsia" w:ascii="宋体" w:hAnsi="宋体" w:eastAsia="宋体" w:cs="宋体"/>
                <w:color w:val="auto"/>
                <w:kern w:val="2"/>
                <w:sz w:val="24"/>
                <w:szCs w:val="24"/>
                <w:highlight w:val="none"/>
              </w:rPr>
            </w:pPr>
          </w:p>
        </w:tc>
        <w:tc>
          <w:tcPr>
            <w:tcW w:w="1440" w:type="dxa"/>
            <w:noWrap w:val="0"/>
            <w:vAlign w:val="center"/>
          </w:tcPr>
          <w:p w14:paraId="7E47F3E6">
            <w:pPr>
              <w:jc w:val="center"/>
              <w:rPr>
                <w:rFonts w:hint="eastAsia" w:ascii="宋体" w:hAnsi="宋体" w:eastAsia="宋体" w:cs="宋体"/>
                <w:color w:val="auto"/>
                <w:kern w:val="2"/>
                <w:sz w:val="24"/>
                <w:szCs w:val="24"/>
                <w:highlight w:val="none"/>
              </w:rPr>
            </w:pPr>
          </w:p>
        </w:tc>
        <w:tc>
          <w:tcPr>
            <w:tcW w:w="1356" w:type="dxa"/>
            <w:noWrap w:val="0"/>
            <w:vAlign w:val="center"/>
          </w:tcPr>
          <w:p w14:paraId="03512610">
            <w:pPr>
              <w:jc w:val="center"/>
              <w:rPr>
                <w:rFonts w:hint="eastAsia" w:ascii="宋体" w:hAnsi="宋体" w:eastAsia="宋体" w:cs="宋体"/>
                <w:color w:val="auto"/>
                <w:kern w:val="2"/>
                <w:sz w:val="24"/>
                <w:szCs w:val="24"/>
                <w:highlight w:val="none"/>
              </w:rPr>
            </w:pPr>
          </w:p>
        </w:tc>
        <w:tc>
          <w:tcPr>
            <w:tcW w:w="1356" w:type="dxa"/>
            <w:noWrap w:val="0"/>
            <w:vAlign w:val="center"/>
          </w:tcPr>
          <w:p w14:paraId="035AFBA6">
            <w:pPr>
              <w:jc w:val="center"/>
              <w:rPr>
                <w:rFonts w:hint="eastAsia" w:ascii="宋体" w:hAnsi="宋体" w:eastAsia="宋体" w:cs="宋体"/>
                <w:color w:val="auto"/>
                <w:kern w:val="2"/>
                <w:sz w:val="24"/>
                <w:szCs w:val="24"/>
                <w:highlight w:val="none"/>
              </w:rPr>
            </w:pPr>
          </w:p>
        </w:tc>
        <w:tc>
          <w:tcPr>
            <w:tcW w:w="1731" w:type="dxa"/>
            <w:noWrap w:val="0"/>
            <w:vAlign w:val="center"/>
          </w:tcPr>
          <w:p w14:paraId="70DB5758">
            <w:pPr>
              <w:jc w:val="center"/>
              <w:rPr>
                <w:rFonts w:hint="eastAsia" w:ascii="宋体" w:hAnsi="宋体" w:eastAsia="宋体" w:cs="宋体"/>
                <w:color w:val="auto"/>
                <w:kern w:val="2"/>
                <w:sz w:val="24"/>
                <w:szCs w:val="24"/>
                <w:highlight w:val="none"/>
              </w:rPr>
            </w:pPr>
          </w:p>
        </w:tc>
      </w:tr>
      <w:tr w14:paraId="59AE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7EAB752">
            <w:pPr>
              <w:jc w:val="center"/>
              <w:rPr>
                <w:rFonts w:hint="eastAsia" w:ascii="宋体" w:hAnsi="宋体" w:eastAsia="宋体" w:cs="宋体"/>
                <w:color w:val="auto"/>
                <w:kern w:val="2"/>
                <w:sz w:val="24"/>
                <w:szCs w:val="24"/>
                <w:highlight w:val="none"/>
              </w:rPr>
            </w:pPr>
          </w:p>
        </w:tc>
        <w:tc>
          <w:tcPr>
            <w:tcW w:w="1620" w:type="dxa"/>
            <w:noWrap w:val="0"/>
            <w:vAlign w:val="center"/>
          </w:tcPr>
          <w:p w14:paraId="446948A9">
            <w:pPr>
              <w:jc w:val="center"/>
              <w:rPr>
                <w:rFonts w:hint="eastAsia" w:ascii="宋体" w:hAnsi="宋体" w:eastAsia="宋体" w:cs="宋体"/>
                <w:color w:val="auto"/>
                <w:kern w:val="2"/>
                <w:sz w:val="24"/>
                <w:szCs w:val="24"/>
                <w:highlight w:val="none"/>
              </w:rPr>
            </w:pPr>
          </w:p>
        </w:tc>
        <w:tc>
          <w:tcPr>
            <w:tcW w:w="1440" w:type="dxa"/>
            <w:noWrap w:val="0"/>
            <w:vAlign w:val="center"/>
          </w:tcPr>
          <w:p w14:paraId="0C237D44">
            <w:pPr>
              <w:jc w:val="center"/>
              <w:rPr>
                <w:rFonts w:hint="eastAsia" w:ascii="宋体" w:hAnsi="宋体" w:eastAsia="宋体" w:cs="宋体"/>
                <w:color w:val="auto"/>
                <w:kern w:val="2"/>
                <w:sz w:val="24"/>
                <w:szCs w:val="24"/>
                <w:highlight w:val="none"/>
              </w:rPr>
            </w:pPr>
          </w:p>
        </w:tc>
        <w:tc>
          <w:tcPr>
            <w:tcW w:w="1356" w:type="dxa"/>
            <w:noWrap w:val="0"/>
            <w:vAlign w:val="center"/>
          </w:tcPr>
          <w:p w14:paraId="5870BD8C">
            <w:pPr>
              <w:jc w:val="center"/>
              <w:rPr>
                <w:rFonts w:hint="eastAsia" w:ascii="宋体" w:hAnsi="宋体" w:eastAsia="宋体" w:cs="宋体"/>
                <w:color w:val="auto"/>
                <w:kern w:val="2"/>
                <w:sz w:val="24"/>
                <w:szCs w:val="24"/>
                <w:highlight w:val="none"/>
              </w:rPr>
            </w:pPr>
          </w:p>
        </w:tc>
        <w:tc>
          <w:tcPr>
            <w:tcW w:w="1356" w:type="dxa"/>
            <w:noWrap w:val="0"/>
            <w:vAlign w:val="center"/>
          </w:tcPr>
          <w:p w14:paraId="04AD2AD7">
            <w:pPr>
              <w:jc w:val="center"/>
              <w:rPr>
                <w:rFonts w:hint="eastAsia" w:ascii="宋体" w:hAnsi="宋体" w:eastAsia="宋体" w:cs="宋体"/>
                <w:color w:val="auto"/>
                <w:kern w:val="2"/>
                <w:sz w:val="24"/>
                <w:szCs w:val="24"/>
                <w:highlight w:val="none"/>
              </w:rPr>
            </w:pPr>
          </w:p>
        </w:tc>
        <w:tc>
          <w:tcPr>
            <w:tcW w:w="1731" w:type="dxa"/>
            <w:noWrap w:val="0"/>
            <w:vAlign w:val="center"/>
          </w:tcPr>
          <w:p w14:paraId="7E0708E9">
            <w:pPr>
              <w:jc w:val="center"/>
              <w:rPr>
                <w:rFonts w:hint="eastAsia" w:ascii="宋体" w:hAnsi="宋体" w:eastAsia="宋体" w:cs="宋体"/>
                <w:color w:val="auto"/>
                <w:kern w:val="2"/>
                <w:sz w:val="24"/>
                <w:szCs w:val="24"/>
                <w:highlight w:val="none"/>
              </w:rPr>
            </w:pPr>
          </w:p>
        </w:tc>
      </w:tr>
      <w:tr w14:paraId="0D24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A9E6D65">
            <w:pPr>
              <w:jc w:val="center"/>
              <w:rPr>
                <w:rFonts w:hint="eastAsia" w:ascii="宋体" w:hAnsi="宋体" w:eastAsia="宋体" w:cs="宋体"/>
                <w:color w:val="auto"/>
                <w:kern w:val="2"/>
                <w:sz w:val="24"/>
                <w:szCs w:val="24"/>
                <w:highlight w:val="none"/>
              </w:rPr>
            </w:pPr>
          </w:p>
        </w:tc>
        <w:tc>
          <w:tcPr>
            <w:tcW w:w="1620" w:type="dxa"/>
            <w:noWrap w:val="0"/>
            <w:vAlign w:val="center"/>
          </w:tcPr>
          <w:p w14:paraId="3C983B7D">
            <w:pPr>
              <w:jc w:val="center"/>
              <w:rPr>
                <w:rFonts w:hint="eastAsia" w:ascii="宋体" w:hAnsi="宋体" w:eastAsia="宋体" w:cs="宋体"/>
                <w:color w:val="auto"/>
                <w:kern w:val="2"/>
                <w:sz w:val="24"/>
                <w:szCs w:val="24"/>
                <w:highlight w:val="none"/>
              </w:rPr>
            </w:pPr>
          </w:p>
        </w:tc>
        <w:tc>
          <w:tcPr>
            <w:tcW w:w="1440" w:type="dxa"/>
            <w:noWrap w:val="0"/>
            <w:vAlign w:val="center"/>
          </w:tcPr>
          <w:p w14:paraId="1B3AB282">
            <w:pPr>
              <w:jc w:val="center"/>
              <w:rPr>
                <w:rFonts w:hint="eastAsia" w:ascii="宋体" w:hAnsi="宋体" w:eastAsia="宋体" w:cs="宋体"/>
                <w:color w:val="auto"/>
                <w:kern w:val="2"/>
                <w:sz w:val="24"/>
                <w:szCs w:val="24"/>
                <w:highlight w:val="none"/>
              </w:rPr>
            </w:pPr>
          </w:p>
        </w:tc>
        <w:tc>
          <w:tcPr>
            <w:tcW w:w="1356" w:type="dxa"/>
            <w:noWrap w:val="0"/>
            <w:vAlign w:val="center"/>
          </w:tcPr>
          <w:p w14:paraId="09834719">
            <w:pPr>
              <w:jc w:val="center"/>
              <w:rPr>
                <w:rFonts w:hint="eastAsia" w:ascii="宋体" w:hAnsi="宋体" w:eastAsia="宋体" w:cs="宋体"/>
                <w:color w:val="auto"/>
                <w:kern w:val="2"/>
                <w:sz w:val="24"/>
                <w:szCs w:val="24"/>
                <w:highlight w:val="none"/>
              </w:rPr>
            </w:pPr>
          </w:p>
        </w:tc>
        <w:tc>
          <w:tcPr>
            <w:tcW w:w="1356" w:type="dxa"/>
            <w:noWrap w:val="0"/>
            <w:vAlign w:val="center"/>
          </w:tcPr>
          <w:p w14:paraId="588AEDC0">
            <w:pPr>
              <w:jc w:val="center"/>
              <w:rPr>
                <w:rFonts w:hint="eastAsia" w:ascii="宋体" w:hAnsi="宋体" w:eastAsia="宋体" w:cs="宋体"/>
                <w:color w:val="auto"/>
                <w:kern w:val="2"/>
                <w:sz w:val="24"/>
                <w:szCs w:val="24"/>
                <w:highlight w:val="none"/>
              </w:rPr>
            </w:pPr>
          </w:p>
        </w:tc>
        <w:tc>
          <w:tcPr>
            <w:tcW w:w="1731" w:type="dxa"/>
            <w:noWrap w:val="0"/>
            <w:vAlign w:val="center"/>
          </w:tcPr>
          <w:p w14:paraId="3EF1C4DB">
            <w:pPr>
              <w:jc w:val="center"/>
              <w:rPr>
                <w:rFonts w:hint="eastAsia" w:ascii="宋体" w:hAnsi="宋体" w:eastAsia="宋体" w:cs="宋体"/>
                <w:color w:val="auto"/>
                <w:kern w:val="2"/>
                <w:sz w:val="24"/>
                <w:szCs w:val="24"/>
                <w:highlight w:val="none"/>
              </w:rPr>
            </w:pPr>
          </w:p>
        </w:tc>
      </w:tr>
      <w:tr w14:paraId="7EE2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A3CEB5A">
            <w:pPr>
              <w:jc w:val="center"/>
              <w:rPr>
                <w:rFonts w:hint="eastAsia" w:ascii="宋体" w:hAnsi="宋体" w:eastAsia="宋体" w:cs="宋体"/>
                <w:color w:val="auto"/>
                <w:kern w:val="2"/>
                <w:sz w:val="24"/>
                <w:szCs w:val="24"/>
                <w:highlight w:val="none"/>
              </w:rPr>
            </w:pPr>
          </w:p>
        </w:tc>
        <w:tc>
          <w:tcPr>
            <w:tcW w:w="1620" w:type="dxa"/>
            <w:noWrap w:val="0"/>
            <w:vAlign w:val="center"/>
          </w:tcPr>
          <w:p w14:paraId="3DE4D6F1">
            <w:pPr>
              <w:jc w:val="center"/>
              <w:rPr>
                <w:rFonts w:hint="eastAsia" w:ascii="宋体" w:hAnsi="宋体" w:eastAsia="宋体" w:cs="宋体"/>
                <w:color w:val="auto"/>
                <w:kern w:val="2"/>
                <w:sz w:val="24"/>
                <w:szCs w:val="24"/>
                <w:highlight w:val="none"/>
              </w:rPr>
            </w:pPr>
          </w:p>
        </w:tc>
        <w:tc>
          <w:tcPr>
            <w:tcW w:w="1440" w:type="dxa"/>
            <w:noWrap w:val="0"/>
            <w:vAlign w:val="center"/>
          </w:tcPr>
          <w:p w14:paraId="5916FB18">
            <w:pPr>
              <w:jc w:val="center"/>
              <w:rPr>
                <w:rFonts w:hint="eastAsia" w:ascii="宋体" w:hAnsi="宋体" w:eastAsia="宋体" w:cs="宋体"/>
                <w:color w:val="auto"/>
                <w:kern w:val="2"/>
                <w:sz w:val="24"/>
                <w:szCs w:val="24"/>
                <w:highlight w:val="none"/>
              </w:rPr>
            </w:pPr>
          </w:p>
        </w:tc>
        <w:tc>
          <w:tcPr>
            <w:tcW w:w="1356" w:type="dxa"/>
            <w:noWrap w:val="0"/>
            <w:vAlign w:val="center"/>
          </w:tcPr>
          <w:p w14:paraId="3CE9AE93">
            <w:pPr>
              <w:jc w:val="center"/>
              <w:rPr>
                <w:rFonts w:hint="eastAsia" w:ascii="宋体" w:hAnsi="宋体" w:eastAsia="宋体" w:cs="宋体"/>
                <w:color w:val="auto"/>
                <w:kern w:val="2"/>
                <w:sz w:val="24"/>
                <w:szCs w:val="24"/>
                <w:highlight w:val="none"/>
              </w:rPr>
            </w:pPr>
          </w:p>
        </w:tc>
        <w:tc>
          <w:tcPr>
            <w:tcW w:w="1356" w:type="dxa"/>
            <w:noWrap w:val="0"/>
            <w:vAlign w:val="center"/>
          </w:tcPr>
          <w:p w14:paraId="51940AD5">
            <w:pPr>
              <w:jc w:val="center"/>
              <w:rPr>
                <w:rFonts w:hint="eastAsia" w:ascii="宋体" w:hAnsi="宋体" w:eastAsia="宋体" w:cs="宋体"/>
                <w:color w:val="auto"/>
                <w:kern w:val="2"/>
                <w:sz w:val="24"/>
                <w:szCs w:val="24"/>
                <w:highlight w:val="none"/>
              </w:rPr>
            </w:pPr>
          </w:p>
        </w:tc>
        <w:tc>
          <w:tcPr>
            <w:tcW w:w="1731" w:type="dxa"/>
            <w:noWrap w:val="0"/>
            <w:vAlign w:val="center"/>
          </w:tcPr>
          <w:p w14:paraId="2D064175">
            <w:pPr>
              <w:jc w:val="center"/>
              <w:rPr>
                <w:rFonts w:hint="eastAsia" w:ascii="宋体" w:hAnsi="宋体" w:eastAsia="宋体" w:cs="宋体"/>
                <w:color w:val="auto"/>
                <w:kern w:val="2"/>
                <w:sz w:val="24"/>
                <w:szCs w:val="24"/>
                <w:highlight w:val="none"/>
              </w:rPr>
            </w:pPr>
          </w:p>
        </w:tc>
      </w:tr>
      <w:tr w14:paraId="1948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073191AE">
            <w:pPr>
              <w:jc w:val="center"/>
              <w:rPr>
                <w:rFonts w:hint="eastAsia" w:ascii="宋体" w:hAnsi="宋体" w:eastAsia="宋体" w:cs="宋体"/>
                <w:color w:val="auto"/>
                <w:kern w:val="2"/>
                <w:sz w:val="24"/>
                <w:szCs w:val="24"/>
                <w:highlight w:val="none"/>
              </w:rPr>
            </w:pPr>
          </w:p>
        </w:tc>
        <w:tc>
          <w:tcPr>
            <w:tcW w:w="1620" w:type="dxa"/>
            <w:noWrap w:val="0"/>
            <w:vAlign w:val="center"/>
          </w:tcPr>
          <w:p w14:paraId="09CA36FC">
            <w:pPr>
              <w:jc w:val="center"/>
              <w:rPr>
                <w:rFonts w:hint="eastAsia" w:ascii="宋体" w:hAnsi="宋体" w:eastAsia="宋体" w:cs="宋体"/>
                <w:color w:val="auto"/>
                <w:kern w:val="2"/>
                <w:sz w:val="24"/>
                <w:szCs w:val="24"/>
                <w:highlight w:val="none"/>
              </w:rPr>
            </w:pPr>
          </w:p>
        </w:tc>
        <w:tc>
          <w:tcPr>
            <w:tcW w:w="1440" w:type="dxa"/>
            <w:noWrap w:val="0"/>
            <w:vAlign w:val="center"/>
          </w:tcPr>
          <w:p w14:paraId="184BE065">
            <w:pPr>
              <w:jc w:val="center"/>
              <w:rPr>
                <w:rFonts w:hint="eastAsia" w:ascii="宋体" w:hAnsi="宋体" w:eastAsia="宋体" w:cs="宋体"/>
                <w:color w:val="auto"/>
                <w:kern w:val="2"/>
                <w:sz w:val="24"/>
                <w:szCs w:val="24"/>
                <w:highlight w:val="none"/>
              </w:rPr>
            </w:pPr>
          </w:p>
        </w:tc>
        <w:tc>
          <w:tcPr>
            <w:tcW w:w="1356" w:type="dxa"/>
            <w:noWrap w:val="0"/>
            <w:vAlign w:val="center"/>
          </w:tcPr>
          <w:p w14:paraId="4935EB1D">
            <w:pPr>
              <w:jc w:val="center"/>
              <w:rPr>
                <w:rFonts w:hint="eastAsia" w:ascii="宋体" w:hAnsi="宋体" w:eastAsia="宋体" w:cs="宋体"/>
                <w:color w:val="auto"/>
                <w:kern w:val="2"/>
                <w:sz w:val="24"/>
                <w:szCs w:val="24"/>
                <w:highlight w:val="none"/>
              </w:rPr>
            </w:pPr>
          </w:p>
        </w:tc>
        <w:tc>
          <w:tcPr>
            <w:tcW w:w="1356" w:type="dxa"/>
            <w:noWrap w:val="0"/>
            <w:vAlign w:val="center"/>
          </w:tcPr>
          <w:p w14:paraId="66E2EA7F">
            <w:pPr>
              <w:jc w:val="center"/>
              <w:rPr>
                <w:rFonts w:hint="eastAsia" w:ascii="宋体" w:hAnsi="宋体" w:eastAsia="宋体" w:cs="宋体"/>
                <w:color w:val="auto"/>
                <w:kern w:val="2"/>
                <w:sz w:val="24"/>
                <w:szCs w:val="24"/>
                <w:highlight w:val="none"/>
              </w:rPr>
            </w:pPr>
          </w:p>
        </w:tc>
        <w:tc>
          <w:tcPr>
            <w:tcW w:w="1731" w:type="dxa"/>
            <w:noWrap w:val="0"/>
            <w:vAlign w:val="center"/>
          </w:tcPr>
          <w:p w14:paraId="155E4862">
            <w:pPr>
              <w:jc w:val="center"/>
              <w:rPr>
                <w:rFonts w:hint="eastAsia" w:ascii="宋体" w:hAnsi="宋体" w:eastAsia="宋体" w:cs="宋体"/>
                <w:color w:val="auto"/>
                <w:kern w:val="2"/>
                <w:sz w:val="24"/>
                <w:szCs w:val="24"/>
                <w:highlight w:val="none"/>
              </w:rPr>
            </w:pPr>
          </w:p>
        </w:tc>
      </w:tr>
      <w:tr w14:paraId="2845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151D6600">
            <w:pPr>
              <w:jc w:val="center"/>
              <w:rPr>
                <w:rFonts w:hint="eastAsia" w:ascii="宋体" w:hAnsi="宋体" w:eastAsia="宋体" w:cs="宋体"/>
                <w:color w:val="auto"/>
                <w:kern w:val="2"/>
                <w:sz w:val="24"/>
                <w:szCs w:val="24"/>
                <w:highlight w:val="none"/>
              </w:rPr>
            </w:pPr>
          </w:p>
        </w:tc>
        <w:tc>
          <w:tcPr>
            <w:tcW w:w="1620" w:type="dxa"/>
            <w:noWrap w:val="0"/>
            <w:vAlign w:val="center"/>
          </w:tcPr>
          <w:p w14:paraId="181670EA">
            <w:pPr>
              <w:jc w:val="center"/>
              <w:rPr>
                <w:rFonts w:hint="eastAsia" w:ascii="宋体" w:hAnsi="宋体" w:eastAsia="宋体" w:cs="宋体"/>
                <w:color w:val="auto"/>
                <w:kern w:val="2"/>
                <w:sz w:val="24"/>
                <w:szCs w:val="24"/>
                <w:highlight w:val="none"/>
              </w:rPr>
            </w:pPr>
          </w:p>
        </w:tc>
        <w:tc>
          <w:tcPr>
            <w:tcW w:w="1440" w:type="dxa"/>
            <w:noWrap w:val="0"/>
            <w:vAlign w:val="center"/>
          </w:tcPr>
          <w:p w14:paraId="3DEE50F8">
            <w:pPr>
              <w:jc w:val="center"/>
              <w:rPr>
                <w:rFonts w:hint="eastAsia" w:ascii="宋体" w:hAnsi="宋体" w:eastAsia="宋体" w:cs="宋体"/>
                <w:color w:val="auto"/>
                <w:kern w:val="2"/>
                <w:sz w:val="24"/>
                <w:szCs w:val="24"/>
                <w:highlight w:val="none"/>
              </w:rPr>
            </w:pPr>
          </w:p>
        </w:tc>
        <w:tc>
          <w:tcPr>
            <w:tcW w:w="1356" w:type="dxa"/>
            <w:noWrap w:val="0"/>
            <w:vAlign w:val="center"/>
          </w:tcPr>
          <w:p w14:paraId="35E0CCD8">
            <w:pPr>
              <w:jc w:val="center"/>
              <w:rPr>
                <w:rFonts w:hint="eastAsia" w:ascii="宋体" w:hAnsi="宋体" w:eastAsia="宋体" w:cs="宋体"/>
                <w:color w:val="auto"/>
                <w:kern w:val="2"/>
                <w:sz w:val="24"/>
                <w:szCs w:val="24"/>
                <w:highlight w:val="none"/>
              </w:rPr>
            </w:pPr>
          </w:p>
        </w:tc>
        <w:tc>
          <w:tcPr>
            <w:tcW w:w="1356" w:type="dxa"/>
            <w:noWrap w:val="0"/>
            <w:vAlign w:val="center"/>
          </w:tcPr>
          <w:p w14:paraId="3674BCB7">
            <w:pPr>
              <w:jc w:val="center"/>
              <w:rPr>
                <w:rFonts w:hint="eastAsia" w:ascii="宋体" w:hAnsi="宋体" w:eastAsia="宋体" w:cs="宋体"/>
                <w:color w:val="auto"/>
                <w:kern w:val="2"/>
                <w:sz w:val="24"/>
                <w:szCs w:val="24"/>
                <w:highlight w:val="none"/>
              </w:rPr>
            </w:pPr>
          </w:p>
        </w:tc>
        <w:tc>
          <w:tcPr>
            <w:tcW w:w="1731" w:type="dxa"/>
            <w:noWrap w:val="0"/>
            <w:vAlign w:val="center"/>
          </w:tcPr>
          <w:p w14:paraId="7C8AF035">
            <w:pPr>
              <w:jc w:val="center"/>
              <w:rPr>
                <w:rFonts w:hint="eastAsia" w:ascii="宋体" w:hAnsi="宋体" w:eastAsia="宋体" w:cs="宋体"/>
                <w:color w:val="auto"/>
                <w:kern w:val="2"/>
                <w:sz w:val="24"/>
                <w:szCs w:val="24"/>
                <w:highlight w:val="none"/>
              </w:rPr>
            </w:pPr>
          </w:p>
        </w:tc>
      </w:tr>
      <w:tr w14:paraId="1407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ECDC495">
            <w:pPr>
              <w:jc w:val="center"/>
              <w:rPr>
                <w:rFonts w:hint="eastAsia" w:ascii="宋体" w:hAnsi="宋体" w:eastAsia="宋体" w:cs="宋体"/>
                <w:color w:val="auto"/>
                <w:kern w:val="2"/>
                <w:sz w:val="24"/>
                <w:szCs w:val="24"/>
                <w:highlight w:val="none"/>
              </w:rPr>
            </w:pPr>
          </w:p>
        </w:tc>
        <w:tc>
          <w:tcPr>
            <w:tcW w:w="1620" w:type="dxa"/>
            <w:noWrap w:val="0"/>
            <w:vAlign w:val="center"/>
          </w:tcPr>
          <w:p w14:paraId="19E6E495">
            <w:pPr>
              <w:jc w:val="center"/>
              <w:rPr>
                <w:rFonts w:hint="eastAsia" w:ascii="宋体" w:hAnsi="宋体" w:eastAsia="宋体" w:cs="宋体"/>
                <w:color w:val="auto"/>
                <w:kern w:val="2"/>
                <w:sz w:val="24"/>
                <w:szCs w:val="24"/>
                <w:highlight w:val="none"/>
              </w:rPr>
            </w:pPr>
          </w:p>
        </w:tc>
        <w:tc>
          <w:tcPr>
            <w:tcW w:w="1440" w:type="dxa"/>
            <w:noWrap w:val="0"/>
            <w:vAlign w:val="center"/>
          </w:tcPr>
          <w:p w14:paraId="2B510CF4">
            <w:pPr>
              <w:jc w:val="center"/>
              <w:rPr>
                <w:rFonts w:hint="eastAsia" w:ascii="宋体" w:hAnsi="宋体" w:eastAsia="宋体" w:cs="宋体"/>
                <w:color w:val="auto"/>
                <w:kern w:val="2"/>
                <w:sz w:val="24"/>
                <w:szCs w:val="24"/>
                <w:highlight w:val="none"/>
              </w:rPr>
            </w:pPr>
          </w:p>
        </w:tc>
        <w:tc>
          <w:tcPr>
            <w:tcW w:w="1356" w:type="dxa"/>
            <w:noWrap w:val="0"/>
            <w:vAlign w:val="center"/>
          </w:tcPr>
          <w:p w14:paraId="7928F162">
            <w:pPr>
              <w:jc w:val="center"/>
              <w:rPr>
                <w:rFonts w:hint="eastAsia" w:ascii="宋体" w:hAnsi="宋体" w:eastAsia="宋体" w:cs="宋体"/>
                <w:color w:val="auto"/>
                <w:kern w:val="2"/>
                <w:sz w:val="24"/>
                <w:szCs w:val="24"/>
                <w:highlight w:val="none"/>
              </w:rPr>
            </w:pPr>
          </w:p>
        </w:tc>
        <w:tc>
          <w:tcPr>
            <w:tcW w:w="1356" w:type="dxa"/>
            <w:noWrap w:val="0"/>
            <w:vAlign w:val="center"/>
          </w:tcPr>
          <w:p w14:paraId="366E7652">
            <w:pPr>
              <w:jc w:val="center"/>
              <w:rPr>
                <w:rFonts w:hint="eastAsia" w:ascii="宋体" w:hAnsi="宋体" w:eastAsia="宋体" w:cs="宋体"/>
                <w:color w:val="auto"/>
                <w:kern w:val="2"/>
                <w:sz w:val="24"/>
                <w:szCs w:val="24"/>
                <w:highlight w:val="none"/>
              </w:rPr>
            </w:pPr>
          </w:p>
        </w:tc>
        <w:tc>
          <w:tcPr>
            <w:tcW w:w="1731" w:type="dxa"/>
            <w:noWrap w:val="0"/>
            <w:vAlign w:val="center"/>
          </w:tcPr>
          <w:p w14:paraId="79DCDC28">
            <w:pPr>
              <w:jc w:val="center"/>
              <w:rPr>
                <w:rFonts w:hint="eastAsia" w:ascii="宋体" w:hAnsi="宋体" w:eastAsia="宋体" w:cs="宋体"/>
                <w:color w:val="auto"/>
                <w:kern w:val="2"/>
                <w:sz w:val="24"/>
                <w:szCs w:val="24"/>
                <w:highlight w:val="none"/>
              </w:rPr>
            </w:pPr>
          </w:p>
        </w:tc>
      </w:tr>
      <w:tr w14:paraId="789A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B1777AA">
            <w:pPr>
              <w:jc w:val="center"/>
              <w:rPr>
                <w:rFonts w:hint="eastAsia" w:ascii="宋体" w:hAnsi="宋体" w:eastAsia="宋体" w:cs="宋体"/>
                <w:color w:val="auto"/>
                <w:kern w:val="2"/>
                <w:sz w:val="24"/>
                <w:szCs w:val="24"/>
                <w:highlight w:val="none"/>
              </w:rPr>
            </w:pPr>
          </w:p>
        </w:tc>
        <w:tc>
          <w:tcPr>
            <w:tcW w:w="1620" w:type="dxa"/>
            <w:noWrap w:val="0"/>
            <w:vAlign w:val="center"/>
          </w:tcPr>
          <w:p w14:paraId="65775395">
            <w:pPr>
              <w:jc w:val="center"/>
              <w:rPr>
                <w:rFonts w:hint="eastAsia" w:ascii="宋体" w:hAnsi="宋体" w:eastAsia="宋体" w:cs="宋体"/>
                <w:color w:val="auto"/>
                <w:kern w:val="2"/>
                <w:sz w:val="24"/>
                <w:szCs w:val="24"/>
                <w:highlight w:val="none"/>
              </w:rPr>
            </w:pPr>
          </w:p>
        </w:tc>
        <w:tc>
          <w:tcPr>
            <w:tcW w:w="1440" w:type="dxa"/>
            <w:noWrap w:val="0"/>
            <w:vAlign w:val="center"/>
          </w:tcPr>
          <w:p w14:paraId="3496A798">
            <w:pPr>
              <w:jc w:val="center"/>
              <w:rPr>
                <w:rFonts w:hint="eastAsia" w:ascii="宋体" w:hAnsi="宋体" w:eastAsia="宋体" w:cs="宋体"/>
                <w:color w:val="auto"/>
                <w:kern w:val="2"/>
                <w:sz w:val="24"/>
                <w:szCs w:val="24"/>
                <w:highlight w:val="none"/>
              </w:rPr>
            </w:pPr>
          </w:p>
        </w:tc>
        <w:tc>
          <w:tcPr>
            <w:tcW w:w="1356" w:type="dxa"/>
            <w:noWrap w:val="0"/>
            <w:vAlign w:val="center"/>
          </w:tcPr>
          <w:p w14:paraId="489D5F64">
            <w:pPr>
              <w:jc w:val="center"/>
              <w:rPr>
                <w:rFonts w:hint="eastAsia" w:ascii="宋体" w:hAnsi="宋体" w:eastAsia="宋体" w:cs="宋体"/>
                <w:color w:val="auto"/>
                <w:kern w:val="2"/>
                <w:sz w:val="24"/>
                <w:szCs w:val="24"/>
                <w:highlight w:val="none"/>
              </w:rPr>
            </w:pPr>
          </w:p>
        </w:tc>
        <w:tc>
          <w:tcPr>
            <w:tcW w:w="1356" w:type="dxa"/>
            <w:noWrap w:val="0"/>
            <w:vAlign w:val="center"/>
          </w:tcPr>
          <w:p w14:paraId="5A0E46F4">
            <w:pPr>
              <w:jc w:val="center"/>
              <w:rPr>
                <w:rFonts w:hint="eastAsia" w:ascii="宋体" w:hAnsi="宋体" w:eastAsia="宋体" w:cs="宋体"/>
                <w:color w:val="auto"/>
                <w:kern w:val="2"/>
                <w:sz w:val="24"/>
                <w:szCs w:val="24"/>
                <w:highlight w:val="none"/>
              </w:rPr>
            </w:pPr>
          </w:p>
        </w:tc>
        <w:tc>
          <w:tcPr>
            <w:tcW w:w="1731" w:type="dxa"/>
            <w:noWrap w:val="0"/>
            <w:vAlign w:val="center"/>
          </w:tcPr>
          <w:p w14:paraId="108503B7">
            <w:pPr>
              <w:jc w:val="center"/>
              <w:rPr>
                <w:rFonts w:hint="eastAsia" w:ascii="宋体" w:hAnsi="宋体" w:eastAsia="宋体" w:cs="宋体"/>
                <w:color w:val="auto"/>
                <w:kern w:val="2"/>
                <w:sz w:val="24"/>
                <w:szCs w:val="24"/>
                <w:highlight w:val="none"/>
              </w:rPr>
            </w:pPr>
          </w:p>
        </w:tc>
      </w:tr>
      <w:tr w14:paraId="62A1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497EB4A">
            <w:pPr>
              <w:jc w:val="center"/>
              <w:rPr>
                <w:rFonts w:hint="eastAsia" w:ascii="宋体" w:hAnsi="宋体" w:eastAsia="宋体" w:cs="宋体"/>
                <w:color w:val="auto"/>
                <w:kern w:val="2"/>
                <w:sz w:val="24"/>
                <w:szCs w:val="24"/>
                <w:highlight w:val="none"/>
              </w:rPr>
            </w:pPr>
          </w:p>
        </w:tc>
        <w:tc>
          <w:tcPr>
            <w:tcW w:w="1620" w:type="dxa"/>
            <w:noWrap w:val="0"/>
            <w:vAlign w:val="center"/>
          </w:tcPr>
          <w:p w14:paraId="02A21930">
            <w:pPr>
              <w:jc w:val="center"/>
              <w:rPr>
                <w:rFonts w:hint="eastAsia" w:ascii="宋体" w:hAnsi="宋体" w:eastAsia="宋体" w:cs="宋体"/>
                <w:color w:val="auto"/>
                <w:kern w:val="2"/>
                <w:sz w:val="24"/>
                <w:szCs w:val="24"/>
                <w:highlight w:val="none"/>
              </w:rPr>
            </w:pPr>
          </w:p>
        </w:tc>
        <w:tc>
          <w:tcPr>
            <w:tcW w:w="1440" w:type="dxa"/>
            <w:noWrap w:val="0"/>
            <w:vAlign w:val="center"/>
          </w:tcPr>
          <w:p w14:paraId="69573394">
            <w:pPr>
              <w:jc w:val="center"/>
              <w:rPr>
                <w:rFonts w:hint="eastAsia" w:ascii="宋体" w:hAnsi="宋体" w:eastAsia="宋体" w:cs="宋体"/>
                <w:color w:val="auto"/>
                <w:kern w:val="2"/>
                <w:sz w:val="24"/>
                <w:szCs w:val="24"/>
                <w:highlight w:val="none"/>
              </w:rPr>
            </w:pPr>
          </w:p>
        </w:tc>
        <w:tc>
          <w:tcPr>
            <w:tcW w:w="1356" w:type="dxa"/>
            <w:noWrap w:val="0"/>
            <w:vAlign w:val="center"/>
          </w:tcPr>
          <w:p w14:paraId="50E742D4">
            <w:pPr>
              <w:jc w:val="center"/>
              <w:rPr>
                <w:rFonts w:hint="eastAsia" w:ascii="宋体" w:hAnsi="宋体" w:eastAsia="宋体" w:cs="宋体"/>
                <w:color w:val="auto"/>
                <w:kern w:val="2"/>
                <w:sz w:val="24"/>
                <w:szCs w:val="24"/>
                <w:highlight w:val="none"/>
              </w:rPr>
            </w:pPr>
          </w:p>
        </w:tc>
        <w:tc>
          <w:tcPr>
            <w:tcW w:w="1356" w:type="dxa"/>
            <w:noWrap w:val="0"/>
            <w:vAlign w:val="center"/>
          </w:tcPr>
          <w:p w14:paraId="3EA2F19D">
            <w:pPr>
              <w:jc w:val="center"/>
              <w:rPr>
                <w:rFonts w:hint="eastAsia" w:ascii="宋体" w:hAnsi="宋体" w:eastAsia="宋体" w:cs="宋体"/>
                <w:color w:val="auto"/>
                <w:kern w:val="2"/>
                <w:sz w:val="24"/>
                <w:szCs w:val="24"/>
                <w:highlight w:val="none"/>
              </w:rPr>
            </w:pPr>
          </w:p>
        </w:tc>
        <w:tc>
          <w:tcPr>
            <w:tcW w:w="1731" w:type="dxa"/>
            <w:noWrap w:val="0"/>
            <w:vAlign w:val="center"/>
          </w:tcPr>
          <w:p w14:paraId="1500CD4C">
            <w:pPr>
              <w:jc w:val="center"/>
              <w:rPr>
                <w:rFonts w:hint="eastAsia" w:ascii="宋体" w:hAnsi="宋体" w:eastAsia="宋体" w:cs="宋体"/>
                <w:color w:val="auto"/>
                <w:kern w:val="2"/>
                <w:sz w:val="24"/>
                <w:szCs w:val="24"/>
                <w:highlight w:val="none"/>
              </w:rPr>
            </w:pPr>
          </w:p>
        </w:tc>
      </w:tr>
      <w:tr w14:paraId="30D9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DF24A05">
            <w:pPr>
              <w:jc w:val="center"/>
              <w:rPr>
                <w:rFonts w:hint="eastAsia" w:ascii="宋体" w:hAnsi="宋体" w:eastAsia="宋体" w:cs="宋体"/>
                <w:color w:val="auto"/>
                <w:kern w:val="2"/>
                <w:sz w:val="24"/>
                <w:szCs w:val="24"/>
                <w:highlight w:val="none"/>
              </w:rPr>
            </w:pPr>
          </w:p>
        </w:tc>
        <w:tc>
          <w:tcPr>
            <w:tcW w:w="1620" w:type="dxa"/>
            <w:noWrap w:val="0"/>
            <w:vAlign w:val="center"/>
          </w:tcPr>
          <w:p w14:paraId="72A6A290">
            <w:pPr>
              <w:jc w:val="center"/>
              <w:rPr>
                <w:rFonts w:hint="eastAsia" w:ascii="宋体" w:hAnsi="宋体" w:eastAsia="宋体" w:cs="宋体"/>
                <w:color w:val="auto"/>
                <w:kern w:val="2"/>
                <w:sz w:val="24"/>
                <w:szCs w:val="24"/>
                <w:highlight w:val="none"/>
              </w:rPr>
            </w:pPr>
          </w:p>
        </w:tc>
        <w:tc>
          <w:tcPr>
            <w:tcW w:w="1440" w:type="dxa"/>
            <w:noWrap w:val="0"/>
            <w:vAlign w:val="center"/>
          </w:tcPr>
          <w:p w14:paraId="03C5686E">
            <w:pPr>
              <w:jc w:val="center"/>
              <w:rPr>
                <w:rFonts w:hint="eastAsia" w:ascii="宋体" w:hAnsi="宋体" w:eastAsia="宋体" w:cs="宋体"/>
                <w:color w:val="auto"/>
                <w:kern w:val="2"/>
                <w:sz w:val="24"/>
                <w:szCs w:val="24"/>
                <w:highlight w:val="none"/>
              </w:rPr>
            </w:pPr>
          </w:p>
        </w:tc>
        <w:tc>
          <w:tcPr>
            <w:tcW w:w="1356" w:type="dxa"/>
            <w:noWrap w:val="0"/>
            <w:vAlign w:val="center"/>
          </w:tcPr>
          <w:p w14:paraId="6CE26D07">
            <w:pPr>
              <w:jc w:val="center"/>
              <w:rPr>
                <w:rFonts w:hint="eastAsia" w:ascii="宋体" w:hAnsi="宋体" w:eastAsia="宋体" w:cs="宋体"/>
                <w:color w:val="auto"/>
                <w:kern w:val="2"/>
                <w:sz w:val="24"/>
                <w:szCs w:val="24"/>
                <w:highlight w:val="none"/>
              </w:rPr>
            </w:pPr>
          </w:p>
        </w:tc>
        <w:tc>
          <w:tcPr>
            <w:tcW w:w="1356" w:type="dxa"/>
            <w:noWrap w:val="0"/>
            <w:vAlign w:val="center"/>
          </w:tcPr>
          <w:p w14:paraId="5EF155CF">
            <w:pPr>
              <w:jc w:val="center"/>
              <w:rPr>
                <w:rFonts w:hint="eastAsia" w:ascii="宋体" w:hAnsi="宋体" w:eastAsia="宋体" w:cs="宋体"/>
                <w:color w:val="auto"/>
                <w:kern w:val="2"/>
                <w:sz w:val="24"/>
                <w:szCs w:val="24"/>
                <w:highlight w:val="none"/>
              </w:rPr>
            </w:pPr>
          </w:p>
        </w:tc>
        <w:tc>
          <w:tcPr>
            <w:tcW w:w="1731" w:type="dxa"/>
            <w:noWrap w:val="0"/>
            <w:vAlign w:val="center"/>
          </w:tcPr>
          <w:p w14:paraId="6E96ABCC">
            <w:pPr>
              <w:jc w:val="center"/>
              <w:rPr>
                <w:rFonts w:hint="eastAsia" w:ascii="宋体" w:hAnsi="宋体" w:eastAsia="宋体" w:cs="宋体"/>
                <w:color w:val="auto"/>
                <w:kern w:val="2"/>
                <w:sz w:val="24"/>
                <w:szCs w:val="24"/>
                <w:highlight w:val="none"/>
              </w:rPr>
            </w:pPr>
          </w:p>
        </w:tc>
      </w:tr>
      <w:tr w14:paraId="3C4F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5907E433">
            <w:pPr>
              <w:jc w:val="center"/>
              <w:rPr>
                <w:rFonts w:hint="eastAsia" w:ascii="宋体" w:hAnsi="宋体" w:eastAsia="宋体" w:cs="宋体"/>
                <w:color w:val="auto"/>
                <w:kern w:val="2"/>
                <w:sz w:val="24"/>
                <w:szCs w:val="24"/>
                <w:highlight w:val="none"/>
              </w:rPr>
            </w:pPr>
          </w:p>
        </w:tc>
        <w:tc>
          <w:tcPr>
            <w:tcW w:w="1620" w:type="dxa"/>
            <w:noWrap w:val="0"/>
            <w:vAlign w:val="center"/>
          </w:tcPr>
          <w:p w14:paraId="6879DAA1">
            <w:pPr>
              <w:jc w:val="center"/>
              <w:rPr>
                <w:rFonts w:hint="eastAsia" w:ascii="宋体" w:hAnsi="宋体" w:eastAsia="宋体" w:cs="宋体"/>
                <w:color w:val="auto"/>
                <w:kern w:val="2"/>
                <w:sz w:val="24"/>
                <w:szCs w:val="24"/>
                <w:highlight w:val="none"/>
              </w:rPr>
            </w:pPr>
          </w:p>
        </w:tc>
        <w:tc>
          <w:tcPr>
            <w:tcW w:w="1440" w:type="dxa"/>
            <w:noWrap w:val="0"/>
            <w:vAlign w:val="center"/>
          </w:tcPr>
          <w:p w14:paraId="3AB59A62">
            <w:pPr>
              <w:jc w:val="center"/>
              <w:rPr>
                <w:rFonts w:hint="eastAsia" w:ascii="宋体" w:hAnsi="宋体" w:eastAsia="宋体" w:cs="宋体"/>
                <w:color w:val="auto"/>
                <w:kern w:val="2"/>
                <w:sz w:val="24"/>
                <w:szCs w:val="24"/>
                <w:highlight w:val="none"/>
              </w:rPr>
            </w:pPr>
          </w:p>
        </w:tc>
        <w:tc>
          <w:tcPr>
            <w:tcW w:w="1356" w:type="dxa"/>
            <w:noWrap w:val="0"/>
            <w:vAlign w:val="center"/>
          </w:tcPr>
          <w:p w14:paraId="246941A6">
            <w:pPr>
              <w:jc w:val="center"/>
              <w:rPr>
                <w:rFonts w:hint="eastAsia" w:ascii="宋体" w:hAnsi="宋体" w:eastAsia="宋体" w:cs="宋体"/>
                <w:color w:val="auto"/>
                <w:kern w:val="2"/>
                <w:sz w:val="24"/>
                <w:szCs w:val="24"/>
                <w:highlight w:val="none"/>
              </w:rPr>
            </w:pPr>
          </w:p>
        </w:tc>
        <w:tc>
          <w:tcPr>
            <w:tcW w:w="1356" w:type="dxa"/>
            <w:noWrap w:val="0"/>
            <w:vAlign w:val="center"/>
          </w:tcPr>
          <w:p w14:paraId="5F1D4ABF">
            <w:pPr>
              <w:jc w:val="center"/>
              <w:rPr>
                <w:rFonts w:hint="eastAsia" w:ascii="宋体" w:hAnsi="宋体" w:eastAsia="宋体" w:cs="宋体"/>
                <w:color w:val="auto"/>
                <w:kern w:val="2"/>
                <w:sz w:val="24"/>
                <w:szCs w:val="24"/>
                <w:highlight w:val="none"/>
              </w:rPr>
            </w:pPr>
          </w:p>
        </w:tc>
        <w:tc>
          <w:tcPr>
            <w:tcW w:w="1731" w:type="dxa"/>
            <w:noWrap w:val="0"/>
            <w:vAlign w:val="center"/>
          </w:tcPr>
          <w:p w14:paraId="022F5B3B">
            <w:pPr>
              <w:jc w:val="center"/>
              <w:rPr>
                <w:rFonts w:hint="eastAsia" w:ascii="宋体" w:hAnsi="宋体" w:eastAsia="宋体" w:cs="宋体"/>
                <w:color w:val="auto"/>
                <w:kern w:val="2"/>
                <w:sz w:val="24"/>
                <w:szCs w:val="24"/>
                <w:highlight w:val="none"/>
              </w:rPr>
            </w:pPr>
          </w:p>
        </w:tc>
      </w:tr>
      <w:tr w14:paraId="0562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14E4EE1">
            <w:pPr>
              <w:jc w:val="center"/>
              <w:rPr>
                <w:rFonts w:hint="eastAsia" w:ascii="宋体" w:hAnsi="宋体" w:eastAsia="宋体" w:cs="宋体"/>
                <w:color w:val="auto"/>
                <w:kern w:val="2"/>
                <w:sz w:val="24"/>
                <w:szCs w:val="24"/>
                <w:highlight w:val="none"/>
              </w:rPr>
            </w:pPr>
          </w:p>
        </w:tc>
        <w:tc>
          <w:tcPr>
            <w:tcW w:w="1620" w:type="dxa"/>
            <w:noWrap w:val="0"/>
            <w:vAlign w:val="center"/>
          </w:tcPr>
          <w:p w14:paraId="2FD721D5">
            <w:pPr>
              <w:jc w:val="center"/>
              <w:rPr>
                <w:rFonts w:hint="eastAsia" w:ascii="宋体" w:hAnsi="宋体" w:eastAsia="宋体" w:cs="宋体"/>
                <w:color w:val="auto"/>
                <w:kern w:val="2"/>
                <w:sz w:val="24"/>
                <w:szCs w:val="24"/>
                <w:highlight w:val="none"/>
              </w:rPr>
            </w:pPr>
          </w:p>
        </w:tc>
        <w:tc>
          <w:tcPr>
            <w:tcW w:w="1440" w:type="dxa"/>
            <w:noWrap w:val="0"/>
            <w:vAlign w:val="center"/>
          </w:tcPr>
          <w:p w14:paraId="01A4507D">
            <w:pPr>
              <w:jc w:val="center"/>
              <w:rPr>
                <w:rFonts w:hint="eastAsia" w:ascii="宋体" w:hAnsi="宋体" w:eastAsia="宋体" w:cs="宋体"/>
                <w:color w:val="auto"/>
                <w:kern w:val="2"/>
                <w:sz w:val="24"/>
                <w:szCs w:val="24"/>
                <w:highlight w:val="none"/>
              </w:rPr>
            </w:pPr>
          </w:p>
        </w:tc>
        <w:tc>
          <w:tcPr>
            <w:tcW w:w="1356" w:type="dxa"/>
            <w:noWrap w:val="0"/>
            <w:vAlign w:val="center"/>
          </w:tcPr>
          <w:p w14:paraId="7AE746E2">
            <w:pPr>
              <w:jc w:val="center"/>
              <w:rPr>
                <w:rFonts w:hint="eastAsia" w:ascii="宋体" w:hAnsi="宋体" w:eastAsia="宋体" w:cs="宋体"/>
                <w:color w:val="auto"/>
                <w:kern w:val="2"/>
                <w:sz w:val="24"/>
                <w:szCs w:val="24"/>
                <w:highlight w:val="none"/>
              </w:rPr>
            </w:pPr>
          </w:p>
        </w:tc>
        <w:tc>
          <w:tcPr>
            <w:tcW w:w="1356" w:type="dxa"/>
            <w:noWrap w:val="0"/>
            <w:vAlign w:val="center"/>
          </w:tcPr>
          <w:p w14:paraId="05C99BD9">
            <w:pPr>
              <w:jc w:val="center"/>
              <w:rPr>
                <w:rFonts w:hint="eastAsia" w:ascii="宋体" w:hAnsi="宋体" w:eastAsia="宋体" w:cs="宋体"/>
                <w:color w:val="auto"/>
                <w:kern w:val="2"/>
                <w:sz w:val="24"/>
                <w:szCs w:val="24"/>
                <w:highlight w:val="none"/>
              </w:rPr>
            </w:pPr>
          </w:p>
        </w:tc>
        <w:tc>
          <w:tcPr>
            <w:tcW w:w="1731" w:type="dxa"/>
            <w:noWrap w:val="0"/>
            <w:vAlign w:val="center"/>
          </w:tcPr>
          <w:p w14:paraId="3792BD33">
            <w:pPr>
              <w:jc w:val="center"/>
              <w:rPr>
                <w:rFonts w:hint="eastAsia" w:ascii="宋体" w:hAnsi="宋体" w:eastAsia="宋体" w:cs="宋体"/>
                <w:color w:val="auto"/>
                <w:kern w:val="2"/>
                <w:sz w:val="24"/>
                <w:szCs w:val="24"/>
                <w:highlight w:val="none"/>
              </w:rPr>
            </w:pPr>
          </w:p>
        </w:tc>
      </w:tr>
    </w:tbl>
    <w:p w14:paraId="0C84F345">
      <w:pPr>
        <w:spacing w:line="360" w:lineRule="auto"/>
        <w:rPr>
          <w:rFonts w:hint="eastAsia" w:ascii="宋体" w:hAnsi="宋体" w:eastAsia="宋体" w:cs="宋体"/>
          <w:color w:val="auto"/>
          <w:kern w:val="2"/>
          <w:sz w:val="24"/>
          <w:szCs w:val="24"/>
          <w:highlight w:val="none"/>
        </w:rPr>
      </w:pPr>
    </w:p>
    <w:p w14:paraId="7205BC42">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w:t>
      </w:r>
      <w:r>
        <w:rPr>
          <w:rFonts w:hint="eastAsia" w:ascii="宋体" w:hAnsi="宋体"/>
          <w:color w:val="auto"/>
          <w:kern w:val="2"/>
          <w:sz w:val="24"/>
          <w:szCs w:val="24"/>
          <w:highlight w:val="none"/>
        </w:rPr>
        <w:t>企业电子签章</w:t>
      </w:r>
      <w:r>
        <w:rPr>
          <w:rFonts w:hint="eastAsia" w:ascii="宋体" w:hAnsi="宋体" w:eastAsia="宋体" w:cs="宋体"/>
          <w:color w:val="auto"/>
          <w:kern w:val="2"/>
          <w:sz w:val="24"/>
          <w:szCs w:val="24"/>
          <w:highlight w:val="none"/>
        </w:rPr>
        <w:t>）</w:t>
      </w:r>
    </w:p>
    <w:p w14:paraId="0139DBD9">
      <w:pPr>
        <w:spacing w:after="120" w:line="60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法定代表人（签章）：</w:t>
      </w:r>
      <w:r>
        <w:rPr>
          <w:rFonts w:hint="eastAsia" w:ascii="宋体" w:hAnsi="宋体" w:eastAsia="宋体" w:cs="宋体"/>
          <w:color w:val="auto"/>
          <w:kern w:val="2"/>
          <w:sz w:val="24"/>
          <w:szCs w:val="24"/>
          <w:highlight w:val="none"/>
          <w:u w:val="single"/>
        </w:rPr>
        <w:t xml:space="preserve">                    </w:t>
      </w:r>
    </w:p>
    <w:p w14:paraId="53E78783">
      <w:pPr>
        <w:spacing w:line="60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w:t>
      </w:r>
    </w:p>
    <w:p w14:paraId="02CA6FB3">
      <w:pPr>
        <w:spacing w:line="360" w:lineRule="auto"/>
        <w:rPr>
          <w:rFonts w:hint="eastAsia" w:ascii="宋体" w:hAnsi="宋体" w:eastAsia="宋体" w:cs="宋体"/>
          <w:color w:val="auto"/>
          <w:kern w:val="2"/>
          <w:sz w:val="24"/>
          <w:szCs w:val="24"/>
          <w:highlight w:val="none"/>
        </w:rPr>
      </w:pPr>
    </w:p>
    <w:p w14:paraId="66ECDBC7">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注：供应商所列项目清单须附</w:t>
      </w:r>
      <w:r>
        <w:rPr>
          <w:rFonts w:hint="eastAsia" w:ascii="宋体" w:hAnsi="宋体" w:eastAsia="宋体" w:cs="宋体"/>
          <w:color w:val="auto"/>
          <w:kern w:val="2"/>
          <w:sz w:val="24"/>
          <w:szCs w:val="24"/>
          <w:highlight w:val="none"/>
          <w:lang w:val="en-US" w:eastAsia="zh-CN"/>
        </w:rPr>
        <w:t>项目合同复印件或扫描件，已完成项目提供专家评审意见，否则不予认可</w:t>
      </w:r>
      <w:r>
        <w:rPr>
          <w:rFonts w:hint="eastAsia" w:ascii="宋体" w:hAnsi="宋体" w:eastAsia="宋体" w:cs="宋体"/>
          <w:color w:val="auto"/>
          <w:kern w:val="2"/>
          <w:sz w:val="24"/>
          <w:szCs w:val="24"/>
          <w:highlight w:val="none"/>
        </w:rPr>
        <w:t>，时间要求为202</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年1月1日以来。</w:t>
      </w:r>
    </w:p>
    <w:p w14:paraId="26B8C57D">
      <w:pPr>
        <w:spacing w:line="480" w:lineRule="auto"/>
        <w:ind w:firstLine="480"/>
        <w:rPr>
          <w:rFonts w:hint="eastAsia" w:ascii="宋体" w:hAnsi="宋体" w:eastAsia="宋体" w:cs="宋体"/>
          <w:bCs/>
          <w:color w:val="auto"/>
          <w:sz w:val="22"/>
          <w:highlight w:val="none"/>
        </w:rPr>
      </w:pPr>
    </w:p>
    <w:p w14:paraId="064CEE69">
      <w:pPr>
        <w:spacing w:line="480" w:lineRule="auto"/>
        <w:ind w:firstLine="480"/>
        <w:rPr>
          <w:rFonts w:hint="eastAsia" w:ascii="宋体" w:hAnsi="宋体" w:eastAsia="宋体" w:cs="宋体"/>
          <w:bCs/>
          <w:color w:val="auto"/>
          <w:sz w:val="22"/>
          <w:highlight w:val="none"/>
        </w:rPr>
      </w:pPr>
    </w:p>
    <w:p w14:paraId="07A64E89">
      <w:pPr>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w:t>
      </w:r>
      <w:r>
        <w:rPr>
          <w:rFonts w:hint="eastAsia" w:ascii="宋体" w:hAnsi="宋体" w:eastAsia="宋体" w:cs="宋体"/>
          <w:bCs/>
          <w:color w:val="auto"/>
          <w:kern w:val="2"/>
          <w:sz w:val="24"/>
          <w:szCs w:val="24"/>
          <w:highlight w:val="none"/>
        </w:rPr>
        <w:t>、</w:t>
      </w:r>
      <w:r>
        <w:rPr>
          <w:rFonts w:hint="eastAsia" w:ascii="宋体" w:hAnsi="宋体" w:eastAsia="宋体" w:cs="宋体"/>
          <w:b/>
          <w:color w:val="auto"/>
          <w:sz w:val="24"/>
          <w:szCs w:val="24"/>
          <w:highlight w:val="none"/>
          <w:lang w:val="en-US" w:eastAsia="zh-CN"/>
        </w:rPr>
        <w:t>其他</w:t>
      </w:r>
      <w:r>
        <w:rPr>
          <w:rFonts w:hint="eastAsia" w:ascii="宋体" w:hAnsi="宋体" w:eastAsia="宋体" w:cs="宋体"/>
          <w:b/>
          <w:color w:val="auto"/>
          <w:sz w:val="24"/>
          <w:szCs w:val="24"/>
          <w:highlight w:val="none"/>
        </w:rPr>
        <w:t>材料</w:t>
      </w:r>
    </w:p>
    <w:p w14:paraId="6AC7FCC8">
      <w:pPr>
        <w:spacing w:line="480" w:lineRule="auto"/>
        <w:ind w:firstLine="480"/>
        <w:rPr>
          <w:rFonts w:hint="eastAsia" w:ascii="宋体" w:hAnsi="宋体" w:eastAsia="宋体" w:cs="宋体"/>
          <w:bCs/>
          <w:color w:val="auto"/>
          <w:sz w:val="22"/>
          <w:highlight w:val="none"/>
        </w:rPr>
      </w:pPr>
    </w:p>
    <w:p w14:paraId="12474C16">
      <w:pPr>
        <w:spacing w:line="480" w:lineRule="auto"/>
        <w:ind w:firstLine="480"/>
        <w:rPr>
          <w:rFonts w:hint="eastAsia" w:ascii="宋体" w:hAnsi="宋体" w:eastAsia="宋体" w:cs="宋体"/>
          <w:bCs/>
          <w:color w:val="auto"/>
          <w:sz w:val="22"/>
          <w:highlight w:val="none"/>
        </w:rPr>
      </w:pPr>
    </w:p>
    <w:p w14:paraId="0F802F40">
      <w:pPr>
        <w:spacing w:line="480" w:lineRule="auto"/>
        <w:ind w:firstLine="480"/>
        <w:rPr>
          <w:rFonts w:hint="eastAsia" w:ascii="宋体" w:hAnsi="宋体" w:eastAsia="宋体" w:cs="宋体"/>
          <w:bCs/>
          <w:color w:val="auto"/>
          <w:sz w:val="22"/>
          <w:highlight w:val="none"/>
        </w:rPr>
      </w:pPr>
    </w:p>
    <w:p w14:paraId="2A29C030">
      <w:pPr>
        <w:spacing w:line="480" w:lineRule="auto"/>
        <w:ind w:firstLine="480"/>
        <w:rPr>
          <w:rFonts w:hint="eastAsia" w:ascii="宋体" w:hAnsi="宋体" w:eastAsia="宋体" w:cs="宋体"/>
          <w:bCs/>
          <w:color w:val="auto"/>
          <w:sz w:val="22"/>
          <w:highlight w:val="none"/>
        </w:rPr>
      </w:pPr>
    </w:p>
    <w:p w14:paraId="4C88170F">
      <w:pPr>
        <w:spacing w:line="480" w:lineRule="auto"/>
        <w:ind w:firstLine="480"/>
        <w:rPr>
          <w:rFonts w:hint="eastAsia" w:ascii="宋体" w:hAnsi="宋体" w:eastAsia="宋体" w:cs="宋体"/>
          <w:bCs/>
          <w:color w:val="auto"/>
          <w:sz w:val="22"/>
          <w:highlight w:val="none"/>
        </w:rPr>
      </w:pPr>
    </w:p>
    <w:p w14:paraId="4AE5E7B4">
      <w:pPr>
        <w:spacing w:line="480" w:lineRule="auto"/>
        <w:ind w:firstLine="480"/>
        <w:rPr>
          <w:rFonts w:hint="eastAsia" w:ascii="宋体" w:hAnsi="宋体" w:eastAsia="宋体" w:cs="宋体"/>
          <w:bCs/>
          <w:color w:val="auto"/>
          <w:sz w:val="22"/>
          <w:highlight w:val="none"/>
        </w:rPr>
      </w:pPr>
    </w:p>
    <w:p w14:paraId="62B3AFD0">
      <w:pPr>
        <w:spacing w:line="480" w:lineRule="auto"/>
        <w:ind w:firstLine="480"/>
        <w:rPr>
          <w:rFonts w:hint="eastAsia" w:ascii="宋体" w:hAnsi="宋体" w:eastAsia="宋体" w:cs="宋体"/>
          <w:bCs/>
          <w:color w:val="auto"/>
          <w:sz w:val="22"/>
          <w:highlight w:val="none"/>
        </w:rPr>
      </w:pPr>
    </w:p>
    <w:p w14:paraId="42F8F71E">
      <w:pPr>
        <w:spacing w:line="480" w:lineRule="auto"/>
        <w:ind w:firstLine="480"/>
        <w:rPr>
          <w:rFonts w:hint="eastAsia" w:ascii="宋体" w:hAnsi="宋体" w:eastAsia="宋体" w:cs="宋体"/>
          <w:bCs/>
          <w:color w:val="auto"/>
          <w:sz w:val="22"/>
          <w:highlight w:val="none"/>
        </w:rPr>
      </w:pPr>
    </w:p>
    <w:p w14:paraId="64D03FF4">
      <w:pPr>
        <w:spacing w:line="480" w:lineRule="auto"/>
        <w:ind w:firstLine="480"/>
        <w:rPr>
          <w:rFonts w:hint="eastAsia" w:ascii="宋体" w:hAnsi="宋体" w:eastAsia="宋体" w:cs="宋体"/>
          <w:bCs/>
          <w:color w:val="auto"/>
          <w:sz w:val="22"/>
          <w:highlight w:val="none"/>
        </w:rPr>
      </w:pPr>
    </w:p>
    <w:p w14:paraId="3A7B885D">
      <w:pPr>
        <w:spacing w:line="480" w:lineRule="auto"/>
        <w:ind w:firstLine="480"/>
        <w:rPr>
          <w:rFonts w:hint="eastAsia" w:ascii="宋体" w:hAnsi="宋体" w:eastAsia="宋体" w:cs="宋体"/>
          <w:bCs/>
          <w:color w:val="auto"/>
          <w:sz w:val="22"/>
          <w:highlight w:val="none"/>
        </w:rPr>
      </w:pPr>
    </w:p>
    <w:p w14:paraId="6249B1A3">
      <w:pPr>
        <w:spacing w:line="480" w:lineRule="auto"/>
        <w:ind w:firstLine="480"/>
        <w:rPr>
          <w:rFonts w:hint="eastAsia" w:ascii="宋体" w:hAnsi="宋体" w:eastAsia="宋体" w:cs="宋体"/>
          <w:bCs/>
          <w:color w:val="auto"/>
          <w:sz w:val="22"/>
          <w:highlight w:val="none"/>
        </w:rPr>
      </w:pPr>
    </w:p>
    <w:p w14:paraId="396D7512">
      <w:pPr>
        <w:spacing w:line="480" w:lineRule="auto"/>
        <w:ind w:firstLine="480"/>
        <w:rPr>
          <w:rFonts w:hint="eastAsia" w:ascii="宋体" w:hAnsi="宋体" w:eastAsia="宋体" w:cs="宋体"/>
          <w:bCs/>
          <w:color w:val="auto"/>
          <w:sz w:val="22"/>
          <w:highlight w:val="none"/>
        </w:rPr>
      </w:pPr>
    </w:p>
    <w:p w14:paraId="22CD4986">
      <w:pPr>
        <w:spacing w:line="480" w:lineRule="auto"/>
        <w:ind w:firstLine="480"/>
        <w:rPr>
          <w:rFonts w:hint="eastAsia" w:ascii="宋体" w:hAnsi="宋体" w:eastAsia="宋体" w:cs="宋体"/>
          <w:bCs/>
          <w:color w:val="auto"/>
          <w:sz w:val="22"/>
          <w:highlight w:val="none"/>
        </w:rPr>
      </w:pPr>
    </w:p>
    <w:p w14:paraId="127FB577">
      <w:pPr>
        <w:spacing w:line="480" w:lineRule="auto"/>
        <w:ind w:firstLine="480"/>
        <w:rPr>
          <w:rFonts w:hint="eastAsia" w:ascii="宋体" w:hAnsi="宋体" w:eastAsia="宋体" w:cs="宋体"/>
          <w:bCs/>
          <w:color w:val="auto"/>
          <w:sz w:val="22"/>
          <w:highlight w:val="none"/>
        </w:rPr>
      </w:pPr>
    </w:p>
    <w:p w14:paraId="346011DC">
      <w:pPr>
        <w:spacing w:line="480" w:lineRule="auto"/>
        <w:ind w:firstLine="480"/>
        <w:rPr>
          <w:rFonts w:hint="eastAsia" w:ascii="宋体" w:hAnsi="宋体" w:eastAsia="宋体" w:cs="宋体"/>
          <w:bCs/>
          <w:color w:val="auto"/>
          <w:sz w:val="22"/>
          <w:highlight w:val="none"/>
        </w:rPr>
      </w:pPr>
    </w:p>
    <w:p w14:paraId="4DF30540">
      <w:pPr>
        <w:spacing w:line="480" w:lineRule="auto"/>
        <w:ind w:firstLine="480"/>
        <w:rPr>
          <w:rFonts w:hint="eastAsia" w:ascii="宋体" w:hAnsi="宋体" w:eastAsia="宋体" w:cs="宋体"/>
          <w:bCs/>
          <w:color w:val="auto"/>
          <w:sz w:val="22"/>
          <w:highlight w:val="none"/>
        </w:rPr>
      </w:pPr>
    </w:p>
    <w:p w14:paraId="62177181">
      <w:pPr>
        <w:spacing w:line="480" w:lineRule="auto"/>
        <w:ind w:firstLine="480"/>
        <w:rPr>
          <w:rFonts w:hint="eastAsia" w:ascii="宋体" w:hAnsi="宋体" w:eastAsia="宋体" w:cs="宋体"/>
          <w:bCs/>
          <w:color w:val="auto"/>
          <w:sz w:val="22"/>
          <w:highlight w:val="none"/>
        </w:rPr>
      </w:pPr>
    </w:p>
    <w:p w14:paraId="1888DC36">
      <w:pPr>
        <w:widowControl/>
        <w:jc w:val="center"/>
        <w:outlineLvl w:val="0"/>
        <w:rPr>
          <w:rFonts w:hint="eastAsia" w:ascii="宋体" w:hAnsi="宋体" w:eastAsia="宋体" w:cs="宋体"/>
          <w:b/>
          <w:bCs/>
          <w:color w:val="auto"/>
          <w:sz w:val="24"/>
          <w:szCs w:val="24"/>
          <w:highlight w:val="none"/>
        </w:rPr>
      </w:pPr>
      <w:r>
        <w:rPr>
          <w:rFonts w:hint="eastAsia" w:ascii="宋体" w:hAnsi="宋体" w:eastAsia="宋体" w:cs="宋体"/>
          <w:bCs/>
          <w:color w:val="auto"/>
          <w:sz w:val="22"/>
          <w:highlight w:val="none"/>
        </w:rPr>
        <w:br w:type="page"/>
      </w:r>
      <w:bookmarkStart w:id="203" w:name="_Toc1683"/>
      <w:r>
        <w:rPr>
          <w:rFonts w:hint="eastAsia" w:ascii="宋体" w:hAnsi="宋体" w:eastAsia="宋体" w:cs="宋体"/>
          <w:b/>
          <w:bCs/>
          <w:color w:val="auto"/>
          <w:sz w:val="24"/>
          <w:szCs w:val="24"/>
          <w:highlight w:val="none"/>
        </w:rPr>
        <w:t>八、</w:t>
      </w:r>
      <w:r>
        <w:rPr>
          <w:rFonts w:hint="eastAsia" w:ascii="宋体" w:hAnsi="宋体" w:cs="宋体"/>
          <w:b/>
          <w:bCs/>
          <w:color w:val="auto"/>
          <w:sz w:val="24"/>
          <w:szCs w:val="24"/>
          <w:highlight w:val="none"/>
          <w:lang w:val="en-US" w:eastAsia="zh-CN"/>
        </w:rPr>
        <w:t>竞争性磋商文件规定的</w:t>
      </w:r>
      <w:r>
        <w:rPr>
          <w:rFonts w:hint="eastAsia" w:ascii="宋体" w:hAnsi="宋体" w:eastAsia="宋体" w:cs="宋体"/>
          <w:b/>
          <w:bCs/>
          <w:color w:val="auto"/>
          <w:sz w:val="24"/>
          <w:szCs w:val="24"/>
          <w:highlight w:val="none"/>
        </w:rPr>
        <w:t>其他资料</w:t>
      </w:r>
      <w:bookmarkEnd w:id="203"/>
    </w:p>
    <w:p w14:paraId="18147A78">
      <w:pPr>
        <w:widowControl/>
        <w:jc w:val="center"/>
        <w:rPr>
          <w:rFonts w:hint="eastAsia" w:ascii="宋体" w:hAnsi="宋体" w:eastAsia="宋体" w:cs="宋体"/>
          <w:b/>
          <w:color w:val="auto"/>
          <w:kern w:val="2"/>
          <w:sz w:val="24"/>
          <w:szCs w:val="24"/>
          <w:highlight w:val="none"/>
        </w:rPr>
      </w:pPr>
    </w:p>
    <w:p w14:paraId="111ADA53">
      <w:pPr>
        <w:spacing w:line="440" w:lineRule="exact"/>
        <w:jc w:val="center"/>
        <w:rPr>
          <w:rFonts w:ascii="宋体" w:hAnsi="宋体"/>
          <w:b/>
          <w:bCs/>
          <w:color w:val="auto"/>
          <w:kern w:val="2"/>
          <w:sz w:val="24"/>
          <w:szCs w:val="24"/>
          <w:highlight w:val="none"/>
        </w:rPr>
      </w:pPr>
      <w:r>
        <w:rPr>
          <w:rFonts w:hint="eastAsia" w:ascii="宋体" w:hAnsi="宋体"/>
          <w:color w:val="auto"/>
          <w:kern w:val="2"/>
          <w:sz w:val="24"/>
          <w:szCs w:val="24"/>
          <w:highlight w:val="none"/>
        </w:rPr>
        <w:t>（格式自拟，应逐页加盖企业及法人电子签章；）</w:t>
      </w:r>
    </w:p>
    <w:p w14:paraId="31039877">
      <w:pPr>
        <w:spacing w:line="440" w:lineRule="exact"/>
        <w:ind w:firstLine="482" w:firstLineChars="200"/>
        <w:jc w:val="center"/>
        <w:rPr>
          <w:rFonts w:ascii="宋体" w:hAnsi="宋体"/>
          <w:b/>
          <w:bCs/>
          <w:color w:val="auto"/>
          <w:kern w:val="2"/>
          <w:sz w:val="24"/>
          <w:szCs w:val="24"/>
          <w:highlight w:val="none"/>
        </w:rPr>
      </w:pPr>
    </w:p>
    <w:p w14:paraId="70973F39">
      <w:pPr>
        <w:spacing w:line="480" w:lineRule="auto"/>
        <w:ind w:firstLine="480"/>
        <w:rPr>
          <w:rFonts w:hint="eastAsia" w:ascii="宋体" w:hAnsi="宋体" w:eastAsia="宋体" w:cs="宋体"/>
          <w:bCs/>
          <w:color w:val="auto"/>
          <w:sz w:val="22"/>
          <w:highlight w:val="none"/>
        </w:rPr>
      </w:pPr>
    </w:p>
    <w:p w14:paraId="155E36DD">
      <w:pPr>
        <w:spacing w:line="480" w:lineRule="auto"/>
        <w:ind w:firstLine="480"/>
        <w:rPr>
          <w:rFonts w:hint="eastAsia" w:ascii="宋体" w:hAnsi="宋体" w:eastAsia="宋体" w:cs="宋体"/>
          <w:bCs/>
          <w:color w:val="auto"/>
          <w:sz w:val="22"/>
          <w:highlight w:val="none"/>
        </w:rPr>
      </w:pPr>
    </w:p>
    <w:p w14:paraId="5CC150C4">
      <w:pPr>
        <w:spacing w:line="480" w:lineRule="auto"/>
        <w:ind w:firstLine="480"/>
        <w:rPr>
          <w:rFonts w:hint="eastAsia" w:ascii="宋体" w:hAnsi="宋体" w:eastAsia="宋体" w:cs="宋体"/>
          <w:bCs/>
          <w:color w:val="auto"/>
          <w:sz w:val="22"/>
          <w:highlight w:val="none"/>
        </w:rPr>
      </w:pPr>
    </w:p>
    <w:p w14:paraId="2172925B">
      <w:pPr>
        <w:spacing w:line="480" w:lineRule="auto"/>
        <w:ind w:firstLine="480"/>
        <w:rPr>
          <w:rFonts w:hint="eastAsia" w:ascii="宋体" w:hAnsi="宋体" w:eastAsia="宋体" w:cs="宋体"/>
          <w:bCs/>
          <w:color w:val="auto"/>
          <w:sz w:val="22"/>
          <w:highlight w:val="none"/>
        </w:rPr>
      </w:pPr>
    </w:p>
    <w:p w14:paraId="404E17C4">
      <w:pPr>
        <w:spacing w:line="480" w:lineRule="auto"/>
        <w:ind w:firstLine="480"/>
        <w:rPr>
          <w:rFonts w:hint="eastAsia" w:ascii="宋体" w:hAnsi="宋体" w:eastAsia="宋体" w:cs="宋体"/>
          <w:bCs/>
          <w:color w:val="auto"/>
          <w:sz w:val="22"/>
          <w:highlight w:val="none"/>
        </w:rPr>
      </w:pPr>
    </w:p>
    <w:p w14:paraId="36BB025C">
      <w:pPr>
        <w:spacing w:line="480" w:lineRule="auto"/>
        <w:ind w:firstLine="480"/>
        <w:rPr>
          <w:rFonts w:hint="eastAsia" w:ascii="宋体" w:hAnsi="宋体" w:eastAsia="宋体" w:cs="宋体"/>
          <w:bCs/>
          <w:color w:val="auto"/>
          <w:sz w:val="22"/>
          <w:highlight w:val="none"/>
        </w:rPr>
      </w:pPr>
    </w:p>
    <w:p w14:paraId="1CA1C0BE">
      <w:pPr>
        <w:spacing w:line="480" w:lineRule="auto"/>
        <w:ind w:firstLine="480"/>
        <w:rPr>
          <w:rFonts w:hint="eastAsia" w:ascii="宋体" w:hAnsi="宋体" w:eastAsia="宋体" w:cs="宋体"/>
          <w:bCs/>
          <w:color w:val="auto"/>
          <w:sz w:val="22"/>
          <w:highlight w:val="none"/>
        </w:rPr>
      </w:pPr>
    </w:p>
    <w:p w14:paraId="003F7F50">
      <w:pPr>
        <w:spacing w:line="480" w:lineRule="auto"/>
        <w:ind w:firstLine="480"/>
        <w:rPr>
          <w:rFonts w:hint="eastAsia" w:ascii="宋体" w:hAnsi="宋体" w:eastAsia="宋体" w:cs="宋体"/>
          <w:bCs/>
          <w:color w:val="auto"/>
          <w:sz w:val="22"/>
          <w:highlight w:val="none"/>
        </w:rPr>
      </w:pPr>
    </w:p>
    <w:p w14:paraId="63ED6117">
      <w:pPr>
        <w:spacing w:line="480" w:lineRule="auto"/>
        <w:ind w:firstLine="480"/>
        <w:rPr>
          <w:rFonts w:hint="eastAsia" w:ascii="宋体" w:hAnsi="宋体" w:eastAsia="宋体" w:cs="宋体"/>
          <w:bCs/>
          <w:color w:val="auto"/>
          <w:sz w:val="22"/>
          <w:highlight w:val="none"/>
        </w:rPr>
      </w:pPr>
    </w:p>
    <w:p w14:paraId="705EA39C">
      <w:pPr>
        <w:spacing w:line="480" w:lineRule="auto"/>
        <w:ind w:firstLine="480"/>
        <w:rPr>
          <w:rFonts w:hint="eastAsia" w:ascii="宋体" w:hAnsi="宋体" w:eastAsia="宋体" w:cs="宋体"/>
          <w:bCs/>
          <w:color w:val="auto"/>
          <w:sz w:val="22"/>
          <w:highlight w:val="none"/>
        </w:rPr>
      </w:pPr>
    </w:p>
    <w:p w14:paraId="1067248B">
      <w:pPr>
        <w:spacing w:line="480" w:lineRule="auto"/>
        <w:ind w:firstLine="480"/>
        <w:rPr>
          <w:rFonts w:hint="eastAsia" w:ascii="宋体" w:hAnsi="宋体" w:eastAsia="宋体" w:cs="宋体"/>
          <w:bCs/>
          <w:color w:val="auto"/>
          <w:sz w:val="22"/>
          <w:highlight w:val="none"/>
        </w:rPr>
      </w:pPr>
    </w:p>
    <w:p w14:paraId="1920C8E4">
      <w:pPr>
        <w:spacing w:line="480" w:lineRule="auto"/>
        <w:ind w:firstLine="480"/>
        <w:rPr>
          <w:rFonts w:hint="eastAsia" w:ascii="宋体" w:hAnsi="宋体" w:eastAsia="宋体" w:cs="宋体"/>
          <w:bCs/>
          <w:color w:val="auto"/>
          <w:sz w:val="22"/>
          <w:highlight w:val="none"/>
        </w:rPr>
      </w:pPr>
    </w:p>
    <w:p w14:paraId="487ADDAD">
      <w:pPr>
        <w:spacing w:line="480" w:lineRule="auto"/>
        <w:ind w:firstLine="480"/>
        <w:rPr>
          <w:rFonts w:hint="eastAsia" w:ascii="宋体" w:hAnsi="宋体" w:eastAsia="宋体" w:cs="宋体"/>
          <w:bCs/>
          <w:color w:val="auto"/>
          <w:sz w:val="22"/>
          <w:highlight w:val="none"/>
        </w:rPr>
      </w:pPr>
    </w:p>
    <w:p w14:paraId="5FC646FF">
      <w:pPr>
        <w:spacing w:line="480" w:lineRule="auto"/>
        <w:ind w:firstLine="480"/>
        <w:rPr>
          <w:rFonts w:hint="eastAsia" w:ascii="宋体" w:hAnsi="宋体" w:eastAsia="宋体" w:cs="宋体"/>
          <w:bCs/>
          <w:color w:val="auto"/>
          <w:sz w:val="22"/>
          <w:highlight w:val="none"/>
        </w:rPr>
      </w:pPr>
    </w:p>
    <w:p w14:paraId="0FD9F725">
      <w:pPr>
        <w:spacing w:line="480" w:lineRule="auto"/>
        <w:ind w:firstLine="480"/>
        <w:rPr>
          <w:rFonts w:hint="eastAsia" w:ascii="宋体" w:hAnsi="宋体" w:eastAsia="宋体" w:cs="宋体"/>
          <w:bCs/>
          <w:color w:val="auto"/>
          <w:sz w:val="22"/>
          <w:highlight w:val="none"/>
        </w:rPr>
      </w:pPr>
    </w:p>
    <w:p w14:paraId="04647039">
      <w:pPr>
        <w:spacing w:line="480" w:lineRule="auto"/>
        <w:ind w:firstLine="480"/>
        <w:rPr>
          <w:rFonts w:hint="eastAsia" w:ascii="宋体" w:hAnsi="宋体" w:eastAsia="宋体" w:cs="宋体"/>
          <w:bCs/>
          <w:color w:val="auto"/>
          <w:sz w:val="22"/>
          <w:highlight w:val="none"/>
        </w:rPr>
      </w:pPr>
    </w:p>
    <w:p w14:paraId="32B2DB09">
      <w:pPr>
        <w:spacing w:line="480" w:lineRule="auto"/>
        <w:ind w:firstLine="480"/>
        <w:rPr>
          <w:rFonts w:hint="eastAsia" w:ascii="宋体" w:hAnsi="宋体" w:eastAsia="宋体" w:cs="宋体"/>
          <w:bCs/>
          <w:color w:val="auto"/>
          <w:sz w:val="22"/>
          <w:highlight w:val="none"/>
        </w:rPr>
      </w:pPr>
    </w:p>
    <w:p w14:paraId="3CE0E436">
      <w:pPr>
        <w:pStyle w:val="28"/>
        <w:numPr>
          <w:ilvl w:val="0"/>
          <w:numId w:val="0"/>
        </w:numPr>
        <w:ind w:leftChars="0"/>
        <w:rPr>
          <w:rFonts w:hint="eastAsia"/>
          <w:color w:val="auto"/>
          <w:highlight w:val="none"/>
        </w:rPr>
      </w:pPr>
    </w:p>
    <w:p w14:paraId="17AD48B8">
      <w:pPr>
        <w:spacing w:line="480" w:lineRule="auto"/>
        <w:ind w:firstLine="480"/>
        <w:rPr>
          <w:rFonts w:hint="eastAsia" w:ascii="宋体" w:hAnsi="宋体" w:eastAsia="宋体" w:cs="宋体"/>
          <w:bCs/>
          <w:color w:val="auto"/>
          <w:sz w:val="22"/>
          <w:highlight w:val="none"/>
        </w:rPr>
      </w:pPr>
    </w:p>
    <w:p w14:paraId="1E0F3918">
      <w:pPr>
        <w:rPr>
          <w:color w:val="auto"/>
          <w:highlight w:val="none"/>
        </w:rPr>
      </w:pPr>
    </w:p>
    <w:p w14:paraId="04CE8F45">
      <w:pPr>
        <w:keepNext w:val="0"/>
        <w:keepLines w:val="0"/>
        <w:pageBreakBefore w:val="0"/>
        <w:widowControl w:val="0"/>
        <w:kinsoku/>
        <w:wordWrap w:val="0"/>
        <w:overflowPunct/>
        <w:topLinePunct w:val="0"/>
        <w:autoSpaceDE w:val="0"/>
        <w:autoSpaceDN w:val="0"/>
        <w:bidi w:val="0"/>
        <w:adjustRightInd w:val="0"/>
        <w:spacing w:line="560" w:lineRule="exact"/>
        <w:ind w:right="0" w:rightChars="0" w:firstLine="482" w:firstLineChars="200"/>
        <w:jc w:val="center"/>
        <w:textAlignment w:val="auto"/>
        <w:rPr>
          <w:rFonts w:hint="eastAsia" w:ascii="宋体" w:eastAsia="宋体" w:cs="宋体"/>
          <w:b/>
          <w:bCs/>
          <w:color w:val="auto"/>
          <w:sz w:val="24"/>
          <w:szCs w:val="24"/>
          <w:lang w:eastAsia="zh-CN"/>
        </w:rPr>
      </w:pPr>
      <w:r>
        <w:rPr>
          <w:rFonts w:hint="eastAsia" w:ascii="宋体" w:cs="宋体"/>
          <w:b/>
          <w:bCs/>
          <w:color w:val="auto"/>
          <w:sz w:val="24"/>
          <w:szCs w:val="24"/>
        </w:rPr>
        <w:t>中小企业声明函</w:t>
      </w:r>
      <w:r>
        <w:rPr>
          <w:rFonts w:hint="eastAsia" w:ascii="宋体" w:cs="宋体"/>
          <w:b/>
          <w:bCs/>
          <w:color w:val="auto"/>
          <w:sz w:val="24"/>
          <w:szCs w:val="24"/>
          <w:lang w:eastAsia="zh-CN"/>
        </w:rPr>
        <w:t>（服务）</w:t>
      </w:r>
    </w:p>
    <w:p w14:paraId="7F1B3BEE">
      <w:pPr>
        <w:keepNext w:val="0"/>
        <w:keepLines w:val="0"/>
        <w:pageBreakBefore w:val="0"/>
        <w:widowControl w:val="0"/>
        <w:kinsoku/>
        <w:wordWrap w:val="0"/>
        <w:overflowPunct/>
        <w:topLinePunct w:val="0"/>
        <w:autoSpaceDE w:val="0"/>
        <w:autoSpaceDN w:val="0"/>
        <w:bidi w:val="0"/>
        <w:adjustRightInd w:val="0"/>
        <w:spacing w:line="560" w:lineRule="exact"/>
        <w:ind w:right="0" w:rightChars="0" w:firstLine="480" w:firstLineChars="200"/>
        <w:jc w:val="left"/>
        <w:textAlignment w:val="auto"/>
        <w:rPr>
          <w:rFonts w:ascii="宋体" w:hAnsi="宋体" w:cs="仿宋"/>
          <w:color w:val="auto"/>
          <w:sz w:val="24"/>
          <w:szCs w:val="24"/>
        </w:rPr>
      </w:pPr>
      <w:r>
        <w:rPr>
          <w:rFonts w:hint="eastAsia" w:ascii="宋体" w:hAnsi="宋体" w:cs="仿宋"/>
          <w:color w:val="auto"/>
          <w:sz w:val="24"/>
          <w:szCs w:val="24"/>
        </w:rPr>
        <w:t>本公司（联合体）郑重声明，根据《政府采购促进中小企业发展管理办法》（财库</w:t>
      </w:r>
      <w:r>
        <w:rPr>
          <w:rFonts w:hint="eastAsia" w:ascii="宋体" w:hAnsi="宋体" w:cs="宋体"/>
          <w:color w:val="auto"/>
          <w:sz w:val="24"/>
          <w:szCs w:val="24"/>
        </w:rPr>
        <w:t>﹝</w:t>
      </w:r>
      <w:r>
        <w:rPr>
          <w:rFonts w:ascii="宋体" w:hAnsi="宋体" w:cs="仿宋"/>
          <w:color w:val="auto"/>
          <w:sz w:val="24"/>
          <w:szCs w:val="24"/>
        </w:rPr>
        <w:t>2020</w:t>
      </w:r>
      <w:r>
        <w:rPr>
          <w:rFonts w:hint="eastAsia" w:ascii="宋体" w:hAnsi="宋体" w:cs="宋体"/>
          <w:color w:val="auto"/>
          <w:sz w:val="24"/>
          <w:szCs w:val="24"/>
        </w:rPr>
        <w:t>﹞</w:t>
      </w:r>
      <w:r>
        <w:rPr>
          <w:rFonts w:ascii="宋体" w:hAnsi="宋体" w:cs="仿宋"/>
          <w:color w:val="auto"/>
          <w:sz w:val="24"/>
          <w:szCs w:val="24"/>
        </w:rPr>
        <w:t xml:space="preserve">46 </w:t>
      </w:r>
      <w:r>
        <w:rPr>
          <w:rFonts w:hint="eastAsia" w:ascii="宋体" w:hAnsi="宋体" w:cs="仿宋"/>
          <w:color w:val="auto"/>
          <w:sz w:val="24"/>
          <w:szCs w:val="24"/>
        </w:rPr>
        <w:t>号）的规定，本公司（联合体）参加</w:t>
      </w:r>
      <w:r>
        <w:rPr>
          <w:rFonts w:hint="eastAsia" w:ascii="宋体" w:hAnsi="宋体" w:cs="仿宋"/>
          <w:color w:val="auto"/>
          <w:sz w:val="24"/>
          <w:szCs w:val="24"/>
          <w:u w:val="single"/>
        </w:rPr>
        <w:t>（单位名称）</w:t>
      </w:r>
      <w:r>
        <w:rPr>
          <w:rFonts w:hint="eastAsia" w:ascii="宋体" w:hAnsi="宋体" w:cs="仿宋"/>
          <w:color w:val="auto"/>
          <w:sz w:val="24"/>
          <w:szCs w:val="24"/>
        </w:rPr>
        <w:t>的</w:t>
      </w:r>
      <w:r>
        <w:rPr>
          <w:rFonts w:hint="eastAsia" w:ascii="宋体" w:hAnsi="宋体" w:cs="仿宋"/>
          <w:color w:val="auto"/>
          <w:sz w:val="24"/>
          <w:szCs w:val="24"/>
          <w:u w:val="single"/>
        </w:rPr>
        <w:t>（项目名称）</w:t>
      </w:r>
      <w:r>
        <w:rPr>
          <w:rFonts w:hint="eastAsia" w:ascii="宋体" w:hAnsi="宋体" w:cs="仿宋"/>
          <w:color w:val="auto"/>
          <w:sz w:val="24"/>
          <w:szCs w:val="24"/>
          <w:u w:val="single"/>
          <w:lang w:eastAsia="zh-CN"/>
        </w:rPr>
        <w:t>（标段）</w:t>
      </w:r>
      <w:r>
        <w:rPr>
          <w:rFonts w:hint="eastAsia" w:ascii="宋体" w:hAnsi="宋体" w:cs="仿宋"/>
          <w:color w:val="auto"/>
          <w:sz w:val="24"/>
          <w:szCs w:val="24"/>
        </w:rPr>
        <w:t>采购活动，工程的施工单位全部为符合政策要求的中小企业（或者：货物全部由符合政策要求的中小企业承接）。相关企业（含联合体中的中小企业、签订分包意向协议的中小企业）的具体情况如下：</w:t>
      </w:r>
    </w:p>
    <w:p w14:paraId="4B9A59F8">
      <w:pPr>
        <w:keepNext w:val="0"/>
        <w:keepLines w:val="0"/>
        <w:pageBreakBefore w:val="0"/>
        <w:widowControl w:val="0"/>
        <w:kinsoku/>
        <w:wordWrap w:val="0"/>
        <w:overflowPunct/>
        <w:topLinePunct w:val="0"/>
        <w:autoSpaceDE w:val="0"/>
        <w:autoSpaceDN w:val="0"/>
        <w:bidi w:val="0"/>
        <w:adjustRightInd w:val="0"/>
        <w:spacing w:line="560" w:lineRule="exact"/>
        <w:ind w:right="0" w:rightChars="0" w:firstLine="480" w:firstLineChars="200"/>
        <w:jc w:val="left"/>
        <w:textAlignment w:val="auto"/>
        <w:rPr>
          <w:rFonts w:ascii="宋体" w:hAnsi="宋体" w:cs="仿宋"/>
          <w:color w:val="auto"/>
          <w:sz w:val="24"/>
          <w:szCs w:val="24"/>
        </w:rPr>
      </w:pPr>
      <w:r>
        <w:rPr>
          <w:rFonts w:ascii="宋体" w:hAnsi="宋体" w:cs="仿宋"/>
          <w:color w:val="auto"/>
          <w:sz w:val="24"/>
          <w:szCs w:val="24"/>
        </w:rPr>
        <w:t xml:space="preserve">1. </w:t>
      </w:r>
      <w:r>
        <w:rPr>
          <w:rFonts w:hint="eastAsia" w:ascii="宋体" w:hAnsi="宋体" w:cs="仿宋"/>
          <w:color w:val="auto"/>
          <w:sz w:val="24"/>
          <w:szCs w:val="24"/>
          <w:u w:val="single"/>
        </w:rPr>
        <w:t>（标的名称）</w:t>
      </w:r>
      <w:r>
        <w:rPr>
          <w:rFonts w:ascii="宋体" w:hAnsi="宋体" w:cs="仿宋"/>
          <w:color w:val="auto"/>
          <w:sz w:val="24"/>
          <w:szCs w:val="24"/>
        </w:rPr>
        <w:t xml:space="preserve"> </w:t>
      </w:r>
      <w:r>
        <w:rPr>
          <w:rFonts w:hint="eastAsia" w:ascii="宋体" w:hAnsi="宋体" w:cs="仿宋"/>
          <w:color w:val="auto"/>
          <w:sz w:val="24"/>
          <w:szCs w:val="24"/>
        </w:rPr>
        <w:t>，属于</w:t>
      </w:r>
      <w:r>
        <w:rPr>
          <w:rFonts w:hint="eastAsia" w:ascii="宋体" w:hAnsi="宋体" w:cs="仿宋"/>
          <w:color w:val="auto"/>
          <w:sz w:val="24"/>
          <w:szCs w:val="24"/>
          <w:u w:val="single"/>
          <w:lang w:val="en-US" w:eastAsia="zh-CN"/>
        </w:rPr>
        <w:t xml:space="preserve">   </w:t>
      </w:r>
      <w:r>
        <w:rPr>
          <w:rFonts w:hint="eastAsia" w:ascii="宋体" w:hAnsi="宋体" w:cs="仿宋"/>
          <w:color w:val="auto"/>
          <w:sz w:val="24"/>
          <w:szCs w:val="24"/>
          <w:u w:val="single"/>
        </w:rPr>
        <w:t>（采购文件中明确的所属行业）</w:t>
      </w:r>
      <w:r>
        <w:rPr>
          <w:rFonts w:hint="eastAsia" w:ascii="宋体" w:hAnsi="宋体" w:cs="仿宋"/>
          <w:color w:val="auto"/>
          <w:sz w:val="24"/>
          <w:szCs w:val="24"/>
        </w:rPr>
        <w:t>；承建（承接）企业为</w:t>
      </w:r>
      <w:r>
        <w:rPr>
          <w:rFonts w:hint="eastAsia" w:ascii="宋体" w:hAnsi="宋体" w:cs="仿宋"/>
          <w:color w:val="auto"/>
          <w:sz w:val="24"/>
          <w:szCs w:val="24"/>
          <w:u w:val="single"/>
        </w:rPr>
        <w:t>（企业名称）</w:t>
      </w:r>
      <w:r>
        <w:rPr>
          <w:rFonts w:hint="eastAsia" w:ascii="宋体" w:hAnsi="宋体" w:cs="仿宋"/>
          <w:color w:val="auto"/>
          <w:sz w:val="24"/>
          <w:szCs w:val="24"/>
        </w:rPr>
        <w:t>，从业人员</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人，营业收入为</w:t>
      </w:r>
      <w:r>
        <w:rPr>
          <w:rFonts w:hint="eastAsia" w:ascii="宋体" w:hAnsi="宋体" w:cs="仿宋"/>
          <w:color w:val="auto"/>
          <w:sz w:val="24"/>
          <w:szCs w:val="24"/>
          <w:u w:val="single"/>
        </w:rPr>
        <w:t xml:space="preserve">     </w:t>
      </w:r>
      <w:r>
        <w:rPr>
          <w:rFonts w:hint="eastAsia" w:ascii="宋体" w:hAnsi="宋体" w:cs="仿宋"/>
          <w:color w:val="auto"/>
          <w:sz w:val="24"/>
          <w:szCs w:val="24"/>
        </w:rPr>
        <w:t>万元，资产总额为</w:t>
      </w:r>
      <w:r>
        <w:rPr>
          <w:rFonts w:hint="eastAsia" w:ascii="宋体" w:hAnsi="宋体" w:cs="仿宋"/>
          <w:color w:val="auto"/>
          <w:sz w:val="24"/>
          <w:szCs w:val="24"/>
          <w:u w:val="single"/>
        </w:rPr>
        <w:t xml:space="preserve">   </w:t>
      </w:r>
      <w:r>
        <w:rPr>
          <w:rFonts w:hint="eastAsia" w:ascii="宋体" w:hAnsi="宋体" w:cs="仿宋"/>
          <w:color w:val="auto"/>
          <w:sz w:val="24"/>
          <w:szCs w:val="24"/>
        </w:rPr>
        <w:t>万元，属于</w:t>
      </w:r>
      <w:r>
        <w:rPr>
          <w:rFonts w:hint="eastAsia" w:ascii="宋体" w:hAnsi="宋体" w:cs="仿宋"/>
          <w:color w:val="auto"/>
          <w:sz w:val="24"/>
          <w:szCs w:val="24"/>
          <w:u w:val="single"/>
        </w:rPr>
        <w:t>（中型企业、小型企业、微型企业）</w:t>
      </w:r>
      <w:r>
        <w:rPr>
          <w:rFonts w:hint="eastAsia" w:ascii="宋体" w:hAnsi="宋体" w:cs="仿宋"/>
          <w:color w:val="auto"/>
          <w:sz w:val="24"/>
          <w:szCs w:val="24"/>
        </w:rPr>
        <w:t>；</w:t>
      </w:r>
    </w:p>
    <w:p w14:paraId="74BB9D8D">
      <w:pPr>
        <w:keepNext w:val="0"/>
        <w:keepLines w:val="0"/>
        <w:pageBreakBefore w:val="0"/>
        <w:widowControl w:val="0"/>
        <w:kinsoku/>
        <w:wordWrap w:val="0"/>
        <w:overflowPunct/>
        <w:topLinePunct w:val="0"/>
        <w:autoSpaceDE w:val="0"/>
        <w:autoSpaceDN w:val="0"/>
        <w:bidi w:val="0"/>
        <w:adjustRightInd w:val="0"/>
        <w:spacing w:line="560" w:lineRule="exact"/>
        <w:ind w:right="0" w:rightChars="0" w:firstLine="480" w:firstLineChars="200"/>
        <w:jc w:val="left"/>
        <w:textAlignment w:val="auto"/>
        <w:rPr>
          <w:rFonts w:ascii="宋体" w:hAnsi="宋体" w:cs="仿宋"/>
          <w:color w:val="auto"/>
          <w:sz w:val="24"/>
          <w:szCs w:val="24"/>
        </w:rPr>
      </w:pPr>
      <w:r>
        <w:rPr>
          <w:rFonts w:hint="eastAsia" w:ascii="宋体" w:hAnsi="宋体" w:cs="仿宋"/>
          <w:color w:val="auto"/>
          <w:sz w:val="24"/>
          <w:szCs w:val="24"/>
        </w:rPr>
        <w:t>……</w:t>
      </w:r>
    </w:p>
    <w:p w14:paraId="28F48B0B">
      <w:pPr>
        <w:keepNext w:val="0"/>
        <w:keepLines w:val="0"/>
        <w:pageBreakBefore w:val="0"/>
        <w:widowControl w:val="0"/>
        <w:kinsoku/>
        <w:wordWrap w:val="0"/>
        <w:overflowPunct/>
        <w:topLinePunct w:val="0"/>
        <w:autoSpaceDE w:val="0"/>
        <w:autoSpaceDN w:val="0"/>
        <w:bidi w:val="0"/>
        <w:adjustRightInd w:val="0"/>
        <w:spacing w:line="560" w:lineRule="exact"/>
        <w:ind w:right="0" w:rightChars="0" w:firstLine="480" w:firstLineChars="200"/>
        <w:jc w:val="left"/>
        <w:textAlignment w:val="auto"/>
        <w:rPr>
          <w:rFonts w:ascii="宋体" w:hAnsi="宋体" w:cs="仿宋"/>
          <w:color w:val="auto"/>
          <w:sz w:val="24"/>
          <w:szCs w:val="24"/>
        </w:rPr>
      </w:pPr>
      <w:r>
        <w:rPr>
          <w:rFonts w:hint="eastAsia" w:ascii="宋体" w:hAnsi="宋体" w:cs="仿宋"/>
          <w:color w:val="auto"/>
          <w:sz w:val="24"/>
          <w:szCs w:val="24"/>
        </w:rPr>
        <w:t>以上企业，不属于大企业的分支机构，不存在控股股东为大企业的情形，也不存在与大企业的负责人为同一人的情形。</w:t>
      </w:r>
    </w:p>
    <w:p w14:paraId="612FEBE2">
      <w:pPr>
        <w:keepNext w:val="0"/>
        <w:keepLines w:val="0"/>
        <w:pageBreakBefore w:val="0"/>
        <w:widowControl w:val="0"/>
        <w:kinsoku/>
        <w:wordWrap w:val="0"/>
        <w:overflowPunct/>
        <w:topLinePunct w:val="0"/>
        <w:autoSpaceDE w:val="0"/>
        <w:autoSpaceDN w:val="0"/>
        <w:bidi w:val="0"/>
        <w:adjustRightInd w:val="0"/>
        <w:spacing w:line="560" w:lineRule="exact"/>
        <w:ind w:right="0" w:rightChars="0" w:firstLine="480" w:firstLineChars="200"/>
        <w:jc w:val="left"/>
        <w:textAlignment w:val="auto"/>
        <w:rPr>
          <w:rFonts w:ascii="宋体" w:hAnsi="宋体" w:cs="仿宋"/>
          <w:color w:val="auto"/>
          <w:sz w:val="24"/>
          <w:szCs w:val="24"/>
        </w:rPr>
      </w:pPr>
      <w:r>
        <w:rPr>
          <w:rFonts w:hint="eastAsia" w:ascii="宋体" w:hAnsi="宋体" w:cs="仿宋"/>
          <w:color w:val="auto"/>
          <w:sz w:val="24"/>
          <w:szCs w:val="24"/>
        </w:rPr>
        <w:t>本企业对上述声明内容的真实性负责。如有虚假，将依法承担相应责任。</w:t>
      </w:r>
    </w:p>
    <w:p w14:paraId="72E435B3">
      <w:pPr>
        <w:keepNext w:val="0"/>
        <w:keepLines w:val="0"/>
        <w:pageBreakBefore w:val="0"/>
        <w:widowControl w:val="0"/>
        <w:kinsoku/>
        <w:wordWrap w:val="0"/>
        <w:overflowPunct/>
        <w:topLinePunct w:val="0"/>
        <w:autoSpaceDE w:val="0"/>
        <w:autoSpaceDN w:val="0"/>
        <w:bidi w:val="0"/>
        <w:spacing w:line="560" w:lineRule="exact"/>
        <w:ind w:right="0" w:rightChars="0"/>
        <w:jc w:val="left"/>
        <w:textAlignment w:val="auto"/>
        <w:rPr>
          <w:rFonts w:ascii="宋体" w:hAnsi="宋体" w:cs="宋体"/>
          <w:color w:val="auto"/>
          <w:spacing w:val="6"/>
          <w:sz w:val="24"/>
          <w:szCs w:val="24"/>
        </w:rPr>
      </w:pPr>
    </w:p>
    <w:p w14:paraId="7C57B76E">
      <w:pPr>
        <w:keepNext w:val="0"/>
        <w:keepLines w:val="0"/>
        <w:pageBreakBefore w:val="0"/>
        <w:widowControl w:val="0"/>
        <w:kinsoku/>
        <w:wordWrap w:val="0"/>
        <w:overflowPunct/>
        <w:topLinePunct w:val="0"/>
        <w:autoSpaceDE w:val="0"/>
        <w:autoSpaceDN w:val="0"/>
        <w:bidi w:val="0"/>
        <w:snapToGrid w:val="0"/>
        <w:spacing w:line="560" w:lineRule="exact"/>
        <w:ind w:right="0" w:rightChars="0" w:firstLine="480" w:firstLineChars="200"/>
        <w:jc w:val="right"/>
        <w:textAlignment w:val="auto"/>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（电子签章） </w:t>
      </w:r>
    </w:p>
    <w:p w14:paraId="4296CCCF">
      <w:pPr>
        <w:keepNext w:val="0"/>
        <w:keepLines w:val="0"/>
        <w:pageBreakBefore w:val="0"/>
        <w:widowControl w:val="0"/>
        <w:kinsoku/>
        <w:wordWrap w:val="0"/>
        <w:overflowPunct/>
        <w:topLinePunct w:val="0"/>
        <w:autoSpaceDE w:val="0"/>
        <w:autoSpaceDN w:val="0"/>
        <w:bidi w:val="0"/>
        <w:spacing w:line="560" w:lineRule="exact"/>
        <w:ind w:right="0" w:rightChars="0" w:firstLine="480" w:firstLineChars="200"/>
        <w:jc w:val="right"/>
        <w:textAlignment w:val="auto"/>
        <w:rPr>
          <w:rFonts w:ascii="宋体" w:hAnsi="宋体" w:cs="宋体"/>
          <w:color w:val="auto"/>
          <w:sz w:val="24"/>
          <w:szCs w:val="24"/>
        </w:rPr>
      </w:pPr>
      <w:r>
        <w:rPr>
          <w:rFonts w:hint="eastAsia" w:ascii="宋体" w:hAnsi="宋体" w:cs="宋体"/>
          <w:color w:val="auto"/>
          <w:sz w:val="24"/>
          <w:szCs w:val="24"/>
        </w:rPr>
        <w:t>法定代表人或委托代理人：</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（签章） </w:t>
      </w:r>
    </w:p>
    <w:p w14:paraId="5423B303">
      <w:pPr>
        <w:keepNext w:val="0"/>
        <w:keepLines w:val="0"/>
        <w:pageBreakBefore w:val="0"/>
        <w:widowControl w:val="0"/>
        <w:kinsoku/>
        <w:wordWrap w:val="0"/>
        <w:overflowPunct/>
        <w:topLinePunct w:val="0"/>
        <w:autoSpaceDE w:val="0"/>
        <w:autoSpaceDN w:val="0"/>
        <w:bidi w:val="0"/>
        <w:spacing w:line="560" w:lineRule="exact"/>
        <w:ind w:right="0" w:rightChars="0" w:firstLine="480" w:firstLineChars="200"/>
        <w:jc w:val="right"/>
        <w:textAlignment w:val="auto"/>
        <w:rPr>
          <w:rFonts w:ascii="宋体" w:hAnsi="宋体" w:cs="宋体"/>
          <w:color w:val="auto"/>
          <w:sz w:val="24"/>
          <w:szCs w:val="24"/>
        </w:rPr>
      </w:pPr>
      <w:r>
        <w:rPr>
          <w:rFonts w:hint="eastAsia" w:ascii="宋体" w:hAnsi="宋体" w:cs="宋体"/>
          <w:color w:val="auto"/>
          <w:sz w:val="24"/>
          <w:szCs w:val="24"/>
        </w:rPr>
        <w:t>日期：   年    月    日</w:t>
      </w:r>
    </w:p>
    <w:p w14:paraId="7D78E16E">
      <w:pPr>
        <w:keepNext w:val="0"/>
        <w:keepLines w:val="0"/>
        <w:pageBreakBefore w:val="0"/>
        <w:widowControl w:val="0"/>
        <w:kinsoku/>
        <w:wordWrap w:val="0"/>
        <w:overflowPunct/>
        <w:topLinePunct w:val="0"/>
        <w:autoSpaceDE w:val="0"/>
        <w:autoSpaceDN w:val="0"/>
        <w:bidi w:val="0"/>
        <w:spacing w:line="560" w:lineRule="exact"/>
        <w:ind w:right="0" w:rightChars="0" w:firstLine="506" w:firstLineChars="200"/>
        <w:jc w:val="left"/>
        <w:textAlignment w:val="auto"/>
        <w:rPr>
          <w:rFonts w:ascii="宋体" w:hAnsi="宋体" w:cs="宋体"/>
          <w:b/>
          <w:color w:val="auto"/>
          <w:spacing w:val="6"/>
          <w:sz w:val="24"/>
          <w:szCs w:val="24"/>
        </w:rPr>
      </w:pPr>
      <w:r>
        <w:rPr>
          <w:rFonts w:hint="eastAsia" w:ascii="宋体" w:hAnsi="宋体" w:cs="宋体"/>
          <w:b/>
          <w:color w:val="auto"/>
          <w:spacing w:val="6"/>
          <w:sz w:val="24"/>
          <w:szCs w:val="24"/>
        </w:rPr>
        <w:t>从业人员、营业收入、资产总额填报上一年度数据，无上一年度数据的新成立企业可不填报</w:t>
      </w:r>
    </w:p>
    <w:p w14:paraId="6E9758E1"/>
    <w:p w14:paraId="5A88C8E8"/>
    <w:p w14:paraId="717F4A69">
      <w:pPr>
        <w:pStyle w:val="30"/>
        <w:numPr>
          <w:ilvl w:val="0"/>
          <w:numId w:val="0"/>
        </w:numPr>
        <w:spacing w:line="500" w:lineRule="exact"/>
        <w:ind w:firstLine="538" w:firstLineChars="200"/>
        <w:jc w:val="left"/>
        <w:rPr>
          <w:rFonts w:hint="eastAsia" w:ascii="宋体" w:hAnsi="宋体" w:eastAsia="宋体" w:cs="宋体"/>
          <w:b/>
          <w:bCs/>
          <w:color w:val="auto"/>
          <w:spacing w:val="14"/>
          <w:sz w:val="24"/>
          <w:szCs w:val="24"/>
          <w:highlight w:val="none"/>
          <w:lang w:val="en-US" w:eastAsia="zh-CN" w:bidi="ar-SA"/>
        </w:rPr>
      </w:pPr>
    </w:p>
    <w:p w14:paraId="221AA800"/>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方正大标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91D60">
    <w:pPr>
      <w:pStyle w:val="5"/>
      <w:spacing w:line="14" w:lineRule="auto"/>
      <w:ind w:left="0"/>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4AC54">
    <w:pPr>
      <w:pStyle w:val="5"/>
      <w:spacing w:line="14" w:lineRule="auto"/>
      <w:ind w:left="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EEF8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BEEF8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9BC2C">
    <w:pPr>
      <w:pStyle w:val="8"/>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1680D">
                          <w:pPr>
                            <w:pStyle w:val="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A1680D">
                    <w:pPr>
                      <w:pStyle w:val="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D1061">
    <w:pPr>
      <w:pBdr>
        <w:bottom w:val="none" w:color="auto" w:sz="0" w:space="0"/>
      </w:pBdr>
      <w:tabs>
        <w:tab w:val="left" w:pos="2377"/>
      </w:tabs>
      <w:spacing w:line="480" w:lineRule="exact"/>
      <w:jc w:val="left"/>
      <w:rPr>
        <w:rFonts w:hint="eastAsia" w:ascii="宋体" w:hAnsi="宋体" w:eastAsia="宋体"/>
        <w:b w:val="0"/>
        <w:bCs w:val="0"/>
        <w:sz w:val="18"/>
        <w:szCs w:val="18"/>
        <w:lang w:eastAsia="zh-CN"/>
      </w:rPr>
    </w:pPr>
    <w:r>
      <w:rPr>
        <w:rFonts w:hint="eastAsia" w:ascii="宋体" w:hAnsi="宋体"/>
        <w:b w:val="0"/>
        <w:bCs w:val="0"/>
        <w:sz w:val="18"/>
        <w:szCs w:val="18"/>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70641"/>
    <w:multiLevelType w:val="singleLevel"/>
    <w:tmpl w:val="90070641"/>
    <w:lvl w:ilvl="0" w:tentative="0">
      <w:start w:val="1"/>
      <w:numFmt w:val="chineseCounting"/>
      <w:suff w:val="nothing"/>
      <w:lvlText w:val="%1、"/>
      <w:lvlJc w:val="left"/>
      <w:rPr>
        <w:rFonts w:hint="eastAsia"/>
      </w:rPr>
    </w:lvl>
  </w:abstractNum>
  <w:abstractNum w:abstractNumId="1">
    <w:nsid w:val="A44705BF"/>
    <w:multiLevelType w:val="singleLevel"/>
    <w:tmpl w:val="A44705BF"/>
    <w:lvl w:ilvl="0" w:tentative="0">
      <w:start w:val="6"/>
      <w:numFmt w:val="chineseCounting"/>
      <w:suff w:val="nothing"/>
      <w:lvlText w:val="%1、"/>
      <w:lvlJc w:val="left"/>
      <w:rPr>
        <w:rFonts w:hint="eastAsia"/>
      </w:rPr>
    </w:lvl>
  </w:abstractNum>
  <w:abstractNum w:abstractNumId="2">
    <w:nsid w:val="B1D7DD86"/>
    <w:multiLevelType w:val="singleLevel"/>
    <w:tmpl w:val="B1D7DD86"/>
    <w:lvl w:ilvl="0" w:tentative="0">
      <w:start w:val="4"/>
      <w:numFmt w:val="chineseCounting"/>
      <w:suff w:val="nothing"/>
      <w:lvlText w:val="%1、"/>
      <w:lvlJc w:val="left"/>
      <w:rPr>
        <w:rFonts w:hint="eastAsia"/>
      </w:rPr>
    </w:lvl>
  </w:abstractNum>
  <w:abstractNum w:abstractNumId="3">
    <w:nsid w:val="EBE96F4E"/>
    <w:multiLevelType w:val="singleLevel"/>
    <w:tmpl w:val="EBE96F4E"/>
    <w:lvl w:ilvl="0" w:tentative="0">
      <w:start w:val="2"/>
      <w:numFmt w:val="chineseCounting"/>
      <w:suff w:val="space"/>
      <w:lvlText w:val="第%1章"/>
      <w:lvlJc w:val="left"/>
      <w:rPr>
        <w:rFonts w:hint="eastAsia"/>
      </w:rPr>
    </w:lvl>
  </w:abstractNum>
  <w:abstractNum w:abstractNumId="4">
    <w:nsid w:val="039DB1AA"/>
    <w:multiLevelType w:val="singleLevel"/>
    <w:tmpl w:val="039DB1AA"/>
    <w:lvl w:ilvl="0" w:tentative="0">
      <w:start w:val="1"/>
      <w:numFmt w:val="decimal"/>
      <w:suff w:val="nothing"/>
      <w:lvlText w:val="（%1）"/>
      <w:lvlJc w:val="left"/>
    </w:lvl>
  </w:abstractNum>
  <w:abstractNum w:abstractNumId="5">
    <w:nsid w:val="39CB68A3"/>
    <w:multiLevelType w:val="multilevel"/>
    <w:tmpl w:val="39CB68A3"/>
    <w:lvl w:ilvl="0" w:tentative="0">
      <w:start w:val="1"/>
      <w:numFmt w:val="decimal"/>
      <w:suff w:val="nothing"/>
      <w:lvlText w:val="第%1章 "/>
      <w:lvlJc w:val="left"/>
      <w:pPr>
        <w:ind w:left="0" w:firstLine="0"/>
      </w:pPr>
      <w:rPr>
        <w:rFonts w:ascii="方正大标宋简体" w:eastAsia="方正大标宋简体"/>
        <w:b w:val="0"/>
        <w:i w:val="0"/>
        <w:sz w:val="36"/>
        <w:szCs w:val="36"/>
      </w:rPr>
    </w:lvl>
    <w:lvl w:ilvl="1" w:tentative="0">
      <w:start w:val="1"/>
      <w:numFmt w:val="decimal"/>
      <w:pStyle w:val="28"/>
      <w:suff w:val="nothing"/>
      <w:lvlText w:val="    %1、"/>
      <w:lvlJc w:val="left"/>
      <w:pPr>
        <w:ind w:left="0" w:firstLine="0"/>
      </w:pPr>
      <w:rPr>
        <w:rFonts w:ascii="黑体" w:eastAsia="黑体"/>
        <w:b/>
        <w:i w:val="0"/>
        <w:sz w:val="30"/>
        <w:szCs w:val="30"/>
      </w:rPr>
    </w:lvl>
    <w:lvl w:ilvl="2" w:tentative="0">
      <w:start w:val="1"/>
      <w:numFmt w:val="decimal"/>
      <w:suff w:val="nothing"/>
      <w:lvlText w:val="    %1.%2 "/>
      <w:lvlJc w:val="left"/>
      <w:pPr>
        <w:ind w:left="459" w:firstLine="0"/>
      </w:pPr>
      <w:rPr>
        <w:b w:val="0"/>
        <w:bCs w:val="0"/>
        <w:i w:val="0"/>
        <w:iCs w:val="0"/>
        <w:caps w:val="0"/>
        <w:smallCaps w:val="0"/>
        <w:vanish w:val="0"/>
        <w:color w:val="000000"/>
        <w:position w:val="0"/>
      </w:rPr>
    </w:lvl>
    <w:lvl w:ilvl="3" w:tentative="0">
      <w:start w:val="1"/>
      <w:numFmt w:val="decimal"/>
      <w:suff w:val="nothing"/>
      <w:lvlText w:val="    %1.%2.%3  "/>
      <w:lvlJc w:val="left"/>
      <w:pPr>
        <w:ind w:left="0" w:firstLine="0"/>
      </w:pPr>
      <w:rPr>
        <w:rFonts w:ascii="仿宋_GB2312" w:eastAsia="仿宋_GB2312"/>
        <w:b/>
        <w:i w:val="0"/>
        <w:sz w:val="28"/>
        <w:szCs w:val="28"/>
      </w:rPr>
    </w:lvl>
    <w:lvl w:ilvl="4" w:tentative="0">
      <w:start w:val="1"/>
      <w:numFmt w:val="decimal"/>
      <w:suff w:val="nothing"/>
      <w:lvlText w:val=""/>
      <w:lvlJc w:val="left"/>
      <w:pPr>
        <w:ind w:left="0" w:firstLine="0"/>
      </w:pPr>
    </w:lvl>
    <w:lvl w:ilvl="5" w:tentative="0">
      <w:start w:val="1"/>
      <w:numFmt w:val="decimal"/>
      <w:suff w:val="nothing"/>
      <w:lvlText w:val=""/>
      <w:lvlJc w:val="left"/>
      <w:pPr>
        <w:ind w:left="0" w:firstLine="0"/>
      </w:pPr>
    </w:lvl>
    <w:lvl w:ilvl="6" w:tentative="0">
      <w:start w:val="1"/>
      <w:numFmt w:val="decimal"/>
      <w:suff w:val="nothing"/>
      <w:lvlText w:val=""/>
      <w:lvlJc w:val="left"/>
      <w:pPr>
        <w:ind w:left="0" w:firstLine="0"/>
      </w:pPr>
    </w:lvl>
    <w:lvl w:ilvl="7" w:tentative="0">
      <w:start w:val="1"/>
      <w:numFmt w:val="decimal"/>
      <w:suff w:val="nothing"/>
      <w:lvlText w:val=""/>
      <w:lvlJc w:val="left"/>
      <w:pPr>
        <w:ind w:left="0" w:firstLine="0"/>
      </w:pPr>
    </w:lvl>
    <w:lvl w:ilvl="8" w:tentative="0">
      <w:start w:val="1"/>
      <w:numFmt w:val="decimal"/>
      <w:suff w:val="nothing"/>
      <w:lvlText w:val=""/>
      <w:lvlJc w:val="left"/>
      <w:pPr>
        <w:ind w:left="0" w:firstLine="0"/>
      </w:pPr>
    </w:lvl>
  </w:abstractNum>
  <w:abstractNum w:abstractNumId="6">
    <w:nsid w:val="3C55EC1A"/>
    <w:multiLevelType w:val="singleLevel"/>
    <w:tmpl w:val="3C55EC1A"/>
    <w:lvl w:ilvl="0" w:tentative="0">
      <w:start w:val="2"/>
      <w:numFmt w:val="decimal"/>
      <w:suff w:val="nothing"/>
      <w:lvlText w:val="%1、"/>
      <w:lvlJc w:val="left"/>
    </w:lvl>
  </w:abstractNum>
  <w:abstractNum w:abstractNumId="7">
    <w:nsid w:val="4891B932"/>
    <w:multiLevelType w:val="singleLevel"/>
    <w:tmpl w:val="4891B932"/>
    <w:lvl w:ilvl="0" w:tentative="0">
      <w:start w:val="2"/>
      <w:numFmt w:val="chineseCounting"/>
      <w:suff w:val="nothing"/>
      <w:lvlText w:val="（%1）"/>
      <w:lvlJc w:val="left"/>
      <w:rPr>
        <w:rFonts w:hint="eastAsia"/>
      </w:rPr>
    </w:lvl>
  </w:abstractNum>
  <w:num w:numId="1">
    <w:abstractNumId w:val="5"/>
  </w:num>
  <w:num w:numId="2">
    <w:abstractNumId w:val="2"/>
  </w:num>
  <w:num w:numId="3">
    <w:abstractNumId w:val="1"/>
  </w:num>
  <w:num w:numId="4">
    <w:abstractNumId w:val="3"/>
  </w:num>
  <w:num w:numId="5">
    <w:abstractNumId w:val="0"/>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290236"/>
    <w:rsid w:val="00DC03B6"/>
    <w:rsid w:val="0295277A"/>
    <w:rsid w:val="0A527F87"/>
    <w:rsid w:val="0B5C1539"/>
    <w:rsid w:val="0B9D0138"/>
    <w:rsid w:val="0BF51ABF"/>
    <w:rsid w:val="0C2218C7"/>
    <w:rsid w:val="0D4C1058"/>
    <w:rsid w:val="0E90545E"/>
    <w:rsid w:val="0FA87440"/>
    <w:rsid w:val="11456DC5"/>
    <w:rsid w:val="13D160D2"/>
    <w:rsid w:val="14F50E56"/>
    <w:rsid w:val="157D0E5F"/>
    <w:rsid w:val="15942A79"/>
    <w:rsid w:val="1822135F"/>
    <w:rsid w:val="18EC1F89"/>
    <w:rsid w:val="18EF453A"/>
    <w:rsid w:val="1AA704B0"/>
    <w:rsid w:val="1B3A4483"/>
    <w:rsid w:val="1D4D5CD3"/>
    <w:rsid w:val="1FA32A05"/>
    <w:rsid w:val="21FC0937"/>
    <w:rsid w:val="23CE2DF0"/>
    <w:rsid w:val="246A5D3E"/>
    <w:rsid w:val="29706D0B"/>
    <w:rsid w:val="2C9B7ADD"/>
    <w:rsid w:val="2D6C1689"/>
    <w:rsid w:val="2E2E745B"/>
    <w:rsid w:val="303960D5"/>
    <w:rsid w:val="34FF44C3"/>
    <w:rsid w:val="35F634F8"/>
    <w:rsid w:val="35F85444"/>
    <w:rsid w:val="36722849"/>
    <w:rsid w:val="36CB06F2"/>
    <w:rsid w:val="38995808"/>
    <w:rsid w:val="3A6C5147"/>
    <w:rsid w:val="3D877383"/>
    <w:rsid w:val="40917FC2"/>
    <w:rsid w:val="40F94A67"/>
    <w:rsid w:val="41E97960"/>
    <w:rsid w:val="440B3E0B"/>
    <w:rsid w:val="4428290A"/>
    <w:rsid w:val="45AE5ED3"/>
    <w:rsid w:val="469A1E62"/>
    <w:rsid w:val="47290236"/>
    <w:rsid w:val="47A4433C"/>
    <w:rsid w:val="497E0E3E"/>
    <w:rsid w:val="499D5191"/>
    <w:rsid w:val="4A09326F"/>
    <w:rsid w:val="4D753C6D"/>
    <w:rsid w:val="4DFA5886"/>
    <w:rsid w:val="4F34698B"/>
    <w:rsid w:val="50CA0BFE"/>
    <w:rsid w:val="51805A47"/>
    <w:rsid w:val="5296448D"/>
    <w:rsid w:val="54DC562C"/>
    <w:rsid w:val="55904629"/>
    <w:rsid w:val="5DAC4FF3"/>
    <w:rsid w:val="60C54520"/>
    <w:rsid w:val="63127DA0"/>
    <w:rsid w:val="63D839A5"/>
    <w:rsid w:val="63EE6769"/>
    <w:rsid w:val="67A73261"/>
    <w:rsid w:val="67CD7572"/>
    <w:rsid w:val="6B916358"/>
    <w:rsid w:val="6E04409A"/>
    <w:rsid w:val="6E4771C6"/>
    <w:rsid w:val="6E64782D"/>
    <w:rsid w:val="70CF58FB"/>
    <w:rsid w:val="70E24718"/>
    <w:rsid w:val="723B7F2D"/>
    <w:rsid w:val="72451EF1"/>
    <w:rsid w:val="780B658B"/>
    <w:rsid w:val="794964C4"/>
    <w:rsid w:val="7E300C4D"/>
    <w:rsid w:val="7FEC1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jc w:val="left"/>
      <w:outlineLvl w:val="0"/>
    </w:pPr>
    <w:rPr>
      <w:rFonts w:hint="eastAsia" w:ascii="宋体" w:hAnsi="宋体" w:cs="宋体"/>
      <w:b/>
      <w:kern w:val="44"/>
      <w:sz w:val="24"/>
    </w:rPr>
  </w:style>
  <w:style w:type="paragraph" w:styleId="3">
    <w:name w:val="heading 2"/>
    <w:basedOn w:val="1"/>
    <w:next w:val="1"/>
    <w:qFormat/>
    <w:uiPriority w:val="0"/>
    <w:pPr>
      <w:keepNext/>
      <w:keepLines/>
      <w:spacing w:line="412" w:lineRule="auto"/>
      <w:outlineLvl w:val="1"/>
    </w:pPr>
    <w:rPr>
      <w:rFonts w:ascii="Arial" w:hAnsi="Arial" w:eastAsia="黑体" w:cs="Arial"/>
      <w:b/>
      <w:bCs/>
      <w:sz w:val="32"/>
      <w:szCs w:val="32"/>
    </w:rPr>
  </w:style>
  <w:style w:type="paragraph" w:styleId="4">
    <w:name w:val="heading 4"/>
    <w:basedOn w:val="1"/>
    <w:next w:val="1"/>
    <w:qFormat/>
    <w:uiPriority w:val="0"/>
    <w:pPr>
      <w:ind w:left="740"/>
      <w:outlineLvl w:val="3"/>
    </w:pPr>
    <w:rPr>
      <w:b/>
      <w:bCs/>
      <w:sz w:val="24"/>
      <w:szCs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pPr>
    <w:rPr>
      <w:kern w:val="0"/>
      <w:sz w:val="20"/>
    </w:rPr>
  </w:style>
  <w:style w:type="paragraph" w:styleId="6">
    <w:name w:val="Body Text Indent"/>
    <w:basedOn w:val="1"/>
    <w:next w:val="7"/>
    <w:qFormat/>
    <w:uiPriority w:val="0"/>
    <w:pPr>
      <w:ind w:firstLine="640" w:firstLineChars="200"/>
    </w:pPr>
    <w:rPr>
      <w:rFonts w:ascii="仿宋_GB2312" w:eastAsia="仿宋_GB2312"/>
      <w:sz w:val="32"/>
    </w:rPr>
  </w:style>
  <w:style w:type="paragraph" w:styleId="7">
    <w:name w:val="envelope return"/>
    <w:basedOn w:val="1"/>
    <w:qFormat/>
    <w:uiPriority w:val="99"/>
    <w:rPr>
      <w:rFonts w:ascii="Arial" w:hAnsi="Arial"/>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unhideWhenUsed/>
    <w:qFormat/>
    <w:uiPriority w:val="99"/>
    <w:pPr>
      <w:widowControl/>
      <w:spacing w:line="360" w:lineRule="auto"/>
    </w:pPr>
    <w:rPr>
      <w:rFonts w:ascii="Calibri" w:hAnsi="Calibri" w:cs="黑体"/>
      <w:szCs w:val="21"/>
    </w:rPr>
  </w:style>
  <w:style w:type="paragraph" w:styleId="12">
    <w:name w:val="Body Text 2"/>
    <w:basedOn w:val="1"/>
    <w:qFormat/>
    <w:uiPriority w:val="0"/>
    <w:pPr>
      <w:spacing w:after="120" w:line="480" w:lineRule="auto"/>
      <w:ind w:firstLine="560" w:firstLineChars="200"/>
    </w:pPr>
    <w:rPr>
      <w:rFonts w:ascii="Calibri" w:hAnsi="Calibri" w:eastAsia="仿宋_GB2312"/>
      <w:sz w:val="28"/>
      <w:szCs w:val="24"/>
    </w:rPr>
  </w:style>
  <w:style w:type="paragraph" w:styleId="1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1"/>
    <w:next w:val="1"/>
    <w:qFormat/>
    <w:uiPriority w:val="0"/>
    <w:pPr>
      <w:spacing w:before="240" w:after="60"/>
      <w:jc w:val="center"/>
      <w:outlineLvl w:val="0"/>
    </w:pPr>
    <w:rPr>
      <w:rFonts w:ascii="Cambria" w:hAnsi="Cambria" w:eastAsia="宋体" w:cs="Times New Roman"/>
      <w:b/>
      <w:bCs/>
      <w:kern w:val="2"/>
      <w:sz w:val="32"/>
      <w:szCs w:val="32"/>
    </w:rPr>
  </w:style>
  <w:style w:type="paragraph" w:styleId="15">
    <w:name w:val="Body Text First Indent"/>
    <w:basedOn w:val="5"/>
    <w:qFormat/>
    <w:uiPriority w:val="0"/>
    <w:pPr>
      <w:ind w:firstLine="420" w:firstLineChars="100"/>
    </w:pPr>
  </w:style>
  <w:style w:type="paragraph" w:styleId="16">
    <w:name w:val="Body Text First Indent 2"/>
    <w:basedOn w:val="6"/>
    <w:next w:val="15"/>
    <w:unhideWhenUsed/>
    <w:qFormat/>
    <w:uiPriority w:val="99"/>
    <w:pPr>
      <w:ind w:firstLine="420" w:firstLineChars="200"/>
    </w:pPr>
  </w:style>
  <w:style w:type="table" w:styleId="18">
    <w:name w:val="Table Grid"/>
    <w:basedOn w:val="1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paragraph" w:customStyle="1" w:styleId="21">
    <w:name w:val="style4"/>
    <w:basedOn w:val="1"/>
    <w:next w:val="22"/>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表格文字"/>
    <w:basedOn w:val="1"/>
    <w:next w:val="5"/>
    <w:qFormat/>
    <w:uiPriority w:val="0"/>
    <w:pPr>
      <w:adjustRightInd w:val="0"/>
      <w:spacing w:line="420" w:lineRule="atLeast"/>
      <w:jc w:val="left"/>
      <w:textAlignment w:val="baseline"/>
    </w:pPr>
    <w:rPr>
      <w:kern w:val="0"/>
    </w:rPr>
  </w:style>
  <w:style w:type="paragraph" w:customStyle="1" w:styleId="2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25">
    <w:name w:val="List Paragraph"/>
    <w:basedOn w:val="1"/>
    <w:qFormat/>
    <w:uiPriority w:val="34"/>
    <w:pPr>
      <w:ind w:firstLine="420" w:firstLineChars="200"/>
    </w:pPr>
  </w:style>
  <w:style w:type="paragraph" w:customStyle="1" w:styleId="26">
    <w:name w:val="Default"/>
    <w:basedOn w:val="14"/>
    <w:next w:val="27"/>
    <w:qFormat/>
    <w:uiPriority w:val="0"/>
    <w:pPr>
      <w:autoSpaceDE w:val="0"/>
      <w:autoSpaceDN w:val="0"/>
      <w:adjustRightInd w:val="0"/>
      <w:jc w:val="left"/>
    </w:pPr>
    <w:rPr>
      <w:rFonts w:ascii="宋体" w:cs="宋体"/>
      <w:color w:val="000000"/>
      <w:kern w:val="0"/>
      <w:sz w:val="24"/>
    </w:rPr>
  </w:style>
  <w:style w:type="paragraph" w:customStyle="1" w:styleId="27">
    <w:name w:val="正文 A"/>
    <w:next w:val="26"/>
    <w:qFormat/>
    <w:uiPriority w:val="0"/>
    <w:pPr>
      <w:framePr w:wrap="around" w:vAnchor="margin" w:hAnchor="text" w:y="1"/>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customStyle="1" w:styleId="28">
    <w:name w:val="Heading2"/>
    <w:basedOn w:val="1"/>
    <w:next w:val="1"/>
    <w:qFormat/>
    <w:uiPriority w:val="0"/>
    <w:pPr>
      <w:keepNext/>
      <w:keepLines/>
      <w:numPr>
        <w:ilvl w:val="1"/>
        <w:numId w:val="1"/>
      </w:numPr>
      <w:spacing w:before="260" w:after="260" w:line="415" w:lineRule="auto"/>
    </w:pPr>
    <w:rPr>
      <w:rFonts w:ascii="Arial" w:hAnsi="Arial" w:eastAsia="黑体"/>
      <w:b/>
      <w:bCs/>
      <w:kern w:val="2"/>
      <w:sz w:val="32"/>
      <w:szCs w:val="32"/>
    </w:rPr>
  </w:style>
  <w:style w:type="paragraph" w:customStyle="1" w:styleId="29">
    <w:name w:val="Normal_8"/>
    <w:qFormat/>
    <w:uiPriority w:val="0"/>
    <w:rPr>
      <w:rFonts w:ascii="黑体" w:hAnsi="黑体" w:eastAsia="黑体" w:cs="Times New Roman"/>
      <w:b/>
      <w:sz w:val="32"/>
      <w:szCs w:val="24"/>
      <w:lang w:bidi="ar-SA"/>
    </w:rPr>
  </w:style>
  <w:style w:type="paragraph" w:customStyle="1" w:styleId="30">
    <w:name w:val="*正文_4_0_0"/>
    <w:basedOn w:val="31"/>
    <w:next w:val="31"/>
    <w:qFormat/>
    <w:uiPriority w:val="0"/>
    <w:pPr>
      <w:widowControl/>
      <w:ind w:firstLine="482"/>
    </w:pPr>
    <w:rPr>
      <w:rFonts w:ascii="微软雅黑" w:hAnsi="微软雅黑" w:eastAsia="微软雅黑"/>
      <w:kern w:val="0"/>
      <w:szCs w:val="20"/>
    </w:rPr>
  </w:style>
  <w:style w:type="paragraph" w:customStyle="1" w:styleId="31">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样式 标题 2 + Times New Roman 四号 非加粗 段前: 5 磅 段后: 0 磅 行距: 固定值 20..."/>
    <w:basedOn w:val="3"/>
    <w:qFormat/>
    <w:uiPriority w:val="0"/>
    <w:pPr>
      <w:spacing w:before="100" w:line="400" w:lineRule="exact"/>
    </w:pPr>
    <w:rPr>
      <w:rFonts w:ascii="Times New Roman" w:hAnsi="Times New Roman"/>
      <w:sz w:val="28"/>
      <w:szCs w:val="20"/>
    </w:rPr>
  </w:style>
  <w:style w:type="paragraph" w:customStyle="1" w:styleId="35">
    <w:name w:val="Table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16897</Words>
  <Characters>18743</Characters>
  <Lines>0</Lines>
  <Paragraphs>0</Paragraphs>
  <TotalTime>6</TotalTime>
  <ScaleCrop>false</ScaleCrop>
  <LinksUpToDate>false</LinksUpToDate>
  <CharactersWithSpaces>18901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2026-01-14T08:32:00Z</dcterms:created>
  <dc:creator>Administrator</dc:creator>
  <cp:lastModifiedBy>Administrator</cp:lastModifiedBy>
  <cp:lastPrinted>2026-04-02T01:17:00Z</cp:lastPrinted>
  <dcterms:modified xsi:type="dcterms:W3CDTF">2026-04-02T07:13:44Z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2CD57728F41F41C8813B7FA0AB816710_11</vt:lpwstr>
  </property>
  <property fmtid="{D5CDD505-2E9C-101B-9397-08002B2CF9AE}" pid="4" name="KSOTemplateDocerSaveRecord">
    <vt:lpwstr>eyJoZGlkIjoiZTVmYjljOTg0MzAyMjE3MjI5ZGQ4NmRmOWFjNmRkOGQiLCJ1c2VySWQiOiIxNzcxOTYxMjk1In0=</vt:lpwstr>
  </property>
</Properties>
</file>