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A50C3">
      <w:pPr>
        <w:rPr>
          <w:rFonts w:hint="eastAsia" w:ascii="宋体" w:hAnsi="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val="en-US" w:eastAsia="zh-CN" w:bidi="ar"/>
        </w:rPr>
        <w:drawing>
          <wp:inline distT="0" distB="0" distL="114300" distR="114300">
            <wp:extent cx="6181090" cy="8532495"/>
            <wp:effectExtent l="0" t="0" r="6350" b="1905"/>
            <wp:docPr id="3" name="图片 3"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封面"/>
                    <pic:cNvPicPr>
                      <a:picLocks noChangeAspect="1"/>
                    </pic:cNvPicPr>
                  </pic:nvPicPr>
                  <pic:blipFill>
                    <a:blip r:embed="rId8"/>
                    <a:stretch>
                      <a:fillRect/>
                    </a:stretch>
                  </pic:blipFill>
                  <pic:spPr>
                    <a:xfrm>
                      <a:off x="0" y="0"/>
                      <a:ext cx="6181090" cy="8532495"/>
                    </a:xfrm>
                    <a:prstGeom prst="rect">
                      <a:avLst/>
                    </a:prstGeom>
                  </pic:spPr>
                </pic:pic>
              </a:graphicData>
            </a:graphic>
          </wp:inline>
        </w:drawing>
      </w:r>
      <w:bookmarkStart w:id="53" w:name="_GoBack"/>
      <w:bookmarkEnd w:id="53"/>
    </w:p>
    <w:p w14:paraId="3ED23223">
      <w:pPr>
        <w:keepNext w:val="0"/>
        <w:keepLines w:val="0"/>
        <w:widowControl/>
        <w:suppressLineNumbers w:val="0"/>
        <w:spacing w:line="480" w:lineRule="auto"/>
        <w:jc w:val="center"/>
        <w:rPr>
          <w:rFonts w:hint="eastAsia" w:ascii="宋体" w:hAnsi="宋体" w:cs="宋体"/>
          <w:b/>
          <w:bCs/>
          <w:color w:val="auto"/>
          <w:kern w:val="0"/>
          <w:sz w:val="56"/>
          <w:szCs w:val="56"/>
          <w:highlight w:val="none"/>
          <w:lang w:val="en-US" w:eastAsia="zh-CN" w:bidi="ar"/>
        </w:rPr>
      </w:pPr>
      <w:r>
        <w:rPr>
          <w:rFonts w:hint="eastAsia" w:ascii="宋体" w:hAnsi="宋体" w:cs="宋体"/>
          <w:b/>
          <w:bCs/>
          <w:color w:val="auto"/>
          <w:kern w:val="0"/>
          <w:sz w:val="56"/>
          <w:szCs w:val="56"/>
          <w:highlight w:val="none"/>
          <w:lang w:val="en-US" w:eastAsia="zh-CN" w:bidi="ar"/>
        </w:rPr>
        <w:t>义马市农贸市场提升改造项目施工图</w:t>
      </w:r>
    </w:p>
    <w:p w14:paraId="55014FBA">
      <w:pPr>
        <w:keepNext w:val="0"/>
        <w:keepLines w:val="0"/>
        <w:widowControl/>
        <w:suppressLineNumbers w:val="0"/>
        <w:spacing w:line="480" w:lineRule="auto"/>
        <w:jc w:val="center"/>
        <w:rPr>
          <w:rFonts w:hint="eastAsia" w:ascii="宋体" w:hAnsi="宋体" w:eastAsia="宋体" w:cs="宋体"/>
          <w:b/>
          <w:bCs/>
          <w:color w:val="auto"/>
          <w:kern w:val="0"/>
          <w:sz w:val="56"/>
          <w:szCs w:val="56"/>
          <w:highlight w:val="none"/>
          <w:lang w:val="en-US" w:eastAsia="zh-CN" w:bidi="ar"/>
        </w:rPr>
      </w:pPr>
      <w:r>
        <w:rPr>
          <w:rFonts w:hint="eastAsia" w:ascii="宋体" w:hAnsi="宋体" w:cs="宋体"/>
          <w:b/>
          <w:bCs/>
          <w:color w:val="auto"/>
          <w:kern w:val="0"/>
          <w:sz w:val="56"/>
          <w:szCs w:val="56"/>
          <w:highlight w:val="none"/>
          <w:lang w:val="en-US" w:eastAsia="zh-CN" w:bidi="ar"/>
        </w:rPr>
        <w:t>设计项目</w:t>
      </w:r>
    </w:p>
    <w:p w14:paraId="09D84087">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1418A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5F2A22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1C06E85">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62110A1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0E43C016">
      <w:pPr>
        <w:keepNext w:val="0"/>
        <w:keepLines w:val="0"/>
        <w:widowControl/>
        <w:suppressLineNumbers w:val="0"/>
        <w:spacing w:line="360" w:lineRule="auto"/>
        <w:ind w:firstLine="3112" w:firstLineChars="1000"/>
        <w:jc w:val="both"/>
        <w:outlineLvl w:val="9"/>
        <w:rPr>
          <w:rFonts w:hint="default"/>
          <w:color w:val="auto"/>
          <w:highlight w:val="none"/>
          <w:lang w:val="en-US"/>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义马市市场监督管理局</w:t>
      </w:r>
    </w:p>
    <w:p w14:paraId="4773E74D">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河南昱通工程管理有限公司</w:t>
      </w:r>
    </w:p>
    <w:p w14:paraId="0EF2A78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四</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sdt>
      <w:sdtPr>
        <w:rPr>
          <w:rFonts w:ascii="宋体" w:hAnsi="宋体" w:eastAsia="宋体" w:cs="Times New Roman"/>
          <w:kern w:val="2"/>
          <w:sz w:val="28"/>
          <w:szCs w:val="36"/>
          <w:lang w:val="en-US" w:eastAsia="zh-CN" w:bidi="ar-SA"/>
        </w:rPr>
        <w:id w:val="147464151"/>
        <w15:color w:val="DBDBDB"/>
        <w:docPartObj>
          <w:docPartGallery w:val="Table of Contents"/>
          <w:docPartUnique/>
        </w:docPartObj>
      </w:sdtPr>
      <w:sdtEndPr>
        <w:rPr>
          <w:rFonts w:ascii="宋体" w:hAnsi="宋体" w:eastAsia="宋体" w:cs="宋体"/>
          <w:b/>
          <w:bCs/>
          <w:color w:val="auto"/>
          <w:kern w:val="2"/>
          <w:sz w:val="28"/>
          <w:szCs w:val="28"/>
          <w:highlight w:val="none"/>
          <w:lang w:val="en-US" w:eastAsia="zh-CN" w:bidi="ar-SA"/>
        </w:rPr>
      </w:sdtEndPr>
      <w:sdtContent>
        <w:p w14:paraId="1D9FC006">
          <w:pPr>
            <w:spacing w:before="0" w:beforeLines="0" w:after="0" w:afterLines="0" w:line="240" w:lineRule="auto"/>
            <w:ind w:left="0" w:leftChars="0" w:right="0" w:rightChars="0" w:firstLine="0" w:firstLineChars="0"/>
            <w:jc w:val="center"/>
            <w:rPr>
              <w:sz w:val="28"/>
              <w:szCs w:val="36"/>
            </w:rPr>
          </w:pPr>
          <w:r>
            <w:rPr>
              <w:rFonts w:ascii="宋体" w:hAnsi="宋体" w:eastAsia="宋体"/>
              <w:sz w:val="28"/>
              <w:szCs w:val="36"/>
            </w:rPr>
            <w:t>目录</w:t>
          </w:r>
        </w:p>
        <w:p w14:paraId="0DFFC781">
          <w:pPr>
            <w:pStyle w:val="15"/>
            <w:tabs>
              <w:tab w:val="right" w:leader="dot" w:pos="9026"/>
            </w:tabs>
            <w:spacing w:line="480" w:lineRule="auto"/>
            <w:rPr>
              <w:sz w:val="24"/>
              <w:szCs w:val="32"/>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4"/>
              <w:szCs w:val="32"/>
              <w:highlight w:val="none"/>
            </w:rPr>
            <w:fldChar w:fldCharType="begin"/>
          </w:r>
          <w:r>
            <w:rPr>
              <w:sz w:val="24"/>
              <w:szCs w:val="32"/>
              <w:highlight w:val="none"/>
            </w:rPr>
            <w:instrText xml:space="preserve"> HYPERLINK \l _Toc22092 </w:instrText>
          </w:r>
          <w:r>
            <w:rPr>
              <w:sz w:val="24"/>
              <w:szCs w:val="32"/>
              <w:highlight w:val="none"/>
            </w:rPr>
            <w:fldChar w:fldCharType="separate"/>
          </w:r>
          <w:r>
            <w:rPr>
              <w:sz w:val="24"/>
              <w:szCs w:val="32"/>
              <w:highlight w:val="none"/>
            </w:rPr>
            <w:t>第一章</w:t>
          </w:r>
          <w:r>
            <w:rPr>
              <w:rFonts w:hint="eastAsia"/>
              <w:sz w:val="24"/>
              <w:szCs w:val="32"/>
              <w:highlight w:val="none"/>
              <w:lang w:val="en-US" w:eastAsia="zh-CN"/>
            </w:rPr>
            <w:t xml:space="preserve"> </w:t>
          </w:r>
          <w:r>
            <w:rPr>
              <w:sz w:val="24"/>
              <w:szCs w:val="32"/>
              <w:highlight w:val="none"/>
            </w:rPr>
            <w:t>竞争性磋商公告</w:t>
          </w:r>
          <w:r>
            <w:rPr>
              <w:sz w:val="24"/>
              <w:szCs w:val="32"/>
            </w:rPr>
            <w:tab/>
          </w:r>
          <w:r>
            <w:rPr>
              <w:sz w:val="24"/>
              <w:szCs w:val="32"/>
            </w:rPr>
            <w:fldChar w:fldCharType="begin"/>
          </w:r>
          <w:r>
            <w:rPr>
              <w:sz w:val="24"/>
              <w:szCs w:val="32"/>
            </w:rPr>
            <w:instrText xml:space="preserve"> PAGEREF _Toc22092 \h </w:instrText>
          </w:r>
          <w:r>
            <w:rPr>
              <w:sz w:val="24"/>
              <w:szCs w:val="32"/>
            </w:rPr>
            <w:fldChar w:fldCharType="separate"/>
          </w:r>
          <w:r>
            <w:rPr>
              <w:sz w:val="24"/>
              <w:szCs w:val="32"/>
            </w:rPr>
            <w:t>1</w:t>
          </w:r>
          <w:r>
            <w:rPr>
              <w:sz w:val="24"/>
              <w:szCs w:val="32"/>
            </w:rPr>
            <w:fldChar w:fldCharType="end"/>
          </w:r>
          <w:r>
            <w:rPr>
              <w:color w:val="auto"/>
              <w:sz w:val="24"/>
              <w:szCs w:val="32"/>
              <w:highlight w:val="none"/>
            </w:rPr>
            <w:fldChar w:fldCharType="end"/>
          </w:r>
        </w:p>
        <w:p w14:paraId="168794E9">
          <w:pPr>
            <w:pStyle w:val="15"/>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_Toc11906 </w:instrText>
          </w:r>
          <w:r>
            <w:rPr>
              <w:sz w:val="24"/>
              <w:szCs w:val="32"/>
              <w:highlight w:val="none"/>
            </w:rPr>
            <w:fldChar w:fldCharType="separate"/>
          </w:r>
          <w:r>
            <w:rPr>
              <w:sz w:val="24"/>
              <w:szCs w:val="32"/>
              <w:highlight w:val="none"/>
            </w:rPr>
            <w:t>第二章</w:t>
          </w:r>
          <w:r>
            <w:rPr>
              <w:rFonts w:hint="eastAsia"/>
              <w:sz w:val="24"/>
              <w:szCs w:val="32"/>
              <w:highlight w:val="none"/>
              <w:lang w:val="en-US" w:eastAsia="zh-CN"/>
            </w:rPr>
            <w:t xml:space="preserve"> </w:t>
          </w:r>
          <w:r>
            <w:rPr>
              <w:sz w:val="24"/>
              <w:szCs w:val="32"/>
              <w:highlight w:val="none"/>
            </w:rPr>
            <w:t>供应商须知</w:t>
          </w:r>
          <w:r>
            <w:rPr>
              <w:sz w:val="24"/>
              <w:szCs w:val="32"/>
            </w:rPr>
            <w:tab/>
          </w:r>
          <w:r>
            <w:rPr>
              <w:sz w:val="24"/>
              <w:szCs w:val="32"/>
            </w:rPr>
            <w:fldChar w:fldCharType="begin"/>
          </w:r>
          <w:r>
            <w:rPr>
              <w:sz w:val="24"/>
              <w:szCs w:val="32"/>
            </w:rPr>
            <w:instrText xml:space="preserve"> PAGEREF _Toc11906 \h </w:instrText>
          </w:r>
          <w:r>
            <w:rPr>
              <w:sz w:val="24"/>
              <w:szCs w:val="32"/>
            </w:rPr>
            <w:fldChar w:fldCharType="separate"/>
          </w:r>
          <w:r>
            <w:rPr>
              <w:sz w:val="24"/>
              <w:szCs w:val="32"/>
            </w:rPr>
            <w:t>5</w:t>
          </w:r>
          <w:r>
            <w:rPr>
              <w:sz w:val="24"/>
              <w:szCs w:val="32"/>
            </w:rPr>
            <w:fldChar w:fldCharType="end"/>
          </w:r>
          <w:r>
            <w:rPr>
              <w:color w:val="auto"/>
              <w:sz w:val="24"/>
              <w:szCs w:val="32"/>
              <w:highlight w:val="none"/>
            </w:rPr>
            <w:fldChar w:fldCharType="end"/>
          </w:r>
        </w:p>
        <w:p w14:paraId="72C0D7AE">
          <w:pPr>
            <w:pStyle w:val="15"/>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_Toc14560 </w:instrText>
          </w:r>
          <w:r>
            <w:rPr>
              <w:sz w:val="24"/>
              <w:szCs w:val="32"/>
              <w:highlight w:val="none"/>
            </w:rPr>
            <w:fldChar w:fldCharType="separate"/>
          </w:r>
          <w:r>
            <w:rPr>
              <w:sz w:val="24"/>
              <w:szCs w:val="40"/>
              <w:highlight w:val="none"/>
            </w:rPr>
            <w:t>第三章</w:t>
          </w:r>
          <w:r>
            <w:rPr>
              <w:rFonts w:hint="eastAsia"/>
              <w:sz w:val="24"/>
              <w:szCs w:val="40"/>
              <w:highlight w:val="none"/>
              <w:lang w:val="en-US" w:eastAsia="zh-CN"/>
            </w:rPr>
            <w:t xml:space="preserve"> </w:t>
          </w:r>
          <w:r>
            <w:rPr>
              <w:sz w:val="24"/>
              <w:szCs w:val="40"/>
              <w:highlight w:val="none"/>
            </w:rPr>
            <w:t>评标办法</w:t>
          </w:r>
          <w:r>
            <w:rPr>
              <w:sz w:val="24"/>
              <w:szCs w:val="32"/>
            </w:rPr>
            <w:tab/>
          </w:r>
          <w:r>
            <w:rPr>
              <w:sz w:val="24"/>
              <w:szCs w:val="32"/>
            </w:rPr>
            <w:fldChar w:fldCharType="begin"/>
          </w:r>
          <w:r>
            <w:rPr>
              <w:sz w:val="24"/>
              <w:szCs w:val="32"/>
            </w:rPr>
            <w:instrText xml:space="preserve"> PAGEREF _Toc14560 \h </w:instrText>
          </w:r>
          <w:r>
            <w:rPr>
              <w:sz w:val="24"/>
              <w:szCs w:val="32"/>
            </w:rPr>
            <w:fldChar w:fldCharType="separate"/>
          </w:r>
          <w:r>
            <w:rPr>
              <w:sz w:val="24"/>
              <w:szCs w:val="32"/>
            </w:rPr>
            <w:t>22</w:t>
          </w:r>
          <w:r>
            <w:rPr>
              <w:sz w:val="24"/>
              <w:szCs w:val="32"/>
            </w:rPr>
            <w:fldChar w:fldCharType="end"/>
          </w:r>
          <w:r>
            <w:rPr>
              <w:color w:val="auto"/>
              <w:sz w:val="24"/>
              <w:szCs w:val="32"/>
              <w:highlight w:val="none"/>
            </w:rPr>
            <w:fldChar w:fldCharType="end"/>
          </w:r>
        </w:p>
        <w:p w14:paraId="20DEF6C4">
          <w:pPr>
            <w:pStyle w:val="15"/>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_Toc9396 </w:instrText>
          </w:r>
          <w:r>
            <w:rPr>
              <w:sz w:val="24"/>
              <w:szCs w:val="32"/>
              <w:highlight w:val="none"/>
            </w:rPr>
            <w:fldChar w:fldCharType="separate"/>
          </w:r>
          <w:r>
            <w:rPr>
              <w:rFonts w:hint="eastAsia"/>
              <w:sz w:val="24"/>
              <w:szCs w:val="32"/>
              <w:highlight w:val="none"/>
              <w:lang w:val="en-US" w:eastAsia="zh-CN"/>
            </w:rPr>
            <w:t xml:space="preserve">第四章 </w:t>
          </w:r>
          <w:r>
            <w:rPr>
              <w:rFonts w:hint="eastAsia"/>
              <w:sz w:val="24"/>
              <w:szCs w:val="32"/>
              <w:highlight w:val="none"/>
            </w:rPr>
            <w:t>合同主要条款及格式</w:t>
          </w:r>
          <w:r>
            <w:rPr>
              <w:sz w:val="24"/>
              <w:szCs w:val="32"/>
            </w:rPr>
            <w:tab/>
          </w:r>
          <w:r>
            <w:rPr>
              <w:sz w:val="24"/>
              <w:szCs w:val="32"/>
            </w:rPr>
            <w:fldChar w:fldCharType="begin"/>
          </w:r>
          <w:r>
            <w:rPr>
              <w:sz w:val="24"/>
              <w:szCs w:val="32"/>
            </w:rPr>
            <w:instrText xml:space="preserve"> PAGEREF _Toc9396 \h </w:instrText>
          </w:r>
          <w:r>
            <w:rPr>
              <w:sz w:val="24"/>
              <w:szCs w:val="32"/>
            </w:rPr>
            <w:fldChar w:fldCharType="separate"/>
          </w:r>
          <w:r>
            <w:rPr>
              <w:sz w:val="24"/>
              <w:szCs w:val="32"/>
            </w:rPr>
            <w:t>28</w:t>
          </w:r>
          <w:r>
            <w:rPr>
              <w:sz w:val="24"/>
              <w:szCs w:val="32"/>
            </w:rPr>
            <w:fldChar w:fldCharType="end"/>
          </w:r>
          <w:r>
            <w:rPr>
              <w:color w:val="auto"/>
              <w:sz w:val="24"/>
              <w:szCs w:val="32"/>
              <w:highlight w:val="none"/>
            </w:rPr>
            <w:fldChar w:fldCharType="end"/>
          </w:r>
        </w:p>
        <w:p w14:paraId="5874C40F">
          <w:pPr>
            <w:pStyle w:val="15"/>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_Toc13467 </w:instrText>
          </w:r>
          <w:r>
            <w:rPr>
              <w:sz w:val="24"/>
              <w:szCs w:val="32"/>
              <w:highlight w:val="none"/>
            </w:rPr>
            <w:fldChar w:fldCharType="separate"/>
          </w:r>
          <w:r>
            <w:rPr>
              <w:rFonts w:hint="eastAsia" w:ascii="Calibri" w:hAnsi="Calibri" w:eastAsia="宋体" w:cs="Times New Roman"/>
              <w:kern w:val="2"/>
              <w:sz w:val="24"/>
              <w:szCs w:val="32"/>
              <w:lang w:val="en-US" w:eastAsia="zh-CN" w:bidi="ar-SA"/>
            </w:rPr>
            <w:t>第五章</w:t>
          </w:r>
          <w:r>
            <w:rPr>
              <w:rFonts w:hint="eastAsia" w:cs="Times New Roman"/>
              <w:sz w:val="24"/>
              <w:szCs w:val="32"/>
              <w:highlight w:val="none"/>
              <w:lang w:val="en-US" w:eastAsia="zh-CN"/>
            </w:rPr>
            <w:t xml:space="preserve"> 服务要求</w:t>
          </w:r>
          <w:r>
            <w:rPr>
              <w:sz w:val="24"/>
              <w:szCs w:val="32"/>
            </w:rPr>
            <w:tab/>
          </w:r>
          <w:r>
            <w:rPr>
              <w:sz w:val="24"/>
              <w:szCs w:val="32"/>
            </w:rPr>
            <w:fldChar w:fldCharType="begin"/>
          </w:r>
          <w:r>
            <w:rPr>
              <w:sz w:val="24"/>
              <w:szCs w:val="32"/>
            </w:rPr>
            <w:instrText xml:space="preserve"> PAGEREF _Toc13467 \h </w:instrText>
          </w:r>
          <w:r>
            <w:rPr>
              <w:sz w:val="24"/>
              <w:szCs w:val="32"/>
            </w:rPr>
            <w:fldChar w:fldCharType="separate"/>
          </w:r>
          <w:r>
            <w:rPr>
              <w:sz w:val="24"/>
              <w:szCs w:val="32"/>
            </w:rPr>
            <w:t>29</w:t>
          </w:r>
          <w:r>
            <w:rPr>
              <w:sz w:val="24"/>
              <w:szCs w:val="32"/>
            </w:rPr>
            <w:fldChar w:fldCharType="end"/>
          </w:r>
          <w:r>
            <w:rPr>
              <w:color w:val="auto"/>
              <w:sz w:val="24"/>
              <w:szCs w:val="32"/>
              <w:highlight w:val="none"/>
            </w:rPr>
            <w:fldChar w:fldCharType="end"/>
          </w:r>
        </w:p>
        <w:p w14:paraId="369A5436">
          <w:pPr>
            <w:pStyle w:val="15"/>
            <w:tabs>
              <w:tab w:val="right" w:leader="dot" w:pos="9026"/>
            </w:tabs>
            <w:spacing w:line="480" w:lineRule="auto"/>
          </w:pPr>
          <w:r>
            <w:rPr>
              <w:color w:val="auto"/>
              <w:sz w:val="24"/>
              <w:szCs w:val="32"/>
              <w:highlight w:val="none"/>
            </w:rPr>
            <w:fldChar w:fldCharType="begin"/>
          </w:r>
          <w:r>
            <w:rPr>
              <w:sz w:val="24"/>
              <w:szCs w:val="32"/>
              <w:highlight w:val="none"/>
            </w:rPr>
            <w:instrText xml:space="preserve"> HYPERLINK \l _Toc28209 </w:instrText>
          </w:r>
          <w:r>
            <w:rPr>
              <w:sz w:val="24"/>
              <w:szCs w:val="32"/>
              <w:highlight w:val="none"/>
            </w:rPr>
            <w:fldChar w:fldCharType="separate"/>
          </w:r>
          <w:r>
            <w:rPr>
              <w:rFonts w:hint="eastAsia" w:cs="Times New Roman"/>
              <w:sz w:val="24"/>
              <w:szCs w:val="32"/>
              <w:highlight w:val="none"/>
              <w:lang w:val="en-US" w:eastAsia="zh-CN"/>
            </w:rPr>
            <w:t>第六章 响应文件内容及格式</w:t>
          </w:r>
          <w:r>
            <w:rPr>
              <w:sz w:val="24"/>
              <w:szCs w:val="32"/>
            </w:rPr>
            <w:tab/>
          </w:r>
          <w:r>
            <w:rPr>
              <w:sz w:val="24"/>
              <w:szCs w:val="32"/>
            </w:rPr>
            <w:fldChar w:fldCharType="begin"/>
          </w:r>
          <w:r>
            <w:rPr>
              <w:sz w:val="24"/>
              <w:szCs w:val="32"/>
            </w:rPr>
            <w:instrText xml:space="preserve"> PAGEREF _Toc28209 \h </w:instrText>
          </w:r>
          <w:r>
            <w:rPr>
              <w:sz w:val="24"/>
              <w:szCs w:val="32"/>
            </w:rPr>
            <w:fldChar w:fldCharType="separate"/>
          </w:r>
          <w:r>
            <w:rPr>
              <w:sz w:val="24"/>
              <w:szCs w:val="32"/>
            </w:rPr>
            <w:t>31</w:t>
          </w:r>
          <w:r>
            <w:rPr>
              <w:sz w:val="24"/>
              <w:szCs w:val="32"/>
            </w:rPr>
            <w:fldChar w:fldCharType="end"/>
          </w:r>
          <w:r>
            <w:rPr>
              <w:color w:val="auto"/>
              <w:sz w:val="24"/>
              <w:szCs w:val="32"/>
              <w:highlight w:val="none"/>
            </w:rPr>
            <w:fldChar w:fldCharType="end"/>
          </w:r>
        </w:p>
        <w:p w14:paraId="569E97A7">
          <w:pPr>
            <w:pStyle w:val="15"/>
            <w:tabs>
              <w:tab w:val="right" w:leader="dot" w:pos="9026"/>
            </w:tabs>
          </w:pPr>
        </w:p>
        <w:p w14:paraId="1021D8FE">
          <w:pPr>
            <w:pStyle w:val="2"/>
            <w:tabs>
              <w:tab w:val="left" w:pos="1125"/>
            </w:tabs>
            <w:rPr>
              <w:rFonts w:ascii="宋体" w:hAnsi="宋体" w:eastAsia="宋体" w:cs="宋体"/>
              <w:b/>
              <w:bCs/>
              <w:color w:val="auto"/>
              <w:kern w:val="2"/>
              <w:sz w:val="28"/>
              <w:szCs w:val="28"/>
              <w:highlight w:val="none"/>
              <w:lang w:val="en-US" w:eastAsia="zh-CN" w:bidi="ar-SA"/>
            </w:rPr>
          </w:pPr>
          <w:r>
            <w:rPr>
              <w:color w:val="auto"/>
              <w:highlight w:val="none"/>
            </w:rPr>
            <w:fldChar w:fldCharType="end"/>
          </w:r>
        </w:p>
      </w:sdtContent>
    </w:sdt>
    <w:p w14:paraId="5195BDA8">
      <w:p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2"/>
        <w:tabs>
          <w:tab w:val="left" w:pos="1125"/>
        </w:tabs>
        <w:rPr>
          <w:color w:val="auto"/>
          <w:highlight w:val="none"/>
        </w:rPr>
      </w:pPr>
      <w:bookmarkStart w:id="2" w:name="_Toc22092"/>
      <w:r>
        <w:rPr>
          <w:color w:val="auto"/>
          <w:highlight w:val="none"/>
        </w:rPr>
        <w:t>第一章</w:t>
      </w:r>
      <w:r>
        <w:rPr>
          <w:rFonts w:hint="eastAsia"/>
          <w:color w:val="auto"/>
          <w:highlight w:val="none"/>
          <w:lang w:val="en-US" w:eastAsia="zh-CN"/>
        </w:rPr>
        <w:t xml:space="preserve"> </w:t>
      </w:r>
      <w:r>
        <w:rPr>
          <w:color w:val="auto"/>
          <w:highlight w:val="none"/>
        </w:rPr>
        <w:t>竞争性磋商公告</w:t>
      </w:r>
      <w:bookmarkEnd w:id="2"/>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义马市农贸市场提升改造项目施工图设计项目</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5月8</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0分（北京时间）前递交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1、采购编号：</w:t>
      </w:r>
      <w:r>
        <w:rPr>
          <w:rFonts w:hint="eastAsia" w:ascii="宋体" w:hAnsi="宋体" w:cs="宋体"/>
          <w:color w:val="auto"/>
          <w:kern w:val="0"/>
          <w:sz w:val="24"/>
          <w:szCs w:val="24"/>
          <w:highlight w:val="none"/>
          <w:lang w:eastAsia="zh-CN"/>
        </w:rPr>
        <w:t>义马竞磋采购-2026-19</w:t>
      </w: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YMGZ[2026]035-ZC032</w:t>
      </w:r>
    </w:p>
    <w:p w14:paraId="42E21B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义马市农贸市场提升改造项目施工图设计项目</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815000.00</w:t>
      </w:r>
      <w:r>
        <w:rPr>
          <w:rFonts w:hint="eastAsia" w:ascii="宋体" w:hAnsi="宋体" w:eastAsia="宋体" w:cs="宋体"/>
          <w:color w:val="auto"/>
          <w:kern w:val="0"/>
          <w:sz w:val="24"/>
          <w:szCs w:val="24"/>
          <w:highlight w:val="none"/>
          <w:lang w:val="en-US" w:eastAsia="zh-CN"/>
        </w:rPr>
        <w:t xml:space="preserve">元   </w:t>
      </w: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815000.00</w:t>
      </w:r>
      <w:r>
        <w:rPr>
          <w:rFonts w:hint="eastAsia" w:ascii="宋体" w:hAnsi="宋体" w:eastAsia="宋体" w:cs="宋体"/>
          <w:color w:val="auto"/>
          <w:kern w:val="0"/>
          <w:sz w:val="24"/>
          <w:szCs w:val="24"/>
          <w:highlight w:val="none"/>
          <w:lang w:val="en-US" w:eastAsia="zh-CN"/>
        </w:rPr>
        <w:t>元</w:t>
      </w:r>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4BB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29AD5FE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620" w:type="dxa"/>
            <w:noWrap/>
            <w:vAlign w:val="center"/>
          </w:tcPr>
          <w:p w14:paraId="006AA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2381" w:type="dxa"/>
            <w:noWrap/>
            <w:vAlign w:val="center"/>
          </w:tcPr>
          <w:p w14:paraId="6C2B34B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819" w:type="dxa"/>
            <w:noWrap/>
            <w:vAlign w:val="center"/>
          </w:tcPr>
          <w:p w14:paraId="7E1896F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2118" w:type="dxa"/>
            <w:noWrap/>
            <w:vAlign w:val="center"/>
          </w:tcPr>
          <w:p w14:paraId="7F2D0C1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r>
      <w:tr w14:paraId="2899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4B9455A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20" w:type="dxa"/>
            <w:noWrap/>
            <w:vAlign w:val="center"/>
          </w:tcPr>
          <w:p w14:paraId="7D16298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YMGZ[2026]035-ZC032-1</w:t>
            </w:r>
          </w:p>
        </w:tc>
        <w:tc>
          <w:tcPr>
            <w:tcW w:w="2381" w:type="dxa"/>
            <w:noWrap/>
            <w:vAlign w:val="center"/>
          </w:tcPr>
          <w:p w14:paraId="75AF53E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义马市农贸市场提升改造项目施工图设计项目</w:t>
            </w:r>
          </w:p>
        </w:tc>
        <w:tc>
          <w:tcPr>
            <w:tcW w:w="1819" w:type="dxa"/>
            <w:noWrap/>
            <w:vAlign w:val="center"/>
          </w:tcPr>
          <w:p w14:paraId="7671D67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815000.00</w:t>
            </w:r>
          </w:p>
        </w:tc>
        <w:tc>
          <w:tcPr>
            <w:tcW w:w="2118" w:type="dxa"/>
            <w:noWrap/>
            <w:vAlign w:val="center"/>
          </w:tcPr>
          <w:p w14:paraId="4211545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815000.00</w:t>
            </w:r>
          </w:p>
        </w:tc>
      </w:tr>
    </w:tbl>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3D63F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采购内容</w:t>
      </w:r>
      <w:r>
        <w:rPr>
          <w:rFonts w:hint="eastAsia" w:ascii="宋体" w:hAnsi="宋体" w:eastAsia="宋体" w:cs="宋体"/>
          <w:color w:val="auto"/>
          <w:kern w:val="0"/>
          <w:sz w:val="24"/>
          <w:szCs w:val="24"/>
          <w:highlight w:val="none"/>
          <w:lang w:eastAsia="zh-CN"/>
        </w:rPr>
        <w:t>：义马市农贸市场提升改造项目施工图设计</w:t>
      </w:r>
      <w:r>
        <w:rPr>
          <w:rFonts w:hint="eastAsia" w:ascii="宋体" w:hAnsi="宋体" w:cs="宋体"/>
          <w:color w:val="auto"/>
          <w:kern w:val="0"/>
          <w:sz w:val="24"/>
          <w:szCs w:val="24"/>
          <w:highlight w:val="none"/>
          <w:lang w:eastAsia="zh-CN"/>
        </w:rPr>
        <w:t>，</w:t>
      </w:r>
      <w:r>
        <w:rPr>
          <w:rFonts w:hint="eastAsia" w:ascii="宋体" w:hAnsi="宋体" w:eastAsia="宋体" w:cs="宋体"/>
          <w:sz w:val="24"/>
          <w:szCs w:val="24"/>
          <w:lang w:eastAsia="zh-CN"/>
        </w:rPr>
        <w:t>具体内容详见磋商文件</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523937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义马市</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服务周期</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20日历天</w:t>
      </w:r>
    </w:p>
    <w:p w14:paraId="2C1F813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质量要求：满足国家、行业、地方相关规范要求及采购人需求</w:t>
      </w:r>
    </w:p>
    <w:p w14:paraId="7B985FB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20日历天</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9、是否专门面向中小企业：是</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0D81F93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05E76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3.2</w:t>
      </w:r>
      <w:r>
        <w:rPr>
          <w:rFonts w:hint="eastAsia" w:ascii="宋体" w:hAnsi="宋体" w:eastAsia="宋体" w:cs="宋体"/>
          <w:b w:val="0"/>
          <w:i w:val="0"/>
          <w:caps w:val="0"/>
          <w:color w:val="auto"/>
          <w:spacing w:val="0"/>
          <w:w w:val="100"/>
          <w:sz w:val="24"/>
          <w:szCs w:val="24"/>
          <w:highlight w:val="none"/>
          <w:lang w:eastAsia="zh-CN"/>
        </w:rPr>
        <w:t>供应商具有工程设计建筑行业（建筑工程）专业乙级及以上资质；并在人员、设备、资金等方面具有相应的设计能力。</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3</w:t>
      </w: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拟派项目</w:t>
      </w:r>
      <w:r>
        <w:rPr>
          <w:rFonts w:hint="eastAsia" w:ascii="宋体" w:hAnsi="宋体" w:cs="宋体"/>
          <w:b w:val="0"/>
          <w:i w:val="0"/>
          <w:caps w:val="0"/>
          <w:color w:val="auto"/>
          <w:spacing w:val="0"/>
          <w:w w:val="100"/>
          <w:sz w:val="24"/>
          <w:szCs w:val="24"/>
          <w:highlight w:val="none"/>
          <w:lang w:val="en-US" w:eastAsia="zh-CN"/>
        </w:rPr>
        <w:t>负责人</w:t>
      </w:r>
      <w:r>
        <w:rPr>
          <w:rFonts w:hint="eastAsia" w:ascii="宋体" w:hAnsi="宋体" w:eastAsia="宋体" w:cs="宋体"/>
          <w:b w:val="0"/>
          <w:i w:val="0"/>
          <w:caps w:val="0"/>
          <w:color w:val="auto"/>
          <w:spacing w:val="0"/>
          <w:w w:val="100"/>
          <w:sz w:val="24"/>
          <w:szCs w:val="24"/>
          <w:highlight w:val="none"/>
          <w:lang w:eastAsia="zh-CN"/>
        </w:rPr>
        <w:t>须具备相关专业</w:t>
      </w:r>
      <w:r>
        <w:rPr>
          <w:rFonts w:ascii="宋体" w:hAnsi="宋体" w:eastAsia="宋体" w:cs="宋体"/>
          <w:sz w:val="24"/>
          <w:szCs w:val="24"/>
          <w:highlight w:val="none"/>
        </w:rPr>
        <w:t>注册建筑师</w:t>
      </w:r>
      <w:r>
        <w:rPr>
          <w:rFonts w:hint="eastAsia" w:ascii="宋体" w:hAnsi="宋体" w:eastAsia="宋体" w:cs="宋体"/>
          <w:b w:val="0"/>
          <w:i w:val="0"/>
          <w:caps w:val="0"/>
          <w:color w:val="auto"/>
          <w:spacing w:val="0"/>
          <w:w w:val="100"/>
          <w:sz w:val="24"/>
          <w:szCs w:val="24"/>
          <w:highlight w:val="none"/>
          <w:lang w:eastAsia="zh-CN"/>
        </w:rPr>
        <w:t>资格</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相关专业中级及以上技术职称</w:t>
      </w:r>
      <w:r>
        <w:rPr>
          <w:rFonts w:hint="eastAsia" w:ascii="宋体" w:hAnsi="宋体" w:eastAsia="宋体" w:cs="宋体"/>
          <w:b w:val="0"/>
          <w:i w:val="0"/>
          <w:caps w:val="0"/>
          <w:color w:val="auto"/>
          <w:spacing w:val="0"/>
          <w:w w:val="100"/>
          <w:sz w:val="24"/>
          <w:szCs w:val="24"/>
          <w:highlight w:val="none"/>
          <w:lang w:eastAsia="zh-CN"/>
        </w:rPr>
        <w:t>；</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24</w:t>
      </w:r>
      <w:r>
        <w:rPr>
          <w:rFonts w:hint="eastAsia" w:ascii="宋体" w:hAnsi="宋体" w:cs="宋体"/>
          <w:color w:val="auto"/>
          <w:kern w:val="0"/>
          <w:sz w:val="24"/>
          <w:szCs w:val="24"/>
          <w:highlight w:val="none"/>
          <w:lang w:eastAsia="zh-CN"/>
        </w:rPr>
        <w:t>日至2026年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日8时30分(北京时间)。</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38"/>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2026年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w:t>
      </w:r>
      <w:r>
        <w:rPr>
          <w:rFonts w:hint="eastAsia" w:ascii="宋体" w:hAnsi="宋体" w:cs="宋体"/>
          <w:color w:val="auto"/>
          <w:kern w:val="0"/>
          <w:sz w:val="24"/>
          <w:szCs w:val="24"/>
          <w:highlight w:val="none"/>
          <w:lang w:eastAsia="zh-CN"/>
        </w:rPr>
        <w:t>义马市</w:t>
      </w:r>
      <w:r>
        <w:rPr>
          <w:rFonts w:hint="eastAsia" w:ascii="宋体" w:hAnsi="宋体" w:eastAsia="宋体" w:cs="宋体"/>
          <w:color w:val="auto"/>
          <w:kern w:val="0"/>
          <w:sz w:val="24"/>
          <w:szCs w:val="24"/>
          <w:highlight w:val="none"/>
        </w:rPr>
        <w:t>公共资源交易中心</w:t>
      </w:r>
      <w:r>
        <w:rPr>
          <w:rFonts w:hint="eastAsia" w:ascii="宋体" w:hAnsi="宋体" w:eastAsia="宋体" w:cs="宋体"/>
          <w:color w:val="auto"/>
          <w:kern w:val="0"/>
          <w:sz w:val="24"/>
          <w:szCs w:val="24"/>
          <w:highlight w:val="none"/>
          <w:lang w:val="en-US" w:eastAsia="zh-CN"/>
        </w:rPr>
        <w:t>开标</w:t>
      </w:r>
      <w:r>
        <w:rPr>
          <w:rFonts w:hint="eastAsia" w:ascii="宋体" w:hAnsi="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lang w:val="en-US" w:eastAsia="zh-CN"/>
        </w:rPr>
        <w:t>室</w:t>
      </w:r>
      <w:r>
        <w:rPr>
          <w:rFonts w:hint="eastAsia" w:ascii="宋体" w:hAnsi="宋体" w:eastAsia="宋体" w:cs="宋体"/>
          <w:color w:val="auto"/>
          <w:kern w:val="0"/>
          <w:sz w:val="24"/>
          <w:szCs w:val="24"/>
          <w:highlight w:val="none"/>
        </w:rPr>
        <w:t>（网址：http://gzjy.smx.gov.cn/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59F0980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723B5F8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rPr>
        <w:t>：义马市市场监督管理局</w:t>
      </w:r>
    </w:p>
    <w:p w14:paraId="04ADA55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地址：义马市千秋路中段</w:t>
      </w:r>
    </w:p>
    <w:p w14:paraId="757FF7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联系人：师先生</w:t>
      </w:r>
    </w:p>
    <w:p w14:paraId="1296308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联系方式：0398-5860609</w:t>
      </w:r>
    </w:p>
    <w:p w14:paraId="77A204F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2、采购</w:t>
      </w:r>
      <w:r>
        <w:rPr>
          <w:rFonts w:hint="eastAsia" w:ascii="宋体" w:hAnsi="宋体" w:eastAsia="宋体" w:cs="宋体"/>
          <w:color w:val="auto"/>
          <w:kern w:val="0"/>
          <w:sz w:val="24"/>
          <w:szCs w:val="24"/>
          <w:highlight w:val="none"/>
          <w:lang w:eastAsia="zh-CN"/>
        </w:rPr>
        <w:t>代理机构</w:t>
      </w:r>
    </w:p>
    <w:p w14:paraId="5E5D4DA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名称：</w:t>
      </w:r>
      <w:r>
        <w:rPr>
          <w:rFonts w:hint="eastAsia" w:ascii="宋体" w:hAnsi="宋体" w:cs="宋体"/>
          <w:color w:val="auto"/>
          <w:kern w:val="0"/>
          <w:sz w:val="24"/>
          <w:szCs w:val="24"/>
          <w:highlight w:val="none"/>
          <w:lang w:eastAsia="zh-CN"/>
        </w:rPr>
        <w:t>河南昱通工程管理有限公司</w:t>
      </w:r>
    </w:p>
    <w:p w14:paraId="580A324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w:t>
      </w:r>
      <w:r>
        <w:rPr>
          <w:rFonts w:hint="eastAsia" w:ascii="宋体" w:hAnsi="宋体" w:cs="宋体"/>
          <w:color w:val="auto"/>
          <w:kern w:val="0"/>
          <w:sz w:val="24"/>
          <w:szCs w:val="24"/>
          <w:highlight w:val="none"/>
          <w:lang w:val="en-US" w:eastAsia="zh-CN"/>
        </w:rPr>
        <w:t>河南自贸试验区郑州片区（郑东）普惠路68号1单元22层2206号</w:t>
      </w:r>
    </w:p>
    <w:p w14:paraId="21DBA00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w:t>
      </w:r>
      <w:r>
        <w:rPr>
          <w:rFonts w:hint="eastAsia" w:ascii="宋体" w:hAnsi="宋体" w:cs="宋体"/>
          <w:color w:val="auto"/>
          <w:kern w:val="0"/>
          <w:sz w:val="24"/>
          <w:szCs w:val="24"/>
          <w:highlight w:val="none"/>
          <w:lang w:val="en-US" w:eastAsia="zh-CN"/>
        </w:rPr>
        <w:t>荆女士</w:t>
      </w:r>
    </w:p>
    <w:p w14:paraId="4830F56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w:t>
      </w:r>
      <w:r>
        <w:rPr>
          <w:rFonts w:hint="eastAsia" w:ascii="宋体" w:hAnsi="宋体" w:cs="宋体"/>
          <w:color w:val="auto"/>
          <w:kern w:val="0"/>
          <w:sz w:val="24"/>
          <w:szCs w:val="24"/>
          <w:highlight w:val="none"/>
          <w:lang w:val="en-US" w:eastAsia="zh-CN"/>
        </w:rPr>
        <w:t>15936238582</w:t>
      </w:r>
    </w:p>
    <w:p w14:paraId="2DE3914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3、监督单位信息</w:t>
      </w:r>
    </w:p>
    <w:p w14:paraId="1B1C6D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名称：义马市财政局政府采购监督管理科</w:t>
      </w:r>
    </w:p>
    <w:p w14:paraId="1B22709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联系方式：0398-5832143</w:t>
      </w:r>
    </w:p>
    <w:p w14:paraId="3D942EC3">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87058B0">
      <w:pPr>
        <w:rPr>
          <w:b/>
          <w:color w:val="auto"/>
          <w:sz w:val="32"/>
          <w:highlight w:val="none"/>
        </w:rPr>
      </w:pPr>
      <w:r>
        <w:rPr>
          <w:b/>
          <w:color w:val="auto"/>
          <w:sz w:val="32"/>
          <w:highlight w:val="none"/>
        </w:rPr>
        <w:br w:type="page"/>
      </w:r>
    </w:p>
    <w:p w14:paraId="11347664">
      <w:pPr>
        <w:tabs>
          <w:tab w:val="left" w:pos="1283"/>
        </w:tabs>
        <w:spacing w:before="55"/>
        <w:ind w:left="0" w:right="22" w:firstLine="0"/>
        <w:jc w:val="center"/>
        <w:outlineLvl w:val="0"/>
        <w:rPr>
          <w:b/>
          <w:color w:val="auto"/>
          <w:sz w:val="32"/>
          <w:highlight w:val="none"/>
        </w:rPr>
      </w:pPr>
      <w:bookmarkStart w:id="3" w:name="_Toc11906"/>
      <w:r>
        <w:rPr>
          <w:b/>
          <w:color w:val="auto"/>
          <w:sz w:val="32"/>
          <w:highlight w:val="none"/>
        </w:rPr>
        <w:t>第二章</w:t>
      </w:r>
      <w:r>
        <w:rPr>
          <w:rFonts w:hint="eastAsia"/>
          <w:b/>
          <w:color w:val="auto"/>
          <w:sz w:val="32"/>
          <w:highlight w:val="none"/>
          <w:lang w:val="en-US" w:eastAsia="zh-CN"/>
        </w:rPr>
        <w:t xml:space="preserve"> </w:t>
      </w:r>
      <w:r>
        <w:rPr>
          <w:b/>
          <w:color w:val="auto"/>
          <w:sz w:val="32"/>
          <w:highlight w:val="none"/>
        </w:rPr>
        <w:t>供应商须知</w:t>
      </w:r>
      <w:bookmarkEnd w:id="3"/>
    </w:p>
    <w:p w14:paraId="73E24EB6">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20"/>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42B3320D">
            <w:pPr>
              <w:pStyle w:val="39"/>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名称：义马市市场监督管理局</w:t>
            </w:r>
          </w:p>
          <w:p w14:paraId="6F5ACA3F">
            <w:pPr>
              <w:pStyle w:val="39"/>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地址：义马市千秋路中段</w:t>
            </w:r>
          </w:p>
          <w:p w14:paraId="2E86C93C">
            <w:pPr>
              <w:pStyle w:val="39"/>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联系人：师先生</w:t>
            </w:r>
          </w:p>
          <w:p w14:paraId="59BCF8D4">
            <w:pPr>
              <w:pStyle w:val="39"/>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联系方式：0398-5860609</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4608974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名称：河南昱通工程管理有限公司</w:t>
            </w:r>
          </w:p>
          <w:p w14:paraId="074DACE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地址：河南自贸试验区郑州片区（郑东）普惠路68号1单元22层2206号</w:t>
            </w:r>
          </w:p>
          <w:p w14:paraId="35B8267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联系人：荆女士</w:t>
            </w:r>
          </w:p>
          <w:p w14:paraId="4282997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联系方式：15936238582</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815000.00元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义马市农贸市场提升改造项目施工图设计项目</w:t>
            </w:r>
          </w:p>
          <w:p w14:paraId="14941C36">
            <w:pPr>
              <w:spacing w:line="4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采购编号：</w:t>
            </w:r>
            <w:r>
              <w:rPr>
                <w:rFonts w:hint="eastAsia" w:ascii="宋体" w:hAnsi="宋体" w:cs="宋体"/>
                <w:color w:val="auto"/>
                <w:kern w:val="0"/>
                <w:sz w:val="24"/>
                <w:szCs w:val="24"/>
                <w:highlight w:val="none"/>
                <w:lang w:eastAsia="zh-CN"/>
              </w:rPr>
              <w:t>义马竞磋采购-2026-19</w:t>
            </w:r>
            <w:r>
              <w:rPr>
                <w:rFonts w:hint="eastAsia" w:ascii="宋体" w:hAnsi="宋体" w:eastAsia="宋体" w:cs="宋体"/>
                <w:color w:val="auto"/>
                <w:kern w:val="0"/>
                <w:sz w:val="24"/>
                <w:szCs w:val="24"/>
                <w:highlight w:val="none"/>
              </w:rPr>
              <w:t>；</w:t>
            </w:r>
          </w:p>
          <w:p w14:paraId="1CFC2AF3">
            <w:pPr>
              <w:spacing w:line="460" w:lineRule="exact"/>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YMGZ[2026]035-ZC032</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义马市</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采购内容</w:t>
            </w:r>
          </w:p>
        </w:tc>
        <w:tc>
          <w:tcPr>
            <w:tcW w:w="6645" w:type="dxa"/>
            <w:tcBorders>
              <w:top w:val="nil"/>
              <w:left w:val="nil"/>
              <w:bottom w:val="single" w:color="auto" w:sz="4" w:space="0"/>
              <w:right w:val="single" w:color="auto" w:sz="4" w:space="0"/>
            </w:tcBorders>
            <w:noWrap w:val="0"/>
            <w:vAlign w:val="center"/>
          </w:tcPr>
          <w:p w14:paraId="15957B51">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义马市农贸市场提升改造项目施工图设计，具体内容详见磋商文件</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服务周期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eastAsia="宋体" w:cs="宋体"/>
                <w:color w:val="auto"/>
                <w:kern w:val="0"/>
                <w:sz w:val="24"/>
                <w:szCs w:val="24"/>
                <w:highlight w:val="none"/>
              </w:rPr>
              <w:t>满足国家、行业、地方相关规范要求及采购人需求</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2023CC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1、满足《中华人民共和国政府采购法》第二十二条规定；</w:t>
            </w:r>
          </w:p>
          <w:p w14:paraId="12C7AE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2、落实政府采购政策满足的资格要求：</w:t>
            </w:r>
          </w:p>
          <w:p w14:paraId="2E8D4B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根据《政府采购促进中小企业发展管理办法》（财库〔2020〕46号）规定，本项目专门面向中小企业采购,同时供应商须提供《中小企业声明函》；</w:t>
            </w:r>
          </w:p>
          <w:p w14:paraId="78C47B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3、本项目的特定资格要求</w:t>
            </w:r>
          </w:p>
          <w:p w14:paraId="4505F2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3.1供应商具有有效的营业执照；</w:t>
            </w:r>
          </w:p>
          <w:p w14:paraId="7BF768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3.2供应商具有工程设计建筑行业（建筑工程）专业乙级及以上资质；并在人员、设备、资金等方面具有相应的设计能力。</w:t>
            </w:r>
          </w:p>
          <w:p w14:paraId="34D091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3.3拟派项目负责人须具备相关专业注册建筑师资格及相关专业中级及以上技术职称；</w:t>
            </w:r>
          </w:p>
          <w:p w14:paraId="1D1D9E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3.4供应商自行出具本单位无商业贿赂及无不正当竞争行为的承诺书；</w:t>
            </w:r>
          </w:p>
          <w:p w14:paraId="37E091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5B986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5E7589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3.7本项目不接受联合体投标，提供非联合体投标承诺，格式自拟。</w:t>
            </w:r>
          </w:p>
          <w:p w14:paraId="5EC558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注：本项目实行资格后审，资格审查的具体要求见竞争性磋商文件。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w:t>
            </w:r>
            <w:r>
              <w:rPr>
                <w:rFonts w:hint="eastAsia" w:ascii="宋体" w:hAnsi="宋体" w:cs="Times New Roman"/>
                <w:color w:val="auto"/>
                <w:sz w:val="24"/>
                <w:szCs w:val="28"/>
                <w:highlight w:val="none"/>
                <w:lang w:val="en-US" w:eastAsia="zh-CN"/>
              </w:rPr>
              <w:t>5</w:t>
            </w:r>
            <w:r>
              <w:rPr>
                <w:rFonts w:hint="eastAsia" w:ascii="宋体" w:hAnsi="宋体" w:cs="Times New Roman"/>
                <w:color w:val="auto"/>
                <w:sz w:val="24"/>
                <w:szCs w:val="28"/>
                <w:highlight w:val="none"/>
                <w:lang w:eastAsia="zh-CN"/>
              </w:rPr>
              <w:t>月</w:t>
            </w:r>
            <w:r>
              <w:rPr>
                <w:rFonts w:hint="eastAsia" w:ascii="宋体" w:hAnsi="宋体" w:cs="Times New Roman"/>
                <w:color w:val="auto"/>
                <w:sz w:val="24"/>
                <w:szCs w:val="28"/>
                <w:highlight w:val="none"/>
                <w:lang w:val="en-US" w:eastAsia="zh-CN"/>
              </w:rPr>
              <w:t>8</w:t>
            </w:r>
            <w:r>
              <w:rPr>
                <w:rFonts w:hint="eastAsia" w:ascii="宋体" w:hAnsi="宋体" w:cs="Times New Roman"/>
                <w:color w:val="auto"/>
                <w:sz w:val="24"/>
                <w:szCs w:val="28"/>
                <w:highlight w:val="none"/>
                <w:lang w:eastAsia="zh-CN"/>
              </w:rPr>
              <w:t>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w:t>
            </w:r>
            <w:r>
              <w:rPr>
                <w:rFonts w:hint="eastAsia" w:ascii="宋体" w:hAnsi="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w:t>
            </w:r>
            <w:r>
              <w:rPr>
                <w:rFonts w:hint="eastAsia" w:ascii="宋体" w:hAnsi="宋体" w:cs="Times New Roman"/>
                <w:color w:val="auto"/>
                <w:sz w:val="24"/>
                <w:szCs w:val="28"/>
                <w:highlight w:val="none"/>
                <w:lang w:val="en-US" w:eastAsia="zh-CN"/>
              </w:rPr>
              <w:t>5</w:t>
            </w:r>
            <w:r>
              <w:rPr>
                <w:rFonts w:hint="eastAsia" w:ascii="宋体" w:hAnsi="宋体" w:cs="Times New Roman"/>
                <w:color w:val="auto"/>
                <w:sz w:val="24"/>
                <w:szCs w:val="28"/>
                <w:highlight w:val="none"/>
                <w:lang w:eastAsia="zh-CN"/>
              </w:rPr>
              <w:t>月</w:t>
            </w:r>
            <w:r>
              <w:rPr>
                <w:rFonts w:hint="eastAsia" w:ascii="宋体" w:hAnsi="宋体" w:cs="Times New Roman"/>
                <w:color w:val="auto"/>
                <w:sz w:val="24"/>
                <w:szCs w:val="28"/>
                <w:highlight w:val="none"/>
                <w:lang w:val="en-US" w:eastAsia="zh-CN"/>
              </w:rPr>
              <w:t>8</w:t>
            </w:r>
            <w:r>
              <w:rPr>
                <w:rFonts w:hint="eastAsia" w:ascii="宋体" w:hAnsi="宋体" w:cs="Times New Roman"/>
                <w:color w:val="auto"/>
                <w:sz w:val="24"/>
                <w:szCs w:val="28"/>
                <w:highlight w:val="none"/>
                <w:lang w:eastAsia="zh-CN"/>
              </w:rPr>
              <w:t>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义马市</w:t>
            </w:r>
            <w:r>
              <w:rPr>
                <w:rFonts w:hint="eastAsia" w:ascii="宋体" w:hAnsi="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06C4A3D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捌拾壹万伍仟元整</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815000.00元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其他未列明行业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采购内容</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服务周期</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服务要求</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服务方案</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7</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2"/>
        <w:tabs>
          <w:tab w:val="left" w:pos="1123"/>
        </w:tabs>
        <w:spacing w:before="62"/>
        <w:rPr>
          <w:b/>
          <w:bCs/>
          <w:color w:val="auto"/>
          <w:sz w:val="32"/>
          <w:szCs w:val="36"/>
          <w:highlight w:val="none"/>
        </w:rPr>
      </w:pPr>
      <w:bookmarkStart w:id="4" w:name="_Toc14560"/>
      <w:r>
        <w:rPr>
          <w:color w:val="auto"/>
          <w:sz w:val="32"/>
          <w:szCs w:val="32"/>
          <w:highlight w:val="none"/>
        </w:rPr>
        <w:t>第三章</w:t>
      </w:r>
      <w:r>
        <w:rPr>
          <w:rFonts w:hint="eastAsia"/>
          <w:color w:val="auto"/>
          <w:sz w:val="32"/>
          <w:szCs w:val="32"/>
          <w:highlight w:val="none"/>
          <w:lang w:val="en-US" w:eastAsia="zh-CN"/>
        </w:rPr>
        <w:t xml:space="preserve"> </w:t>
      </w:r>
      <w:r>
        <w:rPr>
          <w:color w:val="auto"/>
          <w:sz w:val="32"/>
          <w:szCs w:val="32"/>
          <w:highlight w:val="none"/>
        </w:rPr>
        <w:t>评标办法</w:t>
      </w:r>
      <w:bookmarkEnd w:id="4"/>
    </w:p>
    <w:p w14:paraId="4A633411">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20"/>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3C8E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FB400A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2E0A288">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落实政府采购政策</w:t>
            </w:r>
          </w:p>
        </w:tc>
        <w:tc>
          <w:tcPr>
            <w:tcW w:w="5575" w:type="dxa"/>
            <w:noWrap w:val="0"/>
            <w:vAlign w:val="center"/>
          </w:tcPr>
          <w:p w14:paraId="6E43B304">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提供《中小企业声明函》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0F117ED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81CA85C">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资质证书及项目负责人</w:t>
            </w:r>
          </w:p>
        </w:tc>
        <w:tc>
          <w:tcPr>
            <w:tcW w:w="5575" w:type="dxa"/>
            <w:noWrap w:val="0"/>
            <w:vAlign w:val="center"/>
          </w:tcPr>
          <w:p w14:paraId="3EAEBC5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供应商具有</w:t>
            </w:r>
            <w:r>
              <w:rPr>
                <w:rFonts w:hint="eastAsia" w:ascii="宋体" w:hAnsi="宋体" w:eastAsia="宋体" w:cs="宋体"/>
                <w:b w:val="0"/>
                <w:i w:val="0"/>
                <w:caps w:val="0"/>
                <w:color w:val="auto"/>
                <w:spacing w:val="0"/>
                <w:w w:val="100"/>
                <w:sz w:val="24"/>
                <w:szCs w:val="24"/>
                <w:highlight w:val="none"/>
                <w:lang w:eastAsia="zh-CN"/>
              </w:rPr>
              <w:t>工程设计建筑行业（建筑工程）专业乙级及以上资质</w:t>
            </w:r>
            <w:r>
              <w:rPr>
                <w:rFonts w:hint="eastAsia" w:ascii="宋体" w:hAnsi="宋体" w:eastAsia="宋体" w:cs="宋体"/>
                <w:color w:val="auto"/>
                <w:kern w:val="2"/>
                <w:sz w:val="24"/>
                <w:szCs w:val="24"/>
                <w:highlight w:val="none"/>
                <w:lang w:val="en-US" w:eastAsia="zh-CN" w:bidi="ar-SA"/>
              </w:rPr>
              <w:t>；并在人员、设备、资金等方面具有相应的设计能力。</w:t>
            </w:r>
          </w:p>
          <w:p w14:paraId="70F5EBE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拟派项目负责人须具备相关专业注册建筑师资格及相关专业中级及以上技术职称；</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服务周期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20日历天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F176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满足国家、行业、地方相关规范要求及采购人需求</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55F69FFF">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20"/>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23B41B55">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47BA5201">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67521F2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12669253">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D9207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4818538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5</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44AEAD57">
            <w:pPr>
              <w:widowControl/>
              <w:spacing w:line="400" w:lineRule="exact"/>
              <w:jc w:val="center"/>
              <w:rPr>
                <w:rFonts w:ascii="宋体" w:hAnsi="宋体"/>
                <w:sz w:val="24"/>
              </w:rPr>
            </w:pPr>
            <w:r>
              <w:rPr>
                <w:rFonts w:ascii="宋体" w:hAnsi="宋体"/>
                <w:sz w:val="24"/>
              </w:rPr>
              <w:t>内容完整性和编制水平</w:t>
            </w:r>
          </w:p>
          <w:p w14:paraId="37C2548B">
            <w:pPr>
              <w:widowControl/>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sz w:val="24"/>
              </w:rPr>
              <w:t>(0-5分)</w:t>
            </w:r>
          </w:p>
        </w:tc>
        <w:tc>
          <w:tcPr>
            <w:tcW w:w="7531" w:type="dxa"/>
            <w:gridSpan w:val="2"/>
            <w:shd w:val="clear" w:color="auto" w:fill="auto"/>
            <w:vAlign w:val="center"/>
          </w:tcPr>
          <w:p w14:paraId="51AC0B32">
            <w:pPr>
              <w:spacing w:line="360" w:lineRule="auto"/>
              <w:ind w:right="-21" w:rightChars="-10"/>
              <w:rPr>
                <w:rFonts w:hint="eastAsia" w:ascii="宋体" w:hAnsi="宋体" w:eastAsia="宋体" w:cs="宋体"/>
                <w:color w:val="auto"/>
                <w:sz w:val="24"/>
                <w:szCs w:val="22"/>
                <w:highlight w:val="none"/>
              </w:rPr>
            </w:pPr>
            <w:r>
              <w:rPr>
                <w:rFonts w:ascii="宋体" w:hAnsi="宋体" w:eastAsia="宋体"/>
                <w:sz w:val="24"/>
              </w:rPr>
              <w:t>内容完整，层次清楚，描述准确</w:t>
            </w:r>
            <w:r>
              <w:rPr>
                <w:rFonts w:hint="eastAsia" w:ascii="宋体" w:hAnsi="宋体" w:eastAsia="宋体"/>
                <w:sz w:val="24"/>
              </w:rPr>
              <w:t>，响应</w:t>
            </w:r>
            <w:r>
              <w:rPr>
                <w:rFonts w:hint="eastAsia" w:ascii="宋体" w:hAnsi="宋体" w:eastAsia="宋体"/>
                <w:sz w:val="24"/>
                <w:lang w:val="en-US" w:eastAsia="zh-CN"/>
              </w:rPr>
              <w:t>磋商</w:t>
            </w:r>
            <w:r>
              <w:rPr>
                <w:rFonts w:hint="eastAsia" w:ascii="宋体" w:hAnsi="宋体" w:eastAsia="宋体"/>
                <w:sz w:val="24"/>
              </w:rPr>
              <w:t>文件的全部内容</w:t>
            </w:r>
            <w:r>
              <w:rPr>
                <w:rFonts w:ascii="宋体" w:hAnsi="宋体" w:eastAsia="宋体"/>
                <w:sz w:val="24"/>
              </w:rPr>
              <w:t>。</w:t>
            </w:r>
            <w:r>
              <w:rPr>
                <w:rFonts w:hint="eastAsia" w:ascii="宋体" w:hAnsi="宋体" w:eastAsia="宋体"/>
                <w:sz w:val="24"/>
              </w:rPr>
              <w:t>横向比较，最佳得5分，较好得3分，一般得</w:t>
            </w:r>
            <w:r>
              <w:rPr>
                <w:rFonts w:hint="eastAsia" w:ascii="宋体" w:hAnsi="宋体" w:eastAsia="宋体"/>
                <w:sz w:val="24"/>
                <w:lang w:val="en-US" w:eastAsia="zh-CN"/>
              </w:rPr>
              <w:t>1</w:t>
            </w:r>
            <w:r>
              <w:rPr>
                <w:rFonts w:hint="eastAsia" w:ascii="宋体" w:hAnsi="宋体" w:eastAsia="宋体"/>
                <w:sz w:val="24"/>
              </w:rPr>
              <w:t>分。</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DC46314">
            <w:pPr>
              <w:widowControl/>
              <w:spacing w:before="62" w:beforeLines="20"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kern w:val="0"/>
                <w:sz w:val="24"/>
              </w:rPr>
              <w:t>项目区现状掌握情况以及对本项目实施必要性的理解程度（</w:t>
            </w:r>
            <w:r>
              <w:rPr>
                <w:rFonts w:hint="eastAsia" w:ascii="宋体" w:hAnsi="宋体"/>
                <w:sz w:val="24"/>
              </w:rPr>
              <w:t>0-</w:t>
            </w:r>
            <w:r>
              <w:rPr>
                <w:rFonts w:hint="eastAsia" w:ascii="宋体" w:hAnsi="宋体"/>
                <w:kern w:val="0"/>
                <w:sz w:val="24"/>
              </w:rPr>
              <w:t>10分）</w:t>
            </w:r>
          </w:p>
        </w:tc>
        <w:tc>
          <w:tcPr>
            <w:tcW w:w="7531" w:type="dxa"/>
            <w:gridSpan w:val="2"/>
            <w:shd w:val="clear" w:color="auto" w:fill="auto"/>
            <w:vAlign w:val="center"/>
          </w:tcPr>
          <w:p w14:paraId="52C87EDA">
            <w:pPr>
              <w:widowControl/>
              <w:spacing w:before="62" w:beforeLines="20" w:line="276" w:lineRule="auto"/>
              <w:rPr>
                <w:rFonts w:hint="eastAsia" w:ascii="宋体" w:hAnsi="宋体" w:eastAsia="宋体" w:cs="宋体"/>
                <w:color w:val="auto"/>
                <w:sz w:val="24"/>
                <w:szCs w:val="22"/>
                <w:highlight w:val="none"/>
              </w:rPr>
            </w:pPr>
            <w:r>
              <w:rPr>
                <w:rFonts w:hint="eastAsia" w:ascii="宋体" w:hAnsi="宋体"/>
                <w:kern w:val="0"/>
                <w:sz w:val="24"/>
              </w:rPr>
              <w:t>对设计的理解、对项目背景的分析以及对本项目实施必要性理解准确，分析透彻、全面的得10分；理解和分析一般的得5分；理解不准确，分析缺乏针对性的得</w:t>
            </w:r>
            <w:r>
              <w:rPr>
                <w:rFonts w:hint="eastAsia" w:ascii="宋体" w:hAnsi="宋体"/>
                <w:kern w:val="0"/>
                <w:sz w:val="24"/>
                <w:lang w:val="en-US" w:eastAsia="zh-CN"/>
              </w:rPr>
              <w:t>1</w:t>
            </w:r>
            <w:r>
              <w:rPr>
                <w:rFonts w:hint="eastAsia" w:ascii="宋体" w:hAnsi="宋体"/>
                <w:kern w:val="0"/>
                <w:sz w:val="24"/>
              </w:rPr>
              <w:t>分。</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90F9A05">
            <w:pPr>
              <w:widowControl/>
              <w:spacing w:before="62" w:beforeLines="20"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sz w:val="24"/>
                <w:lang w:val="en-US" w:eastAsia="zh-CN"/>
              </w:rPr>
              <w:t>设计工作重点、难点分析</w:t>
            </w:r>
            <w:r>
              <w:rPr>
                <w:rFonts w:hint="eastAsia" w:ascii="宋体" w:hAnsi="宋体"/>
                <w:kern w:val="0"/>
                <w:sz w:val="24"/>
              </w:rPr>
              <w:t>（</w:t>
            </w:r>
            <w:r>
              <w:rPr>
                <w:rFonts w:hint="eastAsia" w:ascii="宋体" w:hAnsi="宋体"/>
                <w:sz w:val="24"/>
              </w:rPr>
              <w:t>0-</w:t>
            </w:r>
            <w:r>
              <w:rPr>
                <w:rFonts w:hint="eastAsia" w:ascii="宋体" w:hAnsi="宋体"/>
                <w:kern w:val="0"/>
                <w:sz w:val="24"/>
              </w:rPr>
              <w:t>10分）</w:t>
            </w:r>
          </w:p>
        </w:tc>
        <w:tc>
          <w:tcPr>
            <w:tcW w:w="7531" w:type="dxa"/>
            <w:gridSpan w:val="2"/>
            <w:shd w:val="clear" w:color="auto" w:fill="auto"/>
            <w:vAlign w:val="center"/>
          </w:tcPr>
          <w:p w14:paraId="6ED206C1">
            <w:pPr>
              <w:widowControl/>
              <w:spacing w:before="62" w:beforeLines="20" w:after="200" w:line="276" w:lineRule="auto"/>
              <w:rPr>
                <w:rFonts w:hint="eastAsia" w:ascii="宋体" w:hAnsi="宋体"/>
                <w:kern w:val="0"/>
                <w:sz w:val="24"/>
              </w:rPr>
            </w:pPr>
            <w:r>
              <w:rPr>
                <w:rFonts w:hint="eastAsia" w:ascii="宋体" w:hAnsi="宋体"/>
                <w:kern w:val="0"/>
                <w:sz w:val="24"/>
              </w:rPr>
              <w:t>1、根据设计工作重点、难点分析内容详细、合理、可行，得10分；</w:t>
            </w:r>
          </w:p>
          <w:p w14:paraId="76200BCA">
            <w:pPr>
              <w:widowControl/>
              <w:spacing w:before="62" w:beforeLines="20" w:after="200" w:line="276" w:lineRule="auto"/>
              <w:rPr>
                <w:rFonts w:hint="eastAsia" w:ascii="宋体" w:hAnsi="宋体"/>
                <w:kern w:val="0"/>
                <w:sz w:val="24"/>
              </w:rPr>
            </w:pPr>
            <w:r>
              <w:rPr>
                <w:rFonts w:hint="eastAsia" w:ascii="宋体" w:hAnsi="宋体"/>
                <w:kern w:val="0"/>
                <w:sz w:val="24"/>
              </w:rPr>
              <w:t>2、根据设计工作重点、难点分析内容较详细、较合理、可行，得5分；</w:t>
            </w:r>
          </w:p>
          <w:p w14:paraId="638097C5">
            <w:pPr>
              <w:widowControl/>
              <w:spacing w:before="62" w:beforeLines="20" w:after="200" w:line="276" w:lineRule="auto"/>
              <w:rPr>
                <w:rFonts w:hint="eastAsia" w:ascii="宋体" w:hAnsi="宋体" w:eastAsia="宋体" w:cs="宋体"/>
                <w:color w:val="auto"/>
                <w:sz w:val="24"/>
                <w:szCs w:val="22"/>
                <w:highlight w:val="none"/>
              </w:rPr>
            </w:pPr>
            <w:r>
              <w:rPr>
                <w:rFonts w:hint="eastAsia" w:ascii="宋体" w:hAnsi="宋体"/>
                <w:kern w:val="0"/>
                <w:sz w:val="24"/>
              </w:rPr>
              <w:t>3、根据设计工作重点、难点分析内容一般，得1分。</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EDB4A32">
            <w:pPr>
              <w:jc w:val="center"/>
              <w:rPr>
                <w:rFonts w:ascii="宋体" w:hAnsi="宋体"/>
                <w:sz w:val="24"/>
              </w:rPr>
            </w:pPr>
            <w:r>
              <w:rPr>
                <w:rFonts w:hint="eastAsia" w:ascii="宋体" w:hAnsi="宋体"/>
                <w:sz w:val="24"/>
              </w:rPr>
              <w:t>针对本项目特点及关键性技术问题提出合理化建议</w:t>
            </w:r>
          </w:p>
          <w:p w14:paraId="7C50DEEB">
            <w:pPr>
              <w:jc w:val="center"/>
              <w:rPr>
                <w:rFonts w:hint="eastAsia" w:ascii="宋体" w:hAnsi="宋体" w:eastAsia="宋体" w:cs="宋体"/>
                <w:color w:val="auto"/>
                <w:kern w:val="2"/>
                <w:sz w:val="24"/>
                <w:szCs w:val="24"/>
                <w:highlight w:val="none"/>
                <w:lang w:val="en-US" w:eastAsia="zh-CN" w:bidi="ar-SA"/>
              </w:rPr>
            </w:pPr>
            <w:r>
              <w:rPr>
                <w:rFonts w:hint="eastAsia" w:ascii="宋体" w:hAnsi="宋体"/>
                <w:sz w:val="24"/>
              </w:rPr>
              <w:t>（0-10分）</w:t>
            </w:r>
          </w:p>
        </w:tc>
        <w:tc>
          <w:tcPr>
            <w:tcW w:w="7531" w:type="dxa"/>
            <w:gridSpan w:val="2"/>
            <w:shd w:val="clear" w:color="auto" w:fill="auto"/>
            <w:vAlign w:val="center"/>
          </w:tcPr>
          <w:p w14:paraId="2ED953E8">
            <w:pPr>
              <w:spacing w:line="312" w:lineRule="auto"/>
              <w:rPr>
                <w:rFonts w:hint="eastAsia" w:ascii="宋体" w:hAnsi="宋体" w:eastAsia="宋体" w:cs="宋体"/>
                <w:color w:val="auto"/>
                <w:sz w:val="24"/>
                <w:szCs w:val="22"/>
                <w:highlight w:val="none"/>
              </w:rPr>
            </w:pPr>
            <w:r>
              <w:rPr>
                <w:rFonts w:hint="eastAsia" w:ascii="宋体" w:hAnsi="宋体"/>
                <w:sz w:val="24"/>
              </w:rPr>
              <w:t>供应商针对本项目的特点及关键性技术问题的对策措施提出合理化建议优越可行程度：优得</w:t>
            </w:r>
            <w:r>
              <w:rPr>
                <w:rFonts w:hint="eastAsia" w:ascii="宋体" w:hAnsi="宋体"/>
                <w:kern w:val="0"/>
                <w:sz w:val="24"/>
              </w:rPr>
              <w:t>10</w:t>
            </w:r>
            <w:r>
              <w:rPr>
                <w:rFonts w:hint="eastAsia" w:ascii="宋体" w:hAnsi="宋体"/>
                <w:sz w:val="24"/>
              </w:rPr>
              <w:t>分；较好得</w:t>
            </w:r>
            <w:r>
              <w:rPr>
                <w:rFonts w:hint="eastAsia" w:ascii="宋体" w:hAnsi="宋体"/>
                <w:kern w:val="0"/>
                <w:sz w:val="24"/>
              </w:rPr>
              <w:t>5</w:t>
            </w:r>
            <w:r>
              <w:rPr>
                <w:rFonts w:hint="eastAsia" w:ascii="宋体" w:hAnsi="宋体"/>
                <w:sz w:val="24"/>
              </w:rPr>
              <w:t>分；一般得</w:t>
            </w:r>
            <w:r>
              <w:rPr>
                <w:rFonts w:hint="eastAsia" w:ascii="宋体" w:hAnsi="宋体"/>
                <w:kern w:val="0"/>
                <w:sz w:val="24"/>
                <w:lang w:val="en-US" w:eastAsia="zh-CN"/>
              </w:rPr>
              <w:t>1</w:t>
            </w:r>
            <w:r>
              <w:rPr>
                <w:rFonts w:hint="eastAsia" w:ascii="宋体" w:hAnsi="宋体"/>
                <w:sz w:val="24"/>
              </w:rPr>
              <w:t>分。</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28038E1">
            <w:pPr>
              <w:jc w:val="center"/>
              <w:rPr>
                <w:rFonts w:ascii="宋体" w:hAnsi="宋体"/>
                <w:sz w:val="24"/>
              </w:rPr>
            </w:pPr>
            <w:r>
              <w:rPr>
                <w:rFonts w:hint="eastAsia" w:ascii="宋体" w:hAnsi="宋体"/>
                <w:sz w:val="24"/>
              </w:rPr>
              <w:t>服务周期、进度安排合理</w:t>
            </w:r>
          </w:p>
          <w:p w14:paraId="2FC89E7C">
            <w:pPr>
              <w:jc w:val="center"/>
              <w:rPr>
                <w:rFonts w:hint="eastAsia" w:ascii="宋体" w:hAnsi="宋体" w:eastAsia="宋体" w:cs="宋体"/>
                <w:color w:val="auto"/>
                <w:kern w:val="2"/>
                <w:sz w:val="24"/>
                <w:szCs w:val="24"/>
                <w:highlight w:val="none"/>
                <w:lang w:val="en-US" w:eastAsia="zh-CN" w:bidi="ar-SA"/>
              </w:rPr>
            </w:pPr>
            <w:r>
              <w:rPr>
                <w:rFonts w:hint="eastAsia" w:ascii="宋体" w:hAnsi="宋体"/>
                <w:sz w:val="24"/>
              </w:rPr>
              <w:t>（0-10分）</w:t>
            </w:r>
          </w:p>
        </w:tc>
        <w:tc>
          <w:tcPr>
            <w:tcW w:w="7531" w:type="dxa"/>
            <w:gridSpan w:val="2"/>
            <w:shd w:val="clear" w:color="auto" w:fill="auto"/>
            <w:vAlign w:val="center"/>
          </w:tcPr>
          <w:p w14:paraId="4C81124B">
            <w:pPr>
              <w:spacing w:line="312" w:lineRule="auto"/>
              <w:rPr>
                <w:rFonts w:ascii="宋体" w:hAnsi="宋体"/>
                <w:sz w:val="24"/>
              </w:rPr>
            </w:pPr>
            <w:r>
              <w:rPr>
                <w:rFonts w:hint="eastAsia" w:ascii="宋体" w:hAnsi="宋体"/>
                <w:sz w:val="24"/>
              </w:rPr>
              <w:t>1、服务周期满足项目需求，实施进度安排编制完整，程序清晰，安排科学，措施有力，切实可行，得</w:t>
            </w:r>
            <w:r>
              <w:rPr>
                <w:rFonts w:hint="eastAsia" w:ascii="宋体" w:hAnsi="宋体"/>
                <w:kern w:val="0"/>
                <w:sz w:val="24"/>
              </w:rPr>
              <w:t>10</w:t>
            </w:r>
            <w:r>
              <w:rPr>
                <w:rFonts w:hint="eastAsia" w:ascii="宋体" w:hAnsi="宋体"/>
                <w:sz w:val="24"/>
              </w:rPr>
              <w:t>分；</w:t>
            </w:r>
          </w:p>
          <w:p w14:paraId="061FC12E">
            <w:pPr>
              <w:spacing w:line="312" w:lineRule="auto"/>
              <w:rPr>
                <w:rFonts w:ascii="宋体" w:hAnsi="宋体"/>
                <w:sz w:val="24"/>
              </w:rPr>
            </w:pPr>
            <w:r>
              <w:rPr>
                <w:rFonts w:hint="eastAsia" w:ascii="宋体" w:hAnsi="宋体"/>
                <w:sz w:val="24"/>
              </w:rPr>
              <w:t>2、服务周期满足项目需求，但实施进度安排完整性、程序清晰性基本保证，且提出了一定措施的得</w:t>
            </w:r>
            <w:r>
              <w:rPr>
                <w:rFonts w:hint="eastAsia" w:ascii="宋体" w:hAnsi="宋体"/>
                <w:kern w:val="0"/>
                <w:sz w:val="24"/>
                <w:lang w:val="en-US" w:eastAsia="zh-CN"/>
              </w:rPr>
              <w:t>5</w:t>
            </w:r>
            <w:r>
              <w:rPr>
                <w:rFonts w:hint="eastAsia" w:ascii="宋体" w:hAnsi="宋体"/>
                <w:sz w:val="24"/>
              </w:rPr>
              <w:t>分；</w:t>
            </w:r>
          </w:p>
          <w:p w14:paraId="6C55C624">
            <w:pPr>
              <w:spacing w:line="312" w:lineRule="auto"/>
              <w:rPr>
                <w:rFonts w:hint="eastAsia" w:ascii="宋体" w:hAnsi="宋体" w:eastAsia="宋体" w:cs="宋体"/>
                <w:color w:val="auto"/>
                <w:sz w:val="24"/>
                <w:szCs w:val="22"/>
                <w:highlight w:val="none"/>
              </w:rPr>
            </w:pPr>
            <w:r>
              <w:rPr>
                <w:rFonts w:hint="eastAsia" w:ascii="宋体" w:hAnsi="宋体"/>
                <w:kern w:val="0"/>
                <w:sz w:val="24"/>
              </w:rPr>
              <w:t>3、实施进度安排编制有一定缺陷，有错误（如：与投标服务周期有矛盾等）得</w:t>
            </w:r>
            <w:r>
              <w:rPr>
                <w:rFonts w:hint="eastAsia" w:ascii="宋体" w:hAnsi="宋体"/>
                <w:kern w:val="0"/>
                <w:sz w:val="24"/>
                <w:lang w:val="en-US" w:eastAsia="zh-CN"/>
              </w:rPr>
              <w:t>1</w:t>
            </w:r>
            <w:r>
              <w:rPr>
                <w:rFonts w:hint="eastAsia" w:ascii="宋体" w:hAnsi="宋体"/>
                <w:kern w:val="0"/>
                <w:sz w:val="24"/>
              </w:rPr>
              <w:t>分。</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0D6B55A">
            <w:pPr>
              <w:widowControl/>
              <w:spacing w:before="62" w:beforeLines="20" w:line="300" w:lineRule="exact"/>
              <w:jc w:val="center"/>
              <w:rPr>
                <w:rFonts w:ascii="宋体" w:hAnsi="宋体"/>
                <w:kern w:val="0"/>
                <w:sz w:val="24"/>
              </w:rPr>
            </w:pPr>
            <w:r>
              <w:rPr>
                <w:rFonts w:hint="eastAsia" w:ascii="宋体" w:hAnsi="宋体"/>
                <w:kern w:val="0"/>
                <w:sz w:val="24"/>
              </w:rPr>
              <w:t>服务质量保证体系及措施</w:t>
            </w:r>
          </w:p>
          <w:p w14:paraId="09D07BFA">
            <w:pPr>
              <w:widowControl/>
              <w:spacing w:before="62" w:beforeLines="20" w:line="3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kern w:val="0"/>
                <w:sz w:val="24"/>
              </w:rPr>
              <w:t>（</w:t>
            </w:r>
            <w:r>
              <w:rPr>
                <w:rFonts w:hint="eastAsia" w:ascii="宋体" w:hAnsi="宋体"/>
                <w:sz w:val="24"/>
              </w:rPr>
              <w:t>0-</w:t>
            </w:r>
            <w:r>
              <w:rPr>
                <w:rFonts w:hint="eastAsia" w:ascii="宋体" w:hAnsi="宋体"/>
                <w:kern w:val="0"/>
                <w:sz w:val="24"/>
              </w:rPr>
              <w:t>10分）</w:t>
            </w:r>
          </w:p>
        </w:tc>
        <w:tc>
          <w:tcPr>
            <w:tcW w:w="7531" w:type="dxa"/>
            <w:gridSpan w:val="2"/>
            <w:shd w:val="clear" w:color="auto" w:fill="auto"/>
            <w:vAlign w:val="center"/>
          </w:tcPr>
          <w:p w14:paraId="304C271E">
            <w:pPr>
              <w:widowControl/>
              <w:spacing w:before="62" w:beforeLines="20" w:line="300" w:lineRule="exact"/>
              <w:rPr>
                <w:rFonts w:ascii="宋体" w:hAnsi="宋体" w:cs="黑体"/>
                <w:kern w:val="0"/>
                <w:sz w:val="24"/>
              </w:rPr>
            </w:pPr>
            <w:r>
              <w:rPr>
                <w:rFonts w:hint="eastAsia" w:ascii="宋体" w:hAnsi="宋体"/>
                <w:kern w:val="0"/>
                <w:sz w:val="24"/>
              </w:rPr>
              <w:t>1、服务质量承诺较好，质量保证措施完善、可行的得10分；</w:t>
            </w:r>
          </w:p>
          <w:p w14:paraId="14CF69E0">
            <w:pPr>
              <w:widowControl/>
              <w:spacing w:before="62" w:beforeLines="20" w:line="300" w:lineRule="exact"/>
              <w:rPr>
                <w:rFonts w:ascii="宋体" w:hAnsi="宋体"/>
                <w:kern w:val="0"/>
                <w:sz w:val="24"/>
              </w:rPr>
            </w:pPr>
            <w:r>
              <w:rPr>
                <w:rFonts w:hint="eastAsia" w:ascii="宋体" w:hAnsi="宋体"/>
                <w:kern w:val="0"/>
                <w:sz w:val="24"/>
              </w:rPr>
              <w:t>2、服务质量承诺一般，质量保证措施基本完善、基本可行的得</w:t>
            </w:r>
            <w:r>
              <w:rPr>
                <w:rFonts w:hint="eastAsia" w:ascii="宋体" w:hAnsi="宋体"/>
                <w:kern w:val="0"/>
                <w:sz w:val="24"/>
                <w:lang w:val="en-US" w:eastAsia="zh-CN"/>
              </w:rPr>
              <w:t>5</w:t>
            </w:r>
            <w:r>
              <w:rPr>
                <w:rFonts w:hint="eastAsia" w:ascii="宋体" w:hAnsi="宋体"/>
                <w:kern w:val="0"/>
                <w:sz w:val="24"/>
              </w:rPr>
              <w:t>分；</w:t>
            </w:r>
          </w:p>
          <w:p w14:paraId="585F9C47">
            <w:pPr>
              <w:widowControl/>
              <w:spacing w:before="62" w:beforeLines="20" w:line="300" w:lineRule="exact"/>
              <w:rPr>
                <w:rFonts w:hint="eastAsia" w:ascii="宋体" w:hAnsi="宋体" w:eastAsia="宋体" w:cs="宋体"/>
                <w:color w:val="auto"/>
                <w:sz w:val="24"/>
                <w:szCs w:val="22"/>
                <w:highlight w:val="none"/>
              </w:rPr>
            </w:pPr>
            <w:r>
              <w:rPr>
                <w:rFonts w:hint="eastAsia" w:ascii="宋体" w:hAnsi="宋体"/>
                <w:kern w:val="0"/>
                <w:sz w:val="24"/>
              </w:rPr>
              <w:t>3、服务质量承诺较差，质量保证措施不完善的得</w:t>
            </w:r>
            <w:r>
              <w:rPr>
                <w:rFonts w:hint="eastAsia" w:ascii="宋体" w:hAnsi="宋体"/>
                <w:kern w:val="0"/>
                <w:sz w:val="24"/>
                <w:lang w:val="en-US" w:eastAsia="zh-CN"/>
              </w:rPr>
              <w:t>1</w:t>
            </w:r>
            <w:r>
              <w:rPr>
                <w:rFonts w:hint="eastAsia" w:ascii="宋体" w:hAnsi="宋体"/>
                <w:kern w:val="0"/>
                <w:sz w:val="24"/>
              </w:rPr>
              <w:t>分。</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15</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411A4D08">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snapToGrid w:val="0"/>
                <w:color w:val="auto"/>
                <w:kern w:val="0"/>
                <w:sz w:val="24"/>
                <w:highlight w:val="none"/>
              </w:rPr>
              <w:t>企业业绩</w:t>
            </w:r>
          </w:p>
        </w:tc>
        <w:tc>
          <w:tcPr>
            <w:tcW w:w="6656" w:type="dxa"/>
            <w:vAlign w:val="center"/>
          </w:tcPr>
          <w:p w14:paraId="5F54A376">
            <w:pPr>
              <w:pStyle w:val="40"/>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w:t>
            </w:r>
          </w:p>
          <w:p w14:paraId="0379BE01">
            <w:pPr>
              <w:pStyle w:val="40"/>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w:t>
            </w:r>
            <w:r>
              <w:rPr>
                <w:rFonts w:hint="eastAsia" w:ascii="宋体" w:hAnsi="宋体" w:cs="宋体"/>
                <w:bCs/>
                <w:color w:val="auto"/>
                <w:szCs w:val="21"/>
                <w:highlight w:val="none"/>
                <w:lang w:val="en-US" w:eastAsia="zh-CN"/>
              </w:rPr>
              <w:t>或</w:t>
            </w:r>
            <w:r>
              <w:rPr>
                <w:rFonts w:hint="eastAsia" w:ascii="宋体" w:hAnsi="宋体" w:eastAsia="宋体" w:cs="宋体"/>
                <w:bCs/>
                <w:color w:val="auto"/>
                <w:szCs w:val="21"/>
                <w:highlight w:val="none"/>
              </w:rPr>
              <w:t>合同协议书为准,内容不完整则不得分）</w:t>
            </w:r>
          </w:p>
        </w:tc>
        <w:tc>
          <w:tcPr>
            <w:tcW w:w="875" w:type="dxa"/>
            <w:vAlign w:val="center"/>
          </w:tcPr>
          <w:p w14:paraId="3790F3CA">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lang w:val="en-US" w:eastAsia="zh-CN"/>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763663EA">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4FC1F45C">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2F71D39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0A5F02BE">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6B216014">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272262C0">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B1FDE28">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1E337148">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7ECE04B4">
            <w:pPr>
              <w:spacing w:line="360" w:lineRule="auto"/>
              <w:ind w:right="-97" w:rightChars="-46"/>
              <w:jc w:val="left"/>
              <w:rPr>
                <w:rFonts w:hint="eastAsia" w:ascii="宋体" w:hAnsi="宋体" w:eastAsia="宋体" w:cs="宋体"/>
                <w:color w:val="auto"/>
                <w:sz w:val="24"/>
                <w:szCs w:val="24"/>
                <w:highlight w:val="none"/>
              </w:rPr>
            </w:pPr>
          </w:p>
        </w:tc>
        <w:tc>
          <w:tcPr>
            <w:tcW w:w="6656" w:type="dxa"/>
            <w:vAlign w:val="center"/>
          </w:tcPr>
          <w:p w14:paraId="4FF57E1C">
            <w:pPr>
              <w:spacing w:line="360" w:lineRule="auto"/>
              <w:ind w:right="-92" w:rightChars="-44"/>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根据供应商提供的优惠及服务内容，详细完整、科学合理、针对性强得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分，较详细完整、较科学合理、针对性一般得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分，各方面较差得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分，缺项不得分。</w:t>
            </w:r>
          </w:p>
        </w:tc>
        <w:tc>
          <w:tcPr>
            <w:tcW w:w="875" w:type="dxa"/>
            <w:vAlign w:val="center"/>
          </w:tcPr>
          <w:p w14:paraId="765736D4">
            <w:pPr>
              <w:jc w:val="center"/>
              <w:rPr>
                <w:rFonts w:hint="eastAsia" w:ascii="宋体" w:hAnsi="宋体" w:eastAsia="宋体" w:cs="宋体"/>
                <w:color w:val="auto"/>
                <w:kern w:val="0"/>
                <w:sz w:val="24"/>
                <w:highlight w:val="none"/>
              </w:rPr>
            </w:pPr>
            <w:r>
              <w:rPr>
                <w:rFonts w:hint="eastAsia" w:ascii="宋体" w:hAnsi="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rPr>
              <w:t>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供应商最终得分=报价得分+技术部分得分+</w:t>
            </w:r>
            <w:r>
              <w:rPr>
                <w:rFonts w:hint="eastAsia" w:ascii="宋体" w:hAnsi="宋体" w:cs="宋体"/>
                <w:snapToGrid w:val="0"/>
                <w:color w:val="auto"/>
                <w:kern w:val="0"/>
                <w:sz w:val="24"/>
                <w:highlight w:val="none"/>
                <w:lang w:val="en-US" w:eastAsia="zh-CN"/>
              </w:rPr>
              <w:t>综合</w:t>
            </w:r>
            <w:r>
              <w:rPr>
                <w:rFonts w:hint="eastAsia" w:ascii="宋体" w:hAnsi="宋体" w:eastAsia="宋体" w:cs="宋体"/>
                <w:snapToGrid w:val="0"/>
                <w:color w:val="auto"/>
                <w:kern w:val="0"/>
                <w:sz w:val="24"/>
                <w:highlight w:val="none"/>
              </w:rPr>
              <w:t>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0"/>
        </w:numPr>
        <w:tabs>
          <w:tab w:val="left" w:pos="1283"/>
        </w:tabs>
        <w:spacing w:before="55"/>
        <w:ind w:left="0" w:leftChars="0" w:right="22" w:rightChars="0" w:firstLine="0" w:firstLineChars="0"/>
        <w:jc w:val="center"/>
        <w:outlineLvl w:val="0"/>
        <w:rPr>
          <w:rFonts w:hint="eastAsia"/>
          <w:b/>
          <w:color w:val="auto"/>
          <w:sz w:val="32"/>
          <w:highlight w:val="none"/>
        </w:rPr>
      </w:pPr>
      <w:r>
        <w:rPr>
          <w:rFonts w:hint="eastAsia"/>
          <w:b/>
          <w:color w:val="auto"/>
          <w:sz w:val="32"/>
          <w:highlight w:val="none"/>
        </w:rPr>
        <w:br w:type="page"/>
      </w:r>
      <w:bookmarkStart w:id="6" w:name="_Toc9396"/>
      <w:r>
        <w:rPr>
          <w:rFonts w:hint="eastAsia"/>
          <w:b/>
          <w:color w:val="auto"/>
          <w:sz w:val="32"/>
          <w:highlight w:val="none"/>
          <w:lang w:val="en-US" w:eastAsia="zh-CN"/>
        </w:rPr>
        <w:t xml:space="preserve">第四章 </w:t>
      </w:r>
      <w:r>
        <w:rPr>
          <w:rFonts w:hint="eastAsia"/>
          <w:b/>
          <w:color w:val="auto"/>
          <w:sz w:val="32"/>
          <w:highlight w:val="none"/>
        </w:rPr>
        <w:t>合同主要条款及格式</w:t>
      </w:r>
      <w:bookmarkEnd w:id="6"/>
    </w:p>
    <w:p w14:paraId="6CBA79CD">
      <w:pPr>
        <w:rPr>
          <w:rFonts w:hint="eastAsia" w:ascii="宋体" w:hAnsi="宋体" w:eastAsia="宋体" w:cs="宋体"/>
          <w:b/>
          <w:color w:val="auto"/>
          <w:sz w:val="32"/>
          <w:szCs w:val="32"/>
          <w:highlight w:val="none"/>
        </w:rPr>
      </w:pPr>
    </w:p>
    <w:p w14:paraId="0BE1243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sz w:val="24"/>
          <w:szCs w:val="24"/>
        </w:rPr>
        <w:t>双方应根据</w:t>
      </w:r>
      <w:r>
        <w:rPr>
          <w:rFonts w:hint="eastAsia" w:ascii="宋体" w:hAnsi="宋体" w:eastAsia="宋体" w:cs="宋体"/>
          <w:sz w:val="24"/>
          <w:szCs w:val="24"/>
          <w:lang w:val="en-US" w:eastAsia="zh-CN"/>
        </w:rPr>
        <w:t>磋商</w:t>
      </w:r>
      <w:r>
        <w:rPr>
          <w:rFonts w:hint="eastAsia" w:ascii="宋体" w:hAnsi="宋体" w:eastAsia="宋体" w:cs="宋体"/>
          <w:sz w:val="24"/>
          <w:szCs w:val="24"/>
        </w:rPr>
        <w:t>文件、</w:t>
      </w:r>
      <w:r>
        <w:rPr>
          <w:rFonts w:hint="eastAsia" w:ascii="宋体" w:hAnsi="宋体" w:eastAsia="宋体" w:cs="宋体"/>
          <w:sz w:val="24"/>
          <w:szCs w:val="24"/>
          <w:lang w:val="en-US" w:eastAsia="zh-CN"/>
        </w:rPr>
        <w:t>成交</w:t>
      </w:r>
      <w:r>
        <w:rPr>
          <w:rFonts w:hint="eastAsia" w:ascii="宋体" w:hAnsi="宋体" w:eastAsia="宋体" w:cs="宋体"/>
          <w:sz w:val="24"/>
          <w:szCs w:val="24"/>
        </w:rPr>
        <w:t>通知书、</w:t>
      </w:r>
      <w:r>
        <w:rPr>
          <w:rFonts w:hint="eastAsia" w:ascii="宋体" w:hAnsi="宋体" w:eastAsia="宋体" w:cs="宋体"/>
          <w:sz w:val="24"/>
          <w:szCs w:val="24"/>
          <w:lang w:val="en-US" w:eastAsia="zh-CN"/>
        </w:rPr>
        <w:t>成交</w:t>
      </w:r>
      <w:r>
        <w:rPr>
          <w:rFonts w:hint="eastAsia" w:ascii="宋体" w:hAnsi="宋体" w:eastAsia="宋体" w:cs="宋体"/>
          <w:sz w:val="24"/>
          <w:szCs w:val="24"/>
        </w:rPr>
        <w:t>单位</w:t>
      </w:r>
      <w:r>
        <w:rPr>
          <w:rFonts w:hint="eastAsia" w:ascii="宋体" w:hAnsi="宋体" w:eastAsia="宋体" w:cs="宋体"/>
          <w:sz w:val="24"/>
          <w:szCs w:val="24"/>
          <w:lang w:val="en-US" w:eastAsia="zh-CN"/>
        </w:rPr>
        <w:t>响应</w:t>
      </w:r>
      <w:r>
        <w:rPr>
          <w:rFonts w:hint="eastAsia" w:ascii="宋体" w:hAnsi="宋体" w:eastAsia="宋体" w:cs="宋体"/>
          <w:sz w:val="24"/>
          <w:szCs w:val="24"/>
        </w:rPr>
        <w:t>文件（包括澄清说明），以及与本项目相关的资料签订合同。所签订的合同不得背离</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文件的实质性内容要求和</w:t>
      </w:r>
      <w:r>
        <w:rPr>
          <w:rFonts w:hint="eastAsia" w:ascii="宋体" w:hAnsi="宋体" w:eastAsia="宋体" w:cs="宋体"/>
          <w:sz w:val="24"/>
          <w:szCs w:val="24"/>
          <w:lang w:val="en-US" w:eastAsia="zh-CN"/>
        </w:rPr>
        <w:t>响应</w:t>
      </w:r>
      <w:r>
        <w:rPr>
          <w:rFonts w:hint="eastAsia" w:ascii="宋体" w:hAnsi="宋体" w:eastAsia="宋体" w:cs="宋体"/>
          <w:sz w:val="24"/>
          <w:szCs w:val="24"/>
        </w:rPr>
        <w:t>文件的承诺。</w:t>
      </w:r>
    </w:p>
    <w:p w14:paraId="14F006E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4"/>
          <w:szCs w:val="24"/>
          <w:lang w:val="en-US" w:eastAsia="zh-CN" w:bidi="ar-SA"/>
        </w:rPr>
        <w:t>按《三门峡市财政局关于市本级政府采购合同备案管理工作的通知》（三财购[2021]9号）文要求，自中标通知书发出之日起2个工作日内与中标（成交）供应商按照采购文件确定的事项与供应商签订政府采购合同。</w:t>
      </w:r>
    </w:p>
    <w:p w14:paraId="21E8E5DC">
      <w:pPr>
        <w:spacing w:line="360" w:lineRule="auto"/>
        <w:ind w:firstLine="480" w:firstLineChars="200"/>
        <w:rPr>
          <w:rFonts w:hint="eastAsia" w:asciiTheme="minorEastAsia" w:hAnsiTheme="minorEastAsia" w:eastAsiaTheme="minorEastAsia" w:cstheme="minorEastAsia"/>
          <w:sz w:val="24"/>
          <w:szCs w:val="24"/>
        </w:rPr>
      </w:pPr>
    </w:p>
    <w:p w14:paraId="54979C0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0D2329E7">
      <w:pPr>
        <w:numPr>
          <w:ilvl w:val="0"/>
          <w:numId w:val="0"/>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bookmarkStart w:id="7" w:name="_Toc13467"/>
      <w:r>
        <w:rPr>
          <w:rFonts w:hint="eastAsia" w:ascii="Calibri" w:hAnsi="Calibri" w:eastAsia="宋体" w:cs="Times New Roman"/>
          <w:b/>
          <w:color w:val="auto"/>
          <w:kern w:val="2"/>
          <w:sz w:val="32"/>
          <w:szCs w:val="24"/>
          <w:lang w:val="en-US" w:eastAsia="zh-CN" w:bidi="ar-SA"/>
        </w:rPr>
        <w:t>第五章</w:t>
      </w:r>
      <w:r>
        <w:rPr>
          <w:rFonts w:hint="eastAsia" w:cs="Times New Roman"/>
          <w:b/>
          <w:color w:val="auto"/>
          <w:sz w:val="32"/>
          <w:highlight w:val="none"/>
          <w:lang w:val="en-US" w:eastAsia="zh-CN"/>
        </w:rPr>
        <w:t xml:space="preserve"> 服务要求</w:t>
      </w:r>
      <w:bookmarkEnd w:id="7"/>
    </w:p>
    <w:p w14:paraId="112ED4F5">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一、设计范围</w:t>
      </w:r>
    </w:p>
    <w:p w14:paraId="0B113B74">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本次义马市农贸市场提升改造项目设计服务涵盖施工图设计，施工配合及竣工验收的设计服务。具体内容包括：建筑设计、结构设计、给排水设计、电气设计、消防设计、智能化系统设计等。</w:t>
      </w:r>
    </w:p>
    <w:p w14:paraId="1A6BF3F8">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二、设计服务内容</w:t>
      </w:r>
    </w:p>
    <w:p w14:paraId="5665D0BF">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（一）施工图设计文件编制</w:t>
      </w:r>
    </w:p>
    <w:p w14:paraId="4B3C6D64">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    按照国家及地方现行规范、标准、规程编制施工图设计文件，设计深度满足《建筑工程设计文件编制深度规定》</w:t>
      </w:r>
    </w:p>
    <w:p w14:paraId="73D1A550">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    编制设计说明、施工图图纸及计算书，设计图纸应包含各专业施工所需的所有图纸内容；</w:t>
      </w:r>
    </w:p>
    <w:p w14:paraId="78513884">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    编制主要材料及设备技术规格要求。</w:t>
      </w:r>
    </w:p>
    <w:p w14:paraId="464F4569">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（二）报批报建配合</w:t>
      </w:r>
    </w:p>
    <w:p w14:paraId="46010AAC">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    配合业主办理施工图审查手续；</w:t>
      </w:r>
    </w:p>
    <w:p w14:paraId="797C0CDD">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    配合办理涉及本项目的其他行政审批手续。</w:t>
      </w:r>
    </w:p>
    <w:p w14:paraId="7207B127">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（三）施工配合服务</w:t>
      </w:r>
    </w:p>
    <w:p w14:paraId="76ADB734">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    设计交底：开工前向业主、施工单位、监理单位进行施工图设计交底，解释设计意图及施工注意事项；</w:t>
      </w:r>
    </w:p>
    <w:p w14:paraId="0C4A5298">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    施工过程配合：配合解决施工过程中出现的与设计相关的技术问题，及时处理施工变更；</w:t>
      </w:r>
    </w:p>
    <w:p w14:paraId="07D88156">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    现场服务：根据项目需要，派设计代表驻场或在关键节点到现场进行技术指导；</w:t>
      </w:r>
    </w:p>
    <w:p w14:paraId="6FBD3DE7">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    设计变更：根据现场实际情况或业主合理要求，出具设计变更通知单及变更图纸；</w:t>
      </w:r>
    </w:p>
    <w:p w14:paraId="1A3502CA">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（四）竣工验收配合</w:t>
      </w:r>
    </w:p>
    <w:p w14:paraId="034D9823">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    参与隐蔽工程验收、分项验收及竣工验收；</w:t>
      </w:r>
    </w:p>
    <w:p w14:paraId="32EFA064">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    配合出具竣工图确认意见；</w:t>
      </w:r>
    </w:p>
    <w:p w14:paraId="1012C4FB">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注：1、本次报价包括完成本招标文件规定的服务、人员工资、后期服务费、利润、税金等所需的一切费用，漏报或少报的费用，视此费用已包含在报价中。 </w:t>
      </w:r>
    </w:p>
    <w:p w14:paraId="2D94826C">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2、合同签订：合同由招标人与中标人签订。其它参与投标的单位不予补偿。 </w:t>
      </w:r>
    </w:p>
    <w:p w14:paraId="49C3B328">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3、编制依据：依据国家有关法规、当地有关规定及技术规范的要求进行编制。 </w:t>
      </w:r>
    </w:p>
    <w:p w14:paraId="45FC0865">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4、履约验收：招标人根据国家有关规定、招标文件、中标人的投标文件以及合同约定的内容和验收标准进行验收。验收情况作为支付价款的依据。 </w:t>
      </w:r>
    </w:p>
    <w:p w14:paraId="60EEE737">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5、投标人必须对该项目进行完整投标，否则将不被接受。 </w:t>
      </w:r>
    </w:p>
    <w:p w14:paraId="1DE61A2F">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6、项目售后服务内容；中标人须提供与本项目相关咨询、协调和项目审查等技术支持。 </w:t>
      </w:r>
    </w:p>
    <w:p w14:paraId="032F9775">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7、项目售后服务的响应时间：招标人遇到与本项目相关的问题，中标人须在 24 小时内响应。 </w:t>
      </w:r>
    </w:p>
    <w:p w14:paraId="74598C7D">
      <w:pPr>
        <w:pStyle w:val="19"/>
        <w:numPr>
          <w:ilvl w:val="0"/>
          <w:numId w:val="0"/>
        </w:numPr>
        <w:spacing w:line="360" w:lineRule="auto"/>
        <w:ind w:leftChars="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8、项目成果验收：投标人须按招标人的招标文件规定的技术、时间、程序等要求,完成工作成果并全部提交，且通过招标人组织的项目验收。</w:t>
      </w:r>
    </w:p>
    <w:p w14:paraId="6F83ABEB">
      <w:pPr>
        <w:rPr>
          <w:rFonts w:hint="eastAsia"/>
          <w:color w:val="auto"/>
          <w:highlight w:val="none"/>
          <w:lang w:val="en-US" w:eastAsia="zh-CN"/>
        </w:rPr>
      </w:pP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28209"/>
      <w:r>
        <w:rPr>
          <w:rFonts w:hint="eastAsia" w:cs="Times New Roman"/>
          <w:b/>
          <w:color w:val="auto"/>
          <w:sz w:val="32"/>
          <w:highlight w:val="none"/>
          <w:lang w:val="en-US" w:eastAsia="zh-CN"/>
        </w:rPr>
        <w:t>第六章 响应文件内容及格式</w:t>
      </w:r>
      <w:bookmarkEnd w:id="8"/>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8"/>
        <w:rPr>
          <w:b/>
          <w:color w:val="auto"/>
          <w:sz w:val="40"/>
          <w:highlight w:val="none"/>
        </w:rPr>
      </w:pPr>
    </w:p>
    <w:p w14:paraId="76C10FF7">
      <w:pPr>
        <w:pStyle w:val="8"/>
        <w:rPr>
          <w:b/>
          <w:color w:val="auto"/>
          <w:sz w:val="40"/>
          <w:highlight w:val="none"/>
        </w:rPr>
      </w:pPr>
    </w:p>
    <w:p w14:paraId="69524A78">
      <w:pPr>
        <w:pStyle w:val="8"/>
        <w:rPr>
          <w:b/>
          <w:color w:val="auto"/>
          <w:sz w:val="40"/>
          <w:highlight w:val="none"/>
        </w:rPr>
      </w:pPr>
    </w:p>
    <w:p w14:paraId="5F833E5D">
      <w:pPr>
        <w:pStyle w:val="8"/>
        <w:rPr>
          <w:b/>
          <w:color w:val="auto"/>
          <w:sz w:val="40"/>
          <w:highlight w:val="none"/>
        </w:rPr>
      </w:pPr>
    </w:p>
    <w:p w14:paraId="0DFB8ABB">
      <w:pPr>
        <w:pStyle w:val="8"/>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8"/>
        <w:rPr>
          <w:color w:val="auto"/>
          <w:sz w:val="72"/>
          <w:highlight w:val="none"/>
        </w:rPr>
      </w:pPr>
    </w:p>
    <w:p w14:paraId="00FC772A">
      <w:pPr>
        <w:pStyle w:val="8"/>
        <w:rPr>
          <w:color w:val="auto"/>
          <w:sz w:val="72"/>
          <w:highlight w:val="none"/>
        </w:rPr>
      </w:pPr>
    </w:p>
    <w:p w14:paraId="1A244C2A">
      <w:pPr>
        <w:pStyle w:val="8"/>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4"/>
        <w:ind w:left="0" w:leftChars="0" w:firstLine="0" w:firstLineChars="0"/>
        <w:jc w:val="center"/>
        <w:outlineLvl w:val="1"/>
        <w:rPr>
          <w:b/>
          <w:bCs/>
          <w:color w:val="auto"/>
          <w:sz w:val="32"/>
          <w:szCs w:val="32"/>
          <w:highlight w:val="none"/>
        </w:rPr>
      </w:pPr>
      <w:bookmarkStart w:id="9" w:name="_bookmark5"/>
      <w:bookmarkEnd w:id="9"/>
      <w:bookmarkStart w:id="10" w:name="一、投标函及投标函附录"/>
      <w:bookmarkEnd w:id="10"/>
      <w:r>
        <w:rPr>
          <w:b/>
          <w:bCs/>
          <w:color w:val="auto"/>
          <w:sz w:val="32"/>
          <w:szCs w:val="32"/>
          <w:highlight w:val="none"/>
        </w:rPr>
        <w:t>一、投标函及投标函附录</w:t>
      </w:r>
    </w:p>
    <w:p w14:paraId="7617EB2F">
      <w:pPr>
        <w:pStyle w:val="8"/>
        <w:spacing w:before="2"/>
        <w:rPr>
          <w:b/>
          <w:color w:val="auto"/>
          <w:sz w:val="30"/>
          <w:highlight w:val="none"/>
        </w:rPr>
      </w:pPr>
    </w:p>
    <w:p w14:paraId="4884574A">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人民币：大写：</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r>
        <w:rPr>
          <w:rFonts w:hint="eastAsia" w:cs="宋体"/>
          <w:color w:val="auto"/>
          <w:sz w:val="24"/>
          <w:szCs w:val="24"/>
          <w:highlight w:val="none"/>
          <w:lang w:val="en-US" w:eastAsia="zh-CN"/>
        </w:rPr>
        <w:t>小写：</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服务周期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41"/>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w:t>
      </w:r>
      <w:r>
        <w:rPr>
          <w:rFonts w:hint="eastAsia" w:cs="宋体"/>
          <w:color w:val="auto"/>
          <w:sz w:val="24"/>
          <w:szCs w:val="24"/>
          <w:highlight w:val="none"/>
          <w:lang w:eastAsia="zh-CN"/>
        </w:rPr>
        <w:t>磋商有效期</w:t>
      </w:r>
      <w:r>
        <w:rPr>
          <w:rFonts w:hint="eastAsia" w:ascii="宋体" w:hAnsi="宋体" w:eastAsia="宋体" w:cs="宋体"/>
          <w:color w:val="auto"/>
          <w:sz w:val="24"/>
          <w:szCs w:val="24"/>
          <w:highlight w:val="none"/>
        </w:rPr>
        <w:t>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41"/>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41"/>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41"/>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41"/>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w:t>
      </w:r>
      <w:r>
        <w:rPr>
          <w:rFonts w:hint="eastAsia" w:cs="宋体"/>
          <w:color w:val="auto"/>
          <w:spacing w:val="-9"/>
          <w:sz w:val="24"/>
          <w:szCs w:val="24"/>
          <w:highlight w:val="none"/>
          <w:lang w:eastAsia="zh-CN"/>
        </w:rPr>
        <w:t>磋商有效期</w:t>
      </w:r>
      <w:r>
        <w:rPr>
          <w:rFonts w:hint="eastAsia" w:ascii="宋体" w:hAnsi="宋体" w:eastAsia="宋体" w:cs="宋体"/>
          <w:color w:val="auto"/>
          <w:spacing w:val="-9"/>
          <w:sz w:val="24"/>
          <w:szCs w:val="24"/>
          <w:highlight w:val="none"/>
        </w:rPr>
        <w:t>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8"/>
        <w:rPr>
          <w:rFonts w:hint="eastAsia" w:ascii="宋体" w:hAnsi="宋体" w:eastAsia="宋体" w:cs="宋体"/>
          <w:color w:val="auto"/>
          <w:sz w:val="24"/>
          <w:szCs w:val="24"/>
          <w:highlight w:val="none"/>
        </w:rPr>
      </w:pPr>
    </w:p>
    <w:p w14:paraId="0AE8FAD2">
      <w:pPr>
        <w:pStyle w:val="8"/>
        <w:spacing w:before="7"/>
        <w:rPr>
          <w:rFonts w:hint="eastAsia" w:ascii="宋体" w:hAnsi="宋体" w:eastAsia="宋体" w:cs="宋体"/>
          <w:color w:val="auto"/>
          <w:sz w:val="24"/>
          <w:szCs w:val="24"/>
          <w:highlight w:val="none"/>
        </w:rPr>
      </w:pPr>
    </w:p>
    <w:p w14:paraId="539B874C">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41"/>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41"/>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20"/>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项目负责人及证书编号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大写：</w:t>
            </w:r>
          </w:p>
          <w:p w14:paraId="22071017">
            <w:pPr>
              <w:widowControl w:val="0"/>
              <w:numPr>
                <w:ilvl w:val="0"/>
                <w:numId w:val="0"/>
              </w:numPr>
              <w:spacing w:line="480" w:lineRule="atLeast"/>
              <w:jc w:val="both"/>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小写：</w:t>
            </w: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服务周期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8"/>
        <w:spacing w:before="72" w:line="360" w:lineRule="auto"/>
        <w:ind w:left="686"/>
        <w:rPr>
          <w:color w:val="auto"/>
          <w:sz w:val="24"/>
          <w:szCs w:val="24"/>
          <w:highlight w:val="none"/>
        </w:rPr>
      </w:pPr>
      <w:r>
        <w:rPr>
          <w:color w:val="auto"/>
          <w:sz w:val="24"/>
          <w:szCs w:val="24"/>
          <w:highlight w:val="none"/>
        </w:rPr>
        <w:t>经营期限：</w:t>
      </w:r>
    </w:p>
    <w:p w14:paraId="4C0D0874">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8"/>
        <w:spacing w:before="11" w:line="360" w:lineRule="auto"/>
        <w:rPr>
          <w:color w:val="auto"/>
          <w:sz w:val="24"/>
          <w:szCs w:val="24"/>
          <w:highlight w:val="none"/>
        </w:rPr>
      </w:pPr>
    </w:p>
    <w:p w14:paraId="29123D32">
      <w:pPr>
        <w:pStyle w:val="8"/>
        <w:spacing w:before="71" w:line="360" w:lineRule="auto"/>
        <w:ind w:left="1102"/>
        <w:rPr>
          <w:color w:val="auto"/>
          <w:sz w:val="24"/>
          <w:szCs w:val="24"/>
          <w:highlight w:val="none"/>
        </w:rPr>
      </w:pPr>
      <w:r>
        <w:rPr>
          <w:color w:val="auto"/>
          <w:sz w:val="24"/>
          <w:szCs w:val="24"/>
          <w:highlight w:val="none"/>
        </w:rPr>
        <w:t>特此证明。</w:t>
      </w:r>
    </w:p>
    <w:p w14:paraId="42271D06">
      <w:pPr>
        <w:pStyle w:val="8"/>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8"/>
        <w:rPr>
          <w:color w:val="auto"/>
          <w:sz w:val="24"/>
          <w:szCs w:val="24"/>
          <w:highlight w:val="none"/>
        </w:rPr>
      </w:pPr>
    </w:p>
    <w:p w14:paraId="5EAA220C">
      <w:pPr>
        <w:pStyle w:val="8"/>
        <w:rPr>
          <w:color w:val="auto"/>
          <w:sz w:val="24"/>
          <w:szCs w:val="24"/>
          <w:highlight w:val="none"/>
        </w:rPr>
      </w:pPr>
    </w:p>
    <w:p w14:paraId="05904208">
      <w:pPr>
        <w:pStyle w:val="8"/>
        <w:rPr>
          <w:color w:val="auto"/>
          <w:sz w:val="24"/>
          <w:szCs w:val="24"/>
          <w:highlight w:val="none"/>
        </w:rPr>
      </w:pPr>
    </w:p>
    <w:p w14:paraId="324AA852">
      <w:pPr>
        <w:pStyle w:val="8"/>
        <w:rPr>
          <w:color w:val="auto"/>
          <w:sz w:val="24"/>
          <w:szCs w:val="24"/>
          <w:highlight w:val="none"/>
        </w:rPr>
      </w:pPr>
    </w:p>
    <w:p w14:paraId="7BCD5A21">
      <w:pPr>
        <w:pStyle w:val="8"/>
        <w:rPr>
          <w:color w:val="auto"/>
          <w:sz w:val="24"/>
          <w:szCs w:val="24"/>
          <w:highlight w:val="none"/>
        </w:rPr>
      </w:pPr>
    </w:p>
    <w:p w14:paraId="31C1859D">
      <w:pPr>
        <w:pStyle w:val="8"/>
        <w:spacing w:before="5"/>
        <w:rPr>
          <w:color w:val="auto"/>
          <w:sz w:val="24"/>
          <w:szCs w:val="24"/>
          <w:highlight w:val="none"/>
        </w:rPr>
      </w:pPr>
    </w:p>
    <w:p w14:paraId="536F5D43">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8"/>
        <w:spacing w:before="11"/>
        <w:rPr>
          <w:color w:val="auto"/>
          <w:sz w:val="24"/>
          <w:szCs w:val="24"/>
          <w:highlight w:val="none"/>
        </w:rPr>
      </w:pPr>
    </w:p>
    <w:p w14:paraId="7BAAD774">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71120A48">
      <w:pP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br w:type="page"/>
      </w:r>
    </w:p>
    <w:p w14:paraId="7672B78D">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cs="宋体"/>
          <w:color w:val="auto"/>
          <w:sz w:val="24"/>
          <w:szCs w:val="24"/>
          <w:highlight w:val="none"/>
          <w:lang w:eastAsia="zh-CN"/>
        </w:rPr>
        <w:t>磋商有效期</w:t>
      </w:r>
      <w:r>
        <w:rPr>
          <w:rFonts w:hint="eastAsia" w:ascii="宋体" w:hAnsi="宋体" w:eastAsia="宋体" w:cs="宋体"/>
          <w:color w:val="auto"/>
          <w:sz w:val="24"/>
          <w:szCs w:val="24"/>
          <w:highlight w:val="none"/>
        </w:rPr>
        <w:t>内撤销响应文件的；</w:t>
      </w:r>
    </w:p>
    <w:p w14:paraId="01BA7DFA">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cs="宋体"/>
          <w:color w:val="auto"/>
          <w:sz w:val="24"/>
          <w:szCs w:val="24"/>
          <w:highlight w:val="none"/>
          <w:lang w:eastAsia="zh-CN"/>
        </w:rPr>
        <w:t>磋商有效期</w:t>
      </w:r>
      <w:r>
        <w:rPr>
          <w:rFonts w:hint="eastAsia" w:ascii="宋体" w:hAnsi="宋体" w:eastAsia="宋体" w:cs="宋体"/>
          <w:color w:val="auto"/>
          <w:sz w:val="24"/>
          <w:szCs w:val="24"/>
          <w:highlight w:val="none"/>
        </w:rPr>
        <w:t>内，供应商在政府采购活动中有违法、违规、违纪行为。</w:t>
      </w:r>
    </w:p>
    <w:p w14:paraId="62033B7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8"/>
        <w:spacing w:before="4" w:line="360" w:lineRule="auto"/>
        <w:rPr>
          <w:rFonts w:hint="eastAsia" w:ascii="宋体" w:hAnsi="宋体" w:eastAsia="宋体" w:cs="宋体"/>
          <w:color w:val="auto"/>
          <w:sz w:val="24"/>
          <w:szCs w:val="24"/>
          <w:highlight w:val="none"/>
        </w:rPr>
      </w:pPr>
    </w:p>
    <w:p w14:paraId="32829D14">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8"/>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法定代表人（签字或盖章）</w:t>
      </w:r>
      <w:r>
        <w:rPr>
          <w:rFonts w:hint="eastAsia" w:cs="宋体"/>
          <w:color w:val="auto"/>
          <w:spacing w:val="-6"/>
          <w:sz w:val="24"/>
          <w:szCs w:val="24"/>
          <w:highlight w:val="none"/>
          <w:lang w:eastAsia="zh-CN"/>
        </w:rPr>
        <w:t>：</w:t>
      </w:r>
    </w:p>
    <w:p w14:paraId="31F25FA8">
      <w:pPr>
        <w:pStyle w:val="8"/>
        <w:spacing w:before="1" w:line="360" w:lineRule="auto"/>
        <w:ind w:right="237"/>
        <w:rPr>
          <w:rFonts w:hint="eastAsia" w:ascii="宋体" w:hAnsi="宋体" w:eastAsia="宋体" w:cs="宋体"/>
          <w:color w:val="auto"/>
          <w:spacing w:val="-6"/>
          <w:sz w:val="24"/>
          <w:szCs w:val="24"/>
          <w:highlight w:val="none"/>
        </w:rPr>
      </w:pPr>
    </w:p>
    <w:p w14:paraId="47F9D6E7">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服务方案</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B454569">
      <w:pPr>
        <w:spacing w:line="500" w:lineRule="exact"/>
        <w:jc w:val="center"/>
        <w:textAlignment w:val="baseline"/>
        <w:outlineLvl w:val="1"/>
        <w:rPr>
          <w:rFonts w:ascii="宋体" w:hAnsi="宋体" w:eastAsia="宋体" w:cs="Times New Roman"/>
          <w:b/>
          <w:bCs/>
          <w:color w:val="auto"/>
          <w:sz w:val="32"/>
          <w:szCs w:val="32"/>
          <w:highlight w:val="none"/>
        </w:rPr>
      </w:pPr>
      <w:bookmarkStart w:id="12" w:name="_Toc27309"/>
      <w:bookmarkStart w:id="13" w:name="_Toc30047"/>
      <w:bookmarkStart w:id="14" w:name="_Toc17170"/>
      <w:bookmarkStart w:id="15" w:name="_Toc1751"/>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08B9ED7A">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16"/>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6D503293">
      <w:pPr>
        <w:rPr>
          <w:rFonts w:ascii="宋体" w:hAnsi="宋体" w:cs="宋体"/>
          <w:color w:val="auto"/>
          <w:spacing w:val="6"/>
          <w:szCs w:val="21"/>
          <w:highlight w:val="none"/>
        </w:rPr>
      </w:pPr>
    </w:p>
    <w:p w14:paraId="2AF2827B">
      <w:pPr>
        <w:spacing w:before="312" w:beforeLines="100" w:line="480" w:lineRule="auto"/>
        <w:ind w:firstLine="482"/>
        <w:jc w:val="left"/>
        <w:rPr>
          <w:rFonts w:hint="eastAsia" w:ascii="宋体" w:hAnsi="宋体" w:eastAsia="宋体" w:cs="宋体"/>
          <w:sz w:val="24"/>
          <w:szCs w:val="20"/>
        </w:rPr>
      </w:pPr>
      <w:r>
        <w:rPr>
          <w:rFonts w:hint="eastAsia" w:ascii="宋体" w:hAnsi="宋体" w:eastAsia="宋体" w:cs="宋体"/>
          <w:sz w:val="24"/>
          <w:szCs w:val="20"/>
        </w:rPr>
        <w:t>本公</w:t>
      </w:r>
      <w:r>
        <w:rPr>
          <w:rFonts w:hint="eastAsia" w:ascii="宋体" w:hAnsi="宋体" w:eastAsia="宋体" w:cs="宋体"/>
          <w:color w:val="auto"/>
          <w:sz w:val="24"/>
          <w:szCs w:val="20"/>
        </w:rPr>
        <w:t>司（联合体）郑</w:t>
      </w:r>
      <w:r>
        <w:rPr>
          <w:rFonts w:hint="eastAsia" w:ascii="宋体" w:hAnsi="宋体" w:eastAsia="宋体" w:cs="宋体"/>
          <w:sz w:val="24"/>
          <w:szCs w:val="20"/>
        </w:rPr>
        <w:t>重声明，根据《政府采购促进中小企业发展管理办法》（财库﹝2020﹞46 号）的规定，本公司（联合体）参加</w:t>
      </w:r>
      <w:r>
        <w:rPr>
          <w:rFonts w:hint="eastAsia" w:ascii="宋体" w:hAnsi="宋体" w:eastAsia="宋体" w:cs="宋体"/>
          <w:sz w:val="24"/>
          <w:szCs w:val="20"/>
          <w:u w:val="single"/>
        </w:rPr>
        <w:t>（单位名称）</w:t>
      </w:r>
      <w:r>
        <w:rPr>
          <w:rFonts w:hint="eastAsia" w:ascii="宋体" w:hAnsi="宋体" w:eastAsia="宋体" w:cs="宋体"/>
          <w:sz w:val="24"/>
          <w:szCs w:val="20"/>
        </w:rPr>
        <w:t>的</w:t>
      </w:r>
      <w:r>
        <w:rPr>
          <w:rFonts w:hint="eastAsia" w:ascii="宋体" w:hAnsi="宋体" w:eastAsia="宋体" w:cs="宋体"/>
          <w:sz w:val="24"/>
          <w:szCs w:val="20"/>
          <w:u w:val="single"/>
        </w:rPr>
        <w:t>（项目名称）</w:t>
      </w:r>
      <w:r>
        <w:rPr>
          <w:rFonts w:hint="eastAsia" w:ascii="宋体" w:hAnsi="宋体" w:eastAsia="宋体" w:cs="宋体"/>
          <w:sz w:val="24"/>
          <w:szCs w:val="20"/>
        </w:rPr>
        <w:t>采购活动，服务全部由符合政策要求的中小企业承接。相关企业（含联合体中的中小企业、签订分包意向协议的中小企业）的具体情况如下：</w:t>
      </w:r>
    </w:p>
    <w:p w14:paraId="48C1CC91">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1. </w:t>
      </w:r>
      <w:r>
        <w:rPr>
          <w:rFonts w:hint="eastAsia" w:ascii="宋体" w:hAnsi="宋体" w:eastAsia="宋体" w:cs="宋体"/>
          <w:sz w:val="24"/>
          <w:szCs w:val="20"/>
          <w:u w:val="single"/>
        </w:rPr>
        <w:t>（标的</w:t>
      </w:r>
      <w:r>
        <w:rPr>
          <w:rFonts w:hint="eastAsia" w:ascii="宋体" w:hAnsi="宋体" w:eastAsia="宋体" w:cs="宋体"/>
          <w:color w:val="auto"/>
          <w:sz w:val="24"/>
          <w:szCs w:val="20"/>
          <w:u w:val="single"/>
        </w:rPr>
        <w:t xml:space="preserve">名称） </w:t>
      </w:r>
      <w:r>
        <w:rPr>
          <w:rFonts w:hint="eastAsia" w:ascii="宋体" w:hAnsi="宋体" w:eastAsia="宋体" w:cs="宋体"/>
          <w:color w:val="auto"/>
          <w:sz w:val="24"/>
          <w:szCs w:val="20"/>
        </w:rPr>
        <w:t>，属于</w:t>
      </w:r>
      <w:r>
        <w:rPr>
          <w:rFonts w:hint="eastAsia" w:ascii="宋体" w:hAnsi="宋体" w:eastAsia="宋体" w:cs="宋体"/>
          <w:color w:val="auto"/>
          <w:sz w:val="24"/>
          <w:szCs w:val="20"/>
          <w:u w:val="single"/>
          <w:lang w:val="en-US" w:eastAsia="zh-CN"/>
        </w:rPr>
        <w:t xml:space="preserve">   其它未列明行业   </w:t>
      </w:r>
      <w:r>
        <w:rPr>
          <w:rFonts w:hint="eastAsia" w:ascii="宋体" w:hAnsi="宋体" w:eastAsia="宋体" w:cs="宋体"/>
          <w:color w:val="auto"/>
          <w:sz w:val="24"/>
          <w:szCs w:val="20"/>
        </w:rPr>
        <w:t>；承建</w:t>
      </w:r>
      <w:r>
        <w:rPr>
          <w:rFonts w:hint="eastAsia" w:ascii="宋体" w:hAnsi="宋体" w:eastAsia="宋体" w:cs="宋体"/>
          <w:sz w:val="24"/>
          <w:szCs w:val="20"/>
        </w:rPr>
        <w:t>（承接）企业为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万元1，属于（中型企业、小型企业、微型企业）；</w:t>
      </w:r>
    </w:p>
    <w:p w14:paraId="4B50C6C1">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2.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w:t>
      </w:r>
      <w:r>
        <w:rPr>
          <w:rFonts w:hint="eastAsia" w:ascii="宋体" w:hAnsi="宋体" w:eastAsia="宋体" w:cs="宋体"/>
          <w:sz w:val="24"/>
          <w:szCs w:val="20"/>
        </w:rPr>
        <w:t>；承建（承接）企业为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万元，属于</w:t>
      </w:r>
      <w:r>
        <w:rPr>
          <w:rFonts w:hint="eastAsia" w:ascii="宋体" w:hAnsi="宋体" w:eastAsia="宋体" w:cs="宋体"/>
          <w:sz w:val="24"/>
          <w:szCs w:val="20"/>
          <w:u w:val="single"/>
        </w:rPr>
        <w:t>（中型企业、小型企业、微型企业）</w:t>
      </w:r>
      <w:r>
        <w:rPr>
          <w:rFonts w:hint="eastAsia" w:ascii="宋体" w:hAnsi="宋体" w:eastAsia="宋体" w:cs="宋体"/>
          <w:sz w:val="24"/>
          <w:szCs w:val="20"/>
        </w:rPr>
        <w:t>；</w:t>
      </w:r>
    </w:p>
    <w:p w14:paraId="57C5E197">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w:t>
      </w:r>
    </w:p>
    <w:p w14:paraId="60DD7160">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以上企业，不属于大企业的分支机构，不存在控股股东为大企业的情形，也不存在与大企业的负责人为同一人的情形。</w:t>
      </w:r>
    </w:p>
    <w:p w14:paraId="5B329D4C">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本企业对上述声明内容的真实性负责。如有虚假，将依法承担相应责任。</w:t>
      </w:r>
    </w:p>
    <w:p w14:paraId="6D3C8CD2">
      <w:pPr>
        <w:spacing w:line="480" w:lineRule="auto"/>
        <w:ind w:firstLine="5954"/>
        <w:jc w:val="left"/>
        <w:rPr>
          <w:rFonts w:hint="eastAsia" w:ascii="宋体" w:hAnsi="宋体" w:eastAsia="宋体" w:cs="宋体"/>
          <w:sz w:val="24"/>
          <w:szCs w:val="20"/>
        </w:rPr>
      </w:pPr>
    </w:p>
    <w:p w14:paraId="45B48DE6">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企业名称（盖章）：</w:t>
      </w:r>
    </w:p>
    <w:p w14:paraId="51A654B5">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日期：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17" w:name="_Toc24807"/>
      <w:bookmarkStart w:id="18" w:name="_Toc18593"/>
      <w:bookmarkStart w:id="19" w:name="_Toc6978"/>
      <w:bookmarkStart w:id="20" w:name="_Toc25037"/>
      <w:bookmarkStart w:id="21" w:name="_Toc2102"/>
      <w:bookmarkStart w:id="22" w:name="_Toc27316"/>
      <w:bookmarkStart w:id="23" w:name="_Toc3901"/>
      <w:bookmarkStart w:id="24" w:name="_Toc29742"/>
      <w:bookmarkStart w:id="25" w:name="_Toc28455"/>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bookmarkEnd w:id="25"/>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6" w:name="_Toc20491"/>
      <w:bookmarkStart w:id="27" w:name="_Toc7097"/>
      <w:bookmarkStart w:id="28" w:name="_Toc9287"/>
      <w:bookmarkStart w:id="29" w:name="_Toc1414"/>
      <w:bookmarkStart w:id="30" w:name="_Toc22690"/>
      <w:bookmarkStart w:id="31" w:name="_Toc25118"/>
      <w:bookmarkStart w:id="32" w:name="_Toc12776"/>
      <w:bookmarkStart w:id="33" w:name="_Toc30785"/>
      <w:bookmarkStart w:id="34" w:name="_Toc20672"/>
      <w:r>
        <w:rPr>
          <w:rFonts w:hint="eastAsia" w:ascii="宋体" w:hAnsi="宋体" w:eastAsia="宋体" w:cs="宋体"/>
          <w:b/>
          <w:bCs/>
          <w:color w:val="auto"/>
          <w:sz w:val="24"/>
          <w:szCs w:val="24"/>
          <w:highlight w:val="none"/>
          <w:lang w:val="zh-CN"/>
        </w:rPr>
        <w:t>监狱企业证明文件</w:t>
      </w:r>
      <w:bookmarkEnd w:id="26"/>
      <w:bookmarkEnd w:id="27"/>
      <w:bookmarkEnd w:id="28"/>
      <w:bookmarkEnd w:id="29"/>
      <w:bookmarkEnd w:id="30"/>
      <w:bookmarkEnd w:id="31"/>
      <w:bookmarkEnd w:id="32"/>
      <w:bookmarkEnd w:id="33"/>
      <w:bookmarkEnd w:id="34"/>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35" w:name="_Toc11345"/>
      <w:bookmarkStart w:id="36" w:name="_Toc6264"/>
      <w:bookmarkStart w:id="37" w:name="_Toc7118"/>
      <w:bookmarkStart w:id="38" w:name="_Toc27716"/>
      <w:bookmarkStart w:id="39" w:name="_Toc14168"/>
      <w:bookmarkStart w:id="40" w:name="_Toc1643"/>
      <w:bookmarkStart w:id="41" w:name="_Toc13700"/>
      <w:bookmarkStart w:id="42" w:name="_Toc16416"/>
      <w:bookmarkStart w:id="43" w:name="_Toc20645"/>
      <w:r>
        <w:rPr>
          <w:rFonts w:hint="eastAsia" w:ascii="宋体" w:hAnsi="宋体" w:eastAsia="宋体" w:cs="宋体"/>
          <w:color w:val="auto"/>
          <w:sz w:val="24"/>
          <w:szCs w:val="24"/>
          <w:highlight w:val="none"/>
        </w:rPr>
        <w:t>附件3</w:t>
      </w:r>
      <w:bookmarkEnd w:id="35"/>
      <w:bookmarkEnd w:id="36"/>
      <w:bookmarkEnd w:id="37"/>
      <w:bookmarkEnd w:id="38"/>
      <w:bookmarkEnd w:id="39"/>
      <w:bookmarkEnd w:id="40"/>
      <w:bookmarkEnd w:id="41"/>
      <w:bookmarkEnd w:id="42"/>
      <w:bookmarkEnd w:id="43"/>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44" w:name="_Toc9003"/>
      <w:bookmarkStart w:id="45" w:name="_Toc24744"/>
      <w:bookmarkStart w:id="46" w:name="_Toc12807"/>
      <w:bookmarkStart w:id="47" w:name="_Toc25433"/>
      <w:bookmarkStart w:id="48" w:name="_Toc6118"/>
      <w:bookmarkStart w:id="49" w:name="_Toc27930"/>
      <w:bookmarkStart w:id="50" w:name="_Toc32130"/>
      <w:bookmarkStart w:id="51" w:name="_Toc8171"/>
      <w:bookmarkStart w:id="52" w:name="_Toc20376"/>
      <w:r>
        <w:rPr>
          <w:rFonts w:hint="eastAsia" w:ascii="宋体" w:hAnsi="宋体" w:eastAsia="宋体" w:cs="宋体"/>
          <w:b/>
          <w:bCs/>
          <w:color w:val="auto"/>
          <w:kern w:val="36"/>
          <w:sz w:val="24"/>
          <w:szCs w:val="24"/>
          <w:highlight w:val="none"/>
        </w:rPr>
        <w:t>残疾人福利性单位声明函（如有）</w:t>
      </w:r>
      <w:bookmarkEnd w:id="44"/>
      <w:bookmarkEnd w:id="45"/>
      <w:bookmarkEnd w:id="46"/>
      <w:bookmarkEnd w:id="47"/>
      <w:bookmarkEnd w:id="48"/>
      <w:bookmarkEnd w:id="49"/>
      <w:bookmarkEnd w:id="50"/>
      <w:bookmarkEnd w:id="51"/>
      <w:bookmarkEnd w:id="52"/>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40"/>
        <w:spacing w:line="480" w:lineRule="exact"/>
        <w:jc w:val="center"/>
        <w:outlineLvl w:val="9"/>
        <w:rPr>
          <w:rFonts w:hint="eastAsia" w:ascii="宋体" w:hAnsi="宋体" w:eastAsia="宋体" w:cs="宋体"/>
          <w:b/>
          <w:color w:val="auto"/>
          <w:sz w:val="28"/>
          <w:highlight w:val="none"/>
          <w:lang w:val="zh-CN"/>
        </w:rPr>
      </w:pPr>
    </w:p>
    <w:p w14:paraId="26175F66">
      <w:pPr>
        <w:pStyle w:val="40"/>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7F023FA7">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3A09B31B"/>
    <w:multiLevelType w:val="singleLevel"/>
    <w:tmpl w:val="3A09B31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TAyZTJmOTk5YjJjMzg5ZWM5MjdhMWFkZjhkYzQifQ=="/>
  </w:docVars>
  <w:rsids>
    <w:rsidRoot w:val="6F455122"/>
    <w:rsid w:val="004003F4"/>
    <w:rsid w:val="011914B8"/>
    <w:rsid w:val="014A4B87"/>
    <w:rsid w:val="016C2D4F"/>
    <w:rsid w:val="0181291D"/>
    <w:rsid w:val="01D628BE"/>
    <w:rsid w:val="01F66ABD"/>
    <w:rsid w:val="02AE0322"/>
    <w:rsid w:val="03625857"/>
    <w:rsid w:val="03DB0660"/>
    <w:rsid w:val="03EC0177"/>
    <w:rsid w:val="040B0C1A"/>
    <w:rsid w:val="041264DF"/>
    <w:rsid w:val="04310280"/>
    <w:rsid w:val="046C12B8"/>
    <w:rsid w:val="04763EE5"/>
    <w:rsid w:val="04CA090C"/>
    <w:rsid w:val="04CE19A8"/>
    <w:rsid w:val="05286BE1"/>
    <w:rsid w:val="053D64F4"/>
    <w:rsid w:val="061002C3"/>
    <w:rsid w:val="06F832D7"/>
    <w:rsid w:val="07B70FD5"/>
    <w:rsid w:val="07D433FC"/>
    <w:rsid w:val="09872A61"/>
    <w:rsid w:val="099F7D22"/>
    <w:rsid w:val="0A307BBE"/>
    <w:rsid w:val="0A60366D"/>
    <w:rsid w:val="0B022976"/>
    <w:rsid w:val="0B683B84"/>
    <w:rsid w:val="0C193AD3"/>
    <w:rsid w:val="0C8A1028"/>
    <w:rsid w:val="0DB066B9"/>
    <w:rsid w:val="0DCB15DA"/>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AB5BF6"/>
    <w:rsid w:val="15E46F00"/>
    <w:rsid w:val="15FC7C1D"/>
    <w:rsid w:val="16DE1BA1"/>
    <w:rsid w:val="170B6491"/>
    <w:rsid w:val="17A34AF5"/>
    <w:rsid w:val="17D9680D"/>
    <w:rsid w:val="17E21B65"/>
    <w:rsid w:val="17FE3BC2"/>
    <w:rsid w:val="18B43502"/>
    <w:rsid w:val="18FF22A3"/>
    <w:rsid w:val="19063631"/>
    <w:rsid w:val="196D1903"/>
    <w:rsid w:val="199D3F96"/>
    <w:rsid w:val="19CE1374"/>
    <w:rsid w:val="1A512FD2"/>
    <w:rsid w:val="1ACC4407"/>
    <w:rsid w:val="1BA86C22"/>
    <w:rsid w:val="1BFB1448"/>
    <w:rsid w:val="1C7F782D"/>
    <w:rsid w:val="1CA404EA"/>
    <w:rsid w:val="1CFB20F0"/>
    <w:rsid w:val="1DAF5FA9"/>
    <w:rsid w:val="1E5D4451"/>
    <w:rsid w:val="1F4959A5"/>
    <w:rsid w:val="1F4F1D3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962FBF"/>
    <w:rsid w:val="24D74F06"/>
    <w:rsid w:val="250550E5"/>
    <w:rsid w:val="254D1ECE"/>
    <w:rsid w:val="25C40AFC"/>
    <w:rsid w:val="260211C0"/>
    <w:rsid w:val="2625588A"/>
    <w:rsid w:val="26461511"/>
    <w:rsid w:val="266E2824"/>
    <w:rsid w:val="274A70A1"/>
    <w:rsid w:val="27526B2E"/>
    <w:rsid w:val="277F117F"/>
    <w:rsid w:val="28384C2F"/>
    <w:rsid w:val="28597A12"/>
    <w:rsid w:val="2915328D"/>
    <w:rsid w:val="29280B10"/>
    <w:rsid w:val="29D06620"/>
    <w:rsid w:val="2A3A09D3"/>
    <w:rsid w:val="2A947237"/>
    <w:rsid w:val="2AB949A8"/>
    <w:rsid w:val="2B2D4A4E"/>
    <w:rsid w:val="2B443194"/>
    <w:rsid w:val="2BA2095F"/>
    <w:rsid w:val="2BA559E9"/>
    <w:rsid w:val="2BB10633"/>
    <w:rsid w:val="2C113AC3"/>
    <w:rsid w:val="2D0A14EA"/>
    <w:rsid w:val="2D222D81"/>
    <w:rsid w:val="2DDE5D83"/>
    <w:rsid w:val="2E830CCE"/>
    <w:rsid w:val="2F821DA3"/>
    <w:rsid w:val="307A3D70"/>
    <w:rsid w:val="30FE72F1"/>
    <w:rsid w:val="31255EAF"/>
    <w:rsid w:val="31B7018C"/>
    <w:rsid w:val="3203475A"/>
    <w:rsid w:val="32513718"/>
    <w:rsid w:val="32FE2E9B"/>
    <w:rsid w:val="332407AF"/>
    <w:rsid w:val="333126C0"/>
    <w:rsid w:val="3357543B"/>
    <w:rsid w:val="33C73CCB"/>
    <w:rsid w:val="3421711A"/>
    <w:rsid w:val="34E138A4"/>
    <w:rsid w:val="34ED62D7"/>
    <w:rsid w:val="353F1F4D"/>
    <w:rsid w:val="35754FDA"/>
    <w:rsid w:val="35774D9F"/>
    <w:rsid w:val="36D97FDD"/>
    <w:rsid w:val="373553B6"/>
    <w:rsid w:val="376A7537"/>
    <w:rsid w:val="37E001EA"/>
    <w:rsid w:val="37EE37B7"/>
    <w:rsid w:val="37F457DC"/>
    <w:rsid w:val="383D480E"/>
    <w:rsid w:val="386C204C"/>
    <w:rsid w:val="387D4CD1"/>
    <w:rsid w:val="38AC0272"/>
    <w:rsid w:val="39557F91"/>
    <w:rsid w:val="3A06303A"/>
    <w:rsid w:val="3D635C17"/>
    <w:rsid w:val="3D6C2D45"/>
    <w:rsid w:val="3EEA117C"/>
    <w:rsid w:val="400E2C48"/>
    <w:rsid w:val="403703F1"/>
    <w:rsid w:val="40CF6117"/>
    <w:rsid w:val="40DB5894"/>
    <w:rsid w:val="40E8793D"/>
    <w:rsid w:val="41596145"/>
    <w:rsid w:val="422718F0"/>
    <w:rsid w:val="427D6F5C"/>
    <w:rsid w:val="42B95C33"/>
    <w:rsid w:val="42C83582"/>
    <w:rsid w:val="436F1026"/>
    <w:rsid w:val="444E19A7"/>
    <w:rsid w:val="44DF2E05"/>
    <w:rsid w:val="44EC44AD"/>
    <w:rsid w:val="451E392D"/>
    <w:rsid w:val="46593AA7"/>
    <w:rsid w:val="46641814"/>
    <w:rsid w:val="471B1FD9"/>
    <w:rsid w:val="477B1E7C"/>
    <w:rsid w:val="47E32C0C"/>
    <w:rsid w:val="47F72214"/>
    <w:rsid w:val="482E20D9"/>
    <w:rsid w:val="48390ED1"/>
    <w:rsid w:val="489A776F"/>
    <w:rsid w:val="49340969"/>
    <w:rsid w:val="4A314C56"/>
    <w:rsid w:val="4A747123"/>
    <w:rsid w:val="4B676C34"/>
    <w:rsid w:val="4B6C50E2"/>
    <w:rsid w:val="4B8563EC"/>
    <w:rsid w:val="4C20442F"/>
    <w:rsid w:val="4C2C153D"/>
    <w:rsid w:val="4CA92ED0"/>
    <w:rsid w:val="4CF51418"/>
    <w:rsid w:val="4E20297D"/>
    <w:rsid w:val="4E2B70BB"/>
    <w:rsid w:val="4E9D3820"/>
    <w:rsid w:val="4F0F42E7"/>
    <w:rsid w:val="4F4F0B8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476745"/>
    <w:rsid w:val="54372316"/>
    <w:rsid w:val="545509EE"/>
    <w:rsid w:val="55A51501"/>
    <w:rsid w:val="56110247"/>
    <w:rsid w:val="56585F78"/>
    <w:rsid w:val="56810C41"/>
    <w:rsid w:val="568234D0"/>
    <w:rsid w:val="575A4079"/>
    <w:rsid w:val="58086DF8"/>
    <w:rsid w:val="5818245E"/>
    <w:rsid w:val="58AC2BA6"/>
    <w:rsid w:val="58B82BD2"/>
    <w:rsid w:val="592B6E1F"/>
    <w:rsid w:val="596C0CB3"/>
    <w:rsid w:val="59EF0550"/>
    <w:rsid w:val="5A105AE3"/>
    <w:rsid w:val="5A9B0F31"/>
    <w:rsid w:val="5B8175B1"/>
    <w:rsid w:val="5BAD7C14"/>
    <w:rsid w:val="5BB328B6"/>
    <w:rsid w:val="5BB8472C"/>
    <w:rsid w:val="5C1C28CE"/>
    <w:rsid w:val="5C8005D2"/>
    <w:rsid w:val="5D1E5865"/>
    <w:rsid w:val="5D2B2C34"/>
    <w:rsid w:val="5D66733F"/>
    <w:rsid w:val="5D717B9C"/>
    <w:rsid w:val="5D76403C"/>
    <w:rsid w:val="5DB9244D"/>
    <w:rsid w:val="5EF153BA"/>
    <w:rsid w:val="5F9605FB"/>
    <w:rsid w:val="5FB46F10"/>
    <w:rsid w:val="5FCB3EDE"/>
    <w:rsid w:val="601C1153"/>
    <w:rsid w:val="61F730E4"/>
    <w:rsid w:val="623C47AA"/>
    <w:rsid w:val="625E65A5"/>
    <w:rsid w:val="63234928"/>
    <w:rsid w:val="63315910"/>
    <w:rsid w:val="63E56E61"/>
    <w:rsid w:val="647E7AED"/>
    <w:rsid w:val="65617249"/>
    <w:rsid w:val="658924EB"/>
    <w:rsid w:val="67000C8D"/>
    <w:rsid w:val="676E209B"/>
    <w:rsid w:val="678B0249"/>
    <w:rsid w:val="67F13E67"/>
    <w:rsid w:val="684D7F02"/>
    <w:rsid w:val="68617509"/>
    <w:rsid w:val="687F139E"/>
    <w:rsid w:val="692626AB"/>
    <w:rsid w:val="694641F3"/>
    <w:rsid w:val="694E3F32"/>
    <w:rsid w:val="69A55B1C"/>
    <w:rsid w:val="6B21130D"/>
    <w:rsid w:val="6BA918F3"/>
    <w:rsid w:val="6BAB5A1A"/>
    <w:rsid w:val="6BE17C88"/>
    <w:rsid w:val="6BF34B5F"/>
    <w:rsid w:val="6C060692"/>
    <w:rsid w:val="6C0979E0"/>
    <w:rsid w:val="6C71128E"/>
    <w:rsid w:val="6C893DAB"/>
    <w:rsid w:val="6D3671B7"/>
    <w:rsid w:val="6D5E02EA"/>
    <w:rsid w:val="6D9057A9"/>
    <w:rsid w:val="6EC407F2"/>
    <w:rsid w:val="6EF10793"/>
    <w:rsid w:val="6F03756C"/>
    <w:rsid w:val="6F043A22"/>
    <w:rsid w:val="6F095BAB"/>
    <w:rsid w:val="6F455122"/>
    <w:rsid w:val="6FB61E83"/>
    <w:rsid w:val="72E96A79"/>
    <w:rsid w:val="72F524C9"/>
    <w:rsid w:val="732E26DE"/>
    <w:rsid w:val="73922C6D"/>
    <w:rsid w:val="73F73575"/>
    <w:rsid w:val="74934F0B"/>
    <w:rsid w:val="74F1463C"/>
    <w:rsid w:val="752244C4"/>
    <w:rsid w:val="7533222E"/>
    <w:rsid w:val="753E5FF6"/>
    <w:rsid w:val="77057D06"/>
    <w:rsid w:val="77444892"/>
    <w:rsid w:val="77465356"/>
    <w:rsid w:val="782D11B6"/>
    <w:rsid w:val="789D4075"/>
    <w:rsid w:val="78BA2027"/>
    <w:rsid w:val="79273E57"/>
    <w:rsid w:val="79314CD6"/>
    <w:rsid w:val="7A081C66"/>
    <w:rsid w:val="7A1C7734"/>
    <w:rsid w:val="7A432F13"/>
    <w:rsid w:val="7A5769BE"/>
    <w:rsid w:val="7A717563"/>
    <w:rsid w:val="7A9E5FB6"/>
    <w:rsid w:val="7B3B008E"/>
    <w:rsid w:val="7C156B31"/>
    <w:rsid w:val="7CBB1019"/>
    <w:rsid w:val="7CFC4DA3"/>
    <w:rsid w:val="7E1B69E2"/>
    <w:rsid w:val="7F007CC9"/>
    <w:rsid w:val="7F3D43D5"/>
    <w:rsid w:val="7FA03E4F"/>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Normal (Web)"/>
    <w:basedOn w:val="1"/>
    <w:qFormat/>
    <w:uiPriority w:val="0"/>
    <w:pPr>
      <w:spacing w:before="100" w:beforeAutospacing="1" w:after="100" w:afterAutospacing="1"/>
      <w:ind w:left="0" w:right="0"/>
      <w:jc w:val="left"/>
    </w:pPr>
    <w:rPr>
      <w:kern w:val="0"/>
      <w:sz w:val="24"/>
      <w:lang w:val="en-US" w:eastAsia="zh-CN"/>
    </w:rPr>
  </w:style>
  <w:style w:type="paragraph" w:styleId="18">
    <w:name w:val="Body Text First Indent"/>
    <w:basedOn w:val="8"/>
    <w:qFormat/>
    <w:uiPriority w:val="0"/>
    <w:pPr>
      <w:ind w:firstLine="420" w:firstLineChars="100"/>
    </w:pPr>
  </w:style>
  <w:style w:type="paragraph" w:styleId="19">
    <w:name w:val="Body Text First Indent 2"/>
    <w:basedOn w:val="9"/>
    <w:next w:val="1"/>
    <w:qFormat/>
    <w:uiPriority w:val="0"/>
    <w:pPr>
      <w:ind w:firstLine="420" w:firstLineChars="200"/>
    </w:pPr>
    <w:rPr>
      <w:rFonts w:ascii="Times New Roman" w:hAnsi="Times New Roman" w:eastAsia="宋体" w:cs="Times New Roman"/>
    </w:rPr>
  </w:style>
  <w:style w:type="table" w:styleId="21">
    <w:name w:val="Table Grid"/>
    <w:basedOn w:val="20"/>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18"/>
      <w:szCs w:val="18"/>
      <w:bdr w:val="single" w:color="D2D2D2" w:sz="2" w:space="0"/>
    </w:rPr>
  </w:style>
  <w:style w:type="character" w:styleId="28">
    <w:name w:val="HTML Acronym"/>
    <w:basedOn w:val="22"/>
    <w:qFormat/>
    <w:uiPriority w:val="0"/>
  </w:style>
  <w:style w:type="character" w:styleId="29">
    <w:name w:val="HTML Variable"/>
    <w:basedOn w:val="22"/>
    <w:qFormat/>
    <w:uiPriority w:val="0"/>
    <w:rPr>
      <w:shd w:val="clear" w:fill="FFFFFF"/>
    </w:rPr>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9">
    <w:name w:val="Table Paragraph"/>
    <w:basedOn w:val="1"/>
    <w:qFormat/>
    <w:uiPriority w:val="1"/>
    <w:rPr>
      <w:rFonts w:ascii="宋体" w:hAnsi="宋体" w:eastAsia="宋体" w:cs="宋体"/>
    </w:rPr>
  </w:style>
  <w:style w:type="paragraph" w:customStyle="1" w:styleId="40">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1">
    <w:name w:val="List Paragraph"/>
    <w:basedOn w:val="1"/>
    <w:qFormat/>
    <w:uiPriority w:val="1"/>
    <w:pPr>
      <w:ind w:left="1182" w:hanging="483"/>
    </w:pPr>
    <w:rPr>
      <w:rFonts w:ascii="宋体" w:hAnsi="宋体" w:eastAsia="宋体" w:cs="宋体"/>
    </w:rPr>
  </w:style>
  <w:style w:type="paragraph" w:customStyle="1" w:styleId="42">
    <w:name w:val="_Style 1"/>
    <w:basedOn w:val="1"/>
    <w:qFormat/>
    <w:uiPriority w:val="34"/>
    <w:pPr>
      <w:ind w:firstLine="420" w:firstLineChars="200"/>
    </w:pPr>
  </w:style>
  <w:style w:type="character" w:customStyle="1" w:styleId="43">
    <w:name w:val="hover1"/>
    <w:basedOn w:val="22"/>
    <w:qFormat/>
    <w:uiPriority w:val="0"/>
    <w:rPr>
      <w:color w:val="2590EB"/>
    </w:rPr>
  </w:style>
  <w:style w:type="character" w:customStyle="1" w:styleId="44">
    <w:name w:val="hover2"/>
    <w:basedOn w:val="22"/>
    <w:qFormat/>
    <w:uiPriority w:val="0"/>
    <w:rPr>
      <w:color w:val="2590EB"/>
    </w:rPr>
  </w:style>
  <w:style w:type="character" w:customStyle="1" w:styleId="45">
    <w:name w:val="hover3"/>
    <w:basedOn w:val="22"/>
    <w:qFormat/>
    <w:uiPriority w:val="0"/>
  </w:style>
  <w:style w:type="character" w:customStyle="1" w:styleId="46">
    <w:name w:val="mini-outputtext1"/>
    <w:basedOn w:val="22"/>
    <w:qFormat/>
    <w:uiPriority w:val="0"/>
  </w:style>
  <w:style w:type="character" w:customStyle="1" w:styleId="47">
    <w:name w:val="hover"/>
    <w:basedOn w:val="22"/>
    <w:qFormat/>
    <w:uiPriority w:val="0"/>
    <w:rPr>
      <w:color w:val="2590EB"/>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paragraph" w:customStyle="1" w:styleId="49">
    <w:name w:val="Table Text"/>
    <w:basedOn w:val="1"/>
    <w:semiHidden/>
    <w:qFormat/>
    <w:uiPriority w:val="0"/>
    <w:rPr>
      <w:rFonts w:ascii="仿宋" w:hAnsi="仿宋" w:eastAsia="仿宋" w:cs="仿宋"/>
      <w:sz w:val="24"/>
      <w:szCs w:val="24"/>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character" w:customStyle="1" w:styleId="51">
    <w:name w:val="layui-layer-tabnow"/>
    <w:basedOn w:val="22"/>
    <w:qFormat/>
    <w:uiPriority w:val="0"/>
    <w:rPr>
      <w:bdr w:val="single" w:color="CCCCCC" w:sz="6" w:space="0"/>
      <w:shd w:val="clear" w:fill="FFFFFF"/>
    </w:rPr>
  </w:style>
  <w:style w:type="character" w:customStyle="1" w:styleId="52">
    <w:name w:val="first-child"/>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20955</Words>
  <Characters>22249</Characters>
  <Lines>0</Lines>
  <Paragraphs>0</Paragraphs>
  <TotalTime>1</TotalTime>
  <ScaleCrop>false</ScaleCrop>
  <LinksUpToDate>false</LinksUpToDate>
  <CharactersWithSpaces>22829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13123</cp:lastModifiedBy>
  <cp:lastPrinted>2026-04-13T01:34:00Z</cp:lastPrinted>
  <dcterms:modified xsi:type="dcterms:W3CDTF">2026-04-23T09:13:41Z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1473E9EE09CA461BB01B86A3141A71A3_13</vt:lpwstr>
  </property>
  <property fmtid="{D5CDD505-2E9C-101B-9397-08002B2CF9AE}" pid="4" name="KSOTemplateDocerSaveRecord">
    <vt:lpwstr>eyJoZGlkIjoiYzM2MjViMjJhZmZiYWU4ZjM0NmIxMGJlYzRmYTAzNzgiLCJ1c2VySWQiOiIxNDg1NDYxMjczIn0=</vt:lpwstr>
  </property>
</Properties>
</file>