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1871">
      <w:pPr>
        <w:jc w:val="center"/>
        <w:outlineLvl w:val="9"/>
        <w:rPr>
          <w:rFonts w:hint="eastAsia" w:eastAsia="宋体"/>
          <w:b/>
          <w:bCs/>
          <w:color w:val="auto"/>
          <w:sz w:val="44"/>
          <w:szCs w:val="44"/>
          <w:highlight w:val="none"/>
          <w:lang w:eastAsia="zh-CN"/>
        </w:rPr>
      </w:pPr>
      <w:bookmarkStart w:id="0" w:name="_Toc179632544"/>
      <w:bookmarkEnd w:id="0"/>
      <w:bookmarkStart w:id="1" w:name="_Toc144974495"/>
      <w:bookmarkEnd w:id="1"/>
      <w:bookmarkStart w:id="2" w:name="_Toc152042303"/>
      <w:bookmarkEnd w:id="2"/>
      <w:r>
        <w:rPr>
          <w:rFonts w:hint="eastAsia" w:ascii="宋体" w:hAnsi="宋体" w:cs="黑体"/>
          <w:b/>
          <w:bCs/>
          <w:color w:val="auto"/>
          <w:sz w:val="44"/>
          <w:szCs w:val="44"/>
          <w:highlight w:val="none"/>
          <w:lang w:eastAsia="zh-CN"/>
        </w:rPr>
        <w:t>渑池县公路局S243线渑池白浪至渑陕界段改建工程压覆矿产资源报告编制项目</w:t>
      </w:r>
    </w:p>
    <w:p w14:paraId="074E7C9F">
      <w:pPr>
        <w:jc w:val="both"/>
        <w:rPr>
          <w:rFonts w:hint="eastAsia" w:ascii="宋体" w:hAnsi="宋体" w:cs="黑体"/>
          <w:color w:val="auto"/>
          <w:sz w:val="72"/>
          <w:szCs w:val="72"/>
          <w:highlight w:val="none"/>
        </w:rPr>
      </w:pPr>
    </w:p>
    <w:p w14:paraId="180E8020">
      <w:pPr>
        <w:jc w:val="center"/>
        <w:rPr>
          <w:rFonts w:hint="eastAsia" w:ascii="宋体" w:hAnsi="宋体" w:cs="黑体"/>
          <w:b/>
          <w:bCs/>
          <w:color w:val="auto"/>
          <w:sz w:val="56"/>
          <w:szCs w:val="56"/>
          <w:highlight w:val="none"/>
        </w:rPr>
      </w:pPr>
      <w:r>
        <w:rPr>
          <w:rFonts w:hint="eastAsia" w:ascii="宋体" w:hAnsi="宋体" w:cs="黑体"/>
          <w:b/>
          <w:bCs/>
          <w:color w:val="auto"/>
          <w:sz w:val="56"/>
          <w:szCs w:val="56"/>
          <w:highlight w:val="none"/>
        </w:rPr>
        <w:t>竞争性磋商文件</w:t>
      </w:r>
    </w:p>
    <w:p w14:paraId="7CA690C4">
      <w:pPr>
        <w:jc w:val="center"/>
        <w:rPr>
          <w:rFonts w:hint="eastAsia" w:ascii="宋体" w:hAnsi="宋体" w:cs="黑体"/>
          <w:color w:val="auto"/>
          <w:sz w:val="56"/>
          <w:szCs w:val="56"/>
          <w:highlight w:val="none"/>
        </w:rPr>
      </w:pPr>
    </w:p>
    <w:p w14:paraId="7F56047E">
      <w:pPr>
        <w:jc w:val="center"/>
        <w:rPr>
          <w:rFonts w:hint="eastAsia" w:ascii="宋体" w:hAnsi="宋体" w:cs="宋体"/>
          <w:color w:val="auto"/>
          <w:kern w:val="2"/>
          <w:sz w:val="24"/>
          <w:szCs w:val="24"/>
          <w:highlight w:val="none"/>
        </w:rPr>
      </w:pPr>
    </w:p>
    <w:p w14:paraId="21AEACFB">
      <w:pPr>
        <w:ind w:firstLine="1600" w:firstLineChars="500"/>
        <w:jc w:val="both"/>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rPr>
        <w:t>项目编号：MCGZ[2026]067-ZC063</w:t>
      </w:r>
    </w:p>
    <w:p w14:paraId="2C68941B">
      <w:pPr>
        <w:ind w:firstLine="1600" w:firstLineChars="500"/>
        <w:jc w:val="both"/>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采购编号:渑池竞磋采购-2026-46</w:t>
      </w:r>
    </w:p>
    <w:p w14:paraId="6A11D572">
      <w:pPr>
        <w:jc w:val="center"/>
        <w:rPr>
          <w:rFonts w:hint="eastAsia" w:ascii="宋体" w:hAnsi="宋体"/>
          <w:bCs/>
          <w:color w:val="auto"/>
          <w:spacing w:val="-20"/>
          <w:sz w:val="30"/>
          <w:szCs w:val="30"/>
          <w:highlight w:val="none"/>
        </w:rPr>
      </w:pPr>
    </w:p>
    <w:p w14:paraId="21E18E52">
      <w:pPr>
        <w:jc w:val="center"/>
        <w:rPr>
          <w:rFonts w:hint="eastAsia" w:ascii="宋体" w:hAnsi="宋体"/>
          <w:bCs/>
          <w:color w:val="auto"/>
          <w:spacing w:val="-20"/>
          <w:sz w:val="30"/>
          <w:szCs w:val="30"/>
          <w:highlight w:val="none"/>
        </w:rPr>
      </w:pPr>
      <w:r>
        <w:rPr>
          <w:rFonts w:hint="eastAsia" w:ascii="宋体" w:hAnsi="宋体" w:eastAsia="宋体" w:cs="宋体"/>
          <w:b/>
          <w:bCs/>
          <w:color w:val="auto"/>
          <w:kern w:val="0"/>
          <w:sz w:val="52"/>
          <w:szCs w:val="52"/>
          <w:highlight w:val="none"/>
          <w:lang w:val="en-US" w:eastAsia="zh-CN" w:bidi="ar"/>
        </w:rPr>
        <w:drawing>
          <wp:anchor distT="0" distB="0" distL="114300" distR="114300" simplePos="0" relativeHeight="251660288" behindDoc="1" locked="0" layoutInCell="1" allowOverlap="1">
            <wp:simplePos x="0" y="0"/>
            <wp:positionH relativeFrom="column">
              <wp:posOffset>1439545</wp:posOffset>
            </wp:positionH>
            <wp:positionV relativeFrom="paragraph">
              <wp:posOffset>96520</wp:posOffset>
            </wp:positionV>
            <wp:extent cx="2515870" cy="2559050"/>
            <wp:effectExtent l="0" t="0" r="17780" b="12700"/>
            <wp:wrapTight wrapText="bothSides">
              <wp:wrapPolygon>
                <wp:start x="0" y="0"/>
                <wp:lineTo x="0" y="21386"/>
                <wp:lineTo x="21426" y="21386"/>
                <wp:lineTo x="21426" y="0"/>
                <wp:lineTo x="0" y="0"/>
              </wp:wrapPolygon>
            </wp:wrapTight>
            <wp:docPr id="3" name="图片 3" descr="8d96bd5c1bcb08acbc16cbc9747a6c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d96bd5c1bcb08acbc16cbc9747a6c9a"/>
                    <pic:cNvPicPr>
                      <a:picLocks noChangeAspect="1"/>
                    </pic:cNvPicPr>
                  </pic:nvPicPr>
                  <pic:blipFill>
                    <a:blip r:embed="rId8"/>
                    <a:stretch>
                      <a:fillRect/>
                    </a:stretch>
                  </pic:blipFill>
                  <pic:spPr>
                    <a:xfrm>
                      <a:off x="0" y="0"/>
                      <a:ext cx="2515870" cy="2559050"/>
                    </a:xfrm>
                    <a:prstGeom prst="rect">
                      <a:avLst/>
                    </a:prstGeom>
                    <a:noFill/>
                    <a:ln>
                      <a:noFill/>
                    </a:ln>
                  </pic:spPr>
                </pic:pic>
              </a:graphicData>
            </a:graphic>
          </wp:anchor>
        </w:drawing>
      </w:r>
    </w:p>
    <w:p w14:paraId="3D5C0963">
      <w:pPr>
        <w:jc w:val="center"/>
        <w:rPr>
          <w:rFonts w:hint="eastAsia" w:ascii="宋体" w:hAnsi="宋体"/>
          <w:bCs/>
          <w:color w:val="auto"/>
          <w:spacing w:val="-20"/>
          <w:sz w:val="30"/>
          <w:szCs w:val="30"/>
          <w:highlight w:val="none"/>
        </w:rPr>
      </w:pPr>
    </w:p>
    <w:p w14:paraId="1BDE0D48">
      <w:pPr>
        <w:jc w:val="center"/>
        <w:rPr>
          <w:rFonts w:hint="eastAsia" w:ascii="宋体" w:hAnsi="宋体"/>
          <w:bCs/>
          <w:color w:val="auto"/>
          <w:spacing w:val="-20"/>
          <w:sz w:val="30"/>
          <w:szCs w:val="30"/>
          <w:highlight w:val="none"/>
        </w:rPr>
      </w:pPr>
    </w:p>
    <w:p w14:paraId="1C79D1CB">
      <w:pPr>
        <w:jc w:val="center"/>
        <w:rPr>
          <w:rFonts w:hint="eastAsia" w:ascii="宋体" w:hAnsi="宋体"/>
          <w:bCs/>
          <w:color w:val="auto"/>
          <w:spacing w:val="-20"/>
          <w:sz w:val="30"/>
          <w:szCs w:val="30"/>
          <w:highlight w:val="none"/>
        </w:rPr>
      </w:pPr>
    </w:p>
    <w:p w14:paraId="4213FD04">
      <w:pPr>
        <w:ind w:firstLine="2240" w:firstLineChars="800"/>
        <w:jc w:val="both"/>
        <w:rPr>
          <w:rFonts w:hint="eastAsia" w:ascii="宋体" w:hAnsi="宋体"/>
          <w:bCs/>
          <w:color w:val="auto"/>
          <w:spacing w:val="-20"/>
          <w:sz w:val="32"/>
          <w:szCs w:val="32"/>
          <w:highlight w:val="none"/>
        </w:rPr>
      </w:pPr>
    </w:p>
    <w:p w14:paraId="76D3F0A6">
      <w:pPr>
        <w:jc w:val="center"/>
        <w:rPr>
          <w:rFonts w:hint="eastAsia" w:ascii="宋体" w:hAnsi="宋体"/>
          <w:bCs/>
          <w:color w:val="auto"/>
          <w:spacing w:val="-20"/>
          <w:sz w:val="32"/>
          <w:szCs w:val="32"/>
          <w:highlight w:val="none"/>
        </w:rPr>
      </w:pPr>
    </w:p>
    <w:p w14:paraId="4643A146">
      <w:pPr>
        <w:jc w:val="center"/>
        <w:rPr>
          <w:rFonts w:hint="eastAsia" w:ascii="宋体" w:hAnsi="宋体"/>
          <w:bCs/>
          <w:color w:val="auto"/>
          <w:spacing w:val="-20"/>
          <w:sz w:val="32"/>
          <w:szCs w:val="32"/>
          <w:highlight w:val="none"/>
        </w:rPr>
      </w:pPr>
    </w:p>
    <w:p w14:paraId="5FD7861C">
      <w:pPr>
        <w:jc w:val="center"/>
        <w:rPr>
          <w:rFonts w:hint="eastAsia" w:ascii="宋体" w:hAnsi="宋体"/>
          <w:bCs/>
          <w:color w:val="auto"/>
          <w:spacing w:val="-20"/>
          <w:sz w:val="32"/>
          <w:szCs w:val="32"/>
          <w:highlight w:val="none"/>
        </w:rPr>
      </w:pPr>
    </w:p>
    <w:p w14:paraId="236F03C6">
      <w:pPr>
        <w:jc w:val="center"/>
        <w:rPr>
          <w:rFonts w:hint="eastAsia" w:ascii="宋体" w:hAnsi="宋体"/>
          <w:bCs/>
          <w:color w:val="auto"/>
          <w:spacing w:val="-20"/>
          <w:sz w:val="32"/>
          <w:szCs w:val="32"/>
          <w:highlight w:val="none"/>
        </w:rPr>
      </w:pPr>
    </w:p>
    <w:p w14:paraId="2BA05A8D">
      <w:pPr>
        <w:ind w:firstLine="1969" w:firstLineChars="700"/>
        <w:jc w:val="both"/>
        <w:rPr>
          <w:rFonts w:hint="eastAsia" w:ascii="宋体" w:hAnsi="宋体"/>
          <w:b/>
          <w:bCs w:val="0"/>
          <w:color w:val="auto"/>
          <w:spacing w:val="-20"/>
          <w:sz w:val="32"/>
          <w:szCs w:val="32"/>
          <w:highlight w:val="none"/>
        </w:rPr>
      </w:pPr>
      <w:r>
        <w:rPr>
          <w:rFonts w:hint="eastAsia" w:ascii="宋体" w:hAnsi="宋体"/>
          <w:b/>
          <w:bCs w:val="0"/>
          <w:color w:val="auto"/>
          <w:spacing w:val="-20"/>
          <w:sz w:val="32"/>
          <w:szCs w:val="32"/>
          <w:highlight w:val="none"/>
        </w:rPr>
        <w:t xml:space="preserve">采  </w:t>
      </w:r>
      <w:r>
        <w:rPr>
          <w:rFonts w:hint="eastAsia" w:ascii="宋体" w:hAnsi="宋体"/>
          <w:b/>
          <w:bCs w:val="0"/>
          <w:color w:val="auto"/>
          <w:spacing w:val="-20"/>
          <w:sz w:val="32"/>
          <w:szCs w:val="32"/>
          <w:highlight w:val="none"/>
          <w:lang w:val="en-US" w:eastAsia="zh-CN"/>
        </w:rPr>
        <w:t xml:space="preserve"> </w:t>
      </w:r>
      <w:r>
        <w:rPr>
          <w:rFonts w:hint="eastAsia" w:ascii="宋体" w:hAnsi="宋体"/>
          <w:b/>
          <w:bCs w:val="0"/>
          <w:color w:val="auto"/>
          <w:spacing w:val="-20"/>
          <w:sz w:val="32"/>
          <w:szCs w:val="32"/>
          <w:highlight w:val="none"/>
        </w:rPr>
        <w:t xml:space="preserve"> 购  人：</w:t>
      </w:r>
      <w:r>
        <w:rPr>
          <w:rFonts w:hint="eastAsia" w:ascii="宋体" w:hAnsi="宋体"/>
          <w:b/>
          <w:bCs w:val="0"/>
          <w:color w:val="auto"/>
          <w:spacing w:val="-20"/>
          <w:sz w:val="32"/>
          <w:szCs w:val="32"/>
          <w:highlight w:val="none"/>
          <w:lang w:eastAsia="zh-CN"/>
        </w:rPr>
        <w:t>渑池县公路局</w:t>
      </w:r>
      <w:r>
        <w:rPr>
          <w:rFonts w:hint="eastAsia" w:ascii="宋体" w:hAnsi="宋体"/>
          <w:b/>
          <w:bCs w:val="0"/>
          <w:color w:val="auto"/>
          <w:spacing w:val="-20"/>
          <w:sz w:val="32"/>
          <w:szCs w:val="32"/>
          <w:highlight w:val="none"/>
        </w:rPr>
        <w:t xml:space="preserve">   </w:t>
      </w:r>
    </w:p>
    <w:p w14:paraId="7CA96E89">
      <w:pPr>
        <w:jc w:val="center"/>
        <w:rPr>
          <w:rFonts w:hint="eastAsia" w:ascii="宋体" w:hAnsi="宋体" w:eastAsia="宋体"/>
          <w:b/>
          <w:bCs w:val="0"/>
          <w:color w:val="auto"/>
          <w:spacing w:val="-20"/>
          <w:sz w:val="32"/>
          <w:szCs w:val="32"/>
          <w:highlight w:val="none"/>
          <w:lang w:eastAsia="zh-CN"/>
        </w:rPr>
      </w:pPr>
      <w:r>
        <w:rPr>
          <w:rFonts w:hint="eastAsia" w:ascii="宋体" w:hAnsi="宋体"/>
          <w:b/>
          <w:bCs w:val="0"/>
          <w:color w:val="auto"/>
          <w:spacing w:val="-20"/>
          <w:sz w:val="32"/>
          <w:szCs w:val="32"/>
          <w:highlight w:val="none"/>
        </w:rPr>
        <w:t>采购代理机构：</w:t>
      </w:r>
      <w:r>
        <w:rPr>
          <w:rFonts w:hint="eastAsia" w:ascii="宋体" w:hAnsi="宋体"/>
          <w:b/>
          <w:bCs w:val="0"/>
          <w:color w:val="auto"/>
          <w:spacing w:val="-20"/>
          <w:sz w:val="32"/>
          <w:szCs w:val="32"/>
          <w:highlight w:val="none"/>
          <w:lang w:eastAsia="zh-CN"/>
        </w:rPr>
        <w:t>河南昱通工程管理有限公司</w:t>
      </w:r>
    </w:p>
    <w:p w14:paraId="0B0277E8">
      <w:pPr>
        <w:ind w:firstLine="1969" w:firstLineChars="700"/>
        <w:jc w:val="both"/>
        <w:rPr>
          <w:rFonts w:hint="eastAsia" w:ascii="宋体" w:hAnsi="宋体"/>
          <w:b/>
          <w:bCs w:val="0"/>
          <w:color w:val="auto"/>
          <w:spacing w:val="-20"/>
          <w:sz w:val="32"/>
          <w:szCs w:val="32"/>
          <w:highlight w:val="none"/>
        </w:rPr>
        <w:sectPr>
          <w:headerReference r:id="rId3" w:type="default"/>
          <w:headerReference r:id="rId4" w:type="even"/>
          <w:pgSz w:w="11906" w:h="16838"/>
          <w:pgMar w:top="1440" w:right="1134" w:bottom="1440" w:left="1701" w:header="851" w:footer="992" w:gutter="0"/>
          <w:cols w:space="720" w:num="1"/>
          <w:docGrid w:type="lines" w:linePitch="312" w:charSpace="0"/>
        </w:sectPr>
      </w:pPr>
      <w:r>
        <w:rPr>
          <w:rFonts w:hint="eastAsia" w:ascii="宋体" w:hAnsi="宋体"/>
          <w:b/>
          <w:bCs w:val="0"/>
          <w:color w:val="auto"/>
          <w:spacing w:val="-20"/>
          <w:sz w:val="32"/>
          <w:szCs w:val="32"/>
          <w:highlight w:val="none"/>
        </w:rPr>
        <w:t xml:space="preserve">日  </w:t>
      </w:r>
      <w:r>
        <w:rPr>
          <w:rFonts w:hint="eastAsia" w:ascii="宋体" w:hAnsi="宋体"/>
          <w:b/>
          <w:bCs w:val="0"/>
          <w:color w:val="auto"/>
          <w:spacing w:val="-20"/>
          <w:sz w:val="32"/>
          <w:szCs w:val="32"/>
          <w:highlight w:val="none"/>
          <w:lang w:val="en-US" w:eastAsia="zh-CN"/>
        </w:rPr>
        <w:t xml:space="preserve"> </w:t>
      </w:r>
      <w:r>
        <w:rPr>
          <w:rFonts w:hint="eastAsia" w:ascii="宋体" w:hAnsi="宋体"/>
          <w:b/>
          <w:bCs w:val="0"/>
          <w:color w:val="auto"/>
          <w:spacing w:val="-20"/>
          <w:sz w:val="32"/>
          <w:szCs w:val="32"/>
          <w:highlight w:val="none"/>
        </w:rPr>
        <w:t xml:space="preserve">     期：二零二</w:t>
      </w:r>
      <w:r>
        <w:rPr>
          <w:rFonts w:hint="eastAsia" w:ascii="宋体" w:hAnsi="宋体"/>
          <w:b/>
          <w:bCs w:val="0"/>
          <w:color w:val="auto"/>
          <w:spacing w:val="-20"/>
          <w:sz w:val="32"/>
          <w:szCs w:val="32"/>
          <w:highlight w:val="none"/>
          <w:lang w:val="en-US" w:eastAsia="zh-CN"/>
        </w:rPr>
        <w:t>六</w:t>
      </w:r>
      <w:r>
        <w:rPr>
          <w:rFonts w:hint="eastAsia" w:ascii="宋体" w:hAnsi="宋体"/>
          <w:b/>
          <w:bCs w:val="0"/>
          <w:color w:val="auto"/>
          <w:spacing w:val="-20"/>
          <w:sz w:val="32"/>
          <w:szCs w:val="32"/>
          <w:highlight w:val="none"/>
        </w:rPr>
        <w:t>年</w:t>
      </w:r>
      <w:r>
        <w:rPr>
          <w:rFonts w:hint="eastAsia" w:ascii="宋体" w:hAnsi="宋体"/>
          <w:b/>
          <w:bCs w:val="0"/>
          <w:color w:val="auto"/>
          <w:spacing w:val="-20"/>
          <w:sz w:val="32"/>
          <w:szCs w:val="32"/>
          <w:highlight w:val="none"/>
          <w:lang w:val="en-US" w:eastAsia="zh-CN"/>
        </w:rPr>
        <w:t>五</w:t>
      </w:r>
      <w:r>
        <w:rPr>
          <w:rFonts w:hint="eastAsia" w:ascii="宋体" w:hAnsi="宋体"/>
          <w:b/>
          <w:bCs w:val="0"/>
          <w:color w:val="auto"/>
          <w:spacing w:val="-20"/>
          <w:sz w:val="32"/>
          <w:szCs w:val="32"/>
          <w:highlight w:val="none"/>
        </w:rPr>
        <w:t>月</w:t>
      </w:r>
    </w:p>
    <w:p w14:paraId="59A1FCBB">
      <w:pPr>
        <w:jc w:val="center"/>
        <w:rPr>
          <w:rFonts w:hint="eastAsia" w:ascii="宋体" w:hAnsi="宋体" w:cs="宋体"/>
          <w:b/>
          <w:color w:val="auto"/>
          <w:sz w:val="36"/>
          <w:szCs w:val="32"/>
          <w:highlight w:val="none"/>
        </w:rPr>
      </w:pPr>
    </w:p>
    <w:sdt>
      <w:sdtPr>
        <w:rPr>
          <w:rFonts w:ascii="宋体" w:hAnsi="宋体" w:eastAsia="宋体" w:cs="Times New Roman"/>
          <w:b/>
          <w:bCs/>
          <w:color w:val="auto"/>
          <w:sz w:val="40"/>
          <w:szCs w:val="36"/>
          <w:highlight w:val="none"/>
          <w:lang w:val="en-US" w:eastAsia="zh-CN" w:bidi="ar-SA"/>
        </w:rPr>
        <w:id w:val="147454460"/>
        <w15:color w:val="DBDBDB"/>
        <w:docPartObj>
          <w:docPartGallery w:val="Table of Contents"/>
          <w:docPartUnique/>
        </w:docPartObj>
      </w:sdtPr>
      <w:sdtEndPr>
        <w:rPr>
          <w:rFonts w:hint="eastAsia" w:ascii="宋体" w:hAnsi="宋体" w:eastAsia="宋体" w:cs="宋体"/>
          <w:b/>
          <w:bCs/>
          <w:color w:val="auto"/>
          <w:sz w:val="40"/>
          <w:szCs w:val="32"/>
          <w:highlight w:val="none"/>
          <w:lang w:val="en-US" w:eastAsia="zh-CN" w:bidi="ar-SA"/>
        </w:rPr>
      </w:sdtEndPr>
      <w:sdtContent>
        <w:p w14:paraId="076341F0">
          <w:pPr>
            <w:spacing w:before="0" w:beforeLines="0" w:after="0" w:afterLines="0" w:line="240" w:lineRule="auto"/>
            <w:ind w:left="0" w:leftChars="0" w:right="0" w:rightChars="0" w:firstLine="0" w:firstLineChars="0"/>
            <w:jc w:val="center"/>
            <w:rPr>
              <w:b/>
              <w:bCs/>
              <w:color w:val="auto"/>
              <w:sz w:val="36"/>
              <w:szCs w:val="36"/>
              <w:highlight w:val="none"/>
            </w:rPr>
          </w:pPr>
          <w:r>
            <w:rPr>
              <w:rFonts w:ascii="宋体" w:hAnsi="宋体" w:eastAsia="宋体"/>
              <w:b/>
              <w:bCs/>
              <w:color w:val="auto"/>
              <w:sz w:val="40"/>
              <w:szCs w:val="36"/>
              <w:highlight w:val="none"/>
            </w:rPr>
            <w:t>目</w:t>
          </w:r>
          <w:r>
            <w:rPr>
              <w:rFonts w:hint="eastAsia" w:ascii="宋体" w:hAnsi="宋体" w:eastAsia="宋体"/>
              <w:b/>
              <w:bCs/>
              <w:color w:val="auto"/>
              <w:sz w:val="40"/>
              <w:szCs w:val="36"/>
              <w:highlight w:val="none"/>
              <w:lang w:val="en-US" w:eastAsia="zh-CN"/>
            </w:rPr>
            <w:t xml:space="preserve"> </w:t>
          </w:r>
          <w:r>
            <w:rPr>
              <w:rFonts w:ascii="宋体" w:hAnsi="宋体" w:eastAsia="宋体"/>
              <w:b/>
              <w:bCs/>
              <w:color w:val="auto"/>
              <w:sz w:val="40"/>
              <w:szCs w:val="36"/>
              <w:highlight w:val="none"/>
            </w:rPr>
            <w:t>录</w:t>
          </w:r>
        </w:p>
        <w:p w14:paraId="794AC60E">
          <w:pPr>
            <w:pStyle w:val="9"/>
            <w:keepNext w:val="0"/>
            <w:keepLines w:val="0"/>
            <w:pageBreakBefore w:val="0"/>
            <w:tabs>
              <w:tab w:val="right" w:leader="dot" w:pos="929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fldChar w:fldCharType="begin"/>
          </w:r>
          <w:r>
            <w:rPr>
              <w:rFonts w:hint="eastAsia" w:asciiTheme="minorEastAsia" w:hAnsiTheme="minorEastAsia" w:eastAsiaTheme="minorEastAsia" w:cstheme="minorEastAsia"/>
              <w:b/>
              <w:color w:val="auto"/>
              <w:sz w:val="32"/>
              <w:szCs w:val="32"/>
              <w:highlight w:val="none"/>
              <w:lang w:val="en-US" w:eastAsia="zh-CN"/>
            </w:rPr>
            <w:instrText xml:space="preserve">TOC \o "1-1" \h \u </w:instrText>
          </w:r>
          <w:r>
            <w:rPr>
              <w:rFonts w:hint="eastAsia" w:asciiTheme="minorEastAsia" w:hAnsiTheme="minorEastAsia" w:eastAsiaTheme="minorEastAsia" w:cstheme="minorEastAsia"/>
              <w:b/>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fldChar w:fldCharType="begin"/>
          </w:r>
          <w:r>
            <w:rPr>
              <w:rFonts w:hint="eastAsia" w:asciiTheme="minorEastAsia" w:hAnsiTheme="minorEastAsia" w:eastAsiaTheme="minorEastAsia" w:cstheme="minorEastAsia"/>
              <w:color w:val="auto"/>
              <w:sz w:val="32"/>
              <w:szCs w:val="32"/>
              <w:highlight w:val="none"/>
              <w:lang w:val="en-US" w:eastAsia="zh-CN"/>
            </w:rPr>
            <w:instrText xml:space="preserve"> HYPERLINK \l _Toc2070 </w:instrText>
          </w:r>
          <w:r>
            <w:rPr>
              <w:rFonts w:hint="eastAsia" w:asciiTheme="minorEastAsia" w:hAnsiTheme="minorEastAsia" w:eastAsiaTheme="minorEastAsia" w:cstheme="minorEastAsia"/>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rPr>
            <w:t>第一章</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竞争性磋商公告</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_Toc2070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1</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fldChar w:fldCharType="end"/>
          </w:r>
        </w:p>
        <w:p w14:paraId="28DBDF18">
          <w:pPr>
            <w:pStyle w:val="9"/>
            <w:keepNext w:val="0"/>
            <w:keepLines w:val="0"/>
            <w:pageBreakBefore w:val="0"/>
            <w:tabs>
              <w:tab w:val="right" w:leader="dot" w:pos="929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fldChar w:fldCharType="begin"/>
          </w:r>
          <w:r>
            <w:rPr>
              <w:rFonts w:hint="eastAsia" w:asciiTheme="minorEastAsia" w:hAnsiTheme="minorEastAsia" w:eastAsiaTheme="minorEastAsia" w:cstheme="minorEastAsia"/>
              <w:color w:val="auto"/>
              <w:sz w:val="32"/>
              <w:szCs w:val="32"/>
              <w:highlight w:val="none"/>
              <w:lang w:val="en-US" w:eastAsia="zh-CN"/>
            </w:rPr>
            <w:instrText xml:space="preserve"> HYPERLINK \l _Toc4063 </w:instrText>
          </w:r>
          <w:r>
            <w:rPr>
              <w:rFonts w:hint="eastAsia" w:asciiTheme="minorEastAsia" w:hAnsiTheme="minorEastAsia" w:eastAsiaTheme="minorEastAsia" w:cstheme="minorEastAsia"/>
              <w:color w:val="auto"/>
              <w:sz w:val="32"/>
              <w:szCs w:val="32"/>
              <w:highlight w:val="none"/>
              <w:lang w:val="en-US" w:eastAsia="zh-CN"/>
            </w:rPr>
            <w:fldChar w:fldCharType="separate"/>
          </w:r>
          <w:r>
            <w:rPr>
              <w:rFonts w:hint="eastAsia" w:asciiTheme="minorEastAsia" w:hAnsiTheme="minorEastAsia" w:eastAsiaTheme="minorEastAsia" w:cstheme="minorEastAsia"/>
              <w:color w:val="auto"/>
              <w:kern w:val="2"/>
              <w:sz w:val="32"/>
              <w:szCs w:val="32"/>
              <w:highlight w:val="none"/>
            </w:rPr>
            <w:t>第二章</w:t>
          </w:r>
          <w:r>
            <w:rPr>
              <w:rFonts w:hint="eastAsia" w:asciiTheme="minorEastAsia" w:hAnsiTheme="minorEastAsia" w:eastAsiaTheme="minorEastAsia" w:cstheme="minorEastAsia"/>
              <w:color w:val="auto"/>
              <w:kern w:val="2"/>
              <w:sz w:val="32"/>
              <w:szCs w:val="32"/>
              <w:highlight w:val="none"/>
              <w:lang w:val="en-US" w:eastAsia="zh-CN"/>
            </w:rPr>
            <w:t xml:space="preserve">  </w:t>
          </w:r>
          <w:r>
            <w:rPr>
              <w:rFonts w:hint="eastAsia" w:asciiTheme="minorEastAsia" w:hAnsiTheme="minorEastAsia" w:eastAsiaTheme="minorEastAsia" w:cstheme="minorEastAsia"/>
              <w:color w:val="auto"/>
              <w:kern w:val="2"/>
              <w:sz w:val="32"/>
              <w:szCs w:val="32"/>
              <w:highlight w:val="none"/>
            </w:rPr>
            <w:t>供应商须知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_Toc4063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5</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fldChar w:fldCharType="end"/>
          </w:r>
        </w:p>
        <w:p w14:paraId="030CFABA">
          <w:pPr>
            <w:pStyle w:val="9"/>
            <w:keepNext w:val="0"/>
            <w:keepLines w:val="0"/>
            <w:pageBreakBefore w:val="0"/>
            <w:tabs>
              <w:tab w:val="right" w:leader="dot" w:pos="929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fldChar w:fldCharType="begin"/>
          </w:r>
          <w:r>
            <w:rPr>
              <w:rFonts w:hint="eastAsia" w:asciiTheme="minorEastAsia" w:hAnsiTheme="minorEastAsia" w:eastAsiaTheme="minorEastAsia" w:cstheme="minorEastAsia"/>
              <w:color w:val="auto"/>
              <w:sz w:val="32"/>
              <w:szCs w:val="32"/>
              <w:highlight w:val="none"/>
              <w:lang w:val="en-US" w:eastAsia="zh-CN"/>
            </w:rPr>
            <w:instrText xml:space="preserve"> HYPERLINK \l _Toc10985 </w:instrText>
          </w:r>
          <w:r>
            <w:rPr>
              <w:rFonts w:hint="eastAsia" w:asciiTheme="minorEastAsia" w:hAnsiTheme="minorEastAsia" w:eastAsiaTheme="minorEastAsia" w:cstheme="minorEastAsia"/>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rPr>
            <w:t>第三章 服务内容及要求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_Toc10985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fldChar w:fldCharType="end"/>
          </w:r>
        </w:p>
        <w:p w14:paraId="7720F6CE">
          <w:pPr>
            <w:pStyle w:val="9"/>
            <w:keepNext w:val="0"/>
            <w:keepLines w:val="0"/>
            <w:pageBreakBefore w:val="0"/>
            <w:tabs>
              <w:tab w:val="right" w:leader="dot" w:pos="929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fldChar w:fldCharType="begin"/>
          </w:r>
          <w:r>
            <w:rPr>
              <w:rFonts w:hint="eastAsia" w:asciiTheme="minorEastAsia" w:hAnsiTheme="minorEastAsia" w:eastAsiaTheme="minorEastAsia" w:cstheme="minorEastAsia"/>
              <w:color w:val="auto"/>
              <w:sz w:val="32"/>
              <w:szCs w:val="32"/>
              <w:highlight w:val="none"/>
              <w:lang w:val="en-US" w:eastAsia="zh-CN"/>
            </w:rPr>
            <w:instrText xml:space="preserve"> HYPERLINK \l _Toc23879 </w:instrText>
          </w:r>
          <w:r>
            <w:rPr>
              <w:rFonts w:hint="eastAsia" w:asciiTheme="minorEastAsia" w:hAnsiTheme="minorEastAsia" w:eastAsiaTheme="minorEastAsia" w:cstheme="minorEastAsia"/>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rPr>
            <w:t>第四章  合同条款及合同文件格式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_Toc23879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fldChar w:fldCharType="end"/>
          </w:r>
        </w:p>
        <w:p w14:paraId="1B722D30">
          <w:pPr>
            <w:pStyle w:val="9"/>
            <w:keepNext w:val="0"/>
            <w:keepLines w:val="0"/>
            <w:pageBreakBefore w:val="0"/>
            <w:tabs>
              <w:tab w:val="right" w:leader="dot" w:pos="929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fldChar w:fldCharType="begin"/>
          </w:r>
          <w:r>
            <w:rPr>
              <w:rFonts w:hint="eastAsia" w:asciiTheme="minorEastAsia" w:hAnsiTheme="minorEastAsia" w:eastAsiaTheme="minorEastAsia" w:cstheme="minorEastAsia"/>
              <w:color w:val="auto"/>
              <w:sz w:val="32"/>
              <w:szCs w:val="32"/>
              <w:highlight w:val="none"/>
              <w:lang w:val="en-US" w:eastAsia="zh-CN"/>
            </w:rPr>
            <w:instrText xml:space="preserve"> HYPERLINK \l _Toc11180 </w:instrText>
          </w:r>
          <w:r>
            <w:rPr>
              <w:rFonts w:hint="eastAsia" w:asciiTheme="minorEastAsia" w:hAnsiTheme="minorEastAsia" w:eastAsiaTheme="minorEastAsia" w:cstheme="minorEastAsia"/>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rPr>
            <w:t>第五章</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评审标准</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_Toc11180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25</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fldChar w:fldCharType="end"/>
          </w:r>
        </w:p>
        <w:p w14:paraId="58E260C5">
          <w:pPr>
            <w:pStyle w:val="9"/>
            <w:keepNext w:val="0"/>
            <w:keepLines w:val="0"/>
            <w:pageBreakBefore w:val="0"/>
            <w:tabs>
              <w:tab w:val="right" w:leader="dot" w:pos="929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fldChar w:fldCharType="begin"/>
          </w:r>
          <w:r>
            <w:rPr>
              <w:rFonts w:hint="eastAsia" w:asciiTheme="minorEastAsia" w:hAnsiTheme="minorEastAsia" w:eastAsiaTheme="minorEastAsia" w:cstheme="minorEastAsia"/>
              <w:color w:val="auto"/>
              <w:sz w:val="32"/>
              <w:szCs w:val="32"/>
              <w:highlight w:val="none"/>
              <w:lang w:val="en-US" w:eastAsia="zh-CN"/>
            </w:rPr>
            <w:instrText xml:space="preserve"> HYPERLINK \l _Toc50 </w:instrText>
          </w:r>
          <w:r>
            <w:rPr>
              <w:rFonts w:hint="eastAsia" w:asciiTheme="minorEastAsia" w:hAnsiTheme="minorEastAsia" w:eastAsiaTheme="minorEastAsia" w:cstheme="minorEastAsia"/>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rPr>
            <w:t>第六章</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响应文件格式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_Toc50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34</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fldChar w:fldCharType="end"/>
          </w:r>
        </w:p>
        <w:p w14:paraId="7839B24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40"/>
              <w:szCs w:val="32"/>
              <w:highlight w:val="none"/>
              <w:lang w:val="en-US" w:eastAsia="zh-CN" w:bidi="ar-SA"/>
            </w:rPr>
          </w:pPr>
          <w:r>
            <w:rPr>
              <w:rFonts w:hint="eastAsia" w:asciiTheme="minorEastAsia" w:hAnsiTheme="minorEastAsia" w:eastAsiaTheme="minorEastAsia" w:cstheme="minorEastAsia"/>
              <w:color w:val="auto"/>
              <w:sz w:val="32"/>
              <w:szCs w:val="32"/>
              <w:highlight w:val="none"/>
              <w:lang w:val="en-US" w:eastAsia="zh-CN"/>
            </w:rPr>
            <w:fldChar w:fldCharType="end"/>
          </w:r>
        </w:p>
      </w:sdtContent>
    </w:sdt>
    <w:p w14:paraId="7E6BC40C">
      <w:pPr>
        <w:bidi w:val="0"/>
        <w:rPr>
          <w:rFonts w:hint="eastAsia" w:ascii="Times New Roman" w:hAnsi="Times New Roman" w:eastAsia="宋体" w:cs="Times New Roman"/>
          <w:color w:val="auto"/>
          <w:highlight w:val="none"/>
          <w:lang w:val="en-US" w:eastAsia="zh-CN" w:bidi="ar-SA"/>
        </w:rPr>
      </w:pPr>
    </w:p>
    <w:p w14:paraId="436A8894">
      <w:pPr>
        <w:bidi w:val="0"/>
        <w:rPr>
          <w:rFonts w:hint="eastAsia"/>
          <w:color w:val="auto"/>
          <w:highlight w:val="none"/>
          <w:lang w:val="en-US" w:eastAsia="zh-CN"/>
        </w:rPr>
      </w:pPr>
    </w:p>
    <w:p w14:paraId="0886E3E3">
      <w:pPr>
        <w:bidi w:val="0"/>
        <w:rPr>
          <w:rFonts w:hint="eastAsia"/>
          <w:color w:val="auto"/>
          <w:highlight w:val="none"/>
          <w:lang w:val="en-US" w:eastAsia="zh-CN"/>
        </w:rPr>
      </w:pPr>
    </w:p>
    <w:p w14:paraId="27106198">
      <w:pPr>
        <w:bidi w:val="0"/>
        <w:rPr>
          <w:rFonts w:hint="eastAsia"/>
          <w:color w:val="auto"/>
          <w:highlight w:val="none"/>
          <w:lang w:val="en-US" w:eastAsia="zh-CN"/>
        </w:rPr>
      </w:pPr>
    </w:p>
    <w:p w14:paraId="5FBF0D28">
      <w:pPr>
        <w:bidi w:val="0"/>
        <w:rPr>
          <w:rFonts w:hint="eastAsia"/>
          <w:color w:val="auto"/>
          <w:highlight w:val="none"/>
          <w:lang w:val="en-US" w:eastAsia="zh-CN"/>
        </w:rPr>
      </w:pPr>
    </w:p>
    <w:p w14:paraId="64254577">
      <w:pPr>
        <w:bidi w:val="0"/>
        <w:rPr>
          <w:rFonts w:hint="eastAsia"/>
          <w:color w:val="auto"/>
          <w:highlight w:val="none"/>
          <w:lang w:val="en-US" w:eastAsia="zh-CN"/>
        </w:rPr>
      </w:pPr>
    </w:p>
    <w:p w14:paraId="04C14039">
      <w:pPr>
        <w:bidi w:val="0"/>
        <w:rPr>
          <w:rFonts w:hint="eastAsia"/>
          <w:color w:val="auto"/>
          <w:highlight w:val="none"/>
          <w:lang w:val="en-US" w:eastAsia="zh-CN"/>
        </w:rPr>
      </w:pPr>
    </w:p>
    <w:p w14:paraId="59EB75D1">
      <w:pPr>
        <w:bidi w:val="0"/>
        <w:rPr>
          <w:rFonts w:hint="eastAsia"/>
          <w:color w:val="auto"/>
          <w:highlight w:val="none"/>
          <w:lang w:val="en-US" w:eastAsia="zh-CN"/>
        </w:rPr>
      </w:pPr>
    </w:p>
    <w:p w14:paraId="408CA735">
      <w:pPr>
        <w:bidi w:val="0"/>
        <w:rPr>
          <w:rFonts w:hint="eastAsia"/>
          <w:color w:val="auto"/>
          <w:highlight w:val="none"/>
          <w:lang w:val="en-US" w:eastAsia="zh-CN"/>
        </w:rPr>
      </w:pPr>
    </w:p>
    <w:p w14:paraId="1DD2DC40">
      <w:pPr>
        <w:bidi w:val="0"/>
        <w:rPr>
          <w:rFonts w:hint="eastAsia"/>
          <w:color w:val="auto"/>
          <w:highlight w:val="none"/>
          <w:lang w:val="en-US" w:eastAsia="zh-CN"/>
        </w:rPr>
      </w:pPr>
    </w:p>
    <w:p w14:paraId="6F8A187A">
      <w:pPr>
        <w:tabs>
          <w:tab w:val="left" w:pos="6136"/>
        </w:tabs>
        <w:bidi w:val="0"/>
        <w:jc w:val="left"/>
        <w:rPr>
          <w:rFonts w:hint="eastAsia"/>
          <w:color w:val="auto"/>
          <w:highlight w:val="none"/>
          <w:lang w:val="en-US" w:eastAsia="zh-CN"/>
        </w:rPr>
        <w:sectPr>
          <w:headerReference r:id="rId5" w:type="default"/>
          <w:pgSz w:w="11906" w:h="16838"/>
          <w:pgMar w:top="1135" w:right="1196" w:bottom="1135" w:left="1418" w:header="720" w:footer="720" w:gutter="0"/>
          <w:pgNumType w:fmt="upperRoman" w:start="1"/>
          <w:cols w:space="720" w:num="1"/>
          <w:docGrid w:type="lines" w:linePitch="312" w:charSpace="0"/>
        </w:sectPr>
      </w:pPr>
      <w:r>
        <w:rPr>
          <w:rFonts w:hint="eastAsia"/>
          <w:color w:val="auto"/>
          <w:highlight w:val="none"/>
          <w:lang w:val="en-US" w:eastAsia="zh-CN"/>
        </w:rPr>
        <w:tab/>
      </w:r>
    </w:p>
    <w:p w14:paraId="1CB14C6D">
      <w:pPr>
        <w:pStyle w:val="2"/>
        <w:bidi w:val="0"/>
        <w:jc w:val="center"/>
        <w:rPr>
          <w:rFonts w:hint="eastAsia"/>
          <w:color w:val="auto"/>
          <w:sz w:val="36"/>
          <w:szCs w:val="16"/>
          <w:highlight w:val="none"/>
        </w:rPr>
      </w:pPr>
      <w:bookmarkStart w:id="3" w:name="_Toc461977412"/>
      <w:bookmarkEnd w:id="3"/>
      <w:bookmarkStart w:id="4" w:name="_Toc461977403"/>
      <w:bookmarkEnd w:id="4"/>
      <w:bookmarkStart w:id="5" w:name="_Toc2070"/>
      <w:bookmarkStart w:id="6" w:name="_Toc15562"/>
      <w:bookmarkStart w:id="7" w:name="_Toc31262"/>
      <w:bookmarkStart w:id="8" w:name="_Toc9110"/>
      <w:bookmarkStart w:id="9" w:name="_Toc25713"/>
      <w:r>
        <w:rPr>
          <w:rFonts w:hint="eastAsia"/>
          <w:color w:val="auto"/>
          <w:sz w:val="36"/>
          <w:szCs w:val="16"/>
          <w:highlight w:val="none"/>
        </w:rPr>
        <w:t>第一章</w:t>
      </w:r>
      <w:r>
        <w:rPr>
          <w:rFonts w:hint="eastAsia"/>
          <w:color w:val="auto"/>
          <w:sz w:val="36"/>
          <w:szCs w:val="16"/>
          <w:highlight w:val="none"/>
          <w:lang w:val="en-US" w:eastAsia="zh-CN"/>
        </w:rPr>
        <w:t xml:space="preserve">  </w:t>
      </w:r>
      <w:r>
        <w:rPr>
          <w:rFonts w:hint="eastAsia"/>
          <w:color w:val="auto"/>
          <w:sz w:val="36"/>
          <w:szCs w:val="16"/>
          <w:highlight w:val="none"/>
        </w:rPr>
        <w:t>竞争性磋商公告</w:t>
      </w:r>
      <w:bookmarkEnd w:id="5"/>
      <w:bookmarkEnd w:id="6"/>
      <w:bookmarkEnd w:id="7"/>
      <w:bookmarkEnd w:id="8"/>
      <w:bookmarkEnd w:id="9"/>
    </w:p>
    <w:p w14:paraId="58CDA5BF">
      <w:pPr>
        <w:spacing w:line="276" w:lineRule="auto"/>
        <w:ind w:firstLine="482" w:firstLineChars="200"/>
        <w:rPr>
          <w:rFonts w:hint="eastAsia" w:ascii="宋体" w:hAnsi="宋体"/>
          <w:b/>
          <w:color w:val="auto"/>
          <w:sz w:val="24"/>
          <w:szCs w:val="24"/>
          <w:highlight w:val="none"/>
        </w:rPr>
      </w:pPr>
      <w:bookmarkStart w:id="10" w:name="_Toc14037"/>
      <w:r>
        <w:rPr>
          <w:rFonts w:hint="eastAsia" w:ascii="宋体" w:hAnsi="宋体"/>
          <w:b/>
          <w:color w:val="auto"/>
          <w:sz w:val="24"/>
          <w:szCs w:val="24"/>
          <w:highlight w:val="none"/>
        </w:rPr>
        <w:t>项目概况</w:t>
      </w:r>
    </w:p>
    <w:p w14:paraId="645C7A69">
      <w:pPr>
        <w:tabs>
          <w:tab w:val="left" w:pos="142"/>
        </w:tabs>
        <w:spacing w:line="440" w:lineRule="exact"/>
        <w:ind w:firstLine="463" w:firstLineChars="193"/>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渑池县公路局S243线渑池白浪至渑陕界段改建工程压覆矿产资源报告编制项目</w:t>
      </w:r>
      <w:r>
        <w:rPr>
          <w:rFonts w:hint="eastAsia" w:ascii="宋体" w:hAnsi="宋体" w:cs="宋体"/>
          <w:color w:val="auto"/>
          <w:sz w:val="24"/>
          <w:szCs w:val="24"/>
          <w:highlight w:val="none"/>
        </w:rPr>
        <w:t>的潜在供应商应在三门峡市公共资源交易中心（http://gzjy.smx.gov.cn/）获取招标文件，并于202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6月3日08时20分</w:t>
      </w:r>
      <w:r>
        <w:rPr>
          <w:rFonts w:hint="eastAsia" w:ascii="宋体" w:hAnsi="宋体" w:cs="宋体"/>
          <w:color w:val="auto"/>
          <w:sz w:val="24"/>
          <w:szCs w:val="24"/>
          <w:highlight w:val="none"/>
        </w:rPr>
        <w:t>（北京时间）前递交响应文件。</w:t>
      </w:r>
    </w:p>
    <w:p w14:paraId="4AD0E8CF">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b/>
          <w:color w:val="auto"/>
          <w:sz w:val="24"/>
          <w:szCs w:val="24"/>
          <w:highlight w:val="none"/>
        </w:rPr>
        <w:t>项目基本情况</w:t>
      </w:r>
    </w:p>
    <w:p w14:paraId="6C9F4982">
      <w:pPr>
        <w:tabs>
          <w:tab w:val="left" w:pos="142"/>
        </w:tabs>
        <w:spacing w:line="440" w:lineRule="exact"/>
        <w:ind w:firstLine="463" w:firstLineChars="193"/>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1、项目编号：</w:t>
      </w:r>
      <w:r>
        <w:rPr>
          <w:rFonts w:hint="eastAsia" w:ascii="宋体" w:hAnsi="宋体"/>
          <w:color w:val="auto"/>
          <w:sz w:val="24"/>
          <w:szCs w:val="24"/>
          <w:highlight w:val="none"/>
          <w:lang w:val="en-US" w:eastAsia="zh-CN"/>
        </w:rPr>
        <w:t>MCGZ[2026]067-ZC063；采购编号:渑池竞磋采购-2026-46</w:t>
      </w:r>
    </w:p>
    <w:p w14:paraId="0D2A4A89">
      <w:pPr>
        <w:tabs>
          <w:tab w:val="left" w:pos="142"/>
        </w:tabs>
        <w:spacing w:line="440" w:lineRule="exact"/>
        <w:ind w:firstLine="463" w:firstLineChars="193"/>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2、项目名称：</w:t>
      </w:r>
      <w:r>
        <w:rPr>
          <w:rFonts w:hint="eastAsia" w:ascii="宋体" w:hAnsi="宋体" w:cs="宋体"/>
          <w:color w:val="auto"/>
          <w:sz w:val="24"/>
          <w:szCs w:val="24"/>
          <w:highlight w:val="none"/>
          <w:lang w:eastAsia="zh-CN"/>
        </w:rPr>
        <w:t>渑池县公路局S243线渑池白浪至渑陕界段改建工程压覆矿产资源报告编制项目</w:t>
      </w:r>
    </w:p>
    <w:p w14:paraId="2A7A15C1">
      <w:pPr>
        <w:tabs>
          <w:tab w:val="left" w:pos="142"/>
        </w:tabs>
        <w:spacing w:line="440" w:lineRule="exact"/>
        <w:ind w:firstLine="463" w:firstLineChars="193"/>
        <w:rPr>
          <w:rFonts w:hint="eastAsia" w:ascii="宋体" w:hAnsi="宋体" w:cs="宋体"/>
          <w:color w:val="auto"/>
          <w:sz w:val="24"/>
          <w:szCs w:val="24"/>
          <w:highlight w:val="none"/>
        </w:rPr>
      </w:pPr>
      <w:r>
        <w:rPr>
          <w:rFonts w:hint="eastAsia" w:ascii="宋体" w:hAnsi="宋体" w:cs="宋体"/>
          <w:color w:val="auto"/>
          <w:sz w:val="24"/>
          <w:szCs w:val="24"/>
          <w:highlight w:val="none"/>
        </w:rPr>
        <w:t>3、采购方式：竞争性磋商</w:t>
      </w:r>
    </w:p>
    <w:p w14:paraId="28A1587E">
      <w:pPr>
        <w:tabs>
          <w:tab w:val="left" w:pos="142"/>
        </w:tabs>
        <w:spacing w:line="440" w:lineRule="exact"/>
        <w:ind w:firstLine="463" w:firstLineChars="193"/>
        <w:rPr>
          <w:rFonts w:hint="eastAsia" w:ascii="宋体" w:hAnsi="宋体" w:cs="宋体"/>
          <w:color w:val="auto"/>
          <w:sz w:val="24"/>
          <w:szCs w:val="24"/>
          <w:highlight w:val="none"/>
        </w:rPr>
      </w:pPr>
      <w:r>
        <w:rPr>
          <w:rFonts w:hint="eastAsia" w:ascii="宋体" w:hAnsi="宋体" w:cs="宋体"/>
          <w:color w:val="auto"/>
          <w:sz w:val="24"/>
          <w:szCs w:val="24"/>
          <w:highlight w:val="none"/>
        </w:rPr>
        <w:t>4、预算金额：</w:t>
      </w:r>
      <w:r>
        <w:rPr>
          <w:rFonts w:hint="eastAsia" w:ascii="宋体" w:hAnsi="宋体"/>
          <w:color w:val="auto"/>
          <w:sz w:val="24"/>
          <w:szCs w:val="24"/>
          <w:highlight w:val="none"/>
          <w:lang w:eastAsia="zh-CN"/>
        </w:rPr>
        <w:t>497600.00</w:t>
      </w:r>
      <w:r>
        <w:rPr>
          <w:rFonts w:hint="eastAsia" w:ascii="宋体" w:hAnsi="宋体" w:cs="宋体"/>
          <w:color w:val="auto"/>
          <w:sz w:val="24"/>
          <w:szCs w:val="24"/>
          <w:highlight w:val="none"/>
        </w:rPr>
        <w:t>元</w:t>
      </w:r>
    </w:p>
    <w:p w14:paraId="50CCA946">
      <w:pPr>
        <w:tabs>
          <w:tab w:val="left" w:pos="142"/>
        </w:tabs>
        <w:spacing w:line="440" w:lineRule="exact"/>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最高限价：</w:t>
      </w:r>
      <w:r>
        <w:rPr>
          <w:rFonts w:hint="eastAsia" w:ascii="宋体" w:hAnsi="宋体"/>
          <w:color w:val="auto"/>
          <w:sz w:val="24"/>
          <w:szCs w:val="24"/>
          <w:highlight w:val="none"/>
          <w:lang w:eastAsia="zh-CN"/>
        </w:rPr>
        <w:t>497600.00</w:t>
      </w:r>
      <w:r>
        <w:rPr>
          <w:rFonts w:hint="eastAsia" w:ascii="宋体" w:hAnsi="宋体" w:cs="宋体"/>
          <w:color w:val="auto"/>
          <w:sz w:val="24"/>
          <w:szCs w:val="24"/>
          <w:highlight w:val="none"/>
        </w:rPr>
        <w:t>元</w:t>
      </w:r>
    </w:p>
    <w:tbl>
      <w:tblPr>
        <w:tblStyle w:val="14"/>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564"/>
        <w:gridCol w:w="2753"/>
        <w:gridCol w:w="1552"/>
        <w:gridCol w:w="1756"/>
      </w:tblGrid>
      <w:tr w14:paraId="7524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33" w:type="dxa"/>
            <w:vAlign w:val="center"/>
          </w:tcPr>
          <w:p w14:paraId="5686B18E">
            <w:pPr>
              <w:widowControl w:val="0"/>
              <w:tabs>
                <w:tab w:val="left" w:pos="142"/>
              </w:tabs>
              <w:jc w:val="center"/>
              <w:rPr>
                <w:rFonts w:hint="eastAsia" w:ascii="宋体" w:hAnsi="宋体"/>
                <w:color w:val="auto"/>
                <w:sz w:val="24"/>
                <w:szCs w:val="24"/>
                <w:highlight w:val="none"/>
              </w:rPr>
            </w:pPr>
            <w:r>
              <w:rPr>
                <w:rFonts w:hint="eastAsia" w:ascii="宋体" w:hAnsi="宋体"/>
                <w:color w:val="auto"/>
                <w:sz w:val="24"/>
                <w:szCs w:val="24"/>
                <w:highlight w:val="none"/>
              </w:rPr>
              <w:t>序号</w:t>
            </w:r>
          </w:p>
        </w:tc>
        <w:tc>
          <w:tcPr>
            <w:tcW w:w="2564" w:type="dxa"/>
            <w:vAlign w:val="center"/>
          </w:tcPr>
          <w:p w14:paraId="0856673C">
            <w:pPr>
              <w:widowControl w:val="0"/>
              <w:tabs>
                <w:tab w:val="left" w:pos="142"/>
              </w:tabs>
              <w:ind w:firstLine="19" w:firstLineChars="8"/>
              <w:jc w:val="center"/>
              <w:rPr>
                <w:rFonts w:hint="eastAsia" w:ascii="宋体" w:hAnsi="宋体"/>
                <w:color w:val="auto"/>
                <w:sz w:val="24"/>
                <w:szCs w:val="24"/>
                <w:highlight w:val="none"/>
              </w:rPr>
            </w:pPr>
            <w:r>
              <w:rPr>
                <w:rFonts w:hint="eastAsia" w:ascii="宋体" w:hAnsi="宋体"/>
                <w:color w:val="auto"/>
                <w:sz w:val="24"/>
                <w:szCs w:val="24"/>
                <w:highlight w:val="none"/>
              </w:rPr>
              <w:t>包号</w:t>
            </w:r>
          </w:p>
        </w:tc>
        <w:tc>
          <w:tcPr>
            <w:tcW w:w="2753" w:type="dxa"/>
            <w:vAlign w:val="center"/>
          </w:tcPr>
          <w:p w14:paraId="75C329AF">
            <w:pPr>
              <w:widowControl w:val="0"/>
              <w:tabs>
                <w:tab w:val="left" w:pos="142"/>
              </w:tabs>
              <w:ind w:firstLine="26" w:firstLineChars="11"/>
              <w:jc w:val="center"/>
              <w:rPr>
                <w:rFonts w:hint="eastAsia" w:ascii="宋体" w:hAnsi="宋体"/>
                <w:color w:val="auto"/>
                <w:sz w:val="24"/>
                <w:szCs w:val="24"/>
                <w:highlight w:val="none"/>
              </w:rPr>
            </w:pPr>
            <w:r>
              <w:rPr>
                <w:rFonts w:hint="eastAsia" w:ascii="宋体" w:hAnsi="宋体"/>
                <w:color w:val="auto"/>
                <w:sz w:val="24"/>
                <w:szCs w:val="24"/>
                <w:highlight w:val="none"/>
              </w:rPr>
              <w:t>包名称</w:t>
            </w:r>
          </w:p>
        </w:tc>
        <w:tc>
          <w:tcPr>
            <w:tcW w:w="1552" w:type="dxa"/>
            <w:vAlign w:val="center"/>
          </w:tcPr>
          <w:p w14:paraId="7642C018">
            <w:pPr>
              <w:widowControl w:val="0"/>
              <w:tabs>
                <w:tab w:val="left" w:pos="142"/>
              </w:tabs>
              <w:jc w:val="center"/>
              <w:rPr>
                <w:rFonts w:hint="eastAsia" w:ascii="宋体" w:hAnsi="宋体"/>
                <w:color w:val="auto"/>
                <w:sz w:val="24"/>
                <w:szCs w:val="24"/>
                <w:highlight w:val="none"/>
              </w:rPr>
            </w:pPr>
            <w:r>
              <w:rPr>
                <w:rFonts w:hint="eastAsia" w:ascii="宋体" w:hAnsi="宋体"/>
                <w:color w:val="auto"/>
                <w:sz w:val="24"/>
                <w:szCs w:val="24"/>
                <w:highlight w:val="none"/>
              </w:rPr>
              <w:t>包预算</w:t>
            </w:r>
          </w:p>
          <w:p w14:paraId="5B2303F3">
            <w:pPr>
              <w:widowControl w:val="0"/>
              <w:tabs>
                <w:tab w:val="left" w:pos="142"/>
              </w:tabs>
              <w:jc w:val="center"/>
              <w:rPr>
                <w:rFonts w:hint="eastAsia" w:ascii="宋体" w:hAnsi="宋体"/>
                <w:color w:val="auto"/>
                <w:sz w:val="24"/>
                <w:szCs w:val="24"/>
                <w:highlight w:val="none"/>
              </w:rPr>
            </w:pPr>
            <w:r>
              <w:rPr>
                <w:rFonts w:hint="eastAsia" w:ascii="宋体" w:hAnsi="宋体"/>
                <w:color w:val="auto"/>
                <w:sz w:val="24"/>
                <w:szCs w:val="24"/>
                <w:highlight w:val="none"/>
              </w:rPr>
              <w:t>（元）</w:t>
            </w:r>
          </w:p>
        </w:tc>
        <w:tc>
          <w:tcPr>
            <w:tcW w:w="1756" w:type="dxa"/>
            <w:vAlign w:val="center"/>
          </w:tcPr>
          <w:p w14:paraId="695B7856">
            <w:pPr>
              <w:widowControl w:val="0"/>
              <w:tabs>
                <w:tab w:val="left" w:pos="142"/>
              </w:tabs>
              <w:jc w:val="center"/>
              <w:rPr>
                <w:rFonts w:hint="eastAsia" w:ascii="宋体" w:hAnsi="宋体"/>
                <w:color w:val="auto"/>
                <w:sz w:val="24"/>
                <w:szCs w:val="24"/>
                <w:highlight w:val="none"/>
              </w:rPr>
            </w:pPr>
            <w:r>
              <w:rPr>
                <w:rFonts w:hint="eastAsia" w:ascii="宋体" w:hAnsi="宋体"/>
                <w:color w:val="auto"/>
                <w:sz w:val="24"/>
                <w:szCs w:val="24"/>
                <w:highlight w:val="none"/>
              </w:rPr>
              <w:t>包最高限价（元）</w:t>
            </w:r>
          </w:p>
        </w:tc>
      </w:tr>
      <w:tr w14:paraId="6D0F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733" w:type="dxa"/>
            <w:vAlign w:val="center"/>
          </w:tcPr>
          <w:p w14:paraId="117B8ECA">
            <w:pPr>
              <w:widowControl w:val="0"/>
              <w:tabs>
                <w:tab w:val="left" w:pos="142"/>
              </w:tabs>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2564" w:type="dxa"/>
            <w:vAlign w:val="center"/>
          </w:tcPr>
          <w:p w14:paraId="288CEFF7">
            <w:pPr>
              <w:widowControl w:val="0"/>
              <w:tabs>
                <w:tab w:val="left" w:pos="142"/>
              </w:tabs>
              <w:jc w:val="both"/>
              <w:rPr>
                <w:rFonts w:hint="eastAsia" w:ascii="宋体" w:hAnsi="宋体"/>
                <w:color w:val="auto"/>
                <w:sz w:val="24"/>
                <w:szCs w:val="24"/>
                <w:highlight w:val="none"/>
              </w:rPr>
            </w:pPr>
            <w:r>
              <w:rPr>
                <w:rFonts w:hint="eastAsia" w:ascii="宋体" w:hAnsi="宋体"/>
                <w:color w:val="auto"/>
                <w:sz w:val="24"/>
                <w:szCs w:val="24"/>
                <w:highlight w:val="none"/>
                <w:lang w:val="en-US" w:eastAsia="zh-CN"/>
              </w:rPr>
              <w:t>MCGZ[2026]067-ZC063</w:t>
            </w:r>
          </w:p>
        </w:tc>
        <w:tc>
          <w:tcPr>
            <w:tcW w:w="2753" w:type="dxa"/>
            <w:vAlign w:val="center"/>
          </w:tcPr>
          <w:p w14:paraId="415DBDF8">
            <w:pPr>
              <w:widowControl w:val="0"/>
              <w:tabs>
                <w:tab w:val="left" w:pos="142"/>
              </w:tabs>
              <w:spacing w:line="360" w:lineRule="auto"/>
              <w:ind w:firstLine="26" w:firstLineChars="11"/>
              <w:jc w:val="center"/>
              <w:rPr>
                <w:rFonts w:hint="eastAsia" w:ascii="宋体" w:hAnsi="宋体" w:eastAsia="宋体"/>
                <w:color w:val="auto"/>
                <w:sz w:val="24"/>
                <w:szCs w:val="24"/>
                <w:highlight w:val="none"/>
                <w:lang w:eastAsia="zh-CN"/>
              </w:rPr>
            </w:pPr>
            <w:r>
              <w:rPr>
                <w:rFonts w:hint="eastAsia" w:ascii="宋体" w:hAnsi="宋体" w:cs="宋体"/>
                <w:color w:val="auto"/>
                <w:sz w:val="24"/>
                <w:szCs w:val="24"/>
                <w:highlight w:val="none"/>
                <w:lang w:eastAsia="zh-CN"/>
              </w:rPr>
              <w:t>渑池县公路局S243线渑池白浪至渑陕界段改建工程压覆矿产资源报告编制项目</w:t>
            </w:r>
          </w:p>
        </w:tc>
        <w:tc>
          <w:tcPr>
            <w:tcW w:w="1552" w:type="dxa"/>
            <w:vAlign w:val="center"/>
          </w:tcPr>
          <w:p w14:paraId="444DAF2E">
            <w:pPr>
              <w:widowControl w:val="0"/>
              <w:tabs>
                <w:tab w:val="left" w:pos="142"/>
              </w:tabs>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497600.00</w:t>
            </w:r>
          </w:p>
        </w:tc>
        <w:tc>
          <w:tcPr>
            <w:tcW w:w="1756" w:type="dxa"/>
            <w:vAlign w:val="center"/>
          </w:tcPr>
          <w:p w14:paraId="73465A9D">
            <w:pPr>
              <w:widowControl w:val="0"/>
              <w:tabs>
                <w:tab w:val="left" w:pos="142"/>
              </w:tabs>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497600.00</w:t>
            </w:r>
          </w:p>
        </w:tc>
      </w:tr>
    </w:tbl>
    <w:p w14:paraId="7ABABA6C">
      <w:pPr>
        <w:tabs>
          <w:tab w:val="left" w:pos="142"/>
          <w:tab w:val="left" w:pos="993"/>
          <w:tab w:val="left" w:pos="1276"/>
          <w:tab w:val="left" w:pos="1701"/>
          <w:tab w:val="left" w:pos="1843"/>
        </w:tabs>
        <w:spacing w:line="440" w:lineRule="exact"/>
        <w:ind w:firstLine="463" w:firstLineChars="193"/>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5、采购需求（包括但不限于标的的名称、数量、简要技术需求或服务要求等）</w:t>
      </w:r>
      <w:r>
        <w:rPr>
          <w:rFonts w:hint="eastAsia" w:ascii="宋体" w:hAnsi="宋体" w:cs="宋体"/>
          <w:color w:val="auto"/>
          <w:sz w:val="24"/>
          <w:szCs w:val="24"/>
          <w:highlight w:val="none"/>
          <w:lang w:eastAsia="zh-CN"/>
        </w:rPr>
        <w:t>；</w:t>
      </w:r>
    </w:p>
    <w:p w14:paraId="7B000D1D">
      <w:pPr>
        <w:tabs>
          <w:tab w:val="left" w:pos="142"/>
          <w:tab w:val="left" w:pos="993"/>
          <w:tab w:val="left" w:pos="1276"/>
          <w:tab w:val="left" w:pos="1701"/>
          <w:tab w:val="left" w:pos="1843"/>
        </w:tabs>
        <w:spacing w:line="440" w:lineRule="exact"/>
        <w:ind w:left="386" w:leftChars="193"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5.1.</w:t>
      </w:r>
      <w:r>
        <w:rPr>
          <w:rFonts w:hint="eastAsia" w:ascii="宋体" w:hAnsi="宋体" w:cs="宋体"/>
          <w:color w:val="auto"/>
          <w:sz w:val="24"/>
          <w:szCs w:val="24"/>
          <w:highlight w:val="none"/>
          <w:lang w:eastAsia="zh-CN"/>
        </w:rPr>
        <w:t>服务内容</w:t>
      </w:r>
      <w:r>
        <w:rPr>
          <w:rFonts w:hint="eastAsia" w:ascii="宋体" w:hAnsi="宋体" w:cs="宋体"/>
          <w:color w:val="auto"/>
          <w:sz w:val="24"/>
          <w:szCs w:val="24"/>
          <w:highlight w:val="none"/>
        </w:rPr>
        <w:t>：对工程范围内压覆重要矿产资源情况、探矿权、采矿权设置状况进行核查，并对项目拟压覆资源／储量进行估算，按照现行规范编制《S243线渑池白浪至渑陕界段改建工程压覆矿产资源储量核实评估报告》，并通过自然资源主管部门审查或完成备案。</w:t>
      </w:r>
    </w:p>
    <w:p w14:paraId="47FBB34C">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5.2.服务地点：采购人指定地点</w:t>
      </w:r>
      <w:r>
        <w:rPr>
          <w:rFonts w:hint="eastAsia" w:ascii="宋体" w:hAnsi="宋体" w:cs="宋体"/>
          <w:color w:val="auto"/>
          <w:sz w:val="24"/>
          <w:szCs w:val="24"/>
          <w:highlight w:val="none"/>
          <w:lang w:eastAsia="zh-CN"/>
        </w:rPr>
        <w:t>；</w:t>
      </w:r>
    </w:p>
    <w:p w14:paraId="1E1A3A30">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5.3.服务期限：</w:t>
      </w:r>
      <w:r>
        <w:rPr>
          <w:rFonts w:hint="eastAsia" w:ascii="宋体" w:hAnsi="宋体" w:cs="宋体"/>
          <w:color w:val="auto"/>
          <w:sz w:val="24"/>
          <w:szCs w:val="24"/>
          <w:highlight w:val="none"/>
          <w:lang w:eastAsia="zh-CN"/>
        </w:rPr>
        <w:t>接到采购人通知后90日历天内按照采购人要求完成任务；</w:t>
      </w:r>
    </w:p>
    <w:p w14:paraId="6F36F32A">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5.4.资金来源：</w:t>
      </w:r>
      <w:r>
        <w:rPr>
          <w:rFonts w:hint="eastAsia" w:ascii="宋体" w:hAnsi="宋体" w:cs="宋体"/>
          <w:color w:val="auto"/>
          <w:sz w:val="24"/>
          <w:szCs w:val="24"/>
          <w:highlight w:val="none"/>
          <w:lang w:val="en-US" w:eastAsia="zh-CN"/>
        </w:rPr>
        <w:t>财政资金</w:t>
      </w:r>
      <w:r>
        <w:rPr>
          <w:rFonts w:hint="eastAsia" w:ascii="宋体" w:hAnsi="宋体" w:cs="宋体"/>
          <w:color w:val="auto"/>
          <w:sz w:val="24"/>
          <w:szCs w:val="24"/>
          <w:highlight w:val="none"/>
        </w:rPr>
        <w:t>，已落实</w:t>
      </w:r>
      <w:r>
        <w:rPr>
          <w:rFonts w:hint="eastAsia" w:ascii="宋体" w:hAnsi="宋体" w:cs="宋体"/>
          <w:color w:val="auto"/>
          <w:sz w:val="24"/>
          <w:szCs w:val="24"/>
          <w:highlight w:val="none"/>
          <w:lang w:eastAsia="zh-CN"/>
        </w:rPr>
        <w:t>；</w:t>
      </w:r>
    </w:p>
    <w:p w14:paraId="2A1B8726">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5.5.</w:t>
      </w:r>
      <w:r>
        <w:rPr>
          <w:rFonts w:hint="eastAsia" w:ascii="宋体" w:hAnsi="宋体" w:cs="宋体"/>
          <w:color w:val="auto"/>
          <w:sz w:val="24"/>
          <w:szCs w:val="24"/>
          <w:highlight w:val="none"/>
          <w:lang w:eastAsia="zh-CN"/>
        </w:rPr>
        <w:t>服务要求：合格，符合国家、行业、地方相关规定及采购人要求；</w:t>
      </w:r>
    </w:p>
    <w:p w14:paraId="7D1C7E10">
      <w:pPr>
        <w:tabs>
          <w:tab w:val="left" w:pos="142"/>
          <w:tab w:val="left" w:pos="993"/>
          <w:tab w:val="left" w:pos="1276"/>
          <w:tab w:val="left" w:pos="1701"/>
          <w:tab w:val="left" w:pos="1843"/>
        </w:tabs>
        <w:spacing w:line="440" w:lineRule="exact"/>
        <w:ind w:left="386" w:leftChars="193" w:firstLine="240" w:firstLineChars="1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5.6.标段划分：本项目不划分标段</w:t>
      </w:r>
      <w:r>
        <w:rPr>
          <w:rFonts w:hint="eastAsia" w:ascii="宋体" w:hAnsi="宋体" w:cs="宋体"/>
          <w:color w:val="auto"/>
          <w:sz w:val="24"/>
          <w:szCs w:val="24"/>
          <w:highlight w:val="none"/>
          <w:lang w:eastAsia="zh-CN"/>
        </w:rPr>
        <w:t>；</w:t>
      </w:r>
    </w:p>
    <w:p w14:paraId="491D3408">
      <w:pPr>
        <w:tabs>
          <w:tab w:val="left" w:pos="142"/>
          <w:tab w:val="left" w:pos="993"/>
        </w:tabs>
        <w:spacing w:line="440" w:lineRule="exact"/>
        <w:ind w:firstLine="463" w:firstLineChars="193"/>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6、合同履行期限：</w:t>
      </w:r>
      <w:r>
        <w:rPr>
          <w:rFonts w:hint="eastAsia" w:ascii="宋体" w:hAnsi="宋体" w:cs="宋体"/>
          <w:color w:val="auto"/>
          <w:sz w:val="24"/>
          <w:szCs w:val="24"/>
          <w:highlight w:val="none"/>
          <w:lang w:eastAsia="zh-CN"/>
        </w:rPr>
        <w:t>接到采购人通知后90日历天内按照采购人要求完成任务；</w:t>
      </w:r>
    </w:p>
    <w:p w14:paraId="0061F971">
      <w:pPr>
        <w:tabs>
          <w:tab w:val="left" w:pos="142"/>
          <w:tab w:val="left" w:pos="993"/>
        </w:tabs>
        <w:spacing w:line="440" w:lineRule="exact"/>
        <w:ind w:firstLine="463" w:firstLineChars="193"/>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7、</w:t>
      </w:r>
      <w:r>
        <w:rPr>
          <w:rFonts w:ascii="宋体" w:hAnsi="宋体" w:cs="宋体"/>
          <w:color w:val="auto"/>
          <w:sz w:val="24"/>
          <w:szCs w:val="24"/>
          <w:highlight w:val="none"/>
        </w:rPr>
        <w:t>本项目是否接受联合体：否</w:t>
      </w:r>
      <w:r>
        <w:rPr>
          <w:rFonts w:hint="eastAsia" w:ascii="宋体" w:hAnsi="宋体" w:cs="宋体"/>
          <w:color w:val="auto"/>
          <w:sz w:val="24"/>
          <w:szCs w:val="24"/>
          <w:highlight w:val="none"/>
          <w:lang w:eastAsia="zh-CN"/>
        </w:rPr>
        <w:t>；</w:t>
      </w:r>
    </w:p>
    <w:p w14:paraId="49AB120E">
      <w:pPr>
        <w:tabs>
          <w:tab w:val="left" w:pos="142"/>
          <w:tab w:val="left" w:pos="993"/>
        </w:tabs>
        <w:spacing w:line="440" w:lineRule="exact"/>
        <w:ind w:firstLine="463" w:firstLineChars="193"/>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8、</w:t>
      </w:r>
      <w:r>
        <w:rPr>
          <w:rFonts w:ascii="宋体" w:hAnsi="宋体" w:cs="宋体"/>
          <w:color w:val="auto"/>
          <w:sz w:val="24"/>
          <w:szCs w:val="24"/>
          <w:highlight w:val="none"/>
        </w:rPr>
        <w:t>是否接受进口产品：否</w:t>
      </w:r>
      <w:r>
        <w:rPr>
          <w:rFonts w:hint="eastAsia" w:ascii="宋体" w:hAnsi="宋体" w:cs="宋体"/>
          <w:color w:val="auto"/>
          <w:sz w:val="24"/>
          <w:szCs w:val="24"/>
          <w:highlight w:val="none"/>
          <w:lang w:eastAsia="zh-CN"/>
        </w:rPr>
        <w:t>；</w:t>
      </w:r>
    </w:p>
    <w:p w14:paraId="42E09128">
      <w:pPr>
        <w:tabs>
          <w:tab w:val="left" w:pos="142"/>
          <w:tab w:val="left" w:pos="993"/>
        </w:tabs>
        <w:spacing w:line="440" w:lineRule="exact"/>
        <w:ind w:firstLine="463" w:firstLineChars="193"/>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9、是否</w:t>
      </w:r>
      <w:r>
        <w:rPr>
          <w:rFonts w:ascii="宋体" w:hAnsi="宋体" w:cs="宋体"/>
          <w:color w:val="auto"/>
          <w:sz w:val="24"/>
          <w:szCs w:val="24"/>
          <w:highlight w:val="none"/>
        </w:rPr>
        <w:t>专门面向中小企业</w:t>
      </w:r>
      <w:r>
        <w:rPr>
          <w:rFonts w:hint="eastAsia" w:ascii="宋体" w:hAnsi="宋体" w:cs="宋体"/>
          <w:color w:val="auto"/>
          <w:sz w:val="24"/>
          <w:szCs w:val="24"/>
          <w:highlight w:val="none"/>
        </w:rPr>
        <w:t>：否</w:t>
      </w:r>
      <w:r>
        <w:rPr>
          <w:rFonts w:hint="eastAsia" w:ascii="宋体" w:hAnsi="宋体" w:cs="宋体"/>
          <w:color w:val="auto"/>
          <w:sz w:val="24"/>
          <w:szCs w:val="24"/>
          <w:highlight w:val="none"/>
          <w:lang w:eastAsia="zh-CN"/>
        </w:rPr>
        <w:t>。</w:t>
      </w:r>
    </w:p>
    <w:p w14:paraId="3C2D8D3D">
      <w:pPr>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二、申请人资格要求</w:t>
      </w:r>
    </w:p>
    <w:p w14:paraId="3A90319B">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1、满足《中华人民共和国政府采购法》第二十二条规定；</w:t>
      </w:r>
    </w:p>
    <w:p w14:paraId="11B4E0DF">
      <w:pPr>
        <w:spacing w:line="360" w:lineRule="auto"/>
        <w:ind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2、落实政府采购政策满足的资格要求：本项目专门面向中小企业，供应商须提供《中小企业声明函》，大型企业及未提供中小企业声明函的企业不享受中小企业扶持政策，其响应文件将作无效响应处理。监狱企业及残疾人福利性单位视同小型、微型企业</w:t>
      </w:r>
      <w:r>
        <w:rPr>
          <w:rFonts w:hint="eastAsia" w:ascii="宋体" w:hAnsi="宋体" w:cs="宋体"/>
          <w:color w:val="auto"/>
          <w:sz w:val="24"/>
          <w:szCs w:val="24"/>
          <w:highlight w:val="none"/>
          <w:lang w:eastAsia="zh-CN"/>
        </w:rPr>
        <w:t>。</w:t>
      </w:r>
    </w:p>
    <w:p w14:paraId="4EDCF3BF">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 xml:space="preserve">3、本项目的特定资格要求 </w:t>
      </w:r>
    </w:p>
    <w:p w14:paraId="14859A46">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w:t>
      </w:r>
      <w:r>
        <w:rPr>
          <w:rFonts w:hint="eastAsia" w:asciiTheme="minorEastAsia" w:hAnsiTheme="minorEastAsia" w:cstheme="minorEastAsia"/>
          <w:color w:val="auto"/>
          <w:sz w:val="24"/>
          <w:szCs w:val="24"/>
          <w:highlight w:val="none"/>
          <w:lang w:eastAsia="zh-CN"/>
        </w:rPr>
        <w:t>须具有有效的企业营业执照或事业单位法人证书或其他有效登记证书</w:t>
      </w:r>
      <w:r>
        <w:rPr>
          <w:rFonts w:hint="eastAsia" w:asciiTheme="minorEastAsia" w:hAnsiTheme="minorEastAsia" w:cstheme="minorEastAsia"/>
          <w:color w:val="auto"/>
          <w:sz w:val="24"/>
          <w:szCs w:val="24"/>
          <w:highlight w:val="none"/>
        </w:rPr>
        <w:t>；</w:t>
      </w:r>
    </w:p>
    <w:p w14:paraId="7D43D740">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4DBAEC6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398AD492">
      <w:pPr>
        <w:spacing w:line="360" w:lineRule="auto"/>
        <w:ind w:firstLine="566" w:firstLineChars="236"/>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3.4供应商拟派本项目负责人须具有地质类或测绘类相关专业中级及以上职称；</w:t>
      </w:r>
    </w:p>
    <w:p w14:paraId="50755BB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bookmarkStart w:id="11" w:name="_Hlk139301777"/>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11"/>
    </w:p>
    <w:p w14:paraId="439BAC76">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5B53364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3.7</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05476D19">
      <w:pPr>
        <w:numPr>
          <w:ilvl w:val="0"/>
          <w:numId w:val="0"/>
        </w:numPr>
        <w:spacing w:line="440" w:lineRule="exact"/>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注：本次招标实行资格后审，资格评审以投标文件为准，其上传资料真实性由供应商自行承担，同时供应商要完善主体库；其中银行、保险、石油石化、电力、电信等有行业特殊情况的，允许分公司投标，但同一上级公司的两个分支机构不得同时参加投标，分支机构允许使用所属法人单位的相关资料进行投标。</w:t>
      </w:r>
    </w:p>
    <w:p w14:paraId="7B8E6D9A">
      <w:pPr>
        <w:numPr>
          <w:ilvl w:val="0"/>
          <w:numId w:val="0"/>
        </w:numPr>
        <w:spacing w:line="440" w:lineRule="exact"/>
        <w:ind w:firstLine="482" w:firstLineChars="200"/>
        <w:rPr>
          <w:rFonts w:hint="eastAsia" w:ascii="宋体" w:hAnsi="宋体" w:cs="宋体"/>
          <w:b/>
          <w:color w:val="auto"/>
          <w:sz w:val="24"/>
          <w:szCs w:val="24"/>
          <w:highlight w:val="none"/>
        </w:rPr>
      </w:pPr>
      <w:r>
        <w:rPr>
          <w:rFonts w:hint="eastAsia" w:ascii="宋体" w:hAnsi="宋体" w:eastAsia="宋体" w:cs="宋体"/>
          <w:b/>
          <w:color w:val="auto"/>
          <w:sz w:val="24"/>
          <w:szCs w:val="24"/>
          <w:highlight w:val="none"/>
          <w:lang w:val="en-US" w:eastAsia="zh-CN" w:bidi="ar-SA"/>
        </w:rPr>
        <w:t>三、</w:t>
      </w:r>
      <w:r>
        <w:rPr>
          <w:rFonts w:hint="eastAsia" w:ascii="宋体" w:hAnsi="宋体" w:cs="宋体"/>
          <w:b/>
          <w:color w:val="auto"/>
          <w:sz w:val="24"/>
          <w:szCs w:val="24"/>
          <w:highlight w:val="none"/>
        </w:rPr>
        <w:t>获取采购文件</w:t>
      </w:r>
    </w:p>
    <w:p w14:paraId="220F9459">
      <w:pPr>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1</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时间：</w:t>
      </w:r>
      <w:r>
        <w:rPr>
          <w:rFonts w:hint="eastAsia" w:ascii="宋体" w:hAnsi="宋体" w:cs="宋体"/>
          <w:color w:val="auto"/>
          <w:sz w:val="24"/>
          <w:szCs w:val="24"/>
          <w:highlight w:val="none"/>
          <w:lang w:eastAsia="zh-CN" w:bidi="ar"/>
        </w:rPr>
        <w:t>2026年0</w:t>
      </w:r>
      <w:r>
        <w:rPr>
          <w:rFonts w:hint="eastAsia" w:ascii="宋体" w:hAnsi="宋体" w:cs="宋体"/>
          <w:color w:val="auto"/>
          <w:sz w:val="24"/>
          <w:szCs w:val="24"/>
          <w:highlight w:val="none"/>
          <w:lang w:val="en-US" w:eastAsia="zh-CN" w:bidi="ar"/>
        </w:rPr>
        <w:t>5</w:t>
      </w:r>
      <w:r>
        <w:rPr>
          <w:rFonts w:hint="eastAsia" w:ascii="宋体" w:hAnsi="宋体" w:cs="宋体"/>
          <w:color w:val="auto"/>
          <w:sz w:val="24"/>
          <w:szCs w:val="24"/>
          <w:highlight w:val="none"/>
          <w:lang w:eastAsia="zh-CN" w:bidi="ar"/>
        </w:rPr>
        <w:t>月</w:t>
      </w:r>
      <w:r>
        <w:rPr>
          <w:rFonts w:hint="eastAsia" w:ascii="宋体" w:hAnsi="宋体" w:cs="宋体"/>
          <w:color w:val="auto"/>
          <w:sz w:val="24"/>
          <w:szCs w:val="24"/>
          <w:highlight w:val="none"/>
          <w:lang w:val="en-US" w:eastAsia="zh-CN" w:bidi="ar"/>
        </w:rPr>
        <w:t>22</w:t>
      </w:r>
      <w:r>
        <w:rPr>
          <w:rFonts w:hint="eastAsia" w:ascii="宋体" w:hAnsi="宋体" w:cs="宋体"/>
          <w:color w:val="auto"/>
          <w:sz w:val="24"/>
          <w:szCs w:val="24"/>
          <w:highlight w:val="none"/>
          <w:lang w:eastAsia="zh-CN" w:bidi="ar"/>
        </w:rPr>
        <w:t>日至 2026年0</w:t>
      </w:r>
      <w:r>
        <w:rPr>
          <w:rFonts w:hint="eastAsia" w:ascii="宋体" w:hAnsi="宋体" w:cs="宋体"/>
          <w:color w:val="auto"/>
          <w:sz w:val="24"/>
          <w:szCs w:val="24"/>
          <w:highlight w:val="none"/>
          <w:lang w:val="en-US" w:eastAsia="zh-CN" w:bidi="ar"/>
        </w:rPr>
        <w:t>6月02日</w:t>
      </w:r>
      <w:r>
        <w:rPr>
          <w:rFonts w:hint="eastAsia" w:ascii="宋体" w:hAnsi="宋体" w:cs="宋体"/>
          <w:color w:val="auto"/>
          <w:sz w:val="24"/>
          <w:szCs w:val="24"/>
          <w:highlight w:val="none"/>
          <w:lang w:bidi="ar"/>
        </w:rPr>
        <w:t>，每天上午00:00至12:00，下午12:00至23:59（北京时间，法定节假日除外。）</w:t>
      </w:r>
    </w:p>
    <w:p w14:paraId="4ABAE748">
      <w:pPr>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2</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地点：三门峡市公共资源交易中心网（网 址：</w:t>
      </w:r>
      <w:r>
        <w:rPr>
          <w:color w:val="auto"/>
          <w:highlight w:val="none"/>
        </w:rPr>
        <w:fldChar w:fldCharType="begin"/>
      </w:r>
      <w:r>
        <w:rPr>
          <w:color w:val="auto"/>
          <w:highlight w:val="none"/>
        </w:rPr>
        <w:instrText xml:space="preserve"> HYPERLINK "http://gzjy.smx.gov.cn/）" </w:instrText>
      </w:r>
      <w:r>
        <w:rPr>
          <w:color w:val="auto"/>
          <w:highlight w:val="none"/>
        </w:rPr>
        <w:fldChar w:fldCharType="separate"/>
      </w:r>
      <w:r>
        <w:rPr>
          <w:rFonts w:hint="eastAsia" w:ascii="宋体" w:hAnsi="宋体" w:cs="宋体"/>
          <w:color w:val="auto"/>
          <w:sz w:val="24"/>
          <w:szCs w:val="24"/>
          <w:highlight w:val="none"/>
          <w:lang w:bidi="ar"/>
        </w:rPr>
        <w:t>http://gzjy.smx.gov.cn/）</w:t>
      </w:r>
      <w:r>
        <w:rPr>
          <w:rFonts w:hint="eastAsia" w:ascii="宋体" w:hAnsi="宋体" w:cs="宋体"/>
          <w:color w:val="auto"/>
          <w:sz w:val="24"/>
          <w:szCs w:val="24"/>
          <w:highlight w:val="none"/>
          <w:lang w:bidi="ar"/>
        </w:rPr>
        <w:fldChar w:fldCharType="end"/>
      </w:r>
    </w:p>
    <w:p w14:paraId="7F47A3E6">
      <w:pPr>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3</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方式：本项目没有报名环节，供应商凭CA数字证书通过三门峡市公共资源交易中心网（网 址：http://gzjy.smx.gov.cn/），点击交易平台选择“交易主体登录”，在所参与项目右侧点击参与投标，即可直接下载本项目磋商文件。</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办理CA证书：</w:t>
      </w:r>
      <w:r>
        <w:rPr>
          <w:rFonts w:hint="eastAsia" w:ascii="宋体" w:hAnsi="宋体" w:cs="宋体"/>
          <w:color w:val="auto"/>
          <w:sz w:val="24"/>
          <w:szCs w:val="24"/>
          <w:highlight w:val="none"/>
          <w:lang w:bidi="ar"/>
        </w:rPr>
        <w:br w:type="textWrapping"/>
      </w:r>
      <w:r>
        <w:rPr>
          <w:color w:val="auto"/>
          <w:highlight w:val="none"/>
        </w:rPr>
        <w:fldChar w:fldCharType="begin"/>
      </w:r>
      <w:r>
        <w:rPr>
          <w:color w:val="auto"/>
          <w:highlight w:val="none"/>
        </w:rPr>
        <w:instrText xml:space="preserve"> HYPERLINK "http://gzjy.smx.gov.cn/bzzx/008001/20211105/57b16af9-ab87-4395-a723-7758c628a3f8.html" </w:instrText>
      </w:r>
      <w:r>
        <w:rPr>
          <w:color w:val="auto"/>
          <w:highlight w:val="none"/>
        </w:rPr>
        <w:fldChar w:fldCharType="separate"/>
      </w:r>
      <w:r>
        <w:rPr>
          <w:rFonts w:hint="eastAsia" w:ascii="宋体" w:hAnsi="宋体" w:cs="宋体"/>
          <w:color w:val="auto"/>
          <w:sz w:val="24"/>
          <w:szCs w:val="24"/>
          <w:highlight w:val="none"/>
        </w:rPr>
        <w:t>http://gzjy.smx.gov.cn/bzzx/008001/20211105/57b16af9-ab87-4395-a723-7758c628a3f8.html</w:t>
      </w:r>
      <w:r>
        <w:rPr>
          <w:rFonts w:hint="eastAsia" w:ascii="宋体" w:hAnsi="宋体" w:cs="宋体"/>
          <w:color w:val="auto"/>
          <w:sz w:val="24"/>
          <w:szCs w:val="24"/>
          <w:highlight w:val="none"/>
        </w:rPr>
        <w:fldChar w:fldCharType="end"/>
      </w:r>
    </w:p>
    <w:p w14:paraId="7A679A39">
      <w:pPr>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4</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售价：0元</w:t>
      </w:r>
    </w:p>
    <w:p w14:paraId="73947DA8">
      <w:pPr>
        <w:spacing w:line="440" w:lineRule="exact"/>
        <w:ind w:firstLine="482" w:firstLineChars="200"/>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rPr>
        <w:t>四、响应文件提交</w:t>
      </w:r>
    </w:p>
    <w:p w14:paraId="22A5871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、截止</w:t>
      </w:r>
      <w:r>
        <w:rPr>
          <w:rFonts w:hint="eastAsia" w:ascii="宋体" w:hAnsi="宋体" w:cs="宋体"/>
          <w:color w:val="auto"/>
          <w:sz w:val="24"/>
          <w:szCs w:val="24"/>
          <w:highlight w:val="none"/>
        </w:rPr>
        <w:t>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6月3日8时20分</w:t>
      </w:r>
      <w:r>
        <w:rPr>
          <w:rFonts w:hint="eastAsia" w:ascii="宋体" w:hAnsi="宋体" w:cs="宋体"/>
          <w:color w:val="auto"/>
          <w:sz w:val="24"/>
          <w:szCs w:val="24"/>
          <w:highlight w:val="none"/>
        </w:rPr>
        <w:t>（北京时间）</w:t>
      </w:r>
    </w:p>
    <w:p w14:paraId="433CA7A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地点：三门峡市公共资源交易中心电子交易平台加密上传</w:t>
      </w:r>
    </w:p>
    <w:p w14:paraId="08F91FF2">
      <w:pPr>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五、响应文件开启</w:t>
      </w:r>
    </w:p>
    <w:p w14:paraId="584B2BB4">
      <w:pPr>
        <w:spacing w:line="440" w:lineRule="exact"/>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1</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时间：202</w:t>
      </w:r>
      <w:r>
        <w:rPr>
          <w:rFonts w:hint="eastAsia" w:ascii="宋体" w:hAnsi="宋体" w:cs="宋体"/>
          <w:color w:val="auto"/>
          <w:sz w:val="24"/>
          <w:szCs w:val="24"/>
          <w:highlight w:val="none"/>
          <w:lang w:val="en-US" w:eastAsia="zh-CN" w:bidi="ar"/>
        </w:rPr>
        <w:t>6</w:t>
      </w:r>
      <w:r>
        <w:rPr>
          <w:rFonts w:hint="eastAsia" w:ascii="宋体" w:hAnsi="宋体" w:cs="宋体"/>
          <w:color w:val="auto"/>
          <w:sz w:val="24"/>
          <w:szCs w:val="24"/>
          <w:highlight w:val="none"/>
          <w:lang w:bidi="ar"/>
        </w:rPr>
        <w:t>年</w:t>
      </w:r>
      <w:r>
        <w:rPr>
          <w:rFonts w:hint="eastAsia" w:ascii="宋体" w:hAnsi="宋体" w:cs="宋体"/>
          <w:color w:val="auto"/>
          <w:sz w:val="24"/>
          <w:szCs w:val="24"/>
          <w:highlight w:val="none"/>
          <w:lang w:val="en-US" w:eastAsia="zh-CN" w:bidi="ar"/>
        </w:rPr>
        <w:t>6月3日8时20分</w:t>
      </w:r>
      <w:r>
        <w:rPr>
          <w:rFonts w:hint="eastAsia" w:ascii="宋体" w:hAnsi="宋体" w:cs="宋体"/>
          <w:color w:val="auto"/>
          <w:sz w:val="24"/>
          <w:szCs w:val="24"/>
          <w:highlight w:val="none"/>
          <w:lang w:bidi="ar"/>
        </w:rPr>
        <w:t>（北京时间）</w:t>
      </w:r>
    </w:p>
    <w:p w14:paraId="56D87959">
      <w:pPr>
        <w:spacing w:line="440" w:lineRule="exact"/>
        <w:ind w:firstLine="480" w:firstLineChars="200"/>
        <w:rPr>
          <w:rFonts w:hint="eastAsia" w:ascii="宋体" w:hAnsi="宋体" w:eastAsia="宋体" w:cs="宋体"/>
          <w:b/>
          <w:color w:val="auto"/>
          <w:sz w:val="24"/>
          <w:szCs w:val="24"/>
          <w:highlight w:val="none"/>
          <w:lang w:eastAsia="zh-CN"/>
        </w:rPr>
      </w:pPr>
      <w:r>
        <w:rPr>
          <w:rFonts w:hint="eastAsia" w:ascii="宋体" w:hAnsi="宋体" w:cs="宋体"/>
          <w:color w:val="auto"/>
          <w:sz w:val="24"/>
          <w:szCs w:val="24"/>
          <w:highlight w:val="none"/>
          <w:lang w:bidi="ar"/>
        </w:rPr>
        <w:t>2</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地点：</w:t>
      </w:r>
      <w:r>
        <w:rPr>
          <w:rFonts w:hint="eastAsia" w:ascii="宋体" w:hAnsi="宋体" w:cs="宋体"/>
          <w:color w:val="auto"/>
          <w:sz w:val="24"/>
          <w:szCs w:val="24"/>
          <w:highlight w:val="none"/>
          <w:lang w:eastAsia="zh-CN"/>
        </w:rPr>
        <w:t>渑池县公共资源交易中心六楼开标</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室</w:t>
      </w:r>
    </w:p>
    <w:p w14:paraId="49B426D2">
      <w:pPr>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六、发布公告的媒介及招标公告期限</w:t>
      </w:r>
    </w:p>
    <w:p w14:paraId="1F4217D0">
      <w:pPr>
        <w:spacing w:line="440" w:lineRule="exact"/>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本次招标公告在《</w:t>
      </w:r>
      <w:r>
        <w:rPr>
          <w:rFonts w:hint="eastAsia" w:ascii="宋体" w:hAnsi="宋体" w:cs="宋体"/>
          <w:color w:val="auto"/>
          <w:kern w:val="2"/>
          <w:sz w:val="24"/>
          <w:szCs w:val="24"/>
          <w:highlight w:val="none"/>
        </w:rPr>
        <w:t>河南省政府采购网</w:t>
      </w:r>
      <w:r>
        <w:rPr>
          <w:rFonts w:hint="eastAsia" w:ascii="宋体" w:hAnsi="宋体" w:cs="宋体"/>
          <w:color w:val="auto"/>
          <w:sz w:val="24"/>
          <w:szCs w:val="24"/>
          <w:highlight w:val="none"/>
          <w:lang w:bidi="ar"/>
        </w:rPr>
        <w:t>》、《中国招标投标公共服务平台》和《三门峡市公共资源交易中心网》上发布，招标公告期限为三个工作日。</w:t>
      </w:r>
    </w:p>
    <w:p w14:paraId="45985204">
      <w:pPr>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七、其他补充事宜</w:t>
      </w:r>
    </w:p>
    <w:p w14:paraId="7F8F39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本项目实行资格后审，根据优化营商环境的要求，评标时审查内容以响应文件为准：</w:t>
      </w:r>
    </w:p>
    <w:p w14:paraId="34ADDDB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1、资格评（预）审部分：资格评（预）以响应文件为准，其上传资料真实性由供应商自行承担。</w:t>
      </w:r>
    </w:p>
    <w:p w14:paraId="0D206EC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2、评标打分部分：评标打分部分仍按照100分制原则进行，涉及到资格审查、企业荣誉、人员业绩、企业业绩等计分部分时，以投标单位自行上传到响应文件中的相应内容为准。</w:t>
      </w:r>
    </w:p>
    <w:p w14:paraId="3045CCD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响应文件编制部分：在招标文件中要求供应商按照响应文件格式进行响应文件编制，在响应文件编制时，应明确将投标单位企业基本情况、资质情况、人员情况、财务情况、业绩情况编入响应文件，便于进行资格审查及评标打分以响应文件业绩信息为准，可使用电子营业执照或事业单位法人证。 </w:t>
      </w:r>
    </w:p>
    <w:p w14:paraId="00CF143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4、我单位（采购人）严格按三财购【2021】9号文要求的时限发布中标结果公告，发出中标通知书，签订采购合同，上传采购合同。</w:t>
      </w:r>
    </w:p>
    <w:p w14:paraId="234754D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5、磋商文件中涉及到资格审查、企业荣誉、人员业绩、企业业绩等计分部分，以投标单位自行上传到响应文件中的相应内容为准.</w:t>
      </w:r>
    </w:p>
    <w:p w14:paraId="028F04F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6、本项目可使用电子营业执照或事业单位法人证。</w:t>
      </w:r>
    </w:p>
    <w:p w14:paraId="43BF426D">
      <w:pPr>
        <w:wordWrap w:val="0"/>
        <w:spacing w:line="360" w:lineRule="auto"/>
        <w:ind w:firstLine="480" w:firstLineChars="200"/>
        <w:contextualSpacing/>
        <w:rPr>
          <w:rFonts w:hint="eastAsia" w:ascii="宋体" w:hAnsi="宋体" w:cs="宋体"/>
          <w:color w:val="auto"/>
          <w:sz w:val="24"/>
          <w:szCs w:val="24"/>
          <w:highlight w:val="none"/>
          <w:lang w:bidi="ar"/>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bidi="ar"/>
        </w:rPr>
        <w:t>本项目为不见面开标项目，开标当日，供应商无需到开标现场参加开标会议，供应商应当在磋商截止时间前，登陆不见面开标大厅选择登陆三门峡市公共资源电子招投标系统进行登陆（网址为http://120.194.249.36:10094/BidOpening/bidopeninghallaction/hall/login）,在线准时参加开标活动并进行磋商响应文件解密等。每位供应商的解密时间为开标时间起30分钟内完成。因供应商原因未能解密、解密失败或解密超时的将被拒绝。</w:t>
      </w:r>
    </w:p>
    <w:p w14:paraId="1B642FFF">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提示：本项目为电子化、无纸化交易项目，为保证您能投标成功，请需仔细阅读以上条款。</w:t>
      </w:r>
    </w:p>
    <w:p w14:paraId="6D921B02">
      <w:pPr>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八、凡对本次招标提出询问，请按照以下方式联系</w:t>
      </w:r>
    </w:p>
    <w:p w14:paraId="1922FF9C">
      <w:pPr>
        <w:pStyle w:val="10"/>
        <w:spacing w:before="0" w:beforeAutospacing="0" w:after="0" w:afterAutospacing="0" w:line="360" w:lineRule="auto"/>
        <w:ind w:firstLine="480" w:firstLineChars="200"/>
        <w:jc w:val="both"/>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采购人信息</w:t>
      </w:r>
    </w:p>
    <w:p w14:paraId="57A0CB67">
      <w:pPr>
        <w:spacing w:line="360" w:lineRule="auto"/>
        <w:ind w:firstLine="484" w:firstLineChars="202"/>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eastAsia="zh-CN"/>
        </w:rPr>
        <w:t>渑池县公路局</w:t>
      </w:r>
      <w:r>
        <w:rPr>
          <w:rFonts w:hint="eastAsia" w:asciiTheme="minorEastAsia" w:hAnsiTheme="minorEastAsia" w:eastAsiaTheme="minorEastAsia" w:cstheme="minorEastAsia"/>
          <w:color w:val="auto"/>
          <w:sz w:val="24"/>
          <w:szCs w:val="24"/>
          <w:highlight w:val="none"/>
        </w:rPr>
        <w:t xml:space="preserve">    </w:t>
      </w:r>
    </w:p>
    <w:p w14:paraId="5B046D3B">
      <w:pPr>
        <w:spacing w:line="360" w:lineRule="auto"/>
        <w:ind w:firstLine="484" w:firstLineChars="202"/>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lang w:eastAsia="zh-CN"/>
        </w:rPr>
        <w:t>渑池县</w:t>
      </w:r>
      <w:r>
        <w:rPr>
          <w:rFonts w:hint="eastAsia" w:asciiTheme="minorEastAsia" w:hAnsiTheme="minorEastAsia" w:eastAsiaTheme="minorEastAsia" w:cstheme="minorEastAsia"/>
          <w:color w:val="auto"/>
          <w:sz w:val="24"/>
          <w:szCs w:val="24"/>
          <w:highlight w:val="none"/>
          <w:lang w:val="en-US" w:eastAsia="zh-CN"/>
        </w:rPr>
        <w:t>仰韶大街</w:t>
      </w:r>
    </w:p>
    <w:p w14:paraId="6B0F72E8">
      <w:pPr>
        <w:spacing w:line="360" w:lineRule="auto"/>
        <w:ind w:firstLine="484" w:firstLineChars="202"/>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联系人：</w:t>
      </w:r>
      <w:r>
        <w:rPr>
          <w:rFonts w:hint="eastAsia" w:asciiTheme="minorEastAsia" w:hAnsiTheme="minorEastAsia" w:eastAsiaTheme="minorEastAsia" w:cstheme="minorEastAsia"/>
          <w:color w:val="auto"/>
          <w:sz w:val="24"/>
          <w:szCs w:val="24"/>
          <w:highlight w:val="none"/>
          <w:lang w:val="en-US" w:eastAsia="zh-CN"/>
        </w:rPr>
        <w:t>秦先生</w:t>
      </w:r>
    </w:p>
    <w:p w14:paraId="2F40A6CE">
      <w:pPr>
        <w:spacing w:line="360" w:lineRule="auto"/>
        <w:ind w:firstLine="484" w:firstLineChars="202"/>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联系方式：</w:t>
      </w:r>
      <w:r>
        <w:rPr>
          <w:rFonts w:hint="eastAsia" w:asciiTheme="minorEastAsia" w:hAnsiTheme="minorEastAsia" w:eastAsiaTheme="minorEastAsia" w:cstheme="minorEastAsia"/>
          <w:color w:val="auto"/>
          <w:sz w:val="24"/>
          <w:szCs w:val="24"/>
          <w:highlight w:val="none"/>
          <w:lang w:val="en-US" w:eastAsia="zh-CN"/>
        </w:rPr>
        <w:t>15939839288</w:t>
      </w:r>
    </w:p>
    <w:p w14:paraId="0810FCE7">
      <w:pPr>
        <w:spacing w:line="360" w:lineRule="auto"/>
        <w:ind w:firstLine="480" w:firstLineChars="200"/>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采购</w:t>
      </w:r>
      <w:r>
        <w:rPr>
          <w:rFonts w:hint="eastAsia" w:asciiTheme="minorEastAsia" w:hAnsiTheme="minorEastAsia" w:eastAsiaTheme="minorEastAsia" w:cstheme="minorEastAsia"/>
          <w:color w:val="auto"/>
          <w:kern w:val="0"/>
          <w:sz w:val="24"/>
          <w:szCs w:val="24"/>
          <w:highlight w:val="none"/>
          <w:lang w:val="en-US" w:eastAsia="zh-CN"/>
        </w:rPr>
        <w:t>代理机构：河南昱通工程管理有限公司</w:t>
      </w:r>
    </w:p>
    <w:p w14:paraId="3EBB6DE1">
      <w:pPr>
        <w:spacing w:line="360" w:lineRule="auto"/>
        <w:ind w:firstLine="480" w:firstLineChars="200"/>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地址：河南自贸试验区郑州片区（郑东）普惠路68号1单元22层2206号</w:t>
      </w:r>
    </w:p>
    <w:p w14:paraId="381B75F2">
      <w:pPr>
        <w:spacing w:line="360" w:lineRule="auto"/>
        <w:ind w:firstLine="480" w:firstLineChars="200"/>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联系人：荆女士</w:t>
      </w:r>
    </w:p>
    <w:p w14:paraId="127AFB56">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联系方式：15936238582</w:t>
      </w:r>
    </w:p>
    <w:p w14:paraId="045775C9">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3.监督单位信息</w:t>
      </w:r>
    </w:p>
    <w:p w14:paraId="2A4E5CA3">
      <w:pPr>
        <w:widowControl/>
        <w:spacing w:line="480" w:lineRule="atLeast"/>
        <w:ind w:firstLine="480"/>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监督单位：渑池县政府采购办公室</w:t>
      </w:r>
    </w:p>
    <w:p w14:paraId="1B44B109">
      <w:pPr>
        <w:widowControl/>
        <w:spacing w:line="480" w:lineRule="atLeast"/>
        <w:ind w:firstLine="480"/>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联系方式：0398-4818677</w:t>
      </w:r>
    </w:p>
    <w:p w14:paraId="43A6BD86">
      <w:pPr>
        <w:pStyle w:val="2"/>
        <w:bidi w:val="0"/>
        <w:jc w:val="center"/>
        <w:rPr>
          <w:rFonts w:hint="eastAsia" w:ascii="宋体" w:hAnsi="宋体" w:cs="宋体"/>
          <w:b/>
          <w:color w:val="auto"/>
          <w:kern w:val="2"/>
          <w:sz w:val="28"/>
          <w:szCs w:val="28"/>
          <w:highlight w:val="none"/>
        </w:rPr>
      </w:pPr>
      <w:r>
        <w:rPr>
          <w:rFonts w:hint="eastAsia" w:ascii="宋体" w:hAnsi="宋体" w:cs="宋体"/>
          <w:b/>
          <w:color w:val="auto"/>
          <w:kern w:val="2"/>
          <w:sz w:val="22"/>
          <w:szCs w:val="22"/>
          <w:highlight w:val="none"/>
        </w:rPr>
        <w:br w:type="page"/>
      </w:r>
      <w:bookmarkStart w:id="12" w:name="_Toc11492"/>
      <w:bookmarkStart w:id="13" w:name="_Toc4063"/>
      <w:bookmarkStart w:id="14" w:name="_Toc13937"/>
      <w:bookmarkStart w:id="15" w:name="_Toc7255"/>
      <w:r>
        <w:rPr>
          <w:rFonts w:hint="eastAsia" w:ascii="黑体" w:cs="宋体"/>
          <w:b/>
          <w:color w:val="auto"/>
          <w:kern w:val="2"/>
          <w:sz w:val="36"/>
          <w:szCs w:val="36"/>
          <w:highlight w:val="none"/>
        </w:rPr>
        <w:t>第二章</w:t>
      </w:r>
      <w:r>
        <w:rPr>
          <w:rFonts w:hint="eastAsia" w:ascii="黑体" w:cs="宋体"/>
          <w:b/>
          <w:color w:val="auto"/>
          <w:kern w:val="2"/>
          <w:sz w:val="36"/>
          <w:szCs w:val="36"/>
          <w:highlight w:val="none"/>
          <w:lang w:val="en-US" w:eastAsia="zh-CN"/>
        </w:rPr>
        <w:t xml:space="preserve">  </w:t>
      </w:r>
      <w:r>
        <w:rPr>
          <w:rFonts w:hint="eastAsia" w:ascii="黑体" w:cs="宋体"/>
          <w:b/>
          <w:color w:val="auto"/>
          <w:kern w:val="2"/>
          <w:sz w:val="36"/>
          <w:szCs w:val="36"/>
          <w:highlight w:val="none"/>
        </w:rPr>
        <w:t>供应商须知</w:t>
      </w:r>
      <w:bookmarkEnd w:id="10"/>
      <w:bookmarkEnd w:id="12"/>
      <w:bookmarkEnd w:id="13"/>
      <w:bookmarkEnd w:id="14"/>
      <w:bookmarkEnd w:id="15"/>
      <w:bookmarkStart w:id="16" w:name="_Toc461977413"/>
      <w:bookmarkEnd w:id="16"/>
      <w:bookmarkStart w:id="17" w:name="_Toc5034"/>
    </w:p>
    <w:p w14:paraId="6EC1A800">
      <w:pPr>
        <w:keepNext/>
        <w:keepLines/>
        <w:widowControl w:val="0"/>
        <w:spacing w:before="20" w:after="20" w:line="360" w:lineRule="auto"/>
        <w:jc w:val="center"/>
        <w:outlineLvl w:val="9"/>
        <w:rPr>
          <w:rFonts w:hint="eastAsia" w:ascii="宋体" w:hAnsi="宋体"/>
          <w:b/>
          <w:color w:val="auto"/>
          <w:sz w:val="28"/>
          <w:szCs w:val="28"/>
          <w:highlight w:val="none"/>
        </w:rPr>
      </w:pPr>
      <w:bookmarkStart w:id="18" w:name="_Toc25541"/>
      <w:bookmarkStart w:id="19" w:name="_Toc14322"/>
      <w:bookmarkStart w:id="20" w:name="_Toc23546"/>
      <w:bookmarkStart w:id="21" w:name="_Toc13797"/>
      <w:bookmarkStart w:id="22" w:name="_Toc18236"/>
      <w:r>
        <w:rPr>
          <w:rFonts w:hint="eastAsia" w:ascii="宋体" w:hAnsi="宋体" w:cs="宋体"/>
          <w:b/>
          <w:color w:val="auto"/>
          <w:kern w:val="2"/>
          <w:sz w:val="28"/>
          <w:szCs w:val="28"/>
          <w:highlight w:val="none"/>
        </w:rPr>
        <w:t>供应商须知前附表</w:t>
      </w:r>
      <w:bookmarkEnd w:id="17"/>
      <w:bookmarkEnd w:id="18"/>
      <w:bookmarkEnd w:id="19"/>
      <w:bookmarkEnd w:id="20"/>
      <w:bookmarkEnd w:id="21"/>
      <w:bookmarkEnd w:id="22"/>
    </w:p>
    <w:tbl>
      <w:tblPr>
        <w:tblStyle w:val="13"/>
        <w:tblW w:w="26231" w:type="dxa"/>
        <w:tblInd w:w="108" w:type="dxa"/>
        <w:tblLayout w:type="fixed"/>
        <w:tblCellMar>
          <w:top w:w="0" w:type="dxa"/>
          <w:left w:w="108" w:type="dxa"/>
          <w:bottom w:w="0" w:type="dxa"/>
          <w:right w:w="108" w:type="dxa"/>
        </w:tblCellMar>
      </w:tblPr>
      <w:tblGrid>
        <w:gridCol w:w="862"/>
        <w:gridCol w:w="2175"/>
        <w:gridCol w:w="7079"/>
        <w:gridCol w:w="4487"/>
        <w:gridCol w:w="5814"/>
        <w:gridCol w:w="5814"/>
      </w:tblGrid>
      <w:tr w14:paraId="2A3D6E3E">
        <w:tblPrEx>
          <w:tblCellMar>
            <w:top w:w="0" w:type="dxa"/>
            <w:left w:w="108" w:type="dxa"/>
            <w:bottom w:w="0" w:type="dxa"/>
            <w:right w:w="108" w:type="dxa"/>
          </w:tblCellMar>
        </w:tblPrEx>
        <w:trPr>
          <w:gridAfter w:val="3"/>
          <w:wAfter w:w="16115" w:type="dxa"/>
          <w:cantSplit/>
          <w:trHeight w:val="697" w:hRule="atLeast"/>
        </w:trPr>
        <w:tc>
          <w:tcPr>
            <w:tcW w:w="862" w:type="dxa"/>
            <w:tcBorders>
              <w:top w:val="single" w:color="auto" w:sz="12" w:space="0"/>
              <w:left w:val="single" w:color="auto" w:sz="12" w:space="0"/>
              <w:bottom w:val="single" w:color="auto" w:sz="6" w:space="0"/>
              <w:right w:val="single" w:color="auto" w:sz="6" w:space="0"/>
            </w:tcBorders>
            <w:vAlign w:val="center"/>
          </w:tcPr>
          <w:p w14:paraId="1656FE8A">
            <w:pPr>
              <w:adjustRightInd w:val="0"/>
              <w:spacing w:line="360" w:lineRule="auto"/>
              <w:ind w:left="3" w:hanging="2" w:hangingChars="1"/>
              <w:jc w:val="center"/>
              <w:rPr>
                <w:rFonts w:hint="eastAsia"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条款</w:t>
            </w:r>
          </w:p>
        </w:tc>
        <w:tc>
          <w:tcPr>
            <w:tcW w:w="2175" w:type="dxa"/>
            <w:tcBorders>
              <w:top w:val="single" w:color="auto" w:sz="12" w:space="0"/>
              <w:left w:val="single" w:color="auto" w:sz="6" w:space="0"/>
              <w:bottom w:val="single" w:color="auto" w:sz="6" w:space="0"/>
              <w:right w:val="single" w:color="auto" w:sz="6" w:space="0"/>
            </w:tcBorders>
            <w:vAlign w:val="center"/>
          </w:tcPr>
          <w:p w14:paraId="226FB566">
            <w:pPr>
              <w:adjustRightInd w:val="0"/>
              <w:spacing w:line="360" w:lineRule="auto"/>
              <w:ind w:left="3" w:hanging="2" w:hangingChars="1"/>
              <w:jc w:val="center"/>
              <w:rPr>
                <w:rFonts w:hint="eastAsia"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条款号</w:t>
            </w:r>
          </w:p>
        </w:tc>
        <w:tc>
          <w:tcPr>
            <w:tcW w:w="7079" w:type="dxa"/>
            <w:tcBorders>
              <w:top w:val="single" w:color="auto" w:sz="12" w:space="0"/>
              <w:left w:val="single" w:color="auto" w:sz="6" w:space="0"/>
              <w:bottom w:val="single" w:color="auto" w:sz="6" w:space="0"/>
              <w:right w:val="single" w:color="auto" w:sz="12" w:space="0"/>
            </w:tcBorders>
            <w:vAlign w:val="center"/>
          </w:tcPr>
          <w:p w14:paraId="328EC58D">
            <w:pPr>
              <w:adjustRightInd w:val="0"/>
              <w:spacing w:line="360" w:lineRule="auto"/>
              <w:ind w:left="3" w:hanging="2" w:hangingChars="1"/>
              <w:jc w:val="center"/>
              <w:rPr>
                <w:rFonts w:hint="eastAsia"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编列内容</w:t>
            </w:r>
          </w:p>
        </w:tc>
      </w:tr>
      <w:tr w14:paraId="34D6C353">
        <w:tblPrEx>
          <w:tblCellMar>
            <w:top w:w="0" w:type="dxa"/>
            <w:left w:w="108" w:type="dxa"/>
            <w:bottom w:w="0" w:type="dxa"/>
            <w:right w:w="108" w:type="dxa"/>
          </w:tblCellMar>
        </w:tblPrEx>
        <w:trPr>
          <w:gridAfter w:val="3"/>
          <w:wAfter w:w="16115" w:type="dxa"/>
          <w:cantSplit/>
          <w:trHeight w:val="563" w:hRule="atLeast"/>
        </w:trPr>
        <w:tc>
          <w:tcPr>
            <w:tcW w:w="862" w:type="dxa"/>
            <w:tcBorders>
              <w:top w:val="single" w:color="auto" w:sz="6" w:space="0"/>
              <w:left w:val="single" w:color="auto" w:sz="12" w:space="0"/>
              <w:bottom w:val="single" w:color="auto" w:sz="6" w:space="0"/>
              <w:right w:val="single" w:color="auto" w:sz="6" w:space="0"/>
            </w:tcBorders>
            <w:vAlign w:val="center"/>
          </w:tcPr>
          <w:p w14:paraId="11BB06F6">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1</w:t>
            </w:r>
          </w:p>
        </w:tc>
        <w:tc>
          <w:tcPr>
            <w:tcW w:w="2175" w:type="dxa"/>
            <w:tcBorders>
              <w:top w:val="single" w:color="auto" w:sz="6" w:space="0"/>
              <w:left w:val="single" w:color="auto" w:sz="6" w:space="0"/>
              <w:bottom w:val="single" w:color="auto" w:sz="6" w:space="0"/>
              <w:right w:val="single" w:color="auto" w:sz="6" w:space="0"/>
            </w:tcBorders>
            <w:vAlign w:val="center"/>
          </w:tcPr>
          <w:p w14:paraId="4F06B4F4">
            <w:pPr>
              <w:adjustRightInd w:val="0"/>
              <w:spacing w:line="360" w:lineRule="auto"/>
              <w:ind w:left="3" w:hanging="2" w:hangingChars="1"/>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采购人</w:t>
            </w:r>
          </w:p>
        </w:tc>
        <w:tc>
          <w:tcPr>
            <w:tcW w:w="7079" w:type="dxa"/>
            <w:tcBorders>
              <w:top w:val="single" w:color="auto" w:sz="6" w:space="0"/>
              <w:left w:val="single" w:color="auto" w:sz="6" w:space="0"/>
              <w:bottom w:val="single" w:color="auto" w:sz="6" w:space="0"/>
              <w:right w:val="single" w:color="auto" w:sz="12" w:space="0"/>
            </w:tcBorders>
            <w:vAlign w:val="center"/>
          </w:tcPr>
          <w:p w14:paraId="12978843">
            <w:pPr>
              <w:spacing w:line="360" w:lineRule="auto"/>
              <w:rPr>
                <w:rFonts w:hint="eastAsia" w:eastAsia="宋体" w:asciiTheme="minorEastAsia" w:hAnsiTheme="minorEastAsia" w:cstheme="minorEastAsia"/>
                <w:color w:val="auto"/>
                <w:sz w:val="24"/>
                <w:szCs w:val="24"/>
                <w:highlight w:val="none"/>
                <w:lang w:eastAsia="zh-CN"/>
              </w:rPr>
            </w:pPr>
            <w:r>
              <w:rPr>
                <w:rFonts w:hint="eastAsia" w:eastAsia="宋体" w:asciiTheme="minorEastAsia" w:hAnsiTheme="minorEastAsia" w:cstheme="minorEastAsia"/>
                <w:color w:val="auto"/>
                <w:sz w:val="24"/>
                <w:szCs w:val="24"/>
                <w:highlight w:val="none"/>
                <w:lang w:eastAsia="zh-CN"/>
              </w:rPr>
              <w:t>采购人：渑池县公路局</w:t>
            </w:r>
          </w:p>
          <w:p w14:paraId="3B1079DC">
            <w:pPr>
              <w:spacing w:line="360" w:lineRule="auto"/>
              <w:jc w:val="both"/>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地址：渑池县仰韶大街</w:t>
            </w:r>
          </w:p>
          <w:p w14:paraId="6DB2192C">
            <w:pPr>
              <w:spacing w:line="360" w:lineRule="auto"/>
              <w:jc w:val="both"/>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联系人：秦先生</w:t>
            </w:r>
          </w:p>
          <w:p w14:paraId="102B5E85">
            <w:pPr>
              <w:spacing w:line="360" w:lineRule="auto"/>
              <w:jc w:val="both"/>
              <w:rPr>
                <w:rFonts w:hint="eastAsia" w:eastAsia="宋体"/>
                <w:color w:val="auto"/>
                <w:spacing w:val="6"/>
                <w:kern w:val="2"/>
                <w:szCs w:val="24"/>
                <w:highlight w:val="none"/>
                <w:lang w:eastAsia="zh-CN"/>
              </w:rPr>
            </w:pPr>
            <w:r>
              <w:rPr>
                <w:rFonts w:hint="eastAsia" w:ascii="宋体" w:hAnsi="宋体" w:eastAsia="宋体" w:cs="宋体"/>
                <w:color w:val="auto"/>
                <w:spacing w:val="6"/>
                <w:kern w:val="2"/>
                <w:sz w:val="24"/>
                <w:szCs w:val="24"/>
                <w:highlight w:val="none"/>
                <w:lang w:val="en-US" w:eastAsia="zh-CN"/>
              </w:rPr>
              <w:t>联系方式：15939839288</w:t>
            </w:r>
          </w:p>
        </w:tc>
      </w:tr>
      <w:tr w14:paraId="5B778CA9">
        <w:tblPrEx>
          <w:tblCellMar>
            <w:top w:w="0" w:type="dxa"/>
            <w:left w:w="108" w:type="dxa"/>
            <w:bottom w:w="0" w:type="dxa"/>
            <w:right w:w="108" w:type="dxa"/>
          </w:tblCellMar>
        </w:tblPrEx>
        <w:trPr>
          <w:gridAfter w:val="3"/>
          <w:wAfter w:w="16115" w:type="dxa"/>
          <w:cantSplit/>
          <w:trHeight w:val="563" w:hRule="atLeast"/>
        </w:trPr>
        <w:tc>
          <w:tcPr>
            <w:tcW w:w="862" w:type="dxa"/>
            <w:tcBorders>
              <w:top w:val="single" w:color="auto" w:sz="6" w:space="0"/>
              <w:left w:val="single" w:color="auto" w:sz="12" w:space="0"/>
              <w:bottom w:val="single" w:color="auto" w:sz="6" w:space="0"/>
              <w:right w:val="single" w:color="auto" w:sz="6" w:space="0"/>
            </w:tcBorders>
            <w:vAlign w:val="center"/>
          </w:tcPr>
          <w:p w14:paraId="2E10171A">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w:t>
            </w:r>
          </w:p>
        </w:tc>
        <w:tc>
          <w:tcPr>
            <w:tcW w:w="2175" w:type="dxa"/>
            <w:tcBorders>
              <w:top w:val="single" w:color="auto" w:sz="6" w:space="0"/>
              <w:left w:val="single" w:color="auto" w:sz="6" w:space="0"/>
              <w:bottom w:val="single" w:color="auto" w:sz="6" w:space="0"/>
              <w:right w:val="single" w:color="auto" w:sz="6" w:space="0"/>
            </w:tcBorders>
            <w:vAlign w:val="center"/>
          </w:tcPr>
          <w:p w14:paraId="3A531304">
            <w:pPr>
              <w:adjustRightInd w:val="0"/>
              <w:spacing w:line="360" w:lineRule="auto"/>
              <w:ind w:left="2" w:hanging="2" w:hangingChars="1"/>
              <w:jc w:val="center"/>
              <w:rPr>
                <w:rFonts w:hint="eastAsia" w:ascii="宋体" w:hAnsi="宋体" w:cs="宋体"/>
                <w:color w:val="auto"/>
                <w:spacing w:val="6"/>
                <w:kern w:val="2"/>
                <w:sz w:val="24"/>
                <w:szCs w:val="24"/>
                <w:highlight w:val="none"/>
              </w:rPr>
            </w:pPr>
            <w:r>
              <w:rPr>
                <w:rFonts w:hint="eastAsia" w:ascii="宋体" w:hAnsi="宋体" w:cs="宋体"/>
                <w:color w:val="auto"/>
                <w:kern w:val="2"/>
                <w:sz w:val="24"/>
                <w:szCs w:val="24"/>
                <w:highlight w:val="none"/>
              </w:rPr>
              <w:t>采购代理机构</w:t>
            </w:r>
          </w:p>
        </w:tc>
        <w:tc>
          <w:tcPr>
            <w:tcW w:w="7079" w:type="dxa"/>
            <w:tcBorders>
              <w:top w:val="single" w:color="auto" w:sz="6" w:space="0"/>
              <w:left w:val="single" w:color="auto" w:sz="6" w:space="0"/>
              <w:bottom w:val="single" w:color="auto" w:sz="6" w:space="0"/>
              <w:right w:val="single" w:color="auto" w:sz="12" w:space="0"/>
            </w:tcBorders>
            <w:vAlign w:val="center"/>
          </w:tcPr>
          <w:p w14:paraId="4BDE4C3B">
            <w:pPr>
              <w:spacing w:line="360" w:lineRule="auto"/>
              <w:jc w:val="both"/>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eastAsia="zh-CN"/>
              </w:rPr>
              <w:t>采购</w:t>
            </w:r>
            <w:r>
              <w:rPr>
                <w:rFonts w:hint="eastAsia" w:ascii="宋体" w:hAnsi="宋体" w:eastAsia="宋体" w:cs="宋体"/>
                <w:color w:val="auto"/>
                <w:spacing w:val="6"/>
                <w:kern w:val="2"/>
                <w:sz w:val="24"/>
                <w:szCs w:val="24"/>
                <w:highlight w:val="none"/>
                <w:lang w:val="en-US" w:eastAsia="zh-CN"/>
              </w:rPr>
              <w:t>代理机构：河南昱通工程管理有限公司</w:t>
            </w:r>
          </w:p>
          <w:p w14:paraId="1F7CE2A4">
            <w:pPr>
              <w:spacing w:line="360" w:lineRule="auto"/>
              <w:jc w:val="both"/>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地址：河南自贸试验区郑州片区（郑东）普惠路68号1单元22层2206号</w:t>
            </w:r>
          </w:p>
          <w:p w14:paraId="6A7D9BD0">
            <w:pPr>
              <w:spacing w:line="360" w:lineRule="auto"/>
              <w:jc w:val="both"/>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联系人：荆女士</w:t>
            </w:r>
          </w:p>
          <w:p w14:paraId="681BBB4E">
            <w:pPr>
              <w:spacing w:line="360" w:lineRule="auto"/>
              <w:jc w:val="both"/>
              <w:rPr>
                <w:rFonts w:hint="eastAsia" w:ascii="宋体" w:hAnsi="宋体" w:eastAsia="宋体" w:cs="宋体"/>
                <w:color w:val="auto"/>
                <w:spacing w:val="6"/>
                <w:kern w:val="2"/>
                <w:sz w:val="24"/>
                <w:szCs w:val="24"/>
                <w:highlight w:val="none"/>
                <w:lang w:eastAsia="zh-CN"/>
              </w:rPr>
            </w:pPr>
            <w:r>
              <w:rPr>
                <w:rFonts w:hint="eastAsia" w:ascii="宋体" w:hAnsi="宋体" w:eastAsia="宋体" w:cs="宋体"/>
                <w:color w:val="auto"/>
                <w:spacing w:val="6"/>
                <w:kern w:val="2"/>
                <w:sz w:val="24"/>
                <w:szCs w:val="24"/>
                <w:highlight w:val="none"/>
                <w:lang w:val="en-US" w:eastAsia="zh-CN"/>
              </w:rPr>
              <w:t>联系方式：15936238582</w:t>
            </w:r>
          </w:p>
        </w:tc>
      </w:tr>
      <w:tr w14:paraId="0634586A">
        <w:tblPrEx>
          <w:tblCellMar>
            <w:top w:w="0" w:type="dxa"/>
            <w:left w:w="108" w:type="dxa"/>
            <w:bottom w:w="0" w:type="dxa"/>
            <w:right w:w="108" w:type="dxa"/>
          </w:tblCellMar>
        </w:tblPrEx>
        <w:trPr>
          <w:gridAfter w:val="3"/>
          <w:wAfter w:w="16115" w:type="dxa"/>
          <w:cantSplit/>
          <w:trHeight w:val="451" w:hRule="atLeast"/>
        </w:trPr>
        <w:tc>
          <w:tcPr>
            <w:tcW w:w="862" w:type="dxa"/>
            <w:tcBorders>
              <w:top w:val="single" w:color="auto" w:sz="6" w:space="0"/>
              <w:left w:val="single" w:color="auto" w:sz="12" w:space="0"/>
              <w:bottom w:val="single" w:color="auto" w:sz="6" w:space="0"/>
              <w:right w:val="single" w:color="auto" w:sz="6" w:space="0"/>
            </w:tcBorders>
            <w:vAlign w:val="center"/>
          </w:tcPr>
          <w:p w14:paraId="145C1A78">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3</w:t>
            </w:r>
          </w:p>
        </w:tc>
        <w:tc>
          <w:tcPr>
            <w:tcW w:w="2175" w:type="dxa"/>
            <w:tcBorders>
              <w:top w:val="single" w:color="auto" w:sz="6" w:space="0"/>
              <w:left w:val="single" w:color="auto" w:sz="6" w:space="0"/>
              <w:bottom w:val="single" w:color="auto" w:sz="6" w:space="0"/>
              <w:right w:val="single" w:color="auto" w:sz="6" w:space="0"/>
            </w:tcBorders>
            <w:vAlign w:val="center"/>
          </w:tcPr>
          <w:p w14:paraId="2C7036BA">
            <w:pPr>
              <w:widowControl w:val="0"/>
              <w:adjustRightInd w:val="0"/>
              <w:spacing w:line="360" w:lineRule="auto"/>
              <w:jc w:val="center"/>
              <w:rPr>
                <w:rFonts w:hint="eastAsia"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项目名称</w:t>
            </w:r>
          </w:p>
        </w:tc>
        <w:tc>
          <w:tcPr>
            <w:tcW w:w="7079" w:type="dxa"/>
            <w:tcBorders>
              <w:top w:val="single" w:color="auto" w:sz="6" w:space="0"/>
              <w:left w:val="single" w:color="auto" w:sz="6" w:space="0"/>
              <w:bottom w:val="single" w:color="auto" w:sz="6" w:space="0"/>
              <w:right w:val="single" w:color="auto" w:sz="12" w:space="0"/>
            </w:tcBorders>
            <w:vAlign w:val="center"/>
          </w:tcPr>
          <w:p w14:paraId="67F03BD5">
            <w:pPr>
              <w:widowControl w:val="0"/>
              <w:spacing w:line="360" w:lineRule="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eastAsia="zh-CN"/>
              </w:rPr>
              <w:t>渑池县公路局S243线渑池白浪至渑陕界段改建工程压覆矿产资源报告编制项目</w:t>
            </w:r>
          </w:p>
        </w:tc>
      </w:tr>
      <w:tr w14:paraId="166BCFA5">
        <w:tblPrEx>
          <w:tblCellMar>
            <w:top w:w="0" w:type="dxa"/>
            <w:left w:w="108" w:type="dxa"/>
            <w:bottom w:w="0" w:type="dxa"/>
            <w:right w:w="108" w:type="dxa"/>
          </w:tblCellMar>
        </w:tblPrEx>
        <w:trPr>
          <w:gridAfter w:val="3"/>
          <w:wAfter w:w="16115" w:type="dxa"/>
          <w:cantSplit/>
          <w:trHeight w:val="498" w:hRule="atLeast"/>
        </w:trPr>
        <w:tc>
          <w:tcPr>
            <w:tcW w:w="862" w:type="dxa"/>
            <w:tcBorders>
              <w:top w:val="single" w:color="auto" w:sz="6" w:space="0"/>
              <w:left w:val="single" w:color="auto" w:sz="12" w:space="0"/>
              <w:bottom w:val="single" w:color="auto" w:sz="6" w:space="0"/>
              <w:right w:val="single" w:color="auto" w:sz="6" w:space="0"/>
            </w:tcBorders>
            <w:vAlign w:val="center"/>
          </w:tcPr>
          <w:p w14:paraId="21307B8E">
            <w:pPr>
              <w:adjustRightInd w:val="0"/>
              <w:spacing w:line="360" w:lineRule="auto"/>
              <w:ind w:left="3" w:hanging="2" w:hangingChars="1"/>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w:t>
            </w:r>
          </w:p>
        </w:tc>
        <w:tc>
          <w:tcPr>
            <w:tcW w:w="2175" w:type="dxa"/>
            <w:tcBorders>
              <w:top w:val="single" w:color="auto" w:sz="6" w:space="0"/>
              <w:left w:val="single" w:color="auto" w:sz="6" w:space="0"/>
              <w:bottom w:val="single" w:color="auto" w:sz="6" w:space="0"/>
              <w:right w:val="single" w:color="auto" w:sz="6" w:space="0"/>
            </w:tcBorders>
            <w:vAlign w:val="center"/>
          </w:tcPr>
          <w:p w14:paraId="5C00AE08">
            <w:pPr>
              <w:widowControl w:val="0"/>
              <w:adjustRightInd w:val="0"/>
              <w:spacing w:line="360" w:lineRule="auto"/>
              <w:jc w:val="center"/>
              <w:rPr>
                <w:rFonts w:hint="eastAsia"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项目编号</w:t>
            </w:r>
          </w:p>
        </w:tc>
        <w:tc>
          <w:tcPr>
            <w:tcW w:w="7079" w:type="dxa"/>
            <w:tcBorders>
              <w:top w:val="single" w:color="auto" w:sz="6" w:space="0"/>
              <w:left w:val="single" w:color="auto" w:sz="6" w:space="0"/>
              <w:bottom w:val="single" w:color="auto" w:sz="6" w:space="0"/>
              <w:right w:val="single" w:color="auto" w:sz="12" w:space="0"/>
            </w:tcBorders>
            <w:vAlign w:val="center"/>
          </w:tcPr>
          <w:p w14:paraId="212152A2">
            <w:pPr>
              <w:widowControl w:val="0"/>
              <w:adjustRightInd w:val="0"/>
              <w:spacing w:line="360" w:lineRule="auto"/>
              <w:jc w:val="both"/>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MCGZ[2026]067-ZC063</w:t>
            </w:r>
          </w:p>
        </w:tc>
      </w:tr>
      <w:tr w14:paraId="47AC6BFF">
        <w:tblPrEx>
          <w:tblCellMar>
            <w:top w:w="0" w:type="dxa"/>
            <w:left w:w="108" w:type="dxa"/>
            <w:bottom w:w="0" w:type="dxa"/>
            <w:right w:w="108" w:type="dxa"/>
          </w:tblCellMar>
        </w:tblPrEx>
        <w:trPr>
          <w:gridAfter w:val="3"/>
          <w:wAfter w:w="16115" w:type="dxa"/>
          <w:cantSplit/>
          <w:trHeight w:val="490" w:hRule="atLeast"/>
        </w:trPr>
        <w:tc>
          <w:tcPr>
            <w:tcW w:w="862" w:type="dxa"/>
            <w:tcBorders>
              <w:top w:val="single" w:color="auto" w:sz="6" w:space="0"/>
              <w:left w:val="single" w:color="auto" w:sz="12" w:space="0"/>
              <w:bottom w:val="single" w:color="auto" w:sz="6" w:space="0"/>
              <w:right w:val="single" w:color="auto" w:sz="6" w:space="0"/>
            </w:tcBorders>
            <w:vAlign w:val="center"/>
          </w:tcPr>
          <w:p w14:paraId="4109A8A9">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5</w:t>
            </w:r>
          </w:p>
        </w:tc>
        <w:tc>
          <w:tcPr>
            <w:tcW w:w="2175" w:type="dxa"/>
            <w:tcBorders>
              <w:top w:val="single" w:color="auto" w:sz="6" w:space="0"/>
              <w:left w:val="single" w:color="auto" w:sz="6" w:space="0"/>
              <w:bottom w:val="single" w:color="auto" w:sz="6" w:space="0"/>
              <w:right w:val="single" w:color="auto" w:sz="6" w:space="0"/>
            </w:tcBorders>
            <w:vAlign w:val="center"/>
          </w:tcPr>
          <w:p w14:paraId="2A982C52">
            <w:pPr>
              <w:widowControl w:val="0"/>
              <w:adjustRightInd w:val="0"/>
              <w:spacing w:line="360" w:lineRule="auto"/>
              <w:jc w:val="center"/>
              <w:rPr>
                <w:rFonts w:hint="eastAsia" w:ascii="宋体" w:hAnsi="宋体" w:cs="宋体"/>
                <w:color w:val="auto"/>
                <w:kern w:val="2"/>
                <w:sz w:val="24"/>
                <w:szCs w:val="24"/>
                <w:highlight w:val="none"/>
              </w:rPr>
            </w:pPr>
            <w:r>
              <w:rPr>
                <w:rFonts w:ascii="宋体" w:hAnsi="宋体" w:cs="宋体"/>
                <w:color w:val="auto"/>
                <w:kern w:val="2"/>
                <w:sz w:val="24"/>
                <w:szCs w:val="24"/>
                <w:highlight w:val="none"/>
              </w:rPr>
              <w:t>采购</w:t>
            </w:r>
            <w:r>
              <w:rPr>
                <w:rFonts w:hint="eastAsia" w:ascii="宋体" w:hAnsi="宋体" w:cs="宋体"/>
                <w:color w:val="auto"/>
                <w:kern w:val="2"/>
                <w:sz w:val="24"/>
                <w:szCs w:val="24"/>
                <w:highlight w:val="none"/>
              </w:rPr>
              <w:t>人</w:t>
            </w:r>
          </w:p>
        </w:tc>
        <w:tc>
          <w:tcPr>
            <w:tcW w:w="7079" w:type="dxa"/>
            <w:tcBorders>
              <w:top w:val="single" w:color="auto" w:sz="6" w:space="0"/>
              <w:left w:val="single" w:color="auto" w:sz="6" w:space="0"/>
              <w:bottom w:val="single" w:color="auto" w:sz="6" w:space="0"/>
              <w:right w:val="single" w:color="auto" w:sz="12" w:space="0"/>
            </w:tcBorders>
            <w:vAlign w:val="center"/>
          </w:tcPr>
          <w:p w14:paraId="2AE8FFDC">
            <w:pPr>
              <w:adjustRightInd w:val="0"/>
              <w:spacing w:line="360" w:lineRule="auto"/>
              <w:ind w:left="3" w:hanging="2" w:hangingChars="1"/>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渑池县公路局</w:t>
            </w:r>
          </w:p>
        </w:tc>
      </w:tr>
      <w:tr w14:paraId="4177A8CD">
        <w:tblPrEx>
          <w:tblCellMar>
            <w:top w:w="0" w:type="dxa"/>
            <w:left w:w="108" w:type="dxa"/>
            <w:bottom w:w="0" w:type="dxa"/>
            <w:right w:w="108" w:type="dxa"/>
          </w:tblCellMar>
        </w:tblPrEx>
        <w:trPr>
          <w:gridAfter w:val="3"/>
          <w:wAfter w:w="16115" w:type="dxa"/>
          <w:cantSplit/>
          <w:trHeight w:val="516" w:hRule="atLeast"/>
        </w:trPr>
        <w:tc>
          <w:tcPr>
            <w:tcW w:w="862" w:type="dxa"/>
            <w:tcBorders>
              <w:top w:val="single" w:color="auto" w:sz="6" w:space="0"/>
              <w:left w:val="single" w:color="auto" w:sz="12" w:space="0"/>
              <w:bottom w:val="single" w:color="auto" w:sz="6" w:space="0"/>
              <w:right w:val="single" w:color="auto" w:sz="6" w:space="0"/>
            </w:tcBorders>
            <w:vAlign w:val="center"/>
          </w:tcPr>
          <w:p w14:paraId="3CB7DDA5">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6</w:t>
            </w:r>
          </w:p>
        </w:tc>
        <w:tc>
          <w:tcPr>
            <w:tcW w:w="2175" w:type="dxa"/>
            <w:tcBorders>
              <w:top w:val="single" w:color="auto" w:sz="6" w:space="0"/>
              <w:left w:val="single" w:color="auto" w:sz="6" w:space="0"/>
              <w:bottom w:val="single" w:color="auto" w:sz="6" w:space="0"/>
              <w:right w:val="single" w:color="auto" w:sz="6" w:space="0"/>
            </w:tcBorders>
            <w:vAlign w:val="center"/>
          </w:tcPr>
          <w:p w14:paraId="74BECBC5">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kern w:val="2"/>
                <w:sz w:val="24"/>
                <w:szCs w:val="24"/>
                <w:highlight w:val="none"/>
                <w:lang w:eastAsia="zh-CN"/>
              </w:rPr>
              <w:t>服务内容</w:t>
            </w:r>
          </w:p>
        </w:tc>
        <w:tc>
          <w:tcPr>
            <w:tcW w:w="7079" w:type="dxa"/>
            <w:tcBorders>
              <w:top w:val="single" w:color="auto" w:sz="6" w:space="0"/>
              <w:left w:val="single" w:color="auto" w:sz="6" w:space="0"/>
              <w:bottom w:val="single" w:color="auto" w:sz="6" w:space="0"/>
              <w:right w:val="single" w:color="auto" w:sz="12" w:space="0"/>
            </w:tcBorders>
            <w:vAlign w:val="center"/>
          </w:tcPr>
          <w:p w14:paraId="7CE1EDC7">
            <w:pPr>
              <w:shd w:val="clear" w:color="auto" w:fill="FFFFFF"/>
              <w:spacing w:line="360" w:lineRule="auto"/>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对工程范围内压覆重要矿产资源情况、探矿权、采矿权设置状况进行核查，并对项目拟压覆资源／储量进行估算，按照现行规范编制《S243线渑池白浪至渑陕界段改建工程压覆矿产资源储量核实评估报告》，并通过自然资源主管部门审查或完成备案。</w:t>
            </w:r>
          </w:p>
        </w:tc>
      </w:tr>
      <w:tr w14:paraId="1CFB8C16">
        <w:tblPrEx>
          <w:tblCellMar>
            <w:top w:w="0" w:type="dxa"/>
            <w:left w:w="108" w:type="dxa"/>
            <w:bottom w:w="0" w:type="dxa"/>
            <w:right w:w="108" w:type="dxa"/>
          </w:tblCellMar>
        </w:tblPrEx>
        <w:trPr>
          <w:gridAfter w:val="3"/>
          <w:wAfter w:w="16115" w:type="dxa"/>
          <w:cantSplit/>
          <w:trHeight w:val="576" w:hRule="atLeast"/>
        </w:trPr>
        <w:tc>
          <w:tcPr>
            <w:tcW w:w="862" w:type="dxa"/>
            <w:tcBorders>
              <w:top w:val="single" w:color="auto" w:sz="6" w:space="0"/>
              <w:left w:val="single" w:color="auto" w:sz="12" w:space="0"/>
              <w:bottom w:val="single" w:color="auto" w:sz="6" w:space="0"/>
              <w:right w:val="single" w:color="auto" w:sz="6" w:space="0"/>
            </w:tcBorders>
            <w:vAlign w:val="center"/>
          </w:tcPr>
          <w:p w14:paraId="26938D5A">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7</w:t>
            </w:r>
          </w:p>
        </w:tc>
        <w:tc>
          <w:tcPr>
            <w:tcW w:w="2175" w:type="dxa"/>
            <w:tcBorders>
              <w:top w:val="single" w:color="auto" w:sz="6" w:space="0"/>
              <w:left w:val="single" w:color="auto" w:sz="6" w:space="0"/>
              <w:bottom w:val="single" w:color="auto" w:sz="6" w:space="0"/>
              <w:right w:val="single" w:color="auto" w:sz="6" w:space="0"/>
            </w:tcBorders>
            <w:vAlign w:val="center"/>
          </w:tcPr>
          <w:p w14:paraId="05A2771D">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本项目所属行业</w:t>
            </w:r>
          </w:p>
        </w:tc>
        <w:tc>
          <w:tcPr>
            <w:tcW w:w="7079" w:type="dxa"/>
            <w:tcBorders>
              <w:top w:val="single" w:color="auto" w:sz="6" w:space="0"/>
              <w:left w:val="single" w:color="auto" w:sz="6" w:space="0"/>
              <w:bottom w:val="single" w:color="auto" w:sz="6" w:space="0"/>
              <w:right w:val="single" w:color="auto" w:sz="12" w:space="0"/>
            </w:tcBorders>
            <w:vAlign w:val="center"/>
          </w:tcPr>
          <w:p w14:paraId="44C0369A">
            <w:pPr>
              <w:widowControl w:val="0"/>
              <w:adjustRightInd w:val="0"/>
              <w:spacing w:line="360" w:lineRule="auto"/>
              <w:jc w:val="left"/>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其他未列明行业</w:t>
            </w:r>
          </w:p>
        </w:tc>
      </w:tr>
      <w:tr w14:paraId="4F158A24">
        <w:tblPrEx>
          <w:tblCellMar>
            <w:top w:w="0" w:type="dxa"/>
            <w:left w:w="108" w:type="dxa"/>
            <w:bottom w:w="0" w:type="dxa"/>
            <w:right w:w="108" w:type="dxa"/>
          </w:tblCellMar>
        </w:tblPrEx>
        <w:trPr>
          <w:gridAfter w:val="3"/>
          <w:wAfter w:w="16115" w:type="dxa"/>
          <w:trHeight w:val="489" w:hRule="atLeast"/>
        </w:trPr>
        <w:tc>
          <w:tcPr>
            <w:tcW w:w="862" w:type="dxa"/>
            <w:tcBorders>
              <w:top w:val="single" w:color="auto" w:sz="6" w:space="0"/>
              <w:left w:val="single" w:color="auto" w:sz="12" w:space="0"/>
              <w:bottom w:val="single" w:color="auto" w:sz="6" w:space="0"/>
              <w:right w:val="single" w:color="auto" w:sz="6" w:space="0"/>
            </w:tcBorders>
            <w:vAlign w:val="center"/>
          </w:tcPr>
          <w:p w14:paraId="7939EF2C">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8</w:t>
            </w:r>
          </w:p>
        </w:tc>
        <w:tc>
          <w:tcPr>
            <w:tcW w:w="2175" w:type="dxa"/>
            <w:tcBorders>
              <w:top w:val="single" w:color="auto" w:sz="6" w:space="0"/>
              <w:left w:val="single" w:color="auto" w:sz="6" w:space="0"/>
              <w:bottom w:val="single" w:color="auto" w:sz="6" w:space="0"/>
              <w:right w:val="single" w:color="auto" w:sz="6" w:space="0"/>
            </w:tcBorders>
            <w:vAlign w:val="center"/>
          </w:tcPr>
          <w:p w14:paraId="3E995A41">
            <w:pPr>
              <w:widowControl w:val="0"/>
              <w:adjustRightInd w:val="0"/>
              <w:spacing w:line="360" w:lineRule="auto"/>
              <w:jc w:val="center"/>
              <w:rPr>
                <w:rFonts w:hint="eastAsia"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采购方式</w:t>
            </w:r>
          </w:p>
        </w:tc>
        <w:tc>
          <w:tcPr>
            <w:tcW w:w="7079" w:type="dxa"/>
            <w:tcBorders>
              <w:top w:val="single" w:color="auto" w:sz="6" w:space="0"/>
              <w:left w:val="single" w:color="auto" w:sz="6" w:space="0"/>
              <w:bottom w:val="single" w:color="auto" w:sz="6" w:space="0"/>
              <w:right w:val="single" w:color="auto" w:sz="12" w:space="0"/>
            </w:tcBorders>
            <w:vAlign w:val="center"/>
          </w:tcPr>
          <w:p w14:paraId="1C283F6A">
            <w:pPr>
              <w:widowControl w:val="0"/>
              <w:adjustRightInd w:val="0"/>
              <w:spacing w:line="360" w:lineRule="auto"/>
              <w:jc w:val="both"/>
              <w:rPr>
                <w:rFonts w:hint="eastAsia"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竞争性磋商</w:t>
            </w:r>
          </w:p>
        </w:tc>
      </w:tr>
      <w:tr w14:paraId="7FEA1FEE">
        <w:tblPrEx>
          <w:tblCellMar>
            <w:top w:w="0" w:type="dxa"/>
            <w:left w:w="108" w:type="dxa"/>
            <w:bottom w:w="0" w:type="dxa"/>
            <w:right w:w="108" w:type="dxa"/>
          </w:tblCellMar>
        </w:tblPrEx>
        <w:trPr>
          <w:gridAfter w:val="3"/>
          <w:wAfter w:w="16115" w:type="dxa"/>
          <w:trHeight w:val="506" w:hRule="atLeast"/>
        </w:trPr>
        <w:tc>
          <w:tcPr>
            <w:tcW w:w="862" w:type="dxa"/>
            <w:tcBorders>
              <w:top w:val="single" w:color="auto" w:sz="6" w:space="0"/>
              <w:left w:val="single" w:color="auto" w:sz="12" w:space="0"/>
              <w:bottom w:val="single" w:color="auto" w:sz="6" w:space="0"/>
              <w:right w:val="single" w:color="auto" w:sz="6" w:space="0"/>
            </w:tcBorders>
            <w:vAlign w:val="center"/>
          </w:tcPr>
          <w:p w14:paraId="08616F9B">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9</w:t>
            </w:r>
          </w:p>
        </w:tc>
        <w:tc>
          <w:tcPr>
            <w:tcW w:w="2175" w:type="dxa"/>
            <w:tcBorders>
              <w:top w:val="single" w:color="auto" w:sz="6" w:space="0"/>
              <w:left w:val="single" w:color="auto" w:sz="6" w:space="0"/>
              <w:bottom w:val="single" w:color="auto" w:sz="6" w:space="0"/>
              <w:right w:val="single" w:color="auto" w:sz="6" w:space="0"/>
            </w:tcBorders>
            <w:vAlign w:val="center"/>
          </w:tcPr>
          <w:p w14:paraId="1D034FB3">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eastAsia="zh-CN"/>
              </w:rPr>
              <w:t>服务要求</w:t>
            </w:r>
          </w:p>
        </w:tc>
        <w:tc>
          <w:tcPr>
            <w:tcW w:w="7079" w:type="dxa"/>
            <w:tcBorders>
              <w:top w:val="single" w:color="auto" w:sz="6" w:space="0"/>
              <w:left w:val="single" w:color="auto" w:sz="6" w:space="0"/>
              <w:bottom w:val="single" w:color="auto" w:sz="6" w:space="0"/>
              <w:right w:val="single" w:color="auto" w:sz="12" w:space="0"/>
            </w:tcBorders>
            <w:vAlign w:val="center"/>
          </w:tcPr>
          <w:p w14:paraId="231536F5">
            <w:pPr>
              <w:widowControl w:val="0"/>
              <w:adjustRightInd w:val="0"/>
              <w:spacing w:line="360" w:lineRule="auto"/>
              <w:jc w:val="both"/>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kern w:val="2"/>
                <w:sz w:val="24"/>
                <w:szCs w:val="24"/>
                <w:highlight w:val="none"/>
                <w:lang w:eastAsia="zh-CN"/>
              </w:rPr>
              <w:t>合格，符合国家、行业、地方相关规定及采购人要求</w:t>
            </w:r>
          </w:p>
        </w:tc>
      </w:tr>
      <w:tr w14:paraId="159C7481">
        <w:tblPrEx>
          <w:tblCellMar>
            <w:top w:w="0" w:type="dxa"/>
            <w:left w:w="108" w:type="dxa"/>
            <w:bottom w:w="0" w:type="dxa"/>
            <w:right w:w="108" w:type="dxa"/>
          </w:tblCellMar>
        </w:tblPrEx>
        <w:trPr>
          <w:gridAfter w:val="3"/>
          <w:wAfter w:w="16115" w:type="dxa"/>
          <w:trHeight w:val="545" w:hRule="atLeast"/>
        </w:trPr>
        <w:tc>
          <w:tcPr>
            <w:tcW w:w="862" w:type="dxa"/>
            <w:tcBorders>
              <w:top w:val="single" w:color="auto" w:sz="6" w:space="0"/>
              <w:left w:val="single" w:color="auto" w:sz="12" w:space="0"/>
              <w:bottom w:val="single" w:color="auto" w:sz="6" w:space="0"/>
              <w:right w:val="single" w:color="auto" w:sz="6" w:space="0"/>
            </w:tcBorders>
            <w:vAlign w:val="center"/>
          </w:tcPr>
          <w:p w14:paraId="53D7DFE0">
            <w:pPr>
              <w:adjustRightInd w:val="0"/>
              <w:spacing w:line="360" w:lineRule="auto"/>
              <w:ind w:left="3" w:hanging="2" w:hangingChars="1"/>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10</w:t>
            </w:r>
          </w:p>
        </w:tc>
        <w:tc>
          <w:tcPr>
            <w:tcW w:w="2175" w:type="dxa"/>
            <w:tcBorders>
              <w:top w:val="single" w:color="auto" w:sz="6" w:space="0"/>
              <w:left w:val="single" w:color="auto" w:sz="6" w:space="0"/>
              <w:bottom w:val="single" w:color="auto" w:sz="6" w:space="0"/>
              <w:right w:val="single" w:color="auto" w:sz="6" w:space="0"/>
            </w:tcBorders>
            <w:vAlign w:val="center"/>
          </w:tcPr>
          <w:p w14:paraId="1BB47C4E">
            <w:pPr>
              <w:adjustRightInd w:val="0"/>
              <w:spacing w:line="360" w:lineRule="auto"/>
              <w:ind w:left="2" w:hanging="2" w:hangingChars="1"/>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服务期限</w:t>
            </w:r>
          </w:p>
        </w:tc>
        <w:tc>
          <w:tcPr>
            <w:tcW w:w="7079" w:type="dxa"/>
            <w:tcBorders>
              <w:top w:val="single" w:color="auto" w:sz="6" w:space="0"/>
              <w:left w:val="single" w:color="auto" w:sz="6" w:space="0"/>
              <w:bottom w:val="single" w:color="auto" w:sz="6" w:space="0"/>
              <w:right w:val="single" w:color="auto" w:sz="12" w:space="0"/>
            </w:tcBorders>
            <w:vAlign w:val="center"/>
          </w:tcPr>
          <w:p w14:paraId="76116D56">
            <w:pPr>
              <w:adjustRightInd w:val="0"/>
              <w:spacing w:line="360" w:lineRule="auto"/>
              <w:ind w:left="2" w:hanging="2" w:hangingChars="1"/>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eastAsia="zh-CN"/>
              </w:rPr>
              <w:t>接到采购人通知后90日历天内按照采购人要求完成任务</w:t>
            </w:r>
          </w:p>
        </w:tc>
      </w:tr>
      <w:tr w14:paraId="771AE8DB">
        <w:tblPrEx>
          <w:tblCellMar>
            <w:top w:w="0" w:type="dxa"/>
            <w:left w:w="108" w:type="dxa"/>
            <w:bottom w:w="0" w:type="dxa"/>
            <w:right w:w="108" w:type="dxa"/>
          </w:tblCellMar>
        </w:tblPrEx>
        <w:trPr>
          <w:gridAfter w:val="3"/>
          <w:wAfter w:w="16115" w:type="dxa"/>
          <w:trHeight w:val="545" w:hRule="atLeast"/>
        </w:trPr>
        <w:tc>
          <w:tcPr>
            <w:tcW w:w="862" w:type="dxa"/>
            <w:tcBorders>
              <w:top w:val="single" w:color="auto" w:sz="6" w:space="0"/>
              <w:left w:val="single" w:color="auto" w:sz="12" w:space="0"/>
              <w:bottom w:val="single" w:color="auto" w:sz="6" w:space="0"/>
              <w:right w:val="single" w:color="auto" w:sz="6" w:space="0"/>
            </w:tcBorders>
            <w:vAlign w:val="center"/>
          </w:tcPr>
          <w:p w14:paraId="2E2E40DF">
            <w:pPr>
              <w:adjustRightInd w:val="0"/>
              <w:spacing w:line="360" w:lineRule="auto"/>
              <w:ind w:left="3" w:hanging="2" w:hangingChars="1"/>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11</w:t>
            </w:r>
          </w:p>
        </w:tc>
        <w:tc>
          <w:tcPr>
            <w:tcW w:w="2175" w:type="dxa"/>
            <w:tcBorders>
              <w:top w:val="single" w:color="auto" w:sz="6" w:space="0"/>
              <w:left w:val="single" w:color="auto" w:sz="6" w:space="0"/>
              <w:bottom w:val="single" w:color="auto" w:sz="6" w:space="0"/>
              <w:right w:val="single" w:color="auto" w:sz="6" w:space="0"/>
            </w:tcBorders>
            <w:vAlign w:val="center"/>
          </w:tcPr>
          <w:p w14:paraId="3F7B73D8">
            <w:pPr>
              <w:adjustRightInd w:val="0"/>
              <w:spacing w:line="360" w:lineRule="auto"/>
              <w:ind w:left="2" w:hanging="2" w:hangingChars="1"/>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服务地点</w:t>
            </w:r>
          </w:p>
        </w:tc>
        <w:tc>
          <w:tcPr>
            <w:tcW w:w="7079" w:type="dxa"/>
            <w:tcBorders>
              <w:top w:val="single" w:color="auto" w:sz="6" w:space="0"/>
              <w:left w:val="single" w:color="auto" w:sz="6" w:space="0"/>
              <w:bottom w:val="single" w:color="auto" w:sz="6" w:space="0"/>
              <w:right w:val="single" w:color="auto" w:sz="12" w:space="0"/>
            </w:tcBorders>
            <w:vAlign w:val="center"/>
          </w:tcPr>
          <w:p w14:paraId="7E17EE38">
            <w:pPr>
              <w:adjustRightInd w:val="0"/>
              <w:spacing w:line="360" w:lineRule="auto"/>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采购人指定地点</w:t>
            </w:r>
          </w:p>
        </w:tc>
      </w:tr>
      <w:tr w14:paraId="498EC8C5">
        <w:tblPrEx>
          <w:tblCellMar>
            <w:top w:w="0" w:type="dxa"/>
            <w:left w:w="108" w:type="dxa"/>
            <w:bottom w:w="0" w:type="dxa"/>
            <w:right w:w="108" w:type="dxa"/>
          </w:tblCellMar>
        </w:tblPrEx>
        <w:trPr>
          <w:gridAfter w:val="3"/>
          <w:wAfter w:w="16115" w:type="dxa"/>
          <w:trHeight w:val="543" w:hRule="atLeast"/>
        </w:trPr>
        <w:tc>
          <w:tcPr>
            <w:tcW w:w="862" w:type="dxa"/>
            <w:tcBorders>
              <w:top w:val="single" w:color="auto" w:sz="6" w:space="0"/>
              <w:left w:val="single" w:color="auto" w:sz="12" w:space="0"/>
              <w:bottom w:val="single" w:color="auto" w:sz="6" w:space="0"/>
              <w:right w:val="single" w:color="auto" w:sz="6" w:space="0"/>
            </w:tcBorders>
            <w:vAlign w:val="center"/>
          </w:tcPr>
          <w:p w14:paraId="5E6405FA">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12</w:t>
            </w:r>
          </w:p>
        </w:tc>
        <w:tc>
          <w:tcPr>
            <w:tcW w:w="2175" w:type="dxa"/>
            <w:tcBorders>
              <w:top w:val="single" w:color="auto" w:sz="6" w:space="0"/>
              <w:left w:val="single" w:color="auto" w:sz="6" w:space="0"/>
              <w:bottom w:val="single" w:color="auto" w:sz="6" w:space="0"/>
              <w:right w:val="single" w:color="auto" w:sz="6" w:space="0"/>
            </w:tcBorders>
            <w:vAlign w:val="center"/>
          </w:tcPr>
          <w:p w14:paraId="3E4641BB">
            <w:pPr>
              <w:widowControl w:val="0"/>
              <w:adjustRightInd w:val="0"/>
              <w:spacing w:line="360" w:lineRule="auto"/>
              <w:jc w:val="center"/>
              <w:rPr>
                <w:rFonts w:hint="eastAsia" w:ascii="宋体" w:hAnsi="宋体" w:cs="宋体"/>
                <w:color w:val="auto"/>
                <w:kern w:val="2"/>
                <w:sz w:val="24"/>
                <w:szCs w:val="24"/>
                <w:highlight w:val="none"/>
              </w:rPr>
            </w:pPr>
            <w:r>
              <w:rPr>
                <w:rFonts w:ascii="宋体" w:hAnsi="宋体" w:cs="宋体"/>
                <w:color w:val="auto"/>
                <w:kern w:val="2"/>
                <w:sz w:val="24"/>
                <w:szCs w:val="24"/>
                <w:highlight w:val="none"/>
              </w:rPr>
              <w:t>资金来源</w:t>
            </w:r>
          </w:p>
        </w:tc>
        <w:tc>
          <w:tcPr>
            <w:tcW w:w="7079" w:type="dxa"/>
            <w:tcBorders>
              <w:top w:val="single" w:color="auto" w:sz="6" w:space="0"/>
              <w:left w:val="single" w:color="auto" w:sz="6" w:space="0"/>
              <w:bottom w:val="single" w:color="auto" w:sz="6" w:space="0"/>
              <w:right w:val="single" w:color="auto" w:sz="12" w:space="0"/>
            </w:tcBorders>
            <w:vAlign w:val="center"/>
          </w:tcPr>
          <w:p w14:paraId="28546AB7">
            <w:pPr>
              <w:widowControl w:val="0"/>
              <w:adjustRightInd w:val="0"/>
              <w:spacing w:line="360" w:lineRule="auto"/>
              <w:jc w:val="both"/>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财政资金</w:t>
            </w:r>
            <w:r>
              <w:rPr>
                <w:rFonts w:ascii="宋体" w:hAnsi="宋体" w:cs="宋体"/>
                <w:color w:val="auto"/>
                <w:spacing w:val="6"/>
                <w:kern w:val="2"/>
                <w:sz w:val="24"/>
                <w:szCs w:val="24"/>
                <w:highlight w:val="none"/>
              </w:rPr>
              <w:t>，已落实</w:t>
            </w:r>
          </w:p>
        </w:tc>
      </w:tr>
      <w:tr w14:paraId="2B83E3DC">
        <w:tblPrEx>
          <w:tblCellMar>
            <w:top w:w="0" w:type="dxa"/>
            <w:left w:w="108" w:type="dxa"/>
            <w:bottom w:w="0" w:type="dxa"/>
            <w:right w:w="108" w:type="dxa"/>
          </w:tblCellMar>
        </w:tblPrEx>
        <w:trPr>
          <w:gridAfter w:val="3"/>
          <w:wAfter w:w="16115" w:type="dxa"/>
          <w:trHeight w:val="536" w:hRule="atLeast"/>
        </w:trPr>
        <w:tc>
          <w:tcPr>
            <w:tcW w:w="862" w:type="dxa"/>
            <w:tcBorders>
              <w:top w:val="single" w:color="auto" w:sz="6" w:space="0"/>
              <w:left w:val="single" w:color="auto" w:sz="12" w:space="0"/>
              <w:bottom w:val="single" w:color="auto" w:sz="6" w:space="0"/>
              <w:right w:val="single" w:color="auto" w:sz="6" w:space="0"/>
            </w:tcBorders>
            <w:vAlign w:val="center"/>
          </w:tcPr>
          <w:p w14:paraId="05B902B0">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13</w:t>
            </w:r>
          </w:p>
        </w:tc>
        <w:tc>
          <w:tcPr>
            <w:tcW w:w="2175" w:type="dxa"/>
            <w:tcBorders>
              <w:top w:val="single" w:color="auto" w:sz="6" w:space="0"/>
              <w:left w:val="single" w:color="auto" w:sz="6" w:space="0"/>
              <w:bottom w:val="single" w:color="auto" w:sz="6" w:space="0"/>
              <w:right w:val="single" w:color="auto" w:sz="6" w:space="0"/>
            </w:tcBorders>
            <w:vAlign w:val="center"/>
          </w:tcPr>
          <w:p w14:paraId="25A8DA9A">
            <w:pPr>
              <w:widowControl w:val="0"/>
              <w:adjustRightInd w:val="0"/>
              <w:spacing w:line="360" w:lineRule="auto"/>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预算资金</w:t>
            </w:r>
          </w:p>
        </w:tc>
        <w:tc>
          <w:tcPr>
            <w:tcW w:w="7079" w:type="dxa"/>
            <w:tcBorders>
              <w:top w:val="single" w:color="auto" w:sz="6" w:space="0"/>
              <w:left w:val="single" w:color="auto" w:sz="6" w:space="0"/>
              <w:bottom w:val="single" w:color="auto" w:sz="6" w:space="0"/>
              <w:right w:val="single" w:color="auto" w:sz="12" w:space="0"/>
            </w:tcBorders>
            <w:vAlign w:val="center"/>
          </w:tcPr>
          <w:p w14:paraId="59D7166B">
            <w:pPr>
              <w:shd w:val="clear" w:color="auto" w:fill="FFFFFF"/>
              <w:spacing w:line="360" w:lineRule="auto"/>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w:t>
            </w:r>
            <w:r>
              <w:rPr>
                <w:rFonts w:hint="eastAsia" w:ascii="宋体" w:hAnsi="宋体"/>
                <w:color w:val="auto"/>
                <w:sz w:val="24"/>
                <w:szCs w:val="24"/>
                <w:highlight w:val="none"/>
                <w:lang w:eastAsia="zh-CN"/>
              </w:rPr>
              <w:t>497600.00</w:t>
            </w:r>
            <w:r>
              <w:rPr>
                <w:rFonts w:hint="eastAsia" w:ascii="宋体" w:hAnsi="宋体" w:cs="宋体"/>
                <w:color w:val="auto"/>
                <w:spacing w:val="6"/>
                <w:kern w:val="2"/>
                <w:sz w:val="24"/>
                <w:szCs w:val="24"/>
                <w:highlight w:val="none"/>
              </w:rPr>
              <w:t>元（供应商报价不能高于项目预算金额，超出按无效文件处理）</w:t>
            </w:r>
          </w:p>
        </w:tc>
      </w:tr>
      <w:tr w14:paraId="4E8E32A7">
        <w:tblPrEx>
          <w:tblCellMar>
            <w:top w:w="0" w:type="dxa"/>
            <w:left w:w="108" w:type="dxa"/>
            <w:bottom w:w="0" w:type="dxa"/>
            <w:right w:w="108" w:type="dxa"/>
          </w:tblCellMar>
        </w:tblPrEx>
        <w:trPr>
          <w:gridAfter w:val="3"/>
          <w:wAfter w:w="16115" w:type="dxa"/>
          <w:trHeight w:val="536" w:hRule="atLeast"/>
        </w:trPr>
        <w:tc>
          <w:tcPr>
            <w:tcW w:w="862" w:type="dxa"/>
            <w:tcBorders>
              <w:top w:val="single" w:color="auto" w:sz="6" w:space="0"/>
              <w:left w:val="single" w:color="auto" w:sz="12" w:space="0"/>
              <w:bottom w:val="single" w:color="auto" w:sz="6" w:space="0"/>
              <w:right w:val="single" w:color="auto" w:sz="6" w:space="0"/>
            </w:tcBorders>
            <w:vAlign w:val="center"/>
          </w:tcPr>
          <w:p w14:paraId="7DC9325B">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14</w:t>
            </w:r>
          </w:p>
        </w:tc>
        <w:tc>
          <w:tcPr>
            <w:tcW w:w="2175" w:type="dxa"/>
            <w:tcBorders>
              <w:top w:val="single" w:color="auto" w:sz="6" w:space="0"/>
              <w:left w:val="single" w:color="auto" w:sz="6" w:space="0"/>
              <w:bottom w:val="single" w:color="auto" w:sz="6" w:space="0"/>
              <w:right w:val="single" w:color="auto" w:sz="6" w:space="0"/>
            </w:tcBorders>
            <w:vAlign w:val="center"/>
          </w:tcPr>
          <w:p w14:paraId="2A9DB92F">
            <w:pPr>
              <w:spacing w:line="440" w:lineRule="exact"/>
              <w:jc w:val="center"/>
              <w:rPr>
                <w:rFonts w:hint="eastAsia" w:ascii="宋体" w:hAnsi="宋体" w:cs="宋体"/>
                <w:color w:val="auto"/>
                <w:kern w:val="2"/>
                <w:sz w:val="24"/>
                <w:szCs w:val="24"/>
                <w:highlight w:val="none"/>
              </w:rPr>
            </w:pPr>
            <w:r>
              <w:rPr>
                <w:rFonts w:hint="eastAsia" w:ascii="宋体" w:hAnsi="宋体" w:cs="宋体"/>
                <w:color w:val="auto"/>
                <w:sz w:val="24"/>
                <w:szCs w:val="24"/>
                <w:highlight w:val="none"/>
                <w:lang w:eastAsia="zh-Hans"/>
              </w:rPr>
              <w:t>采购最高限价</w:t>
            </w:r>
          </w:p>
        </w:tc>
        <w:tc>
          <w:tcPr>
            <w:tcW w:w="7079" w:type="dxa"/>
            <w:tcBorders>
              <w:top w:val="single" w:color="auto" w:sz="6" w:space="0"/>
              <w:left w:val="single" w:color="auto" w:sz="6" w:space="0"/>
              <w:bottom w:val="single" w:color="auto" w:sz="6" w:space="0"/>
              <w:right w:val="single" w:color="auto" w:sz="12" w:space="0"/>
            </w:tcBorders>
            <w:vAlign w:val="center"/>
          </w:tcPr>
          <w:p w14:paraId="7FD5F7BE">
            <w:pPr>
              <w:spacing w:line="440" w:lineRule="exact"/>
              <w:ind w:left="-40" w:leftChars="-20" w:firstLine="42" w:firstLineChars="17"/>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w:t>
            </w:r>
            <w:r>
              <w:rPr>
                <w:rFonts w:hint="eastAsia" w:ascii="宋体" w:hAnsi="宋体"/>
                <w:color w:val="auto"/>
                <w:sz w:val="24"/>
                <w:szCs w:val="24"/>
                <w:highlight w:val="none"/>
                <w:lang w:eastAsia="zh-CN"/>
              </w:rPr>
              <w:t>497600.00</w:t>
            </w:r>
            <w:r>
              <w:rPr>
                <w:rFonts w:hint="eastAsia" w:ascii="宋体" w:hAnsi="宋体"/>
                <w:color w:val="auto"/>
                <w:sz w:val="24"/>
                <w:szCs w:val="24"/>
                <w:highlight w:val="none"/>
              </w:rPr>
              <w:t>元</w:t>
            </w:r>
            <w:r>
              <w:rPr>
                <w:rFonts w:hint="eastAsia" w:ascii="宋体" w:hAnsi="宋体" w:cs="宋体"/>
                <w:color w:val="auto"/>
                <w:sz w:val="24"/>
                <w:szCs w:val="24"/>
                <w:highlight w:val="none"/>
              </w:rPr>
              <w:t>，投标价格超过</w:t>
            </w:r>
            <w:r>
              <w:rPr>
                <w:rFonts w:hint="eastAsia" w:ascii="宋体" w:hAnsi="宋体"/>
                <w:color w:val="auto"/>
                <w:sz w:val="24"/>
                <w:szCs w:val="24"/>
                <w:highlight w:val="none"/>
              </w:rPr>
              <w:t>最高限价</w:t>
            </w:r>
            <w:r>
              <w:rPr>
                <w:rFonts w:hint="eastAsia" w:ascii="宋体" w:hAnsi="宋体" w:cs="宋体"/>
                <w:color w:val="auto"/>
                <w:sz w:val="24"/>
                <w:szCs w:val="24"/>
                <w:highlight w:val="none"/>
              </w:rPr>
              <w:t>的视为无效标。</w:t>
            </w:r>
          </w:p>
        </w:tc>
      </w:tr>
      <w:tr w14:paraId="09173DB6">
        <w:tblPrEx>
          <w:tblCellMar>
            <w:top w:w="0" w:type="dxa"/>
            <w:left w:w="108" w:type="dxa"/>
            <w:bottom w:w="0" w:type="dxa"/>
            <w:right w:w="108" w:type="dxa"/>
          </w:tblCellMar>
        </w:tblPrEx>
        <w:trPr>
          <w:gridAfter w:val="3"/>
          <w:wAfter w:w="16115" w:type="dxa"/>
          <w:trHeight w:val="536" w:hRule="atLeast"/>
        </w:trPr>
        <w:tc>
          <w:tcPr>
            <w:tcW w:w="862" w:type="dxa"/>
            <w:tcBorders>
              <w:top w:val="single" w:color="auto" w:sz="6" w:space="0"/>
              <w:left w:val="single" w:color="auto" w:sz="12" w:space="0"/>
              <w:bottom w:val="single" w:color="auto" w:sz="6" w:space="0"/>
              <w:right w:val="single" w:color="auto" w:sz="6" w:space="0"/>
            </w:tcBorders>
            <w:vAlign w:val="center"/>
          </w:tcPr>
          <w:p w14:paraId="403A099C">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15</w:t>
            </w:r>
          </w:p>
        </w:tc>
        <w:tc>
          <w:tcPr>
            <w:tcW w:w="2175" w:type="dxa"/>
            <w:tcBorders>
              <w:top w:val="single" w:color="auto" w:sz="6" w:space="0"/>
              <w:left w:val="single" w:color="auto" w:sz="6" w:space="0"/>
              <w:bottom w:val="single" w:color="auto" w:sz="6" w:space="0"/>
              <w:right w:val="single" w:color="auto" w:sz="6" w:space="0"/>
            </w:tcBorders>
            <w:vAlign w:val="center"/>
          </w:tcPr>
          <w:p w14:paraId="0D8F7074">
            <w:pPr>
              <w:widowControl w:val="0"/>
              <w:adjustRightInd w:val="0"/>
              <w:spacing w:line="360" w:lineRule="auto"/>
              <w:jc w:val="center"/>
              <w:rPr>
                <w:rFonts w:hint="eastAsia" w:ascii="宋体" w:hAnsi="宋体" w:cs="宋体"/>
                <w:color w:val="auto"/>
                <w:spacing w:val="-40"/>
                <w:kern w:val="2"/>
                <w:sz w:val="24"/>
                <w:szCs w:val="24"/>
                <w:highlight w:val="none"/>
              </w:rPr>
            </w:pPr>
            <w:r>
              <w:rPr>
                <w:rFonts w:ascii="宋体" w:hAnsi="宋体" w:cs="宋体"/>
                <w:color w:val="auto"/>
                <w:kern w:val="2"/>
                <w:sz w:val="24"/>
                <w:szCs w:val="24"/>
                <w:highlight w:val="none"/>
              </w:rPr>
              <w:t>供应商资</w:t>
            </w:r>
            <w:r>
              <w:rPr>
                <w:rFonts w:hint="eastAsia" w:ascii="宋体" w:hAnsi="宋体" w:cs="宋体"/>
                <w:color w:val="auto"/>
                <w:kern w:val="2"/>
                <w:sz w:val="24"/>
                <w:szCs w:val="24"/>
                <w:highlight w:val="none"/>
                <w:lang w:val="en-US" w:eastAsia="zh-CN"/>
              </w:rPr>
              <w:t>格</w:t>
            </w:r>
            <w:r>
              <w:rPr>
                <w:rFonts w:ascii="宋体" w:hAnsi="宋体" w:cs="宋体"/>
                <w:color w:val="auto"/>
                <w:kern w:val="2"/>
                <w:sz w:val="24"/>
                <w:szCs w:val="24"/>
                <w:highlight w:val="none"/>
              </w:rPr>
              <w:t>要求</w:t>
            </w:r>
          </w:p>
        </w:tc>
        <w:tc>
          <w:tcPr>
            <w:tcW w:w="7079" w:type="dxa"/>
            <w:tcBorders>
              <w:top w:val="single" w:color="auto" w:sz="6" w:space="0"/>
              <w:left w:val="single" w:color="auto" w:sz="6" w:space="0"/>
              <w:bottom w:val="single" w:color="auto" w:sz="6" w:space="0"/>
              <w:right w:val="single" w:color="auto" w:sz="12" w:space="0"/>
            </w:tcBorders>
            <w:vAlign w:val="center"/>
          </w:tcPr>
          <w:p w14:paraId="3962522A">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1、满足《中华人民共和国政府采购法》第二十二条规定；</w:t>
            </w:r>
          </w:p>
          <w:p w14:paraId="10ACD309">
            <w:pPr>
              <w:spacing w:line="360" w:lineRule="auto"/>
              <w:ind w:firstLine="566" w:firstLineChars="236"/>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落实政府采购政策满足的资格要求：本项目专门面向中小企业，供应商须提供《中小企业声明函》，大型企业及未提供中小企业声明函的企业不享受中小企业扶持政策，其响应文件将作无效响应处理。监狱企业及残疾人福利性单位视同小型、微型企业</w:t>
            </w:r>
            <w:r>
              <w:rPr>
                <w:rFonts w:hint="eastAsia" w:ascii="宋体" w:hAnsi="宋体"/>
                <w:color w:val="auto"/>
                <w:sz w:val="24"/>
                <w:szCs w:val="24"/>
                <w:highlight w:val="none"/>
                <w:lang w:eastAsia="zh-CN"/>
              </w:rPr>
              <w:t>。</w:t>
            </w:r>
          </w:p>
          <w:p w14:paraId="2B075807">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 xml:space="preserve">3、本项目的特定资格要求 </w:t>
            </w:r>
          </w:p>
          <w:p w14:paraId="4617329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eastAsia="zh-CN"/>
              </w:rPr>
              <w:t>供应商须具有有效的企业营业执照或事业单位法人证书或其他有效登记证书</w:t>
            </w:r>
            <w:r>
              <w:rPr>
                <w:rFonts w:hint="eastAsia" w:asciiTheme="minorEastAsia" w:hAnsiTheme="minorEastAsia" w:cstheme="minorEastAsia"/>
                <w:color w:val="auto"/>
                <w:sz w:val="24"/>
                <w:szCs w:val="24"/>
                <w:highlight w:val="none"/>
              </w:rPr>
              <w:t>；</w:t>
            </w:r>
          </w:p>
          <w:p w14:paraId="223980A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254617D6">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56FE352E">
            <w:pPr>
              <w:spacing w:line="360" w:lineRule="auto"/>
              <w:ind w:firstLine="566" w:firstLineChars="236"/>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3.4责人须具有地质类或测绘类相关专业中级及以上职称；</w:t>
            </w:r>
          </w:p>
          <w:p w14:paraId="3BF3E5D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50D5E71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191D32CC">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3.7</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55598A5E">
            <w:pPr>
              <w:numPr>
                <w:ilvl w:val="0"/>
                <w:numId w:val="0"/>
              </w:numPr>
              <w:spacing w:line="440" w:lineRule="exact"/>
              <w:ind w:firstLine="480" w:firstLineChars="200"/>
              <w:rPr>
                <w:rFonts w:hint="eastAsia" w:ascii="宋体" w:hAnsi="宋体" w:cs="宋体"/>
                <w:color w:val="auto"/>
                <w:kern w:val="2"/>
                <w:sz w:val="24"/>
                <w:szCs w:val="24"/>
                <w:highlight w:val="none"/>
              </w:rPr>
            </w:pPr>
            <w:r>
              <w:rPr>
                <w:rFonts w:hint="eastAsia" w:asciiTheme="minorEastAsia" w:hAnsiTheme="minorEastAsia" w:cstheme="minorEastAsia"/>
                <w:color w:val="auto"/>
                <w:sz w:val="24"/>
                <w:szCs w:val="24"/>
                <w:highlight w:val="none"/>
                <w:lang w:val="en-US" w:eastAsia="zh-CN"/>
              </w:rPr>
              <w:t>注：本次招标实行资格后审，资格评审以投标文件为准，其上传资料真实性由供应商自行承担，同时供应商要完善主体库；其中银行、保险、石油石化、电力、电信等有行业特殊情况的，允许分公司投标，但同一上级公司的两个分支机构不得同时参加投标，分支机构允许使用所属法人单位的相关资料进行投标。</w:t>
            </w:r>
          </w:p>
        </w:tc>
      </w:tr>
      <w:tr w14:paraId="16350CFF">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5BA71867">
            <w:pPr>
              <w:shd w:val="clear" w:color="auto" w:fill="FFFFFF"/>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16</w:t>
            </w:r>
          </w:p>
        </w:tc>
        <w:tc>
          <w:tcPr>
            <w:tcW w:w="2175" w:type="dxa"/>
            <w:tcBorders>
              <w:top w:val="single" w:color="auto" w:sz="6" w:space="0"/>
              <w:left w:val="single" w:color="auto" w:sz="6" w:space="0"/>
              <w:bottom w:val="single" w:color="auto" w:sz="6" w:space="0"/>
              <w:right w:val="single" w:color="auto" w:sz="6" w:space="0"/>
            </w:tcBorders>
            <w:vAlign w:val="center"/>
          </w:tcPr>
          <w:p w14:paraId="3460047B">
            <w:pPr>
              <w:shd w:val="clear" w:color="auto" w:fill="FFFFFF"/>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开标时间和地点</w:t>
            </w:r>
          </w:p>
        </w:tc>
        <w:tc>
          <w:tcPr>
            <w:tcW w:w="7079" w:type="dxa"/>
            <w:tcBorders>
              <w:top w:val="single" w:color="auto" w:sz="6" w:space="0"/>
              <w:left w:val="single" w:color="auto" w:sz="6" w:space="0"/>
              <w:bottom w:val="single" w:color="auto" w:sz="6" w:space="0"/>
              <w:right w:val="single" w:color="auto" w:sz="12" w:space="0"/>
            </w:tcBorders>
            <w:vAlign w:val="center"/>
          </w:tcPr>
          <w:p w14:paraId="5E97387E">
            <w:pPr>
              <w:spacing w:line="440" w:lineRule="exac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时间：202</w:t>
            </w:r>
            <w:r>
              <w:rPr>
                <w:rFonts w:hint="eastAsia" w:ascii="宋体" w:hAnsi="宋体" w:cs="宋体"/>
                <w:color w:val="auto"/>
                <w:sz w:val="24"/>
                <w:szCs w:val="24"/>
                <w:highlight w:val="none"/>
                <w:lang w:val="en-US" w:eastAsia="zh-CN" w:bidi="ar"/>
              </w:rPr>
              <w:t>6</w:t>
            </w:r>
            <w:r>
              <w:rPr>
                <w:rFonts w:hint="eastAsia" w:ascii="宋体" w:hAnsi="宋体" w:cs="宋体"/>
                <w:color w:val="auto"/>
                <w:sz w:val="24"/>
                <w:szCs w:val="24"/>
                <w:highlight w:val="none"/>
                <w:lang w:bidi="ar"/>
              </w:rPr>
              <w:t>年</w:t>
            </w:r>
            <w:r>
              <w:rPr>
                <w:rFonts w:hint="eastAsia" w:ascii="宋体" w:hAnsi="宋体" w:cs="宋体"/>
                <w:color w:val="auto"/>
                <w:sz w:val="24"/>
                <w:szCs w:val="24"/>
                <w:highlight w:val="none"/>
                <w:lang w:val="en-US" w:eastAsia="zh-CN" w:bidi="ar"/>
              </w:rPr>
              <w:t>6月3日8时20分</w:t>
            </w:r>
            <w:r>
              <w:rPr>
                <w:rFonts w:hint="eastAsia" w:ascii="宋体" w:hAnsi="宋体" w:cs="宋体"/>
                <w:color w:val="auto"/>
                <w:sz w:val="24"/>
                <w:szCs w:val="24"/>
                <w:highlight w:val="none"/>
                <w:lang w:bidi="ar"/>
              </w:rPr>
              <w:t>（北京时间）</w:t>
            </w:r>
          </w:p>
          <w:p w14:paraId="28A641C5">
            <w:pPr>
              <w:spacing w:line="440" w:lineRule="exact"/>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z w:val="24"/>
                <w:szCs w:val="24"/>
                <w:highlight w:val="none"/>
                <w:lang w:bidi="ar"/>
              </w:rPr>
              <w:t>地点：</w:t>
            </w:r>
            <w:r>
              <w:rPr>
                <w:rFonts w:hint="eastAsia" w:ascii="宋体" w:hAnsi="宋体" w:cs="宋体"/>
                <w:color w:val="auto"/>
                <w:sz w:val="24"/>
                <w:szCs w:val="24"/>
                <w:highlight w:val="none"/>
                <w:lang w:eastAsia="zh-CN"/>
              </w:rPr>
              <w:t>渑池县公共资源交易中心六楼开标</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室</w:t>
            </w:r>
          </w:p>
        </w:tc>
      </w:tr>
      <w:tr w14:paraId="35FF0E55">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0C404A9D">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17</w:t>
            </w:r>
          </w:p>
        </w:tc>
        <w:tc>
          <w:tcPr>
            <w:tcW w:w="2175" w:type="dxa"/>
            <w:tcBorders>
              <w:top w:val="single" w:color="auto" w:sz="6" w:space="0"/>
              <w:left w:val="single" w:color="auto" w:sz="6" w:space="0"/>
              <w:bottom w:val="single" w:color="auto" w:sz="6" w:space="0"/>
              <w:right w:val="single" w:color="auto" w:sz="6" w:space="0"/>
            </w:tcBorders>
            <w:vAlign w:val="center"/>
          </w:tcPr>
          <w:p w14:paraId="197B1073">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是否接受联合体投标</w:t>
            </w:r>
          </w:p>
        </w:tc>
        <w:tc>
          <w:tcPr>
            <w:tcW w:w="7079" w:type="dxa"/>
            <w:tcBorders>
              <w:top w:val="single" w:color="auto" w:sz="6" w:space="0"/>
              <w:left w:val="single" w:color="auto" w:sz="6" w:space="0"/>
              <w:bottom w:val="single" w:color="auto" w:sz="6" w:space="0"/>
              <w:right w:val="single" w:color="auto" w:sz="12" w:space="0"/>
            </w:tcBorders>
            <w:vAlign w:val="center"/>
          </w:tcPr>
          <w:p w14:paraId="2132D416">
            <w:pPr>
              <w:widowControl w:val="0"/>
              <w:adjustRightInd w:val="0"/>
              <w:spacing w:line="360" w:lineRule="auto"/>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否</w:t>
            </w:r>
          </w:p>
        </w:tc>
      </w:tr>
      <w:tr w14:paraId="7C05682B">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14D5B184">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18</w:t>
            </w:r>
          </w:p>
        </w:tc>
        <w:tc>
          <w:tcPr>
            <w:tcW w:w="2175" w:type="dxa"/>
            <w:tcBorders>
              <w:top w:val="single" w:color="auto" w:sz="6" w:space="0"/>
              <w:left w:val="single" w:color="auto" w:sz="6" w:space="0"/>
              <w:bottom w:val="single" w:color="auto" w:sz="6" w:space="0"/>
              <w:right w:val="single" w:color="auto" w:sz="6" w:space="0"/>
            </w:tcBorders>
            <w:vAlign w:val="center"/>
          </w:tcPr>
          <w:p w14:paraId="6507D83D">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踏勘现场</w:t>
            </w:r>
          </w:p>
        </w:tc>
        <w:tc>
          <w:tcPr>
            <w:tcW w:w="7079" w:type="dxa"/>
            <w:tcBorders>
              <w:top w:val="single" w:color="auto" w:sz="6" w:space="0"/>
              <w:left w:val="single" w:color="auto" w:sz="6" w:space="0"/>
              <w:bottom w:val="single" w:color="auto" w:sz="6" w:space="0"/>
              <w:right w:val="single" w:color="auto" w:sz="12" w:space="0"/>
            </w:tcBorders>
            <w:vAlign w:val="center"/>
          </w:tcPr>
          <w:p w14:paraId="78FF7A58">
            <w:pPr>
              <w:widowControl w:val="0"/>
              <w:adjustRightInd w:val="0"/>
              <w:spacing w:line="360" w:lineRule="auto"/>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不组织</w:t>
            </w:r>
          </w:p>
        </w:tc>
      </w:tr>
      <w:tr w14:paraId="05F8A558">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767A3088">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19</w:t>
            </w:r>
          </w:p>
        </w:tc>
        <w:tc>
          <w:tcPr>
            <w:tcW w:w="2175" w:type="dxa"/>
            <w:tcBorders>
              <w:top w:val="single" w:color="auto" w:sz="6" w:space="0"/>
              <w:left w:val="single" w:color="auto" w:sz="6" w:space="0"/>
              <w:bottom w:val="single" w:color="auto" w:sz="6" w:space="0"/>
              <w:right w:val="single" w:color="auto" w:sz="6" w:space="0"/>
            </w:tcBorders>
            <w:vAlign w:val="center"/>
          </w:tcPr>
          <w:p w14:paraId="48A4B56F">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投标预备会</w:t>
            </w:r>
          </w:p>
        </w:tc>
        <w:tc>
          <w:tcPr>
            <w:tcW w:w="7079" w:type="dxa"/>
            <w:tcBorders>
              <w:top w:val="single" w:color="auto" w:sz="6" w:space="0"/>
              <w:left w:val="single" w:color="auto" w:sz="6" w:space="0"/>
              <w:bottom w:val="single" w:color="auto" w:sz="6" w:space="0"/>
              <w:right w:val="single" w:color="auto" w:sz="12" w:space="0"/>
            </w:tcBorders>
            <w:vAlign w:val="center"/>
          </w:tcPr>
          <w:p w14:paraId="71D1500B">
            <w:pPr>
              <w:widowControl w:val="0"/>
              <w:adjustRightInd w:val="0"/>
              <w:spacing w:line="360" w:lineRule="auto"/>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不召开</w:t>
            </w:r>
          </w:p>
        </w:tc>
      </w:tr>
      <w:tr w14:paraId="6CCAE9B7">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2EEBD173">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20</w:t>
            </w:r>
          </w:p>
        </w:tc>
        <w:tc>
          <w:tcPr>
            <w:tcW w:w="2175" w:type="dxa"/>
            <w:tcBorders>
              <w:top w:val="single" w:color="auto" w:sz="6" w:space="0"/>
              <w:left w:val="single" w:color="auto" w:sz="6" w:space="0"/>
              <w:bottom w:val="single" w:color="auto" w:sz="6" w:space="0"/>
              <w:right w:val="single" w:color="auto" w:sz="6" w:space="0"/>
            </w:tcBorders>
            <w:vAlign w:val="center"/>
          </w:tcPr>
          <w:p w14:paraId="27CEF043">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分包</w:t>
            </w:r>
          </w:p>
        </w:tc>
        <w:tc>
          <w:tcPr>
            <w:tcW w:w="7079" w:type="dxa"/>
            <w:tcBorders>
              <w:top w:val="single" w:color="auto" w:sz="6" w:space="0"/>
              <w:left w:val="single" w:color="auto" w:sz="6" w:space="0"/>
              <w:bottom w:val="single" w:color="auto" w:sz="6" w:space="0"/>
              <w:right w:val="single" w:color="auto" w:sz="12" w:space="0"/>
            </w:tcBorders>
            <w:vAlign w:val="center"/>
          </w:tcPr>
          <w:p w14:paraId="48E3F8C1">
            <w:pPr>
              <w:widowControl w:val="0"/>
              <w:adjustRightInd w:val="0"/>
              <w:spacing w:line="360" w:lineRule="auto"/>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28AB2DBA">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3F74F702">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21</w:t>
            </w:r>
          </w:p>
        </w:tc>
        <w:tc>
          <w:tcPr>
            <w:tcW w:w="2175" w:type="dxa"/>
            <w:tcBorders>
              <w:top w:val="single" w:color="auto" w:sz="6" w:space="0"/>
              <w:left w:val="single" w:color="auto" w:sz="6" w:space="0"/>
              <w:bottom w:val="single" w:color="auto" w:sz="6" w:space="0"/>
              <w:right w:val="single" w:color="auto" w:sz="6" w:space="0"/>
            </w:tcBorders>
            <w:vAlign w:val="center"/>
          </w:tcPr>
          <w:p w14:paraId="0534E65D">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偏离</w:t>
            </w:r>
          </w:p>
        </w:tc>
        <w:tc>
          <w:tcPr>
            <w:tcW w:w="7079" w:type="dxa"/>
            <w:tcBorders>
              <w:top w:val="single" w:color="auto" w:sz="6" w:space="0"/>
              <w:left w:val="single" w:color="auto" w:sz="6" w:space="0"/>
              <w:bottom w:val="single" w:color="auto" w:sz="6" w:space="0"/>
              <w:right w:val="single" w:color="auto" w:sz="12" w:space="0"/>
            </w:tcBorders>
            <w:vAlign w:val="center"/>
          </w:tcPr>
          <w:p w14:paraId="59764112">
            <w:pPr>
              <w:widowControl w:val="0"/>
              <w:adjustRightInd w:val="0"/>
              <w:spacing w:line="360" w:lineRule="auto"/>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26C7E94B">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4A05F869">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22</w:t>
            </w:r>
          </w:p>
        </w:tc>
        <w:tc>
          <w:tcPr>
            <w:tcW w:w="2175" w:type="dxa"/>
            <w:tcBorders>
              <w:top w:val="single" w:color="auto" w:sz="6" w:space="0"/>
              <w:left w:val="single" w:color="auto" w:sz="6" w:space="0"/>
              <w:bottom w:val="single" w:color="auto" w:sz="6" w:space="0"/>
              <w:right w:val="single" w:color="auto" w:sz="6" w:space="0"/>
            </w:tcBorders>
            <w:vAlign w:val="center"/>
          </w:tcPr>
          <w:p w14:paraId="6217A4B1">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是否接受进口产品</w:t>
            </w:r>
          </w:p>
        </w:tc>
        <w:tc>
          <w:tcPr>
            <w:tcW w:w="7079" w:type="dxa"/>
            <w:tcBorders>
              <w:top w:val="single" w:color="auto" w:sz="6" w:space="0"/>
              <w:left w:val="single" w:color="auto" w:sz="6" w:space="0"/>
              <w:bottom w:val="single" w:color="auto" w:sz="6" w:space="0"/>
              <w:right w:val="single" w:color="auto" w:sz="12" w:space="0"/>
            </w:tcBorders>
            <w:vAlign w:val="center"/>
          </w:tcPr>
          <w:p w14:paraId="4015FE41">
            <w:pPr>
              <w:widowControl w:val="0"/>
              <w:adjustRightInd w:val="0"/>
              <w:spacing w:line="360" w:lineRule="auto"/>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否</w:t>
            </w:r>
          </w:p>
        </w:tc>
      </w:tr>
      <w:tr w14:paraId="0740BE70">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32FA749D">
            <w:pPr>
              <w:widowControl w:val="0"/>
              <w:adjustRightInd w:val="0"/>
              <w:spacing w:line="360" w:lineRule="auto"/>
              <w:jc w:val="center"/>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3</w:t>
            </w:r>
          </w:p>
        </w:tc>
        <w:tc>
          <w:tcPr>
            <w:tcW w:w="2175" w:type="dxa"/>
            <w:tcBorders>
              <w:top w:val="single" w:color="auto" w:sz="6" w:space="0"/>
              <w:left w:val="single" w:color="auto" w:sz="6" w:space="0"/>
              <w:bottom w:val="single" w:color="auto" w:sz="6" w:space="0"/>
              <w:right w:val="single" w:color="auto" w:sz="6" w:space="0"/>
            </w:tcBorders>
            <w:vAlign w:val="center"/>
          </w:tcPr>
          <w:p w14:paraId="4D5880FA">
            <w:pPr>
              <w:adjustRightInd w:val="0"/>
              <w:snapToGrid w:val="0"/>
              <w:spacing w:line="400" w:lineRule="exact"/>
              <w:jc w:val="center"/>
              <w:rPr>
                <w:rFonts w:hint="eastAsia" w:ascii="宋体" w:hAnsi="宋体" w:cs="宋体"/>
                <w:color w:val="auto"/>
                <w:spacing w:val="-10"/>
                <w:kern w:val="2"/>
                <w:sz w:val="24"/>
                <w:szCs w:val="24"/>
                <w:highlight w:val="none"/>
              </w:rPr>
            </w:pPr>
            <w:r>
              <w:rPr>
                <w:rFonts w:hint="eastAsia" w:ascii="宋体" w:hAnsi="宋体" w:cs="宋体"/>
                <w:color w:val="auto"/>
                <w:sz w:val="24"/>
                <w:highlight w:val="none"/>
              </w:rPr>
              <w:t>构成磋商文件的其他材料</w:t>
            </w:r>
          </w:p>
        </w:tc>
        <w:tc>
          <w:tcPr>
            <w:tcW w:w="7079" w:type="dxa"/>
            <w:tcBorders>
              <w:top w:val="single" w:color="auto" w:sz="6" w:space="0"/>
              <w:left w:val="single" w:color="auto" w:sz="6" w:space="0"/>
              <w:bottom w:val="single" w:color="auto" w:sz="6" w:space="0"/>
              <w:right w:val="single" w:color="auto" w:sz="12" w:space="0"/>
            </w:tcBorders>
            <w:vAlign w:val="center"/>
          </w:tcPr>
          <w:p w14:paraId="5758DDC5">
            <w:pPr>
              <w:adjustRightInd w:val="0"/>
              <w:snapToGrid w:val="0"/>
              <w:spacing w:line="400" w:lineRule="exact"/>
              <w:rPr>
                <w:rFonts w:hint="eastAsia" w:ascii="宋体" w:hAnsi="宋体" w:cs="宋体"/>
                <w:color w:val="auto"/>
                <w:spacing w:val="-10"/>
                <w:kern w:val="2"/>
                <w:sz w:val="24"/>
                <w:szCs w:val="24"/>
                <w:highlight w:val="none"/>
              </w:rPr>
            </w:pPr>
            <w:r>
              <w:rPr>
                <w:rFonts w:hint="eastAsia" w:ascii="宋体" w:hAnsi="宋体" w:cs="宋体"/>
                <w:color w:val="auto"/>
                <w:sz w:val="24"/>
                <w:highlight w:val="none"/>
              </w:rPr>
              <w:t>对磋商文件所作的澄清（含答疑）、修改，补充构成磋商文件的组成部分</w:t>
            </w:r>
          </w:p>
        </w:tc>
      </w:tr>
      <w:tr w14:paraId="2D96FA17">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59D6896E">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24</w:t>
            </w:r>
          </w:p>
        </w:tc>
        <w:tc>
          <w:tcPr>
            <w:tcW w:w="2175" w:type="dxa"/>
            <w:tcBorders>
              <w:top w:val="single" w:color="auto" w:sz="6" w:space="0"/>
              <w:left w:val="single" w:color="auto" w:sz="6" w:space="0"/>
              <w:bottom w:val="single" w:color="auto" w:sz="6" w:space="0"/>
              <w:right w:val="single" w:color="auto" w:sz="6" w:space="0"/>
            </w:tcBorders>
            <w:vAlign w:val="center"/>
          </w:tcPr>
          <w:p w14:paraId="16632A63">
            <w:pPr>
              <w:spacing w:line="400" w:lineRule="exact"/>
              <w:jc w:val="center"/>
              <w:rPr>
                <w:rFonts w:hint="eastAsia" w:ascii="宋体" w:hAnsi="宋体" w:cs="宋体"/>
                <w:color w:val="auto"/>
                <w:spacing w:val="-10"/>
                <w:kern w:val="2"/>
                <w:sz w:val="24"/>
                <w:szCs w:val="24"/>
                <w:highlight w:val="none"/>
              </w:rPr>
            </w:pPr>
            <w:r>
              <w:rPr>
                <w:rFonts w:hint="eastAsia" w:ascii="宋体" w:hAnsi="宋体" w:cs="宋体"/>
                <w:color w:val="auto"/>
                <w:sz w:val="24"/>
                <w:szCs w:val="24"/>
                <w:highlight w:val="none"/>
              </w:rPr>
              <w:t>响应人要求澄清竞争性磋商文件的截止时间</w:t>
            </w:r>
          </w:p>
        </w:tc>
        <w:tc>
          <w:tcPr>
            <w:tcW w:w="7079" w:type="dxa"/>
            <w:tcBorders>
              <w:top w:val="single" w:color="auto" w:sz="6" w:space="0"/>
              <w:left w:val="single" w:color="auto" w:sz="6" w:space="0"/>
              <w:bottom w:val="single" w:color="auto" w:sz="6" w:space="0"/>
              <w:right w:val="single" w:color="auto" w:sz="12" w:space="0"/>
            </w:tcBorders>
            <w:vAlign w:val="center"/>
          </w:tcPr>
          <w:p w14:paraId="755DE13E">
            <w:pPr>
              <w:spacing w:line="400" w:lineRule="exact"/>
              <w:rPr>
                <w:rFonts w:hint="eastAsia" w:ascii="宋体" w:hAnsi="宋体" w:cs="宋体"/>
                <w:color w:val="auto"/>
                <w:spacing w:val="-10"/>
                <w:kern w:val="2"/>
                <w:sz w:val="24"/>
                <w:szCs w:val="24"/>
                <w:highlight w:val="none"/>
              </w:rPr>
            </w:pPr>
            <w:r>
              <w:rPr>
                <w:rFonts w:hint="eastAsia" w:ascii="宋体" w:hAnsi="宋体" w:cs="宋体"/>
                <w:color w:val="auto"/>
                <w:sz w:val="24"/>
                <w:szCs w:val="24"/>
                <w:highlight w:val="none"/>
              </w:rPr>
              <w:t>响应文件递交截止时间5日前</w:t>
            </w:r>
          </w:p>
        </w:tc>
      </w:tr>
      <w:tr w14:paraId="0433FA9A">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140513DB">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25</w:t>
            </w:r>
          </w:p>
        </w:tc>
        <w:tc>
          <w:tcPr>
            <w:tcW w:w="2175" w:type="dxa"/>
            <w:tcBorders>
              <w:top w:val="single" w:color="auto" w:sz="6" w:space="0"/>
              <w:left w:val="single" w:color="auto" w:sz="6" w:space="0"/>
              <w:bottom w:val="single" w:color="auto" w:sz="6" w:space="0"/>
              <w:right w:val="single" w:color="auto" w:sz="6" w:space="0"/>
            </w:tcBorders>
            <w:vAlign w:val="center"/>
          </w:tcPr>
          <w:p w14:paraId="647D1738">
            <w:pPr>
              <w:spacing w:line="400" w:lineRule="exact"/>
              <w:ind w:left="240" w:hanging="240" w:hangingChars="100"/>
              <w:jc w:val="center"/>
              <w:rPr>
                <w:rFonts w:hint="eastAsia" w:ascii="宋体" w:hAnsi="宋体" w:cs="宋体"/>
                <w:color w:val="auto"/>
                <w:spacing w:val="-10"/>
                <w:kern w:val="2"/>
                <w:sz w:val="24"/>
                <w:szCs w:val="24"/>
                <w:highlight w:val="none"/>
              </w:rPr>
            </w:pPr>
            <w:r>
              <w:rPr>
                <w:rFonts w:hint="eastAsia" w:ascii="宋体" w:hAnsi="宋体" w:cs="宋体"/>
                <w:color w:val="auto"/>
                <w:sz w:val="24"/>
                <w:szCs w:val="24"/>
                <w:highlight w:val="none"/>
              </w:rPr>
              <w:t>响应文件</w:t>
            </w:r>
            <w:r>
              <w:rPr>
                <w:rFonts w:hint="eastAsia" w:ascii="宋体" w:hAnsi="宋体" w:cs="宋体"/>
                <w:color w:val="auto"/>
                <w:sz w:val="24"/>
                <w:szCs w:val="24"/>
                <w:highlight w:val="none"/>
                <w:lang w:val="en-US" w:eastAsia="zh-CN"/>
              </w:rPr>
              <w:t>提交</w:t>
            </w:r>
            <w:r>
              <w:rPr>
                <w:rFonts w:hint="eastAsia" w:ascii="宋体" w:hAnsi="宋体" w:cs="宋体"/>
                <w:color w:val="auto"/>
                <w:sz w:val="24"/>
                <w:szCs w:val="24"/>
                <w:highlight w:val="none"/>
              </w:rPr>
              <w:t>截止时间</w:t>
            </w:r>
          </w:p>
        </w:tc>
        <w:tc>
          <w:tcPr>
            <w:tcW w:w="7079" w:type="dxa"/>
            <w:tcBorders>
              <w:top w:val="single" w:color="auto" w:sz="6" w:space="0"/>
              <w:left w:val="single" w:color="auto" w:sz="6" w:space="0"/>
              <w:bottom w:val="single" w:color="auto" w:sz="6" w:space="0"/>
              <w:right w:val="single" w:color="auto" w:sz="12" w:space="0"/>
            </w:tcBorders>
            <w:vAlign w:val="center"/>
          </w:tcPr>
          <w:p w14:paraId="2DF0A699">
            <w:pPr>
              <w:spacing w:line="400" w:lineRule="exact"/>
              <w:rPr>
                <w:rFonts w:hint="eastAsia" w:ascii="宋体" w:hAnsi="宋体" w:cs="宋体"/>
                <w:color w:val="auto"/>
                <w:spacing w:val="-10"/>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420B11EB">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59219034">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26</w:t>
            </w:r>
          </w:p>
        </w:tc>
        <w:tc>
          <w:tcPr>
            <w:tcW w:w="2175" w:type="dxa"/>
            <w:tcBorders>
              <w:top w:val="single" w:color="auto" w:sz="6" w:space="0"/>
              <w:left w:val="single" w:color="auto" w:sz="6" w:space="0"/>
              <w:bottom w:val="single" w:color="auto" w:sz="6" w:space="0"/>
              <w:right w:val="single" w:color="auto" w:sz="6" w:space="0"/>
            </w:tcBorders>
            <w:vAlign w:val="center"/>
          </w:tcPr>
          <w:p w14:paraId="77A605CF">
            <w:pPr>
              <w:spacing w:line="400" w:lineRule="exact"/>
              <w:jc w:val="center"/>
              <w:rPr>
                <w:rFonts w:hint="eastAsia" w:ascii="宋体" w:hAnsi="宋体" w:cs="宋体"/>
                <w:color w:val="auto"/>
                <w:spacing w:val="-10"/>
                <w:kern w:val="2"/>
                <w:sz w:val="24"/>
                <w:szCs w:val="24"/>
                <w:highlight w:val="none"/>
              </w:rPr>
            </w:pPr>
            <w:r>
              <w:rPr>
                <w:rFonts w:hint="eastAsia" w:ascii="宋体" w:hAnsi="宋体" w:cs="宋体"/>
                <w:color w:val="auto"/>
                <w:sz w:val="24"/>
                <w:szCs w:val="24"/>
                <w:highlight w:val="none"/>
              </w:rPr>
              <w:t>响应人确认收到竞争性磋商文件澄清的时间</w:t>
            </w:r>
          </w:p>
        </w:tc>
        <w:tc>
          <w:tcPr>
            <w:tcW w:w="7079" w:type="dxa"/>
            <w:tcBorders>
              <w:top w:val="single" w:color="auto" w:sz="6" w:space="0"/>
              <w:left w:val="single" w:color="auto" w:sz="6" w:space="0"/>
              <w:bottom w:val="single" w:color="auto" w:sz="6" w:space="0"/>
              <w:right w:val="single" w:color="auto" w:sz="12" w:space="0"/>
            </w:tcBorders>
            <w:vAlign w:val="center"/>
          </w:tcPr>
          <w:p w14:paraId="3739DE1F">
            <w:pPr>
              <w:spacing w:line="400" w:lineRule="exact"/>
              <w:rPr>
                <w:rFonts w:hint="eastAsia" w:ascii="宋体" w:hAnsi="宋体" w:cs="宋体"/>
                <w:color w:val="auto"/>
                <w:spacing w:val="-10"/>
                <w:kern w:val="2"/>
                <w:sz w:val="24"/>
                <w:szCs w:val="24"/>
                <w:highlight w:val="none"/>
              </w:rPr>
            </w:pPr>
            <w:r>
              <w:rPr>
                <w:rFonts w:hint="eastAsia" w:ascii="宋体" w:hAnsi="宋体" w:cs="宋体"/>
                <w:color w:val="auto"/>
                <w:sz w:val="24"/>
                <w:szCs w:val="24"/>
                <w:highlight w:val="none"/>
              </w:rPr>
              <w:t>在收到相应澄清文件后</w:t>
            </w:r>
            <w:r>
              <w:rPr>
                <w:rFonts w:hint="eastAsia" w:ascii="宋体" w:hAnsi="宋体" w:cs="宋体"/>
                <w:color w:val="auto"/>
                <w:sz w:val="24"/>
                <w:szCs w:val="24"/>
                <w:highlight w:val="none"/>
                <w:u w:val="single"/>
              </w:rPr>
              <w:t xml:space="preserve"> 24 </w:t>
            </w:r>
            <w:r>
              <w:rPr>
                <w:rFonts w:hint="eastAsia" w:ascii="宋体" w:hAnsi="宋体" w:cs="宋体"/>
                <w:color w:val="auto"/>
                <w:sz w:val="24"/>
                <w:szCs w:val="24"/>
                <w:highlight w:val="none"/>
              </w:rPr>
              <w:t>小时内</w:t>
            </w:r>
          </w:p>
        </w:tc>
      </w:tr>
      <w:tr w14:paraId="06C3B077">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3DBB493A">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27</w:t>
            </w:r>
          </w:p>
        </w:tc>
        <w:tc>
          <w:tcPr>
            <w:tcW w:w="2175" w:type="dxa"/>
            <w:tcBorders>
              <w:top w:val="single" w:color="auto" w:sz="6" w:space="0"/>
              <w:left w:val="single" w:color="auto" w:sz="6" w:space="0"/>
              <w:bottom w:val="single" w:color="auto" w:sz="6" w:space="0"/>
              <w:right w:val="single" w:color="auto" w:sz="6" w:space="0"/>
            </w:tcBorders>
            <w:vAlign w:val="center"/>
          </w:tcPr>
          <w:p w14:paraId="54F4FC47">
            <w:pPr>
              <w:spacing w:line="400" w:lineRule="exact"/>
              <w:jc w:val="center"/>
              <w:rPr>
                <w:rFonts w:hint="eastAsia" w:ascii="宋体" w:hAnsi="宋体" w:cs="宋体"/>
                <w:color w:val="auto"/>
                <w:spacing w:val="-10"/>
                <w:kern w:val="2"/>
                <w:sz w:val="24"/>
                <w:szCs w:val="24"/>
                <w:highlight w:val="none"/>
              </w:rPr>
            </w:pPr>
            <w:r>
              <w:rPr>
                <w:rFonts w:hint="eastAsia" w:ascii="宋体" w:hAnsi="宋体" w:cs="宋体"/>
                <w:color w:val="auto"/>
                <w:sz w:val="24"/>
                <w:szCs w:val="24"/>
                <w:highlight w:val="none"/>
              </w:rPr>
              <w:t>响应人确认收到竞争性磋商文件修改的时间</w:t>
            </w:r>
          </w:p>
        </w:tc>
        <w:tc>
          <w:tcPr>
            <w:tcW w:w="7079" w:type="dxa"/>
            <w:tcBorders>
              <w:top w:val="single" w:color="auto" w:sz="6" w:space="0"/>
              <w:left w:val="single" w:color="auto" w:sz="6" w:space="0"/>
              <w:bottom w:val="single" w:color="auto" w:sz="6" w:space="0"/>
              <w:right w:val="single" w:color="auto" w:sz="12" w:space="0"/>
            </w:tcBorders>
            <w:vAlign w:val="center"/>
          </w:tcPr>
          <w:p w14:paraId="557F1133">
            <w:pPr>
              <w:spacing w:line="400" w:lineRule="exact"/>
              <w:rPr>
                <w:rFonts w:hint="eastAsia" w:ascii="宋体" w:hAnsi="宋体" w:cs="宋体"/>
                <w:color w:val="auto"/>
                <w:spacing w:val="-10"/>
                <w:kern w:val="2"/>
                <w:sz w:val="24"/>
                <w:szCs w:val="24"/>
                <w:highlight w:val="none"/>
              </w:rPr>
            </w:pPr>
            <w:r>
              <w:rPr>
                <w:rFonts w:hint="eastAsia" w:ascii="宋体" w:hAnsi="宋体" w:cs="宋体"/>
                <w:color w:val="auto"/>
                <w:sz w:val="24"/>
                <w:szCs w:val="24"/>
                <w:highlight w:val="none"/>
              </w:rPr>
              <w:t>在收到相应修改文件后</w:t>
            </w:r>
            <w:r>
              <w:rPr>
                <w:rFonts w:hint="eastAsia" w:ascii="宋体" w:hAnsi="宋体" w:cs="宋体"/>
                <w:color w:val="auto"/>
                <w:sz w:val="24"/>
                <w:szCs w:val="24"/>
                <w:highlight w:val="none"/>
                <w:u w:val="single"/>
              </w:rPr>
              <w:t xml:space="preserve"> 24</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小时内</w:t>
            </w:r>
          </w:p>
        </w:tc>
      </w:tr>
      <w:tr w14:paraId="77092CE2">
        <w:tblPrEx>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1C557E07">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28</w:t>
            </w:r>
          </w:p>
        </w:tc>
        <w:tc>
          <w:tcPr>
            <w:tcW w:w="2175" w:type="dxa"/>
            <w:tcBorders>
              <w:top w:val="single" w:color="auto" w:sz="6" w:space="0"/>
              <w:left w:val="single" w:color="auto" w:sz="6" w:space="0"/>
              <w:bottom w:val="single" w:color="auto" w:sz="6" w:space="0"/>
              <w:right w:val="single" w:color="auto" w:sz="6" w:space="0"/>
            </w:tcBorders>
            <w:vAlign w:val="center"/>
          </w:tcPr>
          <w:p w14:paraId="16D0A03F">
            <w:pPr>
              <w:widowControl w:val="0"/>
              <w:adjustRightInd w:val="0"/>
              <w:spacing w:line="360" w:lineRule="auto"/>
              <w:jc w:val="center"/>
              <w:rPr>
                <w:rFonts w:hint="eastAsia"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响应文件是否退还</w:t>
            </w:r>
          </w:p>
        </w:tc>
        <w:tc>
          <w:tcPr>
            <w:tcW w:w="7079" w:type="dxa"/>
            <w:tcBorders>
              <w:top w:val="single" w:color="auto" w:sz="6" w:space="0"/>
              <w:left w:val="single" w:color="auto" w:sz="6" w:space="0"/>
              <w:bottom w:val="single" w:color="auto" w:sz="6" w:space="0"/>
              <w:right w:val="single" w:color="auto" w:sz="12" w:space="0"/>
            </w:tcBorders>
            <w:vAlign w:val="center"/>
          </w:tcPr>
          <w:p w14:paraId="5CA05239">
            <w:pPr>
              <w:widowControl w:val="0"/>
              <w:adjustRightInd w:val="0"/>
              <w:spacing w:line="360" w:lineRule="auto"/>
              <w:jc w:val="both"/>
              <w:rPr>
                <w:rFonts w:hint="eastAsia"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否</w:t>
            </w:r>
          </w:p>
        </w:tc>
        <w:tc>
          <w:tcPr>
            <w:tcW w:w="4487" w:type="dxa"/>
            <w:vAlign w:val="center"/>
          </w:tcPr>
          <w:p w14:paraId="0D7F3D89">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20</w:t>
            </w:r>
          </w:p>
        </w:tc>
        <w:tc>
          <w:tcPr>
            <w:tcW w:w="5814" w:type="dxa"/>
            <w:vAlign w:val="center"/>
          </w:tcPr>
          <w:p w14:paraId="656868AA">
            <w:pPr>
              <w:widowControl w:val="0"/>
              <w:adjustRightInd w:val="0"/>
              <w:spacing w:line="360" w:lineRule="auto"/>
              <w:jc w:val="center"/>
              <w:rPr>
                <w:rFonts w:hint="eastAsia" w:ascii="宋体" w:hAnsi="宋体" w:cs="宋体"/>
                <w:color w:val="auto"/>
                <w:spacing w:val="-10"/>
                <w:kern w:val="2"/>
                <w:sz w:val="24"/>
                <w:szCs w:val="24"/>
                <w:highlight w:val="none"/>
              </w:rPr>
            </w:pPr>
            <w:r>
              <w:rPr>
                <w:rFonts w:ascii="宋体" w:hAnsi="宋体" w:cs="宋体"/>
                <w:color w:val="auto"/>
                <w:spacing w:val="-10"/>
                <w:kern w:val="2"/>
                <w:sz w:val="24"/>
                <w:szCs w:val="24"/>
                <w:highlight w:val="none"/>
              </w:rPr>
              <w:t>磋商</w:t>
            </w:r>
            <w:r>
              <w:rPr>
                <w:rFonts w:hint="eastAsia" w:ascii="宋体" w:hAnsi="宋体" w:cs="宋体"/>
                <w:color w:val="auto"/>
                <w:spacing w:val="-10"/>
                <w:kern w:val="2"/>
                <w:sz w:val="24"/>
                <w:szCs w:val="24"/>
                <w:highlight w:val="none"/>
              </w:rPr>
              <w:t>文件递交截止时间</w:t>
            </w:r>
          </w:p>
        </w:tc>
        <w:tc>
          <w:tcPr>
            <w:tcW w:w="5814" w:type="dxa"/>
            <w:vAlign w:val="center"/>
          </w:tcPr>
          <w:p w14:paraId="71842EED">
            <w:pPr>
              <w:widowControl w:val="0"/>
              <w:spacing w:line="360" w:lineRule="auto"/>
              <w:jc w:val="both"/>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7941B566">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360BE4CB">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29</w:t>
            </w:r>
          </w:p>
        </w:tc>
        <w:tc>
          <w:tcPr>
            <w:tcW w:w="2175" w:type="dxa"/>
            <w:tcBorders>
              <w:top w:val="single" w:color="auto" w:sz="6" w:space="0"/>
              <w:left w:val="single" w:color="auto" w:sz="6" w:space="0"/>
              <w:bottom w:val="single" w:color="auto" w:sz="6" w:space="0"/>
              <w:right w:val="single" w:color="auto" w:sz="6" w:space="0"/>
            </w:tcBorders>
            <w:vAlign w:val="center"/>
          </w:tcPr>
          <w:p w14:paraId="015521FB">
            <w:pPr>
              <w:widowControl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是否允许递交备选磋商方案</w:t>
            </w:r>
          </w:p>
        </w:tc>
        <w:tc>
          <w:tcPr>
            <w:tcW w:w="7079" w:type="dxa"/>
            <w:tcBorders>
              <w:top w:val="single" w:color="auto" w:sz="6" w:space="0"/>
              <w:left w:val="single" w:color="auto" w:sz="6" w:space="0"/>
              <w:bottom w:val="single" w:color="auto" w:sz="6" w:space="0"/>
              <w:right w:val="single" w:color="auto" w:sz="12" w:space="0"/>
            </w:tcBorders>
            <w:vAlign w:val="center"/>
          </w:tcPr>
          <w:p w14:paraId="3A0552AE">
            <w:pPr>
              <w:spacing w:line="360" w:lineRule="auto"/>
              <w:jc w:val="both"/>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04D0D21C">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68D90DB4">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30</w:t>
            </w:r>
          </w:p>
        </w:tc>
        <w:tc>
          <w:tcPr>
            <w:tcW w:w="2175" w:type="dxa"/>
            <w:tcBorders>
              <w:top w:val="single" w:color="auto" w:sz="6" w:space="0"/>
              <w:left w:val="single" w:color="auto" w:sz="6" w:space="0"/>
              <w:bottom w:val="single" w:color="auto" w:sz="6" w:space="0"/>
              <w:right w:val="single" w:color="auto" w:sz="6" w:space="0"/>
            </w:tcBorders>
            <w:vAlign w:val="center"/>
          </w:tcPr>
          <w:p w14:paraId="69EF91C6">
            <w:pPr>
              <w:widowControl w:val="0"/>
              <w:adjustRightInd w:val="0"/>
              <w:spacing w:line="360" w:lineRule="auto"/>
              <w:jc w:val="center"/>
              <w:rPr>
                <w:rFonts w:hint="eastAsia" w:ascii="宋体" w:hAnsi="宋体" w:cs="宋体"/>
                <w:color w:val="auto"/>
                <w:kern w:val="2"/>
                <w:sz w:val="24"/>
                <w:szCs w:val="24"/>
                <w:highlight w:val="none"/>
              </w:rPr>
            </w:pPr>
            <w:r>
              <w:rPr>
                <w:rFonts w:ascii="宋体" w:hAnsi="宋体" w:cs="宋体"/>
                <w:color w:val="auto"/>
                <w:spacing w:val="6"/>
                <w:kern w:val="2"/>
                <w:sz w:val="24"/>
                <w:szCs w:val="24"/>
                <w:highlight w:val="none"/>
              </w:rPr>
              <w:t>磋商有效</w:t>
            </w:r>
            <w:r>
              <w:rPr>
                <w:rFonts w:ascii="宋体" w:hAnsi="宋体" w:cs="宋体"/>
                <w:color w:val="auto"/>
                <w:kern w:val="2"/>
                <w:sz w:val="24"/>
                <w:szCs w:val="24"/>
                <w:highlight w:val="none"/>
              </w:rPr>
              <w:t>期</w:t>
            </w:r>
          </w:p>
        </w:tc>
        <w:tc>
          <w:tcPr>
            <w:tcW w:w="7079" w:type="dxa"/>
            <w:tcBorders>
              <w:top w:val="single" w:color="auto" w:sz="6" w:space="0"/>
              <w:left w:val="single" w:color="auto" w:sz="6" w:space="0"/>
              <w:bottom w:val="single" w:color="auto" w:sz="6" w:space="0"/>
              <w:right w:val="single" w:color="auto" w:sz="12" w:space="0"/>
            </w:tcBorders>
            <w:vAlign w:val="center"/>
          </w:tcPr>
          <w:p w14:paraId="26B83B8A">
            <w:pPr>
              <w:widowControl w:val="0"/>
              <w:adjustRightInd w:val="0"/>
              <w:spacing w:line="360" w:lineRule="auto"/>
              <w:jc w:val="both"/>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磋商截止之日起60日历天</w:t>
            </w:r>
          </w:p>
        </w:tc>
      </w:tr>
      <w:tr w14:paraId="56AAF0AA">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5A193FC2">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31</w:t>
            </w:r>
          </w:p>
        </w:tc>
        <w:tc>
          <w:tcPr>
            <w:tcW w:w="2175" w:type="dxa"/>
            <w:tcBorders>
              <w:top w:val="single" w:color="auto" w:sz="6" w:space="0"/>
              <w:left w:val="single" w:color="auto" w:sz="6" w:space="0"/>
              <w:bottom w:val="single" w:color="auto" w:sz="6" w:space="0"/>
              <w:right w:val="single" w:color="auto" w:sz="6" w:space="0"/>
            </w:tcBorders>
            <w:vAlign w:val="center"/>
          </w:tcPr>
          <w:p w14:paraId="15AFC92D">
            <w:pPr>
              <w:spacing w:line="400" w:lineRule="exact"/>
              <w:jc w:val="center"/>
              <w:rPr>
                <w:rFonts w:hint="eastAsia" w:ascii="宋体" w:hAnsi="宋体" w:cs="宋体"/>
                <w:color w:val="auto"/>
                <w:kern w:val="2"/>
                <w:sz w:val="24"/>
                <w:szCs w:val="24"/>
                <w:highlight w:val="none"/>
              </w:rPr>
            </w:pPr>
            <w:r>
              <w:rPr>
                <w:rFonts w:hint="eastAsia" w:ascii="宋体" w:hAnsi="宋体" w:cs="宋体"/>
                <w:color w:val="auto"/>
                <w:sz w:val="24"/>
                <w:szCs w:val="24"/>
                <w:highlight w:val="none"/>
              </w:rPr>
              <w:t>签字和（或）盖章要求</w:t>
            </w:r>
          </w:p>
        </w:tc>
        <w:tc>
          <w:tcPr>
            <w:tcW w:w="7079" w:type="dxa"/>
            <w:tcBorders>
              <w:top w:val="single" w:color="auto" w:sz="6" w:space="0"/>
              <w:left w:val="single" w:color="auto" w:sz="6" w:space="0"/>
              <w:bottom w:val="single" w:color="auto" w:sz="6" w:space="0"/>
              <w:right w:val="single" w:color="auto" w:sz="12" w:space="0"/>
            </w:tcBorders>
            <w:vAlign w:val="center"/>
          </w:tcPr>
          <w:p w14:paraId="13C572B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电子化响应文件的签章：</w:t>
            </w:r>
          </w:p>
          <w:p w14:paraId="18CE357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1、响应人在生成电子化响应文件后，应对电子化响应文件进行签章，未对电子化响应文件进行签章的视为无效文件。</w:t>
            </w:r>
          </w:p>
          <w:p w14:paraId="39E4DF8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2、竞争性磋商文件中要求法定代表人或授权委托人盖章的，响应人在进行电子化响应文件签章时，以签盖法定代表人签章为准。</w:t>
            </w:r>
          </w:p>
          <w:p w14:paraId="1C612A92">
            <w:pPr>
              <w:wordWrap w:val="0"/>
              <w:spacing w:line="360" w:lineRule="auto"/>
              <w:rPr>
                <w:rFonts w:hint="eastAsia" w:ascii="宋体" w:hAnsi="宋体" w:cs="宋体"/>
                <w:color w:val="auto"/>
                <w:sz w:val="24"/>
                <w:highlight w:val="none"/>
              </w:rPr>
            </w:pPr>
            <w:r>
              <w:rPr>
                <w:rFonts w:hint="eastAsia" w:ascii="宋体" w:hAnsi="宋体" w:cs="宋体"/>
                <w:color w:val="auto"/>
                <w:sz w:val="24"/>
                <w:szCs w:val="24"/>
                <w:highlight w:val="none"/>
              </w:rPr>
              <w:t>3、电子化响应文件工具请点击</w:t>
            </w:r>
            <w:r>
              <w:rPr>
                <w:rFonts w:ascii="宋体" w:hAnsi="宋体" w:cs="宋体"/>
                <w:color w:val="auto"/>
                <w:sz w:val="24"/>
                <w:szCs w:val="24"/>
                <w:highlight w:val="none"/>
              </w:rPr>
              <w:t>https://download.bqpoint.com/download/downloadlist.html?SoftTypeCode=06</w:t>
            </w:r>
            <w:r>
              <w:rPr>
                <w:rFonts w:hint="eastAsia" w:ascii="宋体" w:hAnsi="宋体" w:cs="宋体"/>
                <w:color w:val="auto"/>
                <w:sz w:val="24"/>
                <w:szCs w:val="24"/>
                <w:highlight w:val="none"/>
              </w:rPr>
              <w:t>进行下载。</w:t>
            </w:r>
          </w:p>
        </w:tc>
      </w:tr>
      <w:tr w14:paraId="19E7E810">
        <w:tblPrEx>
          <w:tblCellMar>
            <w:top w:w="0" w:type="dxa"/>
            <w:left w:w="108" w:type="dxa"/>
            <w:bottom w:w="0" w:type="dxa"/>
            <w:right w:w="108" w:type="dxa"/>
          </w:tblCellMar>
        </w:tblPrEx>
        <w:trPr>
          <w:gridAfter w:val="3"/>
          <w:wAfter w:w="16115" w:type="dxa"/>
          <w:trHeight w:val="406" w:hRule="atLeast"/>
        </w:trPr>
        <w:tc>
          <w:tcPr>
            <w:tcW w:w="862" w:type="dxa"/>
            <w:tcBorders>
              <w:top w:val="single" w:color="auto" w:sz="6" w:space="0"/>
              <w:left w:val="single" w:color="auto" w:sz="12" w:space="0"/>
              <w:bottom w:val="single" w:color="auto" w:sz="6" w:space="0"/>
              <w:right w:val="single" w:color="auto" w:sz="6" w:space="0"/>
            </w:tcBorders>
            <w:vAlign w:val="center"/>
          </w:tcPr>
          <w:p w14:paraId="76DF8A7D">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32</w:t>
            </w:r>
          </w:p>
        </w:tc>
        <w:tc>
          <w:tcPr>
            <w:tcW w:w="2175" w:type="dxa"/>
            <w:tcBorders>
              <w:top w:val="single" w:color="auto" w:sz="6" w:space="0"/>
              <w:left w:val="single" w:color="auto" w:sz="6" w:space="0"/>
              <w:bottom w:val="single" w:color="auto" w:sz="6" w:space="0"/>
              <w:right w:val="single" w:color="auto" w:sz="6" w:space="0"/>
            </w:tcBorders>
            <w:vAlign w:val="center"/>
          </w:tcPr>
          <w:p w14:paraId="78D0CA5A">
            <w:pPr>
              <w:widowControl w:val="0"/>
              <w:adjustRightInd w:val="0"/>
              <w:spacing w:line="360" w:lineRule="auto"/>
              <w:jc w:val="center"/>
              <w:rPr>
                <w:rFonts w:hint="eastAsia" w:ascii="宋体" w:hAnsi="宋体" w:cs="宋体"/>
                <w:color w:val="auto"/>
                <w:kern w:val="2"/>
                <w:sz w:val="24"/>
                <w:szCs w:val="24"/>
                <w:highlight w:val="none"/>
              </w:rPr>
            </w:pPr>
            <w:r>
              <w:rPr>
                <w:rFonts w:ascii="宋体" w:hAnsi="宋体" w:cs="宋体"/>
                <w:color w:val="auto"/>
                <w:kern w:val="2"/>
                <w:sz w:val="24"/>
                <w:szCs w:val="24"/>
                <w:highlight w:val="none"/>
              </w:rPr>
              <w:t>竞争性磋商保证金</w:t>
            </w:r>
          </w:p>
        </w:tc>
        <w:tc>
          <w:tcPr>
            <w:tcW w:w="7079" w:type="dxa"/>
            <w:tcBorders>
              <w:top w:val="single" w:color="auto" w:sz="6" w:space="0"/>
              <w:left w:val="single" w:color="auto" w:sz="6" w:space="0"/>
              <w:bottom w:val="single" w:color="auto" w:sz="6" w:space="0"/>
              <w:right w:val="single" w:color="auto" w:sz="12" w:space="0"/>
            </w:tcBorders>
            <w:vAlign w:val="center"/>
          </w:tcPr>
          <w:p w14:paraId="7CEFE317">
            <w:pPr>
              <w:spacing w:line="360" w:lineRule="auto"/>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按照《河南省财政厅关于优化政府采购营商环境有关问题的通知》（豫财购[2019]4号文）的要求本项目不再收取磋商保证金</w:t>
            </w:r>
          </w:p>
        </w:tc>
      </w:tr>
      <w:tr w14:paraId="75C3C201">
        <w:tblPrEx>
          <w:tblCellMar>
            <w:top w:w="0" w:type="dxa"/>
            <w:left w:w="108" w:type="dxa"/>
            <w:bottom w:w="0" w:type="dxa"/>
            <w:right w:w="108" w:type="dxa"/>
          </w:tblCellMar>
        </w:tblPrEx>
        <w:trPr>
          <w:gridAfter w:val="3"/>
          <w:wAfter w:w="16115" w:type="dxa"/>
          <w:trHeight w:val="510" w:hRule="atLeast"/>
        </w:trPr>
        <w:tc>
          <w:tcPr>
            <w:tcW w:w="862" w:type="dxa"/>
            <w:tcBorders>
              <w:top w:val="single" w:color="auto" w:sz="6" w:space="0"/>
              <w:left w:val="single" w:color="auto" w:sz="12" w:space="0"/>
              <w:bottom w:val="single" w:color="auto" w:sz="6" w:space="0"/>
              <w:right w:val="single" w:color="auto" w:sz="6" w:space="0"/>
            </w:tcBorders>
            <w:vAlign w:val="center"/>
          </w:tcPr>
          <w:p w14:paraId="70BE6748">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33</w:t>
            </w:r>
          </w:p>
        </w:tc>
        <w:tc>
          <w:tcPr>
            <w:tcW w:w="2175" w:type="dxa"/>
            <w:tcBorders>
              <w:top w:val="single" w:color="auto" w:sz="6" w:space="0"/>
              <w:left w:val="single" w:color="auto" w:sz="6" w:space="0"/>
              <w:bottom w:val="single" w:color="auto" w:sz="6" w:space="0"/>
              <w:right w:val="single" w:color="auto" w:sz="6" w:space="0"/>
            </w:tcBorders>
            <w:vAlign w:val="center"/>
          </w:tcPr>
          <w:p w14:paraId="538D1B35">
            <w:pPr>
              <w:widowControl w:val="0"/>
              <w:adjustRightInd w:val="0"/>
              <w:spacing w:line="360" w:lineRule="auto"/>
              <w:jc w:val="center"/>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rPr>
              <w:t>履约保证金</w:t>
            </w:r>
          </w:p>
        </w:tc>
        <w:tc>
          <w:tcPr>
            <w:tcW w:w="7079" w:type="dxa"/>
            <w:tcBorders>
              <w:top w:val="single" w:color="auto" w:sz="6" w:space="0"/>
              <w:left w:val="single" w:color="auto" w:sz="6" w:space="0"/>
              <w:bottom w:val="single" w:color="auto" w:sz="6" w:space="0"/>
              <w:right w:val="single" w:color="auto" w:sz="12" w:space="0"/>
            </w:tcBorders>
            <w:vAlign w:val="center"/>
          </w:tcPr>
          <w:p w14:paraId="6759A960">
            <w:pPr>
              <w:widowControl w:val="0"/>
              <w:adjustRightInd w:val="0"/>
              <w:spacing w:line="360" w:lineRule="auto"/>
              <w:jc w:val="left"/>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rPr>
              <w:t>不收取</w:t>
            </w:r>
          </w:p>
        </w:tc>
      </w:tr>
      <w:tr w14:paraId="4C8FD7E6">
        <w:tblPrEx>
          <w:tblCellMar>
            <w:top w:w="0" w:type="dxa"/>
            <w:left w:w="108" w:type="dxa"/>
            <w:bottom w:w="0" w:type="dxa"/>
            <w:right w:w="108" w:type="dxa"/>
          </w:tblCellMar>
        </w:tblPrEx>
        <w:trPr>
          <w:gridAfter w:val="3"/>
          <w:wAfter w:w="16115" w:type="dxa"/>
          <w:trHeight w:val="615" w:hRule="atLeast"/>
        </w:trPr>
        <w:tc>
          <w:tcPr>
            <w:tcW w:w="862" w:type="dxa"/>
            <w:tcBorders>
              <w:top w:val="single" w:color="auto" w:sz="6" w:space="0"/>
              <w:left w:val="single" w:color="auto" w:sz="12" w:space="0"/>
              <w:bottom w:val="single" w:color="auto" w:sz="6" w:space="0"/>
              <w:right w:val="single" w:color="auto" w:sz="6" w:space="0"/>
            </w:tcBorders>
            <w:vAlign w:val="center"/>
          </w:tcPr>
          <w:p w14:paraId="71F6A369">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34</w:t>
            </w:r>
          </w:p>
        </w:tc>
        <w:tc>
          <w:tcPr>
            <w:tcW w:w="2175" w:type="dxa"/>
            <w:tcBorders>
              <w:top w:val="single" w:color="auto" w:sz="6" w:space="0"/>
              <w:left w:val="single" w:color="auto" w:sz="6" w:space="0"/>
              <w:bottom w:val="single" w:color="auto" w:sz="6" w:space="0"/>
              <w:right w:val="single" w:color="auto" w:sz="6" w:space="0"/>
            </w:tcBorders>
            <w:vAlign w:val="center"/>
          </w:tcPr>
          <w:p w14:paraId="1DE7E783">
            <w:pPr>
              <w:widowControl w:val="0"/>
              <w:adjustRightInd w:val="0"/>
              <w:spacing w:line="360" w:lineRule="auto"/>
              <w:jc w:val="center"/>
              <w:rPr>
                <w:rFonts w:hint="eastAsia"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竞争性磋商响应文件上传</w:t>
            </w:r>
          </w:p>
        </w:tc>
        <w:tc>
          <w:tcPr>
            <w:tcW w:w="7079" w:type="dxa"/>
            <w:tcBorders>
              <w:top w:val="single" w:color="auto" w:sz="6" w:space="0"/>
              <w:left w:val="single" w:color="auto" w:sz="6" w:space="0"/>
              <w:bottom w:val="single" w:color="auto" w:sz="6" w:space="0"/>
              <w:right w:val="single" w:color="auto" w:sz="12" w:space="0"/>
            </w:tcBorders>
            <w:vAlign w:val="center"/>
          </w:tcPr>
          <w:p w14:paraId="64A94383">
            <w:pPr>
              <w:widowControl w:val="0"/>
              <w:spacing w:line="360" w:lineRule="auto"/>
              <w:jc w:val="both"/>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用CA在电子平台上传电子响应文件</w:t>
            </w:r>
          </w:p>
        </w:tc>
      </w:tr>
      <w:tr w14:paraId="5ACC3296">
        <w:tblPrEx>
          <w:tblCellMar>
            <w:top w:w="0" w:type="dxa"/>
            <w:left w:w="108" w:type="dxa"/>
            <w:bottom w:w="0" w:type="dxa"/>
            <w:right w:w="108" w:type="dxa"/>
          </w:tblCellMar>
        </w:tblPrEx>
        <w:trPr>
          <w:gridAfter w:val="3"/>
          <w:wAfter w:w="16115" w:type="dxa"/>
          <w:trHeight w:val="90" w:hRule="atLeast"/>
        </w:trPr>
        <w:tc>
          <w:tcPr>
            <w:tcW w:w="862" w:type="dxa"/>
            <w:tcBorders>
              <w:top w:val="single" w:color="auto" w:sz="6" w:space="0"/>
              <w:left w:val="single" w:color="auto" w:sz="12" w:space="0"/>
              <w:bottom w:val="single" w:color="auto" w:sz="6" w:space="0"/>
              <w:right w:val="single" w:color="auto" w:sz="6" w:space="0"/>
            </w:tcBorders>
            <w:vAlign w:val="center"/>
          </w:tcPr>
          <w:p w14:paraId="76F7A102">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35</w:t>
            </w:r>
          </w:p>
        </w:tc>
        <w:tc>
          <w:tcPr>
            <w:tcW w:w="2175" w:type="dxa"/>
            <w:tcBorders>
              <w:top w:val="single" w:color="auto" w:sz="6" w:space="0"/>
              <w:left w:val="single" w:color="auto" w:sz="6" w:space="0"/>
              <w:bottom w:val="single" w:color="auto" w:sz="6" w:space="0"/>
              <w:right w:val="single" w:color="auto" w:sz="6" w:space="0"/>
            </w:tcBorders>
            <w:vAlign w:val="center"/>
          </w:tcPr>
          <w:p w14:paraId="14E8C044">
            <w:pPr>
              <w:widowControl w:val="0"/>
              <w:spacing w:line="360" w:lineRule="auto"/>
              <w:jc w:val="center"/>
              <w:rPr>
                <w:rFonts w:hint="eastAsia"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磋商小组的组建</w:t>
            </w:r>
          </w:p>
        </w:tc>
        <w:tc>
          <w:tcPr>
            <w:tcW w:w="7079" w:type="dxa"/>
            <w:tcBorders>
              <w:top w:val="single" w:color="auto" w:sz="6" w:space="0"/>
              <w:left w:val="single" w:color="auto" w:sz="6" w:space="0"/>
              <w:bottom w:val="single" w:color="auto" w:sz="6" w:space="0"/>
              <w:right w:val="single" w:color="auto" w:sz="12" w:space="0"/>
            </w:tcBorders>
            <w:vAlign w:val="center"/>
          </w:tcPr>
          <w:p w14:paraId="4810A9F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70FAAE28">
            <w:pPr>
              <w:spacing w:line="360" w:lineRule="auto"/>
              <w:jc w:val="both"/>
              <w:rPr>
                <w:rFonts w:hint="eastAsia" w:ascii="宋体" w:hAnsi="宋体" w:eastAsia="宋体" w:cs="宋体"/>
                <w:color w:val="auto"/>
                <w:spacing w:val="6"/>
                <w:kern w:val="2"/>
                <w:sz w:val="24"/>
                <w:szCs w:val="24"/>
                <w:highlight w:val="none"/>
                <w:lang w:eastAsia="zh-CN"/>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769DD25F">
        <w:tblPrEx>
          <w:tblCellMar>
            <w:top w:w="0" w:type="dxa"/>
            <w:left w:w="108" w:type="dxa"/>
            <w:bottom w:w="0" w:type="dxa"/>
            <w:right w:w="108" w:type="dxa"/>
          </w:tblCellMar>
        </w:tblPrEx>
        <w:trPr>
          <w:gridAfter w:val="3"/>
          <w:wAfter w:w="16115" w:type="dxa"/>
          <w:trHeight w:val="615" w:hRule="atLeast"/>
        </w:trPr>
        <w:tc>
          <w:tcPr>
            <w:tcW w:w="862" w:type="dxa"/>
            <w:tcBorders>
              <w:top w:val="single" w:color="auto" w:sz="6" w:space="0"/>
              <w:left w:val="single" w:color="auto" w:sz="12" w:space="0"/>
              <w:bottom w:val="single" w:color="auto" w:sz="6" w:space="0"/>
              <w:right w:val="single" w:color="auto" w:sz="6" w:space="0"/>
            </w:tcBorders>
            <w:vAlign w:val="center"/>
          </w:tcPr>
          <w:p w14:paraId="66BD86DF">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36</w:t>
            </w:r>
          </w:p>
        </w:tc>
        <w:tc>
          <w:tcPr>
            <w:tcW w:w="2175" w:type="dxa"/>
            <w:tcBorders>
              <w:top w:val="single" w:color="auto" w:sz="6" w:space="0"/>
              <w:left w:val="single" w:color="auto" w:sz="6" w:space="0"/>
              <w:bottom w:val="single" w:color="auto" w:sz="6" w:space="0"/>
              <w:right w:val="single" w:color="auto" w:sz="6" w:space="0"/>
            </w:tcBorders>
            <w:vAlign w:val="center"/>
          </w:tcPr>
          <w:p w14:paraId="0FEC05D0">
            <w:pPr>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是否授权磋商小组确定</w:t>
            </w:r>
            <w:r>
              <w:rPr>
                <w:rFonts w:hint="eastAsia" w:ascii="宋体" w:hAnsi="宋体" w:cs="宋体"/>
                <w:color w:val="auto"/>
                <w:spacing w:val="6"/>
                <w:kern w:val="2"/>
                <w:sz w:val="24"/>
                <w:szCs w:val="24"/>
                <w:highlight w:val="none"/>
                <w:lang w:val="en-US" w:eastAsia="zh-CN"/>
              </w:rPr>
              <w:t>成交</w:t>
            </w:r>
            <w:r>
              <w:rPr>
                <w:rFonts w:hint="eastAsia" w:ascii="宋体" w:hAnsi="宋体" w:cs="宋体"/>
                <w:color w:val="auto"/>
                <w:spacing w:val="6"/>
                <w:kern w:val="2"/>
                <w:sz w:val="24"/>
                <w:szCs w:val="24"/>
                <w:highlight w:val="none"/>
              </w:rPr>
              <w:t>人</w:t>
            </w:r>
          </w:p>
        </w:tc>
        <w:tc>
          <w:tcPr>
            <w:tcW w:w="7079" w:type="dxa"/>
            <w:tcBorders>
              <w:top w:val="single" w:color="auto" w:sz="6" w:space="0"/>
              <w:left w:val="single" w:color="auto" w:sz="6" w:space="0"/>
              <w:bottom w:val="single" w:color="auto" w:sz="6" w:space="0"/>
              <w:right w:val="single" w:color="auto" w:sz="12" w:space="0"/>
            </w:tcBorders>
            <w:vAlign w:val="center"/>
          </w:tcPr>
          <w:p w14:paraId="6CA7A625">
            <w:pPr>
              <w:spacing w:line="360" w:lineRule="auto"/>
              <w:jc w:val="both"/>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否，磋商小组推荐三名</w:t>
            </w:r>
            <w:r>
              <w:rPr>
                <w:rFonts w:hint="eastAsia" w:ascii="宋体" w:hAnsi="宋体" w:cs="宋体"/>
                <w:color w:val="auto"/>
                <w:spacing w:val="6"/>
                <w:kern w:val="2"/>
                <w:sz w:val="24"/>
                <w:szCs w:val="24"/>
                <w:highlight w:val="none"/>
                <w:lang w:val="en-US" w:eastAsia="zh-CN"/>
              </w:rPr>
              <w:t>成交</w:t>
            </w:r>
            <w:r>
              <w:rPr>
                <w:rFonts w:hint="eastAsia" w:ascii="宋体" w:hAnsi="宋体" w:cs="宋体"/>
                <w:color w:val="auto"/>
                <w:spacing w:val="6"/>
                <w:kern w:val="2"/>
                <w:sz w:val="24"/>
                <w:szCs w:val="24"/>
                <w:highlight w:val="none"/>
              </w:rPr>
              <w:t>候选人</w:t>
            </w:r>
          </w:p>
        </w:tc>
      </w:tr>
      <w:tr w14:paraId="0E4843C7">
        <w:tblPrEx>
          <w:tblCellMar>
            <w:top w:w="0" w:type="dxa"/>
            <w:left w:w="108" w:type="dxa"/>
            <w:bottom w:w="0" w:type="dxa"/>
            <w:right w:w="108" w:type="dxa"/>
          </w:tblCellMar>
        </w:tblPrEx>
        <w:trPr>
          <w:gridAfter w:val="3"/>
          <w:wAfter w:w="16115" w:type="dxa"/>
          <w:trHeight w:val="2485" w:hRule="atLeast"/>
        </w:trPr>
        <w:tc>
          <w:tcPr>
            <w:tcW w:w="862" w:type="dxa"/>
            <w:tcBorders>
              <w:top w:val="single" w:color="auto" w:sz="6" w:space="0"/>
              <w:left w:val="single" w:color="auto" w:sz="12" w:space="0"/>
              <w:bottom w:val="single" w:color="auto" w:sz="6" w:space="0"/>
              <w:right w:val="single" w:color="auto" w:sz="6" w:space="0"/>
            </w:tcBorders>
            <w:vAlign w:val="center"/>
          </w:tcPr>
          <w:p w14:paraId="1F9C8D4F">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37</w:t>
            </w:r>
          </w:p>
        </w:tc>
        <w:tc>
          <w:tcPr>
            <w:tcW w:w="2175" w:type="dxa"/>
            <w:tcBorders>
              <w:top w:val="single" w:color="auto" w:sz="6" w:space="0"/>
              <w:left w:val="single" w:color="auto" w:sz="6" w:space="0"/>
              <w:bottom w:val="single" w:color="auto" w:sz="6" w:space="0"/>
              <w:right w:val="single" w:color="auto" w:sz="6" w:space="0"/>
            </w:tcBorders>
            <w:vAlign w:val="center"/>
          </w:tcPr>
          <w:p w14:paraId="34EFB3CF">
            <w:pPr>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磋商</w:t>
            </w:r>
            <w:r>
              <w:rPr>
                <w:rFonts w:ascii="宋体" w:hAnsi="宋体" w:cs="宋体"/>
                <w:color w:val="auto"/>
                <w:spacing w:val="6"/>
                <w:kern w:val="2"/>
                <w:sz w:val="24"/>
                <w:szCs w:val="24"/>
                <w:highlight w:val="none"/>
              </w:rPr>
              <w:t>标准及方法</w:t>
            </w:r>
          </w:p>
        </w:tc>
        <w:tc>
          <w:tcPr>
            <w:tcW w:w="7079" w:type="dxa"/>
            <w:tcBorders>
              <w:top w:val="single" w:color="auto" w:sz="6" w:space="0"/>
              <w:left w:val="single" w:color="auto" w:sz="6" w:space="0"/>
              <w:bottom w:val="single" w:color="auto" w:sz="6" w:space="0"/>
              <w:right w:val="single" w:color="auto" w:sz="12" w:space="0"/>
            </w:tcBorders>
            <w:vAlign w:val="center"/>
          </w:tcPr>
          <w:p w14:paraId="6AD1D0E8">
            <w:pPr>
              <w:spacing w:line="360" w:lineRule="auto"/>
              <w:jc w:val="both"/>
              <w:rPr>
                <w:rFonts w:hint="eastAsia" w:ascii="宋体" w:hAnsi="宋体" w:eastAsia="宋体" w:cs="宋体"/>
                <w:color w:val="auto"/>
                <w:spacing w:val="6"/>
                <w:kern w:val="2"/>
                <w:sz w:val="24"/>
                <w:szCs w:val="24"/>
                <w:highlight w:val="none"/>
                <w:lang w:eastAsia="zh-CN"/>
              </w:rPr>
            </w:pPr>
            <w:r>
              <w:rPr>
                <w:rFonts w:ascii="宋体" w:hAnsi="宋体" w:cs="宋体"/>
                <w:color w:val="auto"/>
                <w:spacing w:val="6"/>
                <w:kern w:val="2"/>
                <w:sz w:val="24"/>
                <w:szCs w:val="24"/>
                <w:highlight w:val="none"/>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r>
              <w:rPr>
                <w:rFonts w:hint="eastAsia" w:ascii="宋体" w:hAnsi="宋体" w:cs="宋体"/>
                <w:color w:val="auto"/>
                <w:spacing w:val="6"/>
                <w:kern w:val="2"/>
                <w:sz w:val="24"/>
                <w:szCs w:val="24"/>
                <w:highlight w:val="none"/>
              </w:rPr>
              <w:t>（且推荐候选人为三名）</w:t>
            </w:r>
            <w:r>
              <w:rPr>
                <w:rFonts w:hint="eastAsia" w:ascii="宋体" w:hAnsi="宋体" w:cs="宋体"/>
                <w:color w:val="auto"/>
                <w:spacing w:val="6"/>
                <w:kern w:val="2"/>
                <w:sz w:val="24"/>
                <w:szCs w:val="24"/>
                <w:highlight w:val="none"/>
                <w:lang w:eastAsia="zh-CN"/>
              </w:rPr>
              <w:t>。</w:t>
            </w:r>
          </w:p>
        </w:tc>
      </w:tr>
      <w:tr w14:paraId="1B00597F">
        <w:tblPrEx>
          <w:tblCellMar>
            <w:top w:w="0" w:type="dxa"/>
            <w:left w:w="108" w:type="dxa"/>
            <w:bottom w:w="0" w:type="dxa"/>
            <w:right w:w="108" w:type="dxa"/>
          </w:tblCellMar>
        </w:tblPrEx>
        <w:trPr>
          <w:gridAfter w:val="3"/>
          <w:wAfter w:w="16115" w:type="dxa"/>
          <w:trHeight w:val="489" w:hRule="atLeast"/>
        </w:trPr>
        <w:tc>
          <w:tcPr>
            <w:tcW w:w="862" w:type="dxa"/>
            <w:tcBorders>
              <w:top w:val="single" w:color="auto" w:sz="6" w:space="0"/>
              <w:left w:val="single" w:color="auto" w:sz="12" w:space="0"/>
              <w:bottom w:val="single" w:color="auto" w:sz="6" w:space="0"/>
              <w:right w:val="single" w:color="auto" w:sz="6" w:space="0"/>
            </w:tcBorders>
            <w:vAlign w:val="center"/>
          </w:tcPr>
          <w:p w14:paraId="0B90F3AB">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38</w:t>
            </w:r>
          </w:p>
        </w:tc>
        <w:tc>
          <w:tcPr>
            <w:tcW w:w="2175" w:type="dxa"/>
            <w:tcBorders>
              <w:top w:val="single" w:color="auto" w:sz="6" w:space="0"/>
              <w:left w:val="single" w:color="auto" w:sz="6" w:space="0"/>
              <w:bottom w:val="single" w:color="auto" w:sz="6" w:space="0"/>
              <w:right w:val="single" w:color="auto" w:sz="6" w:space="0"/>
            </w:tcBorders>
            <w:vAlign w:val="center"/>
          </w:tcPr>
          <w:p w14:paraId="52E0A5E9">
            <w:pPr>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付款方式</w:t>
            </w:r>
          </w:p>
        </w:tc>
        <w:tc>
          <w:tcPr>
            <w:tcW w:w="7079" w:type="dxa"/>
            <w:tcBorders>
              <w:top w:val="single" w:color="auto" w:sz="6" w:space="0"/>
              <w:left w:val="single" w:color="auto" w:sz="6" w:space="0"/>
              <w:bottom w:val="single" w:color="auto" w:sz="6" w:space="0"/>
              <w:right w:val="single" w:color="auto" w:sz="12" w:space="0"/>
            </w:tcBorders>
            <w:vAlign w:val="center"/>
          </w:tcPr>
          <w:p w14:paraId="0F49BDBB">
            <w:pPr>
              <w:spacing w:line="360" w:lineRule="auto"/>
              <w:jc w:val="both"/>
              <w:rPr>
                <w:rFonts w:hint="default" w:ascii="宋体" w:hAnsi="宋体" w:eastAsia="宋体" w:cs="宋体"/>
                <w:color w:val="auto"/>
                <w:spacing w:val="6"/>
                <w:kern w:val="2"/>
                <w:sz w:val="24"/>
                <w:szCs w:val="24"/>
                <w:highlight w:val="none"/>
                <w:lang w:val="en-US" w:eastAsia="zh-CN"/>
              </w:rPr>
            </w:pPr>
            <w:r>
              <w:rPr>
                <w:rFonts w:hint="default" w:ascii="宋体" w:hAnsi="宋体" w:cs="宋体"/>
                <w:color w:val="auto"/>
                <w:spacing w:val="6"/>
                <w:kern w:val="2"/>
                <w:sz w:val="24"/>
                <w:szCs w:val="24"/>
                <w:highlight w:val="none"/>
                <w:lang w:val="en-US"/>
              </w:rPr>
              <w:t>合同签订</w:t>
            </w:r>
            <w:r>
              <w:rPr>
                <w:rFonts w:hint="eastAsia" w:ascii="宋体" w:hAnsi="宋体" w:cs="宋体"/>
                <w:color w:val="auto"/>
                <w:spacing w:val="6"/>
                <w:kern w:val="2"/>
                <w:sz w:val="24"/>
                <w:szCs w:val="24"/>
                <w:highlight w:val="none"/>
                <w:lang w:val="en-US" w:eastAsia="zh-CN"/>
              </w:rPr>
              <w:t>时双方协商</w:t>
            </w:r>
          </w:p>
        </w:tc>
      </w:tr>
      <w:tr w14:paraId="181E8841">
        <w:tblPrEx>
          <w:tblCellMar>
            <w:top w:w="0" w:type="dxa"/>
            <w:left w:w="108" w:type="dxa"/>
            <w:bottom w:w="0" w:type="dxa"/>
            <w:right w:w="108" w:type="dxa"/>
          </w:tblCellMar>
        </w:tblPrEx>
        <w:trPr>
          <w:gridAfter w:val="3"/>
          <w:wAfter w:w="16115" w:type="dxa"/>
          <w:trHeight w:val="1054" w:hRule="atLeast"/>
        </w:trPr>
        <w:tc>
          <w:tcPr>
            <w:tcW w:w="862" w:type="dxa"/>
            <w:tcBorders>
              <w:top w:val="single" w:color="auto" w:sz="6" w:space="0"/>
              <w:left w:val="single" w:color="auto" w:sz="12" w:space="0"/>
              <w:bottom w:val="single" w:color="auto" w:sz="6" w:space="0"/>
              <w:right w:val="single" w:color="auto" w:sz="6" w:space="0"/>
            </w:tcBorders>
            <w:vAlign w:val="center"/>
          </w:tcPr>
          <w:p w14:paraId="77761734">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39</w:t>
            </w:r>
          </w:p>
        </w:tc>
        <w:tc>
          <w:tcPr>
            <w:tcW w:w="2175" w:type="dxa"/>
            <w:tcBorders>
              <w:top w:val="single" w:color="auto" w:sz="6" w:space="0"/>
              <w:left w:val="single" w:color="auto" w:sz="6" w:space="0"/>
              <w:bottom w:val="single" w:color="auto" w:sz="6" w:space="0"/>
              <w:right w:val="single" w:color="auto" w:sz="6" w:space="0"/>
            </w:tcBorders>
            <w:vAlign w:val="center"/>
          </w:tcPr>
          <w:p w14:paraId="08651D54">
            <w:pPr>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发布公告媒介</w:t>
            </w:r>
          </w:p>
        </w:tc>
        <w:tc>
          <w:tcPr>
            <w:tcW w:w="7079" w:type="dxa"/>
            <w:tcBorders>
              <w:top w:val="single" w:color="auto" w:sz="6" w:space="0"/>
              <w:left w:val="single" w:color="auto" w:sz="6" w:space="0"/>
              <w:bottom w:val="single" w:color="auto" w:sz="6" w:space="0"/>
              <w:right w:val="single" w:color="auto" w:sz="12" w:space="0"/>
            </w:tcBorders>
            <w:vAlign w:val="center"/>
          </w:tcPr>
          <w:p w14:paraId="2A22E7AC">
            <w:pPr>
              <w:widowControl w:val="0"/>
              <w:spacing w:after="120" w:line="360" w:lineRule="auto"/>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同时在</w:t>
            </w:r>
            <w:r>
              <w:rPr>
                <w:rFonts w:hint="eastAsia" w:ascii="宋体" w:hAnsi="宋体" w:cs="宋体"/>
                <w:color w:val="auto"/>
                <w:sz w:val="24"/>
                <w:szCs w:val="24"/>
                <w:highlight w:val="none"/>
                <w:lang w:bidi="ar"/>
              </w:rPr>
              <w:t>《</w:t>
            </w:r>
            <w:r>
              <w:rPr>
                <w:rFonts w:hint="eastAsia" w:ascii="宋体" w:hAnsi="宋体" w:cs="宋体"/>
                <w:color w:val="auto"/>
                <w:kern w:val="2"/>
                <w:sz w:val="24"/>
                <w:szCs w:val="24"/>
                <w:highlight w:val="none"/>
              </w:rPr>
              <w:t>河南省政府采购网</w:t>
            </w:r>
            <w:r>
              <w:rPr>
                <w:rFonts w:hint="eastAsia" w:ascii="宋体" w:hAnsi="宋体" w:cs="宋体"/>
                <w:color w:val="auto"/>
                <w:sz w:val="24"/>
                <w:szCs w:val="24"/>
                <w:highlight w:val="none"/>
                <w:lang w:bidi="ar"/>
              </w:rPr>
              <w:t>》、《中国招标投标公共服务平台》和《三门峡市公共资源交易中心网》</w:t>
            </w:r>
            <w:r>
              <w:rPr>
                <w:rFonts w:hint="eastAsia" w:ascii="宋体" w:hAnsi="宋体" w:cs="宋体"/>
                <w:color w:val="auto"/>
                <w:kern w:val="2"/>
                <w:sz w:val="24"/>
                <w:szCs w:val="24"/>
                <w:highlight w:val="none"/>
              </w:rPr>
              <w:t>上发布</w:t>
            </w:r>
            <w:r>
              <w:rPr>
                <w:rFonts w:hint="eastAsia" w:ascii="宋体" w:hAnsi="宋体" w:cs="宋体"/>
                <w:color w:val="auto"/>
                <w:kern w:val="2"/>
                <w:sz w:val="24"/>
                <w:szCs w:val="24"/>
                <w:highlight w:val="none"/>
                <w:lang w:eastAsia="zh-CN"/>
              </w:rPr>
              <w:t>。</w:t>
            </w:r>
          </w:p>
        </w:tc>
      </w:tr>
      <w:tr w14:paraId="27CE4D05">
        <w:tblPrEx>
          <w:tblCellMar>
            <w:top w:w="0" w:type="dxa"/>
            <w:left w:w="108" w:type="dxa"/>
            <w:bottom w:w="0" w:type="dxa"/>
            <w:right w:w="108" w:type="dxa"/>
          </w:tblCellMar>
        </w:tblPrEx>
        <w:trPr>
          <w:gridAfter w:val="3"/>
          <w:wAfter w:w="16115" w:type="dxa"/>
          <w:trHeight w:val="489" w:hRule="atLeast"/>
        </w:trPr>
        <w:tc>
          <w:tcPr>
            <w:tcW w:w="862" w:type="dxa"/>
            <w:tcBorders>
              <w:top w:val="single" w:color="auto" w:sz="6" w:space="0"/>
              <w:left w:val="single" w:color="auto" w:sz="12" w:space="0"/>
              <w:bottom w:val="single" w:color="auto" w:sz="6" w:space="0"/>
              <w:right w:val="single" w:color="auto" w:sz="6" w:space="0"/>
            </w:tcBorders>
            <w:vAlign w:val="center"/>
          </w:tcPr>
          <w:p w14:paraId="665DE620">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40</w:t>
            </w:r>
          </w:p>
        </w:tc>
        <w:tc>
          <w:tcPr>
            <w:tcW w:w="2175" w:type="dxa"/>
            <w:tcBorders>
              <w:top w:val="single" w:color="auto" w:sz="6" w:space="0"/>
              <w:left w:val="single" w:color="auto" w:sz="6" w:space="0"/>
              <w:bottom w:val="single" w:color="auto" w:sz="6" w:space="0"/>
              <w:right w:val="single" w:color="auto" w:sz="6" w:space="0"/>
            </w:tcBorders>
            <w:vAlign w:val="center"/>
          </w:tcPr>
          <w:p w14:paraId="3B524286">
            <w:pPr>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其他事项</w:t>
            </w:r>
          </w:p>
        </w:tc>
        <w:tc>
          <w:tcPr>
            <w:tcW w:w="7079" w:type="dxa"/>
            <w:tcBorders>
              <w:top w:val="single" w:color="auto" w:sz="6" w:space="0"/>
              <w:left w:val="single" w:color="auto" w:sz="6" w:space="0"/>
              <w:bottom w:val="single" w:color="auto" w:sz="6" w:space="0"/>
              <w:right w:val="single" w:color="auto" w:sz="12" w:space="0"/>
            </w:tcBorders>
            <w:vAlign w:val="center"/>
          </w:tcPr>
          <w:p w14:paraId="5DCEF3E8">
            <w:pPr>
              <w:widowControl w:val="0"/>
              <w:spacing w:line="360" w:lineRule="auto"/>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1</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rPr>
              <w:t>电子化响应文件应在投标截止时间前成功上传至三门峡市公共资源电子化交易系统。至递交截止时间止，仍未上传成功的电子化响应文件，将不予接受</w:t>
            </w:r>
            <w:r>
              <w:rPr>
                <w:rFonts w:hint="eastAsia" w:ascii="宋体" w:hAnsi="宋体" w:cs="宋体"/>
                <w:color w:val="auto"/>
                <w:kern w:val="2"/>
                <w:sz w:val="24"/>
                <w:szCs w:val="24"/>
                <w:highlight w:val="none"/>
                <w:lang w:eastAsia="zh-CN"/>
              </w:rPr>
              <w:t>。</w:t>
            </w:r>
          </w:p>
          <w:p w14:paraId="676FF454">
            <w:pPr>
              <w:widowControl w:val="0"/>
              <w:spacing w:after="120" w:line="360" w:lineRule="auto"/>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2</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成交</w:t>
            </w:r>
            <w:r>
              <w:rPr>
                <w:rFonts w:hint="eastAsia" w:ascii="宋体" w:hAnsi="宋体" w:cs="宋体"/>
                <w:color w:val="auto"/>
                <w:kern w:val="2"/>
                <w:sz w:val="24"/>
                <w:szCs w:val="24"/>
                <w:highlight w:val="none"/>
              </w:rPr>
              <w:t>方领取通知书时，须提供与上传电子版内容一致的纸质版响应文件</w:t>
            </w:r>
            <w:r>
              <w:rPr>
                <w:rFonts w:hint="eastAsia" w:ascii="宋体" w:hAnsi="宋体" w:cs="宋体"/>
                <w:color w:val="auto"/>
                <w:kern w:val="2"/>
                <w:sz w:val="24"/>
                <w:szCs w:val="24"/>
                <w:highlight w:val="none"/>
                <w:lang w:val="en-US" w:eastAsia="zh-CN"/>
              </w:rPr>
              <w:t>叁</w:t>
            </w:r>
            <w:r>
              <w:rPr>
                <w:rFonts w:hint="eastAsia" w:ascii="宋体" w:hAnsi="宋体" w:cs="宋体"/>
                <w:color w:val="auto"/>
                <w:kern w:val="2"/>
                <w:sz w:val="24"/>
                <w:szCs w:val="24"/>
                <w:highlight w:val="none"/>
              </w:rPr>
              <w:t>份，不得采用活页夹形式</w:t>
            </w:r>
            <w:r>
              <w:rPr>
                <w:rFonts w:hint="eastAsia" w:ascii="宋体" w:hAnsi="宋体" w:cs="宋体"/>
                <w:color w:val="auto"/>
                <w:kern w:val="2"/>
                <w:sz w:val="24"/>
                <w:szCs w:val="24"/>
                <w:highlight w:val="none"/>
                <w:lang w:eastAsia="zh-CN"/>
              </w:rPr>
              <w:t>。</w:t>
            </w:r>
          </w:p>
          <w:p w14:paraId="4CFD2DAE">
            <w:pPr>
              <w:widowControl w:val="0"/>
              <w:spacing w:after="120" w:line="360" w:lineRule="auto"/>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3</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rPr>
              <w:t>本次项目采用竞争性磋商采购方式，使用二次报价方式，第二次报价不允许高于一次报价和最高限价</w:t>
            </w:r>
            <w:r>
              <w:rPr>
                <w:rFonts w:hint="eastAsia" w:ascii="宋体" w:hAnsi="宋体" w:cs="宋体"/>
                <w:color w:val="auto"/>
                <w:kern w:val="2"/>
                <w:sz w:val="24"/>
                <w:szCs w:val="24"/>
                <w:highlight w:val="none"/>
                <w:lang w:eastAsia="zh-CN"/>
              </w:rPr>
              <w:t>。</w:t>
            </w:r>
          </w:p>
        </w:tc>
      </w:tr>
      <w:tr w14:paraId="0678F7B5">
        <w:tblPrEx>
          <w:tblCellMar>
            <w:top w:w="0" w:type="dxa"/>
            <w:left w:w="108" w:type="dxa"/>
            <w:bottom w:w="0" w:type="dxa"/>
            <w:right w:w="108" w:type="dxa"/>
          </w:tblCellMar>
        </w:tblPrEx>
        <w:trPr>
          <w:gridAfter w:val="3"/>
          <w:wAfter w:w="16115"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306D865E">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41</w:t>
            </w:r>
          </w:p>
        </w:tc>
        <w:tc>
          <w:tcPr>
            <w:tcW w:w="2175" w:type="dxa"/>
            <w:tcBorders>
              <w:top w:val="single" w:color="auto" w:sz="6" w:space="0"/>
              <w:left w:val="single" w:color="auto" w:sz="6" w:space="0"/>
              <w:bottom w:val="single" w:color="auto" w:sz="6" w:space="0"/>
              <w:right w:val="single" w:color="auto" w:sz="6" w:space="0"/>
            </w:tcBorders>
            <w:vAlign w:val="center"/>
          </w:tcPr>
          <w:p w14:paraId="74C89DE9">
            <w:pPr>
              <w:spacing w:line="360" w:lineRule="auto"/>
              <w:jc w:val="center"/>
              <w:rPr>
                <w:rFonts w:hint="eastAsia"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代理服务费</w:t>
            </w:r>
          </w:p>
        </w:tc>
        <w:tc>
          <w:tcPr>
            <w:tcW w:w="7079" w:type="dxa"/>
            <w:tcBorders>
              <w:top w:val="single" w:color="auto" w:sz="6" w:space="0"/>
              <w:left w:val="single" w:color="auto" w:sz="6" w:space="0"/>
              <w:bottom w:val="single" w:color="auto" w:sz="6" w:space="0"/>
              <w:right w:val="single" w:color="auto" w:sz="12" w:space="0"/>
            </w:tcBorders>
            <w:vAlign w:val="center"/>
          </w:tcPr>
          <w:p w14:paraId="4F5EE4B6">
            <w:pPr>
              <w:spacing w:line="360" w:lineRule="auto"/>
              <w:jc w:val="both"/>
              <w:rPr>
                <w:rFonts w:hint="eastAsia" w:ascii="宋体" w:hAnsi="宋体" w:eastAsia="宋体" w:cs="宋体"/>
                <w:color w:val="auto"/>
                <w:spacing w:val="6"/>
                <w:kern w:val="2"/>
                <w:sz w:val="24"/>
                <w:szCs w:val="24"/>
                <w:highlight w:val="none"/>
                <w:lang w:eastAsia="zh-CN"/>
              </w:rPr>
            </w:pPr>
            <w:r>
              <w:rPr>
                <w:rFonts w:hint="eastAsia" w:ascii="宋体" w:hAnsi="宋体" w:cs="宋体"/>
                <w:bCs/>
                <w:color w:val="auto"/>
                <w:sz w:val="24"/>
                <w:szCs w:val="24"/>
                <w:highlight w:val="none"/>
              </w:rPr>
              <w:t>招标代理服务收费参照豫招协[2023]002号河南省招标投标协会关于印发《河南省招标代理服务收费指导意见》规定的收费标准收取</w:t>
            </w:r>
            <w:r>
              <w:rPr>
                <w:rFonts w:hint="eastAsia" w:ascii="宋体" w:hAnsi="宋体" w:cs="宋体"/>
                <w:bCs/>
                <w:color w:val="auto"/>
                <w:sz w:val="24"/>
                <w:szCs w:val="24"/>
                <w:highlight w:val="none"/>
                <w:lang w:val="en-US" w:eastAsia="zh-CN"/>
              </w:rPr>
              <w:t>成交</w:t>
            </w:r>
            <w:r>
              <w:rPr>
                <w:rFonts w:hint="eastAsia" w:ascii="宋体" w:hAnsi="宋体" w:cs="宋体"/>
                <w:bCs/>
                <w:color w:val="auto"/>
                <w:sz w:val="24"/>
                <w:szCs w:val="24"/>
                <w:highlight w:val="none"/>
              </w:rPr>
              <w:t>服务费，领取成交通知书前由成交人支付</w:t>
            </w:r>
            <w:r>
              <w:rPr>
                <w:rFonts w:hint="eastAsia" w:ascii="宋体" w:hAnsi="宋体" w:cs="宋体"/>
                <w:bCs/>
                <w:color w:val="auto"/>
                <w:sz w:val="24"/>
                <w:szCs w:val="24"/>
                <w:highlight w:val="none"/>
                <w:lang w:eastAsia="zh-CN"/>
              </w:rPr>
              <w:t>。</w:t>
            </w:r>
          </w:p>
        </w:tc>
      </w:tr>
      <w:tr w14:paraId="53D30183">
        <w:tblPrEx>
          <w:tblCellMar>
            <w:top w:w="0" w:type="dxa"/>
            <w:left w:w="108" w:type="dxa"/>
            <w:bottom w:w="0" w:type="dxa"/>
            <w:right w:w="108" w:type="dxa"/>
          </w:tblCellMar>
        </w:tblPrEx>
        <w:trPr>
          <w:gridAfter w:val="3"/>
          <w:wAfter w:w="16115"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43488FE8">
            <w:pPr>
              <w:widowControl w:val="0"/>
              <w:adjustRightInd w:val="0"/>
              <w:spacing w:line="360" w:lineRule="auto"/>
              <w:jc w:val="center"/>
              <w:rPr>
                <w:rFonts w:hint="default"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42</w:t>
            </w:r>
          </w:p>
        </w:tc>
        <w:tc>
          <w:tcPr>
            <w:tcW w:w="2175" w:type="dxa"/>
            <w:tcBorders>
              <w:top w:val="single" w:color="auto" w:sz="6" w:space="0"/>
              <w:left w:val="single" w:color="auto" w:sz="6" w:space="0"/>
              <w:bottom w:val="single" w:color="auto" w:sz="6" w:space="0"/>
              <w:right w:val="single" w:color="auto" w:sz="6" w:space="0"/>
            </w:tcBorders>
            <w:vAlign w:val="center"/>
          </w:tcPr>
          <w:p w14:paraId="1F2C048C">
            <w:pPr>
              <w:spacing w:line="360" w:lineRule="auto"/>
              <w:jc w:val="center"/>
              <w:rPr>
                <w:rFonts w:hint="eastAsia" w:ascii="宋体" w:hAnsi="宋体" w:cs="宋体"/>
                <w:color w:val="auto"/>
                <w:sz w:val="24"/>
                <w:szCs w:val="24"/>
                <w:highlight w:val="none"/>
              </w:rPr>
            </w:pPr>
            <w:r>
              <w:rPr>
                <w:rFonts w:hint="eastAsia" w:ascii="宋体" w:hAnsi="宋体" w:cs="宋体"/>
                <w:bCs/>
                <w:color w:val="auto"/>
                <w:sz w:val="24"/>
                <w:szCs w:val="24"/>
                <w:highlight w:val="none"/>
              </w:rPr>
              <w:t>采购项目需要落实的政府采购政策</w:t>
            </w:r>
          </w:p>
        </w:tc>
        <w:tc>
          <w:tcPr>
            <w:tcW w:w="7079" w:type="dxa"/>
            <w:tcBorders>
              <w:top w:val="single" w:color="auto" w:sz="6" w:space="0"/>
              <w:left w:val="single" w:color="auto" w:sz="6" w:space="0"/>
              <w:bottom w:val="single" w:color="auto" w:sz="6" w:space="0"/>
              <w:right w:val="single" w:color="auto" w:sz="12" w:space="0"/>
            </w:tcBorders>
            <w:vAlign w:val="center"/>
          </w:tcPr>
          <w:p w14:paraId="4D0B4B4C">
            <w:pPr>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根据</w:t>
            </w:r>
            <w:r>
              <w:rPr>
                <w:rFonts w:hint="eastAsia" w:ascii="宋体" w:hAnsi="宋体" w:cs="宋体"/>
                <w:color w:val="auto"/>
                <w:sz w:val="24"/>
                <w:szCs w:val="24"/>
                <w:highlight w:val="none"/>
                <w:lang w:bidi="ar"/>
              </w:rPr>
              <w:t>《</w:t>
            </w:r>
            <w:r>
              <w:rPr>
                <w:rFonts w:hint="eastAsia" w:ascii="宋体" w:hAnsi="宋体" w:eastAsia="宋体" w:cs="宋体"/>
                <w:bCs/>
                <w:color w:val="auto"/>
                <w:sz w:val="24"/>
                <w:szCs w:val="24"/>
                <w:highlight w:val="none"/>
                <w:lang w:val="en-US" w:eastAsia="zh-CN"/>
              </w:rPr>
              <w:t>政府采购促进中小企业发展管理办法》（财库﹝2020﹞46 号）的规定本项目对中小微企业扶持政策按以下规定落实：</w:t>
            </w:r>
          </w:p>
          <w:p w14:paraId="6849D389">
            <w:pPr>
              <w:spacing w:line="360" w:lineRule="auto"/>
              <w:jc w:val="both"/>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参与本次采购的供应商执行价格扣除加分；</w:t>
            </w:r>
          </w:p>
          <w:p w14:paraId="5CEDE100">
            <w:pPr>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成交供应商获得政府采购合同的，小微企业不得将合同分包给大中型企业，中型企业不得将合同分包给大型企业； </w:t>
            </w:r>
          </w:p>
          <w:p w14:paraId="35195929">
            <w:pPr>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采购标的对应的中小企业划分标准所属行业：根据工信部联企业[2011]300号文的规定，本项目涉及中小企业的行业划型属于“其他未列明行业”； </w:t>
            </w:r>
          </w:p>
          <w:p w14:paraId="494C374A">
            <w:pPr>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“其他未列明行业”</w:t>
            </w:r>
            <w:r>
              <w:rPr>
                <w:rFonts w:hint="eastAsia" w:ascii="宋体" w:hAnsi="宋体" w:cs="宋体"/>
                <w:bCs/>
                <w:color w:val="auto"/>
                <w:sz w:val="24"/>
                <w:szCs w:val="24"/>
                <w:highlight w:val="none"/>
                <w:lang w:val="en-US" w:eastAsia="zh-CN"/>
              </w:rPr>
              <w:t>：从业人员300人以下的为中小微型企业。其中，从业人员100人及以上的为中型企业；从业人员10人及以上的为小型企业；从业人员10人以下的为微型企业</w:t>
            </w:r>
            <w:r>
              <w:rPr>
                <w:rFonts w:hint="eastAsia" w:ascii="宋体" w:hAnsi="宋体" w:eastAsia="宋体" w:cs="宋体"/>
                <w:bCs/>
                <w:color w:val="auto"/>
                <w:sz w:val="24"/>
                <w:szCs w:val="24"/>
                <w:highlight w:val="none"/>
                <w:lang w:val="en-US" w:eastAsia="zh-CN"/>
              </w:rPr>
              <w:t>。</w:t>
            </w:r>
          </w:p>
          <w:p w14:paraId="5C87E0F4">
            <w:pPr>
              <w:spacing w:line="360" w:lineRule="auto"/>
              <w:jc w:val="both"/>
              <w:rPr>
                <w:rFonts w:hint="eastAsia" w:ascii="宋体" w:hAnsi="宋体" w:cs="宋体"/>
                <w:color w:val="auto"/>
                <w:sz w:val="24"/>
                <w:szCs w:val="24"/>
                <w:highlight w:val="none"/>
              </w:rPr>
            </w:pP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其他优惠措施：监狱企业、残疾人福利性单位视同小微企业。</w:t>
            </w:r>
          </w:p>
        </w:tc>
      </w:tr>
      <w:tr w14:paraId="4B44CB66">
        <w:tblPrEx>
          <w:tblCellMar>
            <w:top w:w="0" w:type="dxa"/>
            <w:left w:w="108" w:type="dxa"/>
            <w:bottom w:w="0" w:type="dxa"/>
            <w:right w:w="108" w:type="dxa"/>
          </w:tblCellMar>
        </w:tblPrEx>
        <w:trPr>
          <w:gridAfter w:val="3"/>
          <w:wAfter w:w="16115" w:type="dxa"/>
          <w:trHeight w:val="432" w:hRule="atLeast"/>
        </w:trPr>
        <w:tc>
          <w:tcPr>
            <w:tcW w:w="862" w:type="dxa"/>
            <w:tcBorders>
              <w:top w:val="single" w:color="auto" w:sz="6" w:space="0"/>
              <w:left w:val="single" w:color="auto" w:sz="12" w:space="0"/>
              <w:bottom w:val="single" w:color="auto" w:sz="6" w:space="0"/>
              <w:right w:val="single" w:color="auto" w:sz="6" w:space="0"/>
            </w:tcBorders>
            <w:vAlign w:val="center"/>
          </w:tcPr>
          <w:p w14:paraId="57FCCC24">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43</w:t>
            </w:r>
          </w:p>
        </w:tc>
        <w:tc>
          <w:tcPr>
            <w:tcW w:w="2175" w:type="dxa"/>
            <w:tcBorders>
              <w:top w:val="single" w:color="auto" w:sz="6" w:space="0"/>
              <w:left w:val="single" w:color="auto" w:sz="6" w:space="0"/>
              <w:bottom w:val="single" w:color="auto" w:sz="6" w:space="0"/>
              <w:right w:val="single" w:color="auto" w:sz="6" w:space="0"/>
            </w:tcBorders>
            <w:vAlign w:val="center"/>
          </w:tcPr>
          <w:p w14:paraId="183072E6">
            <w:pPr>
              <w:spacing w:line="400" w:lineRule="exact"/>
              <w:jc w:val="center"/>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竞争性磋商文件的解释</w:t>
            </w:r>
          </w:p>
        </w:tc>
        <w:tc>
          <w:tcPr>
            <w:tcW w:w="7079" w:type="dxa"/>
            <w:tcBorders>
              <w:top w:val="single" w:color="auto" w:sz="6" w:space="0"/>
              <w:left w:val="single" w:color="auto" w:sz="6" w:space="0"/>
              <w:bottom w:val="single" w:color="auto" w:sz="6" w:space="0"/>
              <w:right w:val="single" w:color="auto" w:sz="12" w:space="0"/>
            </w:tcBorders>
            <w:vAlign w:val="center"/>
          </w:tcPr>
          <w:p w14:paraId="15B491A9">
            <w:pPr>
              <w:spacing w:line="360" w:lineRule="auto"/>
              <w:ind w:right="-146" w:rightChars="-73"/>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在符合相关法律法规的前题下，竞争性磋商文件的解释权归采购人所有。本竞争性磋商文件中其他部分内容与响应人须知前附表不一致的，以响应人须知前附表为准。</w:t>
            </w:r>
          </w:p>
        </w:tc>
      </w:tr>
      <w:tr w14:paraId="2C720AC6">
        <w:tblPrEx>
          <w:tblCellMar>
            <w:top w:w="0" w:type="dxa"/>
            <w:left w:w="108" w:type="dxa"/>
            <w:bottom w:w="0" w:type="dxa"/>
            <w:right w:w="108" w:type="dxa"/>
          </w:tblCellMar>
        </w:tblPrEx>
        <w:trPr>
          <w:gridAfter w:val="3"/>
          <w:wAfter w:w="16115" w:type="dxa"/>
          <w:trHeight w:val="597" w:hRule="atLeast"/>
        </w:trPr>
        <w:tc>
          <w:tcPr>
            <w:tcW w:w="862" w:type="dxa"/>
            <w:tcBorders>
              <w:top w:val="single" w:color="auto" w:sz="6" w:space="0"/>
              <w:left w:val="single" w:color="auto" w:sz="12" w:space="0"/>
              <w:bottom w:val="single" w:color="auto" w:sz="6" w:space="0"/>
              <w:right w:val="single" w:color="auto" w:sz="6" w:space="0"/>
            </w:tcBorders>
            <w:vAlign w:val="center"/>
          </w:tcPr>
          <w:p w14:paraId="293BDB14">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44</w:t>
            </w:r>
          </w:p>
        </w:tc>
        <w:tc>
          <w:tcPr>
            <w:tcW w:w="2175" w:type="dxa"/>
            <w:tcBorders>
              <w:top w:val="single" w:color="auto" w:sz="6" w:space="0"/>
              <w:left w:val="single" w:color="auto" w:sz="6" w:space="0"/>
              <w:bottom w:val="single" w:color="auto" w:sz="6" w:space="0"/>
              <w:right w:val="single" w:color="auto" w:sz="6" w:space="0"/>
            </w:tcBorders>
            <w:vAlign w:val="center"/>
          </w:tcPr>
          <w:p w14:paraId="78504BA1">
            <w:pPr>
              <w:spacing w:line="400" w:lineRule="exact"/>
              <w:jc w:val="center"/>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答疑</w:t>
            </w:r>
          </w:p>
        </w:tc>
        <w:tc>
          <w:tcPr>
            <w:tcW w:w="7079" w:type="dxa"/>
            <w:tcBorders>
              <w:top w:val="single" w:color="auto" w:sz="6" w:space="0"/>
              <w:left w:val="single" w:color="auto" w:sz="6" w:space="0"/>
              <w:bottom w:val="single" w:color="auto" w:sz="6" w:space="0"/>
              <w:right w:val="single" w:color="auto" w:sz="12" w:space="0"/>
            </w:tcBorders>
            <w:vAlign w:val="center"/>
          </w:tcPr>
          <w:p w14:paraId="3B7256A0">
            <w:pPr>
              <w:spacing w:line="360" w:lineRule="auto"/>
              <w:ind w:right="-146" w:rightChars="-73"/>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需要解答的疑问以书面形式加盖单位公章递交至采购人或代理机构，逾期提交的问题概不做回复。采购人将需要解答的内容以公告形式发至所有潜在响应人。</w:t>
            </w:r>
          </w:p>
        </w:tc>
      </w:tr>
      <w:tr w14:paraId="34BE96ED">
        <w:tblPrEx>
          <w:tblCellMar>
            <w:top w:w="0" w:type="dxa"/>
            <w:left w:w="108" w:type="dxa"/>
            <w:bottom w:w="0" w:type="dxa"/>
            <w:right w:w="108" w:type="dxa"/>
          </w:tblCellMar>
        </w:tblPrEx>
        <w:trPr>
          <w:gridAfter w:val="3"/>
          <w:wAfter w:w="16115"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2E140ED2">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45</w:t>
            </w:r>
          </w:p>
        </w:tc>
        <w:tc>
          <w:tcPr>
            <w:tcW w:w="2175" w:type="dxa"/>
            <w:tcBorders>
              <w:top w:val="single" w:color="auto" w:sz="6" w:space="0"/>
              <w:left w:val="single" w:color="auto" w:sz="6" w:space="0"/>
              <w:bottom w:val="single" w:color="auto" w:sz="6" w:space="0"/>
              <w:right w:val="single" w:color="auto" w:sz="6" w:space="0"/>
            </w:tcBorders>
            <w:vAlign w:val="center"/>
          </w:tcPr>
          <w:p w14:paraId="52894D4E">
            <w:pPr>
              <w:spacing w:line="400" w:lineRule="exact"/>
              <w:jc w:val="center"/>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结果公告</w:t>
            </w:r>
          </w:p>
        </w:tc>
        <w:tc>
          <w:tcPr>
            <w:tcW w:w="7079" w:type="dxa"/>
            <w:tcBorders>
              <w:top w:val="single" w:color="auto" w:sz="6" w:space="0"/>
              <w:left w:val="single" w:color="auto" w:sz="6" w:space="0"/>
              <w:bottom w:val="single" w:color="auto" w:sz="6" w:space="0"/>
              <w:right w:val="single" w:color="auto" w:sz="12" w:space="0"/>
            </w:tcBorders>
            <w:vAlign w:val="center"/>
          </w:tcPr>
          <w:p w14:paraId="786779F5">
            <w:pPr>
              <w:spacing w:line="360" w:lineRule="auto"/>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在《河南省政府采购网》、《中国招标投标公共服务平台》和《三门峡市公共资源交易中心网》同时进行公告，公示期1个工作日。</w:t>
            </w:r>
          </w:p>
        </w:tc>
      </w:tr>
      <w:tr w14:paraId="29459C61">
        <w:tblPrEx>
          <w:tblCellMar>
            <w:top w:w="0" w:type="dxa"/>
            <w:left w:w="108" w:type="dxa"/>
            <w:bottom w:w="0" w:type="dxa"/>
            <w:right w:w="108" w:type="dxa"/>
          </w:tblCellMar>
        </w:tblPrEx>
        <w:trPr>
          <w:gridAfter w:val="3"/>
          <w:wAfter w:w="16115"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0EB0E3BC">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46</w:t>
            </w:r>
          </w:p>
        </w:tc>
        <w:tc>
          <w:tcPr>
            <w:tcW w:w="2175" w:type="dxa"/>
            <w:tcBorders>
              <w:top w:val="single" w:color="auto" w:sz="6" w:space="0"/>
              <w:left w:val="single" w:color="auto" w:sz="6" w:space="0"/>
              <w:bottom w:val="single" w:color="auto" w:sz="6" w:space="0"/>
              <w:right w:val="single" w:color="auto" w:sz="6" w:space="0"/>
            </w:tcBorders>
            <w:vAlign w:val="center"/>
          </w:tcPr>
          <w:p w14:paraId="331D4A69">
            <w:pPr>
              <w:spacing w:line="400" w:lineRule="exact"/>
              <w:jc w:val="center"/>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知识产权</w:t>
            </w:r>
          </w:p>
        </w:tc>
        <w:tc>
          <w:tcPr>
            <w:tcW w:w="7079" w:type="dxa"/>
            <w:tcBorders>
              <w:top w:val="single" w:color="auto" w:sz="6" w:space="0"/>
              <w:left w:val="single" w:color="auto" w:sz="6" w:space="0"/>
              <w:bottom w:val="single" w:color="auto" w:sz="6" w:space="0"/>
              <w:right w:val="single" w:color="auto" w:sz="12" w:space="0"/>
            </w:tcBorders>
            <w:vAlign w:val="center"/>
          </w:tcPr>
          <w:p w14:paraId="05BC70F2">
            <w:pPr>
              <w:spacing w:line="360" w:lineRule="auto"/>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构成本竞争性磋商文件各个组成部分的文件，未经采购人书面同意，响应人不得擅自复印和用于非本招标项目所需的其他目的。采购人全部或者部分使用未</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人响应文件中的技术成果或技术方案时，需征得其书面同意，并不得擅自复印或提供给第三人。</w:t>
            </w:r>
          </w:p>
        </w:tc>
      </w:tr>
      <w:tr w14:paraId="08B547D7">
        <w:tblPrEx>
          <w:tblCellMar>
            <w:top w:w="0" w:type="dxa"/>
            <w:left w:w="108" w:type="dxa"/>
            <w:bottom w:w="0" w:type="dxa"/>
            <w:right w:w="108" w:type="dxa"/>
          </w:tblCellMar>
        </w:tblPrEx>
        <w:trPr>
          <w:gridAfter w:val="3"/>
          <w:wAfter w:w="16115" w:type="dxa"/>
          <w:trHeight w:val="379" w:hRule="atLeast"/>
        </w:trPr>
        <w:tc>
          <w:tcPr>
            <w:tcW w:w="862" w:type="dxa"/>
            <w:tcBorders>
              <w:top w:val="single" w:color="auto" w:sz="6" w:space="0"/>
              <w:left w:val="single" w:color="auto" w:sz="12" w:space="0"/>
              <w:bottom w:val="single" w:color="auto" w:sz="6" w:space="0"/>
              <w:right w:val="single" w:color="auto" w:sz="6" w:space="0"/>
            </w:tcBorders>
            <w:vAlign w:val="center"/>
          </w:tcPr>
          <w:p w14:paraId="6E8CEC02">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47</w:t>
            </w:r>
          </w:p>
        </w:tc>
        <w:tc>
          <w:tcPr>
            <w:tcW w:w="2175" w:type="dxa"/>
            <w:tcBorders>
              <w:top w:val="single" w:color="auto" w:sz="6" w:space="0"/>
              <w:left w:val="single" w:color="auto" w:sz="6" w:space="0"/>
              <w:bottom w:val="single" w:color="auto" w:sz="6" w:space="0"/>
              <w:right w:val="single" w:color="auto" w:sz="6" w:space="0"/>
            </w:tcBorders>
            <w:vAlign w:val="center"/>
          </w:tcPr>
          <w:p w14:paraId="2F470077">
            <w:pPr>
              <w:spacing w:line="400" w:lineRule="exact"/>
              <w:jc w:val="center"/>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重新招标的其他情形</w:t>
            </w:r>
          </w:p>
        </w:tc>
        <w:tc>
          <w:tcPr>
            <w:tcW w:w="7079" w:type="dxa"/>
            <w:tcBorders>
              <w:top w:val="single" w:color="auto" w:sz="6" w:space="0"/>
              <w:left w:val="single" w:color="auto" w:sz="6" w:space="0"/>
              <w:bottom w:val="single" w:color="auto" w:sz="6" w:space="0"/>
              <w:right w:val="single" w:color="auto" w:sz="12" w:space="0"/>
            </w:tcBorders>
            <w:vAlign w:val="center"/>
          </w:tcPr>
          <w:p w14:paraId="51E992E5">
            <w:pPr>
              <w:spacing w:line="360" w:lineRule="auto"/>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除响应人须知正文规定的情形外，除非已经产生</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候选人，在磋商有效期内同意延长磋商有效期的响应人少于三个的，采购人应当依法重新招标。</w:t>
            </w:r>
          </w:p>
        </w:tc>
      </w:tr>
      <w:tr w14:paraId="094DFBDA">
        <w:tblPrEx>
          <w:tblCellMar>
            <w:top w:w="0" w:type="dxa"/>
            <w:left w:w="108" w:type="dxa"/>
            <w:bottom w:w="0" w:type="dxa"/>
            <w:right w:w="108" w:type="dxa"/>
          </w:tblCellMar>
        </w:tblPrEx>
        <w:trPr>
          <w:gridAfter w:val="3"/>
          <w:wAfter w:w="16115"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2D91C51E">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48</w:t>
            </w:r>
          </w:p>
        </w:tc>
        <w:tc>
          <w:tcPr>
            <w:tcW w:w="2175" w:type="dxa"/>
            <w:tcBorders>
              <w:top w:val="single" w:color="auto" w:sz="6" w:space="0"/>
              <w:left w:val="single" w:color="auto" w:sz="6" w:space="0"/>
              <w:bottom w:val="single" w:color="auto" w:sz="6" w:space="0"/>
              <w:right w:val="single" w:color="auto" w:sz="6" w:space="0"/>
            </w:tcBorders>
            <w:vAlign w:val="center"/>
          </w:tcPr>
          <w:p w14:paraId="4C43EAB6">
            <w:pPr>
              <w:spacing w:line="400" w:lineRule="exact"/>
              <w:jc w:val="center"/>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同义词语</w:t>
            </w:r>
          </w:p>
        </w:tc>
        <w:tc>
          <w:tcPr>
            <w:tcW w:w="7079" w:type="dxa"/>
            <w:tcBorders>
              <w:top w:val="single" w:color="auto" w:sz="6" w:space="0"/>
              <w:left w:val="single" w:color="auto" w:sz="6" w:space="0"/>
              <w:bottom w:val="single" w:color="auto" w:sz="6" w:space="0"/>
              <w:right w:val="single" w:color="auto" w:sz="12" w:space="0"/>
            </w:tcBorders>
            <w:vAlign w:val="center"/>
          </w:tcPr>
          <w:p w14:paraId="649027A6">
            <w:pPr>
              <w:spacing w:line="360" w:lineRule="auto"/>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构成竞争性磋商文件组成部分的“通用合同条款”“专用合同条款”“技术标准和要求”等章节中出现的措辞“发包人”和“承包人”，在招标磋商阶段应当分别按“采购人”和“响应人”进行理解。</w:t>
            </w:r>
          </w:p>
        </w:tc>
      </w:tr>
      <w:tr w14:paraId="179D2DB7">
        <w:tblPrEx>
          <w:tblCellMar>
            <w:top w:w="0" w:type="dxa"/>
            <w:left w:w="108" w:type="dxa"/>
            <w:bottom w:w="0" w:type="dxa"/>
            <w:right w:w="108" w:type="dxa"/>
          </w:tblCellMar>
        </w:tblPrEx>
        <w:trPr>
          <w:gridAfter w:val="3"/>
          <w:wAfter w:w="16115"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0FC386EE">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49</w:t>
            </w:r>
          </w:p>
        </w:tc>
        <w:tc>
          <w:tcPr>
            <w:tcW w:w="2175" w:type="dxa"/>
            <w:tcBorders>
              <w:top w:val="single" w:color="auto" w:sz="6" w:space="0"/>
              <w:left w:val="single" w:color="auto" w:sz="6" w:space="0"/>
              <w:bottom w:val="single" w:color="auto" w:sz="6" w:space="0"/>
              <w:right w:val="single" w:color="auto" w:sz="6" w:space="0"/>
            </w:tcBorders>
            <w:vAlign w:val="center"/>
          </w:tcPr>
          <w:p w14:paraId="5B1C1CCB">
            <w:pPr>
              <w:spacing w:line="400" w:lineRule="exact"/>
              <w:jc w:val="center"/>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监督</w:t>
            </w:r>
          </w:p>
        </w:tc>
        <w:tc>
          <w:tcPr>
            <w:tcW w:w="7079" w:type="dxa"/>
            <w:tcBorders>
              <w:top w:val="single" w:color="auto" w:sz="6" w:space="0"/>
              <w:left w:val="single" w:color="auto" w:sz="6" w:space="0"/>
              <w:bottom w:val="single" w:color="auto" w:sz="6" w:space="0"/>
              <w:right w:val="single" w:color="auto" w:sz="12" w:space="0"/>
            </w:tcBorders>
            <w:vAlign w:val="center"/>
          </w:tcPr>
          <w:p w14:paraId="60898AC2">
            <w:pPr>
              <w:spacing w:line="360" w:lineRule="auto"/>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本项目的招标磋商活动及其相关当事人应当接受有管辖权的招标投标行政监督部门依法实施的监督。</w:t>
            </w:r>
          </w:p>
        </w:tc>
      </w:tr>
      <w:tr w14:paraId="1B6CECC5">
        <w:tblPrEx>
          <w:tblCellMar>
            <w:top w:w="0" w:type="dxa"/>
            <w:left w:w="108" w:type="dxa"/>
            <w:bottom w:w="0" w:type="dxa"/>
            <w:right w:w="108" w:type="dxa"/>
          </w:tblCellMar>
        </w:tblPrEx>
        <w:trPr>
          <w:gridAfter w:val="3"/>
          <w:wAfter w:w="16115" w:type="dxa"/>
          <w:trHeight w:val="770" w:hRule="atLeast"/>
        </w:trPr>
        <w:tc>
          <w:tcPr>
            <w:tcW w:w="862" w:type="dxa"/>
            <w:tcBorders>
              <w:top w:val="single" w:color="auto" w:sz="6" w:space="0"/>
              <w:left w:val="single" w:color="auto" w:sz="12" w:space="0"/>
              <w:bottom w:val="single" w:color="auto" w:sz="12" w:space="0"/>
              <w:right w:val="single" w:color="auto" w:sz="6" w:space="0"/>
            </w:tcBorders>
            <w:vAlign w:val="center"/>
          </w:tcPr>
          <w:p w14:paraId="03EF74EA">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50</w:t>
            </w:r>
          </w:p>
        </w:tc>
        <w:tc>
          <w:tcPr>
            <w:tcW w:w="2175" w:type="dxa"/>
            <w:tcBorders>
              <w:top w:val="single" w:color="auto" w:sz="6" w:space="0"/>
              <w:left w:val="single" w:color="auto" w:sz="6" w:space="0"/>
              <w:bottom w:val="single" w:color="auto" w:sz="12" w:space="0"/>
              <w:right w:val="single" w:color="auto" w:sz="6" w:space="0"/>
            </w:tcBorders>
            <w:vAlign w:val="center"/>
          </w:tcPr>
          <w:p w14:paraId="1464E7AA">
            <w:pPr>
              <w:widowControl w:val="0"/>
              <w:adjustRightInd w:val="0"/>
              <w:spacing w:line="360" w:lineRule="auto"/>
              <w:jc w:val="center"/>
              <w:rPr>
                <w:rFonts w:hint="eastAsia" w:ascii="宋体" w:hAnsi="宋体" w:cs="宋体"/>
                <w:color w:val="auto"/>
                <w:spacing w:val="6"/>
                <w:kern w:val="2"/>
                <w:sz w:val="24"/>
                <w:szCs w:val="24"/>
                <w:highlight w:val="none"/>
              </w:rPr>
            </w:pPr>
            <w:r>
              <w:rPr>
                <w:rFonts w:ascii="宋体" w:hAnsi="宋体" w:cs="宋体"/>
                <w:b/>
                <w:color w:val="auto"/>
                <w:kern w:val="2"/>
                <w:sz w:val="24"/>
                <w:szCs w:val="24"/>
                <w:highlight w:val="none"/>
              </w:rPr>
              <w:t>电子化注意事项</w:t>
            </w:r>
          </w:p>
        </w:tc>
        <w:tc>
          <w:tcPr>
            <w:tcW w:w="7079" w:type="dxa"/>
            <w:tcBorders>
              <w:top w:val="single" w:color="auto" w:sz="6" w:space="0"/>
              <w:left w:val="single" w:color="auto" w:sz="6" w:space="0"/>
              <w:bottom w:val="single" w:color="auto" w:sz="12" w:space="0"/>
              <w:right w:val="single" w:color="auto" w:sz="12" w:space="0"/>
            </w:tcBorders>
            <w:vAlign w:val="center"/>
          </w:tcPr>
          <w:p w14:paraId="7E181023">
            <w:pPr>
              <w:widowControl w:val="0"/>
              <w:spacing w:line="360" w:lineRule="auto"/>
              <w:jc w:val="both"/>
              <w:rPr>
                <w:rFonts w:hint="eastAsia" w:ascii="宋体" w:hAnsi="宋体"/>
                <w:b/>
                <w:color w:val="auto"/>
                <w:kern w:val="2"/>
                <w:sz w:val="24"/>
                <w:szCs w:val="24"/>
                <w:highlight w:val="none"/>
              </w:rPr>
            </w:pPr>
            <w:r>
              <w:rPr>
                <w:rFonts w:ascii="宋体" w:hAnsi="宋体" w:cs="宋体"/>
                <w:b/>
                <w:color w:val="auto"/>
                <w:kern w:val="2"/>
                <w:sz w:val="24"/>
                <w:szCs w:val="24"/>
                <w:highlight w:val="none"/>
              </w:rPr>
              <w:t>电子化交易项目竞争性磋商响应文件</w:t>
            </w:r>
            <w:r>
              <w:rPr>
                <w:rFonts w:hint="eastAsia" w:ascii="宋体" w:hAnsi="宋体" w:cs="宋体"/>
                <w:b/>
                <w:color w:val="auto"/>
                <w:kern w:val="2"/>
                <w:sz w:val="24"/>
                <w:szCs w:val="24"/>
                <w:highlight w:val="none"/>
              </w:rPr>
              <w:t>是</w:t>
            </w:r>
            <w:r>
              <w:rPr>
                <w:rFonts w:ascii="宋体" w:hAnsi="宋体" w:cs="宋体"/>
                <w:b/>
                <w:color w:val="auto"/>
                <w:kern w:val="2"/>
                <w:sz w:val="24"/>
                <w:szCs w:val="24"/>
                <w:highlight w:val="none"/>
              </w:rPr>
              <w:t>供应商通过中心制作系统制作，并经过签章和加密后生成的电子版响应文件。</w:t>
            </w:r>
            <w:r>
              <w:rPr>
                <w:rFonts w:hint="eastAsia" w:ascii="宋体" w:hAnsi="宋体" w:cs="宋体"/>
                <w:b/>
                <w:color w:val="auto"/>
                <w:kern w:val="2"/>
                <w:sz w:val="24"/>
                <w:szCs w:val="24"/>
                <w:highlight w:val="none"/>
              </w:rPr>
              <w:t>开</w:t>
            </w:r>
            <w:r>
              <w:rPr>
                <w:rFonts w:ascii="宋体" w:hAnsi="宋体" w:cs="宋体"/>
                <w:b/>
                <w:color w:val="auto"/>
                <w:kern w:val="2"/>
                <w:sz w:val="24"/>
                <w:szCs w:val="24"/>
                <w:highlight w:val="none"/>
              </w:rPr>
              <w:t>标时，将不再接受任何纸质文件资料。</w:t>
            </w:r>
          </w:p>
          <w:p w14:paraId="7C30156F">
            <w:pPr>
              <w:widowControl w:val="0"/>
              <w:spacing w:line="360" w:lineRule="auto"/>
              <w:jc w:val="both"/>
              <w:rPr>
                <w:rFonts w:hint="eastAsia" w:ascii="宋体" w:hAnsi="宋体"/>
                <w:color w:val="auto"/>
                <w:kern w:val="2"/>
                <w:sz w:val="24"/>
                <w:szCs w:val="24"/>
                <w:highlight w:val="none"/>
              </w:rPr>
            </w:pPr>
            <w:r>
              <w:rPr>
                <w:rFonts w:ascii="宋体" w:hAnsi="宋体" w:cs="宋体"/>
                <w:color w:val="auto"/>
                <w:kern w:val="2"/>
                <w:sz w:val="24"/>
                <w:szCs w:val="24"/>
                <w:highlight w:val="none"/>
              </w:rPr>
              <w:t>电子化响应文件具体制作教材请</w:t>
            </w:r>
            <w:r>
              <w:rPr>
                <w:rFonts w:hint="eastAsia" w:ascii="宋体" w:hAnsi="宋体" w:cs="宋体"/>
                <w:color w:val="auto"/>
                <w:kern w:val="2"/>
                <w:sz w:val="24"/>
                <w:szCs w:val="24"/>
                <w:highlight w:val="none"/>
              </w:rPr>
              <w:t>供应商</w:t>
            </w:r>
            <w:r>
              <w:rPr>
                <w:rFonts w:ascii="宋体" w:hAnsi="宋体" w:cs="宋体"/>
                <w:color w:val="auto"/>
                <w:kern w:val="2"/>
                <w:sz w:val="24"/>
                <w:szCs w:val="24"/>
                <w:highlight w:val="none"/>
              </w:rPr>
              <w:t>通过</w:t>
            </w:r>
            <w:r>
              <w:rPr>
                <w:rFonts w:ascii="宋体" w:hAnsi="宋体"/>
                <w:color w:val="auto"/>
                <w:kern w:val="2"/>
                <w:sz w:val="24"/>
                <w:szCs w:val="24"/>
                <w:highlight w:val="none"/>
              </w:rPr>
              <w:t>CA</w:t>
            </w:r>
            <w:r>
              <w:rPr>
                <w:rFonts w:ascii="宋体" w:hAnsi="宋体" w:cs="宋体"/>
                <w:color w:val="auto"/>
                <w:kern w:val="2"/>
                <w:sz w:val="24"/>
                <w:szCs w:val="24"/>
                <w:highlight w:val="none"/>
              </w:rPr>
              <w:t>证书登录三门峡市公共资源电子化交易系统在“组建下载”中查看。</w:t>
            </w:r>
          </w:p>
          <w:p w14:paraId="5BB333F1">
            <w:pPr>
              <w:widowControl w:val="0"/>
              <w:spacing w:line="360" w:lineRule="auto"/>
              <w:jc w:val="both"/>
              <w:rPr>
                <w:rFonts w:hint="eastAsia" w:ascii="宋体" w:hAnsi="宋体"/>
                <w:color w:val="auto"/>
                <w:kern w:val="2"/>
                <w:sz w:val="24"/>
                <w:szCs w:val="24"/>
                <w:highlight w:val="none"/>
              </w:rPr>
            </w:pPr>
            <w:r>
              <w:rPr>
                <w:rFonts w:ascii="宋体" w:hAnsi="宋体" w:cs="宋体"/>
                <w:b/>
                <w:color w:val="auto"/>
                <w:kern w:val="2"/>
                <w:sz w:val="24"/>
                <w:szCs w:val="24"/>
                <w:highlight w:val="none"/>
              </w:rPr>
              <w:t>温馨提示：本项目为电子化、无纸化交易项目，开标时不接受任何纸质资料，为保证您能</w:t>
            </w:r>
            <w:r>
              <w:rPr>
                <w:rFonts w:hint="eastAsia" w:ascii="宋体" w:hAnsi="宋体" w:cs="宋体"/>
                <w:b/>
                <w:color w:val="auto"/>
                <w:kern w:val="2"/>
                <w:sz w:val="24"/>
                <w:szCs w:val="24"/>
                <w:highlight w:val="none"/>
              </w:rPr>
              <w:t>开</w:t>
            </w:r>
            <w:r>
              <w:rPr>
                <w:rFonts w:ascii="宋体" w:hAnsi="宋体" w:cs="宋体"/>
                <w:b/>
                <w:color w:val="auto"/>
                <w:kern w:val="2"/>
                <w:sz w:val="24"/>
                <w:szCs w:val="24"/>
                <w:highlight w:val="none"/>
              </w:rPr>
              <w:t>标成功，请需仔细阅读以下条款。</w:t>
            </w:r>
          </w:p>
          <w:p w14:paraId="04DC7EB2">
            <w:pPr>
              <w:widowControl w:val="0"/>
              <w:spacing w:line="360" w:lineRule="auto"/>
              <w:jc w:val="both"/>
              <w:rPr>
                <w:rFonts w:hint="eastAsia" w:ascii="宋体" w:hAnsi="宋体" w:cs="宋体"/>
                <w:b/>
                <w:color w:val="auto"/>
                <w:kern w:val="2"/>
                <w:sz w:val="24"/>
                <w:szCs w:val="24"/>
                <w:highlight w:val="none"/>
              </w:rPr>
            </w:pPr>
            <w:r>
              <w:rPr>
                <w:rFonts w:ascii="宋体" w:hAnsi="宋体" w:cs="宋体"/>
                <w:b/>
                <w:color w:val="auto"/>
                <w:kern w:val="2"/>
                <w:sz w:val="24"/>
                <w:szCs w:val="24"/>
                <w:highlight w:val="none"/>
              </w:rPr>
              <w:t>一、电子化投标</w:t>
            </w:r>
          </w:p>
          <w:p w14:paraId="19F5137C">
            <w:pPr>
              <w:widowControl w:val="0"/>
              <w:spacing w:line="360" w:lineRule="auto"/>
              <w:jc w:val="both"/>
              <w:rPr>
                <w:rFonts w:hint="eastAsia" w:ascii="宋体" w:hAnsi="宋体" w:cs="宋体"/>
                <w:color w:val="auto"/>
                <w:kern w:val="2"/>
                <w:sz w:val="24"/>
                <w:szCs w:val="24"/>
                <w:highlight w:val="none"/>
              </w:rPr>
            </w:pPr>
            <w:r>
              <w:rPr>
                <w:rFonts w:ascii="宋体" w:hAnsi="宋体" w:cs="宋体"/>
                <w:color w:val="auto"/>
                <w:kern w:val="2"/>
                <w:sz w:val="24"/>
                <w:szCs w:val="24"/>
                <w:highlight w:val="none"/>
              </w:rPr>
              <w:t>（一）网上投标保证金的缴纳</w:t>
            </w:r>
          </w:p>
          <w:p w14:paraId="69F944F3">
            <w:pPr>
              <w:spacing w:line="360" w:lineRule="auto"/>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按照《河南省财政厅关于优化政府采购营商环境有关问题的通知》（豫财购[2019]4号文）的要求本项目不再收取磋商保证金；</w:t>
            </w:r>
          </w:p>
          <w:p w14:paraId="1AD7145E">
            <w:pPr>
              <w:spacing w:line="360" w:lineRule="auto"/>
              <w:jc w:val="both"/>
              <w:rPr>
                <w:rFonts w:hint="eastAsia" w:ascii="宋体" w:hAnsi="宋体" w:cs="宋体"/>
                <w:color w:val="auto"/>
                <w:kern w:val="2"/>
                <w:sz w:val="24"/>
                <w:szCs w:val="24"/>
                <w:highlight w:val="none"/>
              </w:rPr>
            </w:pPr>
            <w:r>
              <w:rPr>
                <w:rFonts w:ascii="宋体" w:hAnsi="宋体" w:cs="宋体"/>
                <w:color w:val="auto"/>
                <w:kern w:val="2"/>
                <w:sz w:val="24"/>
                <w:szCs w:val="24"/>
                <w:highlight w:val="none"/>
              </w:rPr>
              <w:t>（二）电子化响应文件的签章</w:t>
            </w:r>
          </w:p>
          <w:p w14:paraId="483517D0">
            <w:pPr>
              <w:spacing w:line="360" w:lineRule="auto"/>
              <w:jc w:val="both"/>
              <w:rPr>
                <w:rFonts w:hint="eastAsia" w:ascii="宋体" w:hAnsi="宋体" w:cs="宋体"/>
                <w:color w:val="auto"/>
                <w:kern w:val="2"/>
                <w:sz w:val="24"/>
                <w:szCs w:val="24"/>
                <w:highlight w:val="none"/>
              </w:rPr>
            </w:pPr>
            <w:r>
              <w:rPr>
                <w:rFonts w:ascii="宋体" w:hAnsi="宋体" w:cs="宋体"/>
                <w:color w:val="auto"/>
                <w:kern w:val="2"/>
                <w:sz w:val="24"/>
                <w:szCs w:val="24"/>
                <w:highlight w:val="none"/>
              </w:rPr>
              <w:t>1、</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在生成电子化响应文件后，应对电子化响应文件进行签章，未进行签章的视为无效</w:t>
            </w:r>
            <w:r>
              <w:rPr>
                <w:rFonts w:hint="eastAsia" w:ascii="宋体" w:hAnsi="宋体" w:cs="宋体"/>
                <w:color w:val="auto"/>
                <w:kern w:val="2"/>
                <w:sz w:val="24"/>
                <w:szCs w:val="24"/>
                <w:highlight w:val="none"/>
              </w:rPr>
              <w:t>文件</w:t>
            </w:r>
            <w:r>
              <w:rPr>
                <w:rFonts w:ascii="宋体" w:hAnsi="宋体" w:cs="宋体"/>
                <w:color w:val="auto"/>
                <w:kern w:val="2"/>
                <w:sz w:val="24"/>
                <w:szCs w:val="24"/>
                <w:highlight w:val="none"/>
              </w:rPr>
              <w:t>。</w:t>
            </w:r>
          </w:p>
          <w:p w14:paraId="37DF7336">
            <w:pPr>
              <w:spacing w:line="360" w:lineRule="auto"/>
              <w:jc w:val="both"/>
              <w:rPr>
                <w:rFonts w:hint="eastAsia" w:ascii="宋体" w:hAnsi="宋体" w:cs="宋体"/>
                <w:color w:val="auto"/>
                <w:kern w:val="2"/>
                <w:sz w:val="24"/>
                <w:szCs w:val="24"/>
                <w:highlight w:val="none"/>
              </w:rPr>
            </w:pPr>
            <w:r>
              <w:rPr>
                <w:rFonts w:ascii="宋体" w:hAnsi="宋体" w:cs="宋体"/>
                <w:color w:val="auto"/>
                <w:kern w:val="2"/>
                <w:sz w:val="24"/>
                <w:szCs w:val="24"/>
                <w:highlight w:val="none"/>
              </w:rPr>
              <w:t>2、</w:t>
            </w:r>
            <w:r>
              <w:rPr>
                <w:rFonts w:hint="eastAsia" w:ascii="宋体" w:hAnsi="宋体" w:cs="宋体"/>
                <w:color w:val="auto"/>
                <w:kern w:val="2"/>
                <w:sz w:val="24"/>
                <w:szCs w:val="24"/>
                <w:highlight w:val="none"/>
              </w:rPr>
              <w:t>磋商</w:t>
            </w:r>
            <w:r>
              <w:rPr>
                <w:rFonts w:ascii="宋体" w:hAnsi="宋体" w:cs="宋体"/>
                <w:color w:val="auto"/>
                <w:kern w:val="2"/>
                <w:sz w:val="24"/>
                <w:szCs w:val="24"/>
                <w:highlight w:val="none"/>
              </w:rPr>
              <w:t>文件中要求法定代表人或授权委托人签字或盖章的，</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在进行电子化响应文件</w:t>
            </w:r>
            <w:r>
              <w:rPr>
                <w:rFonts w:hint="eastAsia" w:ascii="宋体" w:hAnsi="宋体" w:cs="宋体"/>
                <w:color w:val="auto"/>
                <w:kern w:val="2"/>
                <w:sz w:val="24"/>
                <w:szCs w:val="24"/>
                <w:highlight w:val="none"/>
              </w:rPr>
              <w:t>需逐页</w:t>
            </w:r>
            <w:r>
              <w:rPr>
                <w:rFonts w:ascii="宋体" w:hAnsi="宋体" w:cs="宋体"/>
                <w:color w:val="auto"/>
                <w:kern w:val="2"/>
                <w:sz w:val="24"/>
                <w:szCs w:val="24"/>
                <w:highlight w:val="none"/>
              </w:rPr>
              <w:t>签章</w:t>
            </w:r>
            <w:r>
              <w:rPr>
                <w:rFonts w:hint="eastAsia" w:ascii="宋体" w:hAnsi="宋体" w:cs="宋体"/>
                <w:color w:val="auto"/>
                <w:kern w:val="2"/>
                <w:sz w:val="24"/>
                <w:szCs w:val="24"/>
                <w:highlight w:val="none"/>
                <w:lang w:eastAsia="zh-CN"/>
              </w:rPr>
              <w:t>，</w:t>
            </w:r>
            <w:r>
              <w:rPr>
                <w:rFonts w:ascii="宋体" w:hAnsi="宋体" w:cs="宋体"/>
                <w:color w:val="auto"/>
                <w:kern w:val="2"/>
                <w:sz w:val="24"/>
                <w:szCs w:val="24"/>
                <w:highlight w:val="none"/>
              </w:rPr>
              <w:t>签章时以签盖法定代表人签章为准。电子化响应文件具体制作教材请</w:t>
            </w:r>
            <w:r>
              <w:rPr>
                <w:rFonts w:hint="eastAsia" w:ascii="宋体" w:hAnsi="宋体" w:cs="宋体"/>
                <w:color w:val="auto"/>
                <w:kern w:val="2"/>
                <w:sz w:val="24"/>
                <w:szCs w:val="24"/>
                <w:highlight w:val="none"/>
              </w:rPr>
              <w:t>供应商</w:t>
            </w:r>
            <w:r>
              <w:rPr>
                <w:rFonts w:ascii="宋体" w:hAnsi="宋体" w:cs="宋体"/>
                <w:color w:val="auto"/>
                <w:kern w:val="2"/>
                <w:sz w:val="24"/>
                <w:szCs w:val="24"/>
                <w:highlight w:val="none"/>
              </w:rPr>
              <w:t>通过CA证书登录三门峡市公共资源电子化交易系统在右上角“组建下载”中查看。</w:t>
            </w:r>
          </w:p>
          <w:p w14:paraId="1253A0A2">
            <w:pPr>
              <w:spacing w:line="360" w:lineRule="auto"/>
              <w:jc w:val="both"/>
              <w:rPr>
                <w:rFonts w:hint="eastAsia" w:ascii="宋体" w:hAnsi="宋体" w:cs="宋体"/>
                <w:color w:val="auto"/>
                <w:kern w:val="2"/>
                <w:sz w:val="24"/>
                <w:szCs w:val="24"/>
                <w:highlight w:val="none"/>
              </w:rPr>
            </w:pPr>
            <w:r>
              <w:rPr>
                <w:rFonts w:ascii="宋体" w:hAnsi="宋体" w:cs="宋体"/>
                <w:color w:val="auto"/>
                <w:kern w:val="2"/>
                <w:sz w:val="24"/>
                <w:szCs w:val="24"/>
                <w:highlight w:val="none"/>
              </w:rPr>
              <w:t>（三）电子化响应文件的格式及上传投标</w:t>
            </w:r>
          </w:p>
          <w:p w14:paraId="2D461B4E">
            <w:pPr>
              <w:spacing w:line="360" w:lineRule="auto"/>
              <w:jc w:val="both"/>
              <w:rPr>
                <w:rFonts w:hint="eastAsia" w:ascii="宋体" w:hAnsi="宋体" w:cs="宋体"/>
                <w:color w:val="auto"/>
                <w:kern w:val="2"/>
                <w:sz w:val="24"/>
                <w:szCs w:val="24"/>
                <w:highlight w:val="none"/>
              </w:rPr>
            </w:pPr>
            <w:r>
              <w:rPr>
                <w:rFonts w:ascii="宋体" w:hAnsi="宋体" w:cs="宋体"/>
                <w:color w:val="auto"/>
                <w:kern w:val="2"/>
                <w:sz w:val="24"/>
                <w:szCs w:val="24"/>
                <w:highlight w:val="none"/>
              </w:rPr>
              <w:t>1、</w:t>
            </w:r>
            <w:r>
              <w:rPr>
                <w:rFonts w:hint="eastAsia" w:ascii="宋体" w:hAnsi="宋体" w:cs="宋体"/>
                <w:color w:val="auto"/>
                <w:kern w:val="2"/>
                <w:sz w:val="24"/>
                <w:szCs w:val="24"/>
                <w:highlight w:val="none"/>
              </w:rPr>
              <w:t>供应商</w:t>
            </w:r>
            <w:r>
              <w:rPr>
                <w:rFonts w:ascii="宋体" w:hAnsi="宋体" w:cs="宋体"/>
                <w:color w:val="auto"/>
                <w:kern w:val="2"/>
                <w:sz w:val="24"/>
                <w:szCs w:val="24"/>
                <w:highlight w:val="none"/>
              </w:rPr>
              <w:t>所上传的电子化响应文件，应是通过中心响应文件制作系统制作的，经过签章和加密后生成的电子版响应文件。</w:t>
            </w:r>
            <w:r>
              <w:rPr>
                <w:rFonts w:hint="eastAsia" w:ascii="宋体" w:hAnsi="宋体" w:cs="宋体"/>
                <w:color w:val="auto"/>
                <w:kern w:val="2"/>
                <w:sz w:val="24"/>
                <w:szCs w:val="24"/>
                <w:highlight w:val="none"/>
              </w:rPr>
              <w:t>上传响应文件格式后缀为SMXTF，上传完后，建议验证CA 锁是否正常</w:t>
            </w:r>
          </w:p>
          <w:p w14:paraId="75923881">
            <w:pPr>
              <w:widowControl w:val="0"/>
              <w:snapToGrid w:val="0"/>
              <w:spacing w:line="360" w:lineRule="auto"/>
              <w:jc w:val="both"/>
              <w:rPr>
                <w:rFonts w:hint="eastAsia" w:ascii="宋体" w:hAnsi="宋体"/>
                <w:bCs/>
                <w:color w:val="auto"/>
                <w:kern w:val="2"/>
                <w:sz w:val="24"/>
                <w:szCs w:val="24"/>
                <w:highlight w:val="none"/>
              </w:rPr>
            </w:pPr>
            <w:r>
              <w:rPr>
                <w:rFonts w:ascii="宋体" w:hAnsi="宋体" w:cs="宋体"/>
                <w:bCs/>
                <w:color w:val="auto"/>
                <w:kern w:val="2"/>
                <w:sz w:val="24"/>
                <w:szCs w:val="24"/>
                <w:highlight w:val="none"/>
              </w:rPr>
              <w:t>注：</w:t>
            </w:r>
            <w:r>
              <w:rPr>
                <w:rFonts w:hint="eastAsia" w:ascii="宋体" w:hAnsi="宋体" w:cs="宋体"/>
                <w:bCs/>
                <w:color w:val="auto"/>
                <w:kern w:val="2"/>
                <w:sz w:val="24"/>
                <w:szCs w:val="24"/>
                <w:highlight w:val="none"/>
              </w:rPr>
              <w:t>供应商投报多个标段的，每个标段均要生成独立的电子响应文件。</w:t>
            </w:r>
          </w:p>
          <w:p w14:paraId="058E9D69">
            <w:pPr>
              <w:widowControl w:val="0"/>
              <w:snapToGrid w:val="0"/>
              <w:spacing w:line="360" w:lineRule="auto"/>
              <w:jc w:val="both"/>
              <w:rPr>
                <w:rFonts w:hint="eastAsia" w:ascii="宋体" w:hAnsi="宋体"/>
                <w:color w:val="auto"/>
                <w:kern w:val="2"/>
                <w:sz w:val="24"/>
                <w:szCs w:val="24"/>
                <w:highlight w:val="none"/>
              </w:rPr>
            </w:pPr>
            <w:r>
              <w:rPr>
                <w:rFonts w:ascii="宋体" w:hAnsi="宋体"/>
                <w:color w:val="auto"/>
                <w:kern w:val="2"/>
                <w:sz w:val="24"/>
                <w:szCs w:val="24"/>
                <w:highlight w:val="none"/>
              </w:rPr>
              <w:t>2</w:t>
            </w:r>
            <w:r>
              <w:rPr>
                <w:rFonts w:ascii="宋体" w:hAnsi="宋体" w:cs="宋体"/>
                <w:color w:val="auto"/>
                <w:kern w:val="2"/>
                <w:sz w:val="24"/>
                <w:szCs w:val="24"/>
                <w:highlight w:val="none"/>
              </w:rPr>
              <w:t>、电子化响应文件应在</w:t>
            </w:r>
            <w:r>
              <w:rPr>
                <w:rFonts w:hint="eastAsia" w:ascii="宋体" w:hAnsi="宋体" w:cs="宋体"/>
                <w:color w:val="auto"/>
                <w:kern w:val="2"/>
                <w:sz w:val="24"/>
                <w:szCs w:val="24"/>
                <w:highlight w:val="none"/>
              </w:rPr>
              <w:t>递交</w:t>
            </w:r>
            <w:r>
              <w:rPr>
                <w:rFonts w:ascii="宋体" w:hAnsi="宋体" w:cs="宋体"/>
                <w:color w:val="auto"/>
                <w:kern w:val="2"/>
                <w:sz w:val="24"/>
                <w:szCs w:val="24"/>
                <w:highlight w:val="none"/>
              </w:rPr>
              <w:t>截止时间前成功上传至三门峡市公共资源电子化交易系统。至</w:t>
            </w:r>
            <w:r>
              <w:rPr>
                <w:rFonts w:hint="eastAsia" w:ascii="宋体" w:hAnsi="宋体" w:cs="宋体"/>
                <w:color w:val="auto"/>
                <w:kern w:val="2"/>
                <w:sz w:val="24"/>
                <w:szCs w:val="24"/>
                <w:highlight w:val="none"/>
              </w:rPr>
              <w:t>开标</w:t>
            </w:r>
            <w:r>
              <w:rPr>
                <w:rFonts w:ascii="宋体" w:hAnsi="宋体" w:cs="宋体"/>
                <w:color w:val="auto"/>
                <w:kern w:val="2"/>
                <w:sz w:val="24"/>
                <w:szCs w:val="24"/>
                <w:highlight w:val="none"/>
              </w:rPr>
              <w:t>截止时间止，仍未上传成功的电子化响应文件将不予接收。</w:t>
            </w:r>
          </w:p>
          <w:p w14:paraId="4B397207">
            <w:pPr>
              <w:widowControl w:val="0"/>
              <w:snapToGrid w:val="0"/>
              <w:spacing w:line="360" w:lineRule="auto"/>
              <w:jc w:val="both"/>
              <w:rPr>
                <w:rFonts w:hint="eastAsia" w:ascii="宋体" w:hAnsi="宋体"/>
                <w:color w:val="auto"/>
                <w:kern w:val="2"/>
                <w:sz w:val="24"/>
                <w:szCs w:val="24"/>
                <w:highlight w:val="none"/>
              </w:rPr>
            </w:pPr>
            <w:r>
              <w:rPr>
                <w:rFonts w:ascii="宋体" w:hAnsi="宋体" w:cs="宋体"/>
                <w:b/>
                <w:color w:val="auto"/>
                <w:kern w:val="2"/>
                <w:sz w:val="24"/>
                <w:szCs w:val="24"/>
                <w:highlight w:val="none"/>
              </w:rPr>
              <w:t>注</w:t>
            </w:r>
            <w:r>
              <w:rPr>
                <w:rFonts w:hint="eastAsia" w:ascii="宋体" w:hAnsi="宋体" w:cs="宋体"/>
                <w:b/>
                <w:color w:val="auto"/>
                <w:kern w:val="2"/>
                <w:sz w:val="24"/>
                <w:szCs w:val="24"/>
                <w:highlight w:val="none"/>
                <w:lang w:eastAsia="zh-CN"/>
              </w:rPr>
              <w:t>：</w:t>
            </w:r>
            <w:r>
              <w:rPr>
                <w:rFonts w:ascii="宋体" w:hAnsi="宋体" w:cs="宋体"/>
                <w:color w:val="auto"/>
                <w:kern w:val="2"/>
                <w:sz w:val="24"/>
                <w:szCs w:val="24"/>
                <w:highlight w:val="none"/>
              </w:rPr>
              <w:t>如按照电子化投标操作教材制作完成的电子化响应文件无法上传的，</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应在</w:t>
            </w:r>
            <w:r>
              <w:rPr>
                <w:rFonts w:hint="eastAsia" w:ascii="宋体" w:hAnsi="宋体" w:cs="宋体"/>
                <w:color w:val="auto"/>
                <w:kern w:val="2"/>
                <w:sz w:val="24"/>
                <w:szCs w:val="24"/>
                <w:highlight w:val="none"/>
              </w:rPr>
              <w:t>开标</w:t>
            </w:r>
            <w:r>
              <w:rPr>
                <w:rFonts w:ascii="宋体" w:hAnsi="宋体" w:cs="宋体"/>
                <w:bCs/>
                <w:color w:val="auto"/>
                <w:kern w:val="2"/>
                <w:sz w:val="24"/>
                <w:szCs w:val="24"/>
                <w:highlight w:val="none"/>
              </w:rPr>
              <w:t>截止时间前尽早的联系中</w:t>
            </w:r>
            <w:r>
              <w:rPr>
                <w:rFonts w:ascii="宋体" w:hAnsi="宋体" w:cs="宋体"/>
                <w:color w:val="auto"/>
                <w:kern w:val="2"/>
                <w:sz w:val="24"/>
                <w:szCs w:val="24"/>
                <w:highlight w:val="none"/>
              </w:rPr>
              <w:t>心技术人员，以便有充分的时间进行处理。</w:t>
            </w:r>
            <w:r>
              <w:rPr>
                <w:rFonts w:hint="eastAsia" w:ascii="宋体" w:hAnsi="宋体" w:cs="宋体"/>
                <w:b/>
                <w:color w:val="auto"/>
                <w:kern w:val="2"/>
                <w:sz w:val="24"/>
                <w:szCs w:val="24"/>
                <w:highlight w:val="none"/>
              </w:rPr>
              <w:t>供应商</w:t>
            </w:r>
            <w:r>
              <w:rPr>
                <w:rFonts w:ascii="宋体" w:hAnsi="宋体" w:cs="宋体"/>
                <w:b/>
                <w:color w:val="auto"/>
                <w:kern w:val="2"/>
                <w:sz w:val="24"/>
                <w:szCs w:val="24"/>
                <w:highlight w:val="none"/>
              </w:rPr>
              <w:t>应充分考虑到处理技术问题和上传数据等工作所需的时间问题，响应文件未在</w:t>
            </w:r>
            <w:r>
              <w:rPr>
                <w:rFonts w:hint="eastAsia" w:ascii="宋体" w:hAnsi="宋体" w:cs="宋体"/>
                <w:b/>
                <w:color w:val="auto"/>
                <w:kern w:val="2"/>
                <w:sz w:val="24"/>
                <w:szCs w:val="24"/>
                <w:highlight w:val="none"/>
              </w:rPr>
              <w:t>开</w:t>
            </w:r>
            <w:r>
              <w:rPr>
                <w:rFonts w:ascii="宋体" w:hAnsi="宋体" w:cs="宋体"/>
                <w:b/>
                <w:color w:val="auto"/>
                <w:kern w:val="2"/>
                <w:sz w:val="24"/>
                <w:szCs w:val="24"/>
                <w:highlight w:val="none"/>
              </w:rPr>
              <w:t>标截止时间前成功上传的，其响应文件不予接收。</w:t>
            </w:r>
          </w:p>
          <w:p w14:paraId="75D848D0">
            <w:pPr>
              <w:widowControl w:val="0"/>
              <w:snapToGrid w:val="0"/>
              <w:spacing w:line="360" w:lineRule="auto"/>
              <w:jc w:val="both"/>
              <w:rPr>
                <w:rFonts w:hint="eastAsia" w:ascii="宋体" w:hAnsi="宋体"/>
                <w:color w:val="auto"/>
                <w:kern w:val="2"/>
                <w:sz w:val="24"/>
                <w:szCs w:val="24"/>
                <w:highlight w:val="none"/>
              </w:rPr>
            </w:pPr>
            <w:r>
              <w:rPr>
                <w:rFonts w:ascii="宋体" w:hAnsi="宋体" w:cs="宋体"/>
                <w:color w:val="auto"/>
                <w:kern w:val="2"/>
                <w:sz w:val="24"/>
                <w:szCs w:val="24"/>
                <w:highlight w:val="none"/>
              </w:rPr>
              <w:t>技术联系电话：</w:t>
            </w:r>
            <w:r>
              <w:rPr>
                <w:rFonts w:hint="eastAsia" w:ascii="宋体" w:hAnsi="宋体"/>
                <w:color w:val="auto"/>
                <w:kern w:val="2"/>
                <w:sz w:val="24"/>
                <w:szCs w:val="24"/>
                <w:highlight w:val="none"/>
              </w:rPr>
              <w:t>400 998 0000</w:t>
            </w:r>
          </w:p>
          <w:p w14:paraId="056E3E57">
            <w:pPr>
              <w:widowControl w:val="0"/>
              <w:snapToGrid w:val="0"/>
              <w:spacing w:line="360" w:lineRule="auto"/>
              <w:jc w:val="both"/>
              <w:rPr>
                <w:rFonts w:hint="eastAsia" w:ascii="宋体" w:hAnsi="宋体"/>
                <w:color w:val="auto"/>
                <w:kern w:val="2"/>
                <w:sz w:val="24"/>
                <w:szCs w:val="24"/>
                <w:highlight w:val="none"/>
              </w:rPr>
            </w:pPr>
            <w:r>
              <w:rPr>
                <w:rFonts w:ascii="宋体" w:hAnsi="宋体" w:cs="宋体"/>
                <w:color w:val="auto"/>
                <w:kern w:val="2"/>
                <w:sz w:val="24"/>
                <w:szCs w:val="24"/>
                <w:highlight w:val="none"/>
              </w:rPr>
              <w:t>（四）电子化项目开标、解密、唱标、</w:t>
            </w:r>
            <w:r>
              <w:rPr>
                <w:rFonts w:hint="eastAsia" w:ascii="宋体" w:hAnsi="宋体" w:cs="宋体"/>
                <w:color w:val="auto"/>
                <w:kern w:val="2"/>
                <w:sz w:val="24"/>
                <w:szCs w:val="24"/>
                <w:highlight w:val="none"/>
              </w:rPr>
              <w:t>磋商</w:t>
            </w:r>
          </w:p>
          <w:p w14:paraId="715A3CEF">
            <w:pPr>
              <w:widowControl w:val="0"/>
              <w:snapToGrid w:val="0"/>
              <w:spacing w:line="360" w:lineRule="auto"/>
              <w:jc w:val="both"/>
              <w:rPr>
                <w:rFonts w:hint="eastAsia" w:ascii="宋体" w:hAnsi="宋体" w:cs="宋体"/>
                <w:color w:val="auto"/>
                <w:kern w:val="2"/>
                <w:sz w:val="24"/>
                <w:szCs w:val="24"/>
                <w:highlight w:val="none"/>
              </w:rPr>
            </w:pPr>
            <w:r>
              <w:rPr>
                <w:rFonts w:ascii="宋体" w:hAnsi="宋体" w:cs="宋体"/>
                <w:color w:val="auto"/>
                <w:kern w:val="2"/>
                <w:sz w:val="24"/>
                <w:szCs w:val="24"/>
                <w:highlight w:val="none"/>
              </w:rPr>
              <w:t>1、</w:t>
            </w:r>
            <w:r>
              <w:rPr>
                <w:rFonts w:hint="eastAsia" w:ascii="宋体" w:hAnsi="宋体" w:cs="宋体"/>
                <w:color w:val="auto"/>
                <w:kern w:val="2"/>
                <w:sz w:val="24"/>
                <w:szCs w:val="24"/>
                <w:highlight w:val="none"/>
              </w:rPr>
              <w:t>本项目采用电子化、无纸化进行招标，开标当日，供应商无需到开标现场参加开标会议；</w:t>
            </w:r>
          </w:p>
          <w:p w14:paraId="2DE098E8">
            <w:pPr>
              <w:widowControl w:val="0"/>
              <w:snapToGrid w:val="0"/>
              <w:spacing w:line="360" w:lineRule="auto"/>
              <w:jc w:val="both"/>
              <w:rPr>
                <w:rFonts w:hint="eastAsia" w:ascii="宋体" w:hAnsi="宋体"/>
                <w:color w:val="auto"/>
                <w:kern w:val="2"/>
                <w:sz w:val="24"/>
                <w:szCs w:val="24"/>
                <w:highlight w:val="none"/>
              </w:rPr>
            </w:pPr>
            <w:r>
              <w:rPr>
                <w:rFonts w:ascii="宋体" w:hAnsi="宋体" w:cs="宋体"/>
                <w:color w:val="auto"/>
                <w:kern w:val="2"/>
                <w:sz w:val="24"/>
                <w:szCs w:val="24"/>
                <w:highlight w:val="none"/>
              </w:rPr>
              <w:t>2、开标时，</w:t>
            </w:r>
            <w:r>
              <w:rPr>
                <w:rFonts w:hint="eastAsia" w:ascii="宋体" w:hAnsi="宋体" w:cs="宋体"/>
                <w:color w:val="auto"/>
                <w:kern w:val="2"/>
                <w:sz w:val="24"/>
                <w:szCs w:val="24"/>
                <w:highlight w:val="none"/>
              </w:rPr>
              <w:t>登陆三门</w:t>
            </w:r>
            <w:r>
              <w:rPr>
                <w:rFonts w:hint="eastAsia" w:ascii="宋体" w:hAnsi="宋体"/>
                <w:color w:val="auto"/>
                <w:kern w:val="2"/>
                <w:sz w:val="24"/>
                <w:szCs w:val="24"/>
                <w:highlight w:val="none"/>
                <w:shd w:val="clear" w:color="auto" w:fill="FFFFFF"/>
              </w:rPr>
              <w:t>峡市公共资源电子招投标系统进行登陆（网址为</w:t>
            </w:r>
            <w:r>
              <w:rPr>
                <w:rFonts w:hint="eastAsia" w:ascii="宋体" w:hAnsi="宋体" w:cs="宋体"/>
                <w:color w:val="auto"/>
                <w:sz w:val="24"/>
                <w:szCs w:val="24"/>
                <w:highlight w:val="none"/>
                <w:lang w:bidi="ar"/>
              </w:rPr>
              <w:t>http://120.194.249.36:10094/BidOpening/bidopeninghallaction/hall/login</w:t>
            </w:r>
            <w:r>
              <w:rPr>
                <w:rFonts w:hint="eastAsia" w:ascii="宋体" w:hAnsi="宋体"/>
                <w:color w:val="auto"/>
                <w:kern w:val="2"/>
                <w:sz w:val="24"/>
                <w:szCs w:val="24"/>
                <w:highlight w:val="none"/>
                <w:shd w:val="clear" w:color="auto" w:fill="FFFFFF"/>
              </w:rPr>
              <w:t>）,在线准时参加开标活动并进行响应文件解密</w:t>
            </w:r>
            <w:r>
              <w:rPr>
                <w:rFonts w:ascii="宋体" w:hAnsi="宋体" w:cs="宋体"/>
                <w:color w:val="auto"/>
                <w:kern w:val="2"/>
                <w:sz w:val="24"/>
                <w:szCs w:val="24"/>
                <w:highlight w:val="none"/>
              </w:rPr>
              <w:t>。每位</w:t>
            </w:r>
            <w:r>
              <w:rPr>
                <w:rFonts w:hint="eastAsia" w:ascii="宋体" w:hAnsi="宋体" w:cs="宋体"/>
                <w:color w:val="auto"/>
                <w:kern w:val="2"/>
                <w:sz w:val="24"/>
                <w:szCs w:val="24"/>
                <w:highlight w:val="none"/>
              </w:rPr>
              <w:t>供应商</w:t>
            </w:r>
            <w:r>
              <w:rPr>
                <w:rFonts w:ascii="宋体" w:hAnsi="宋体" w:cs="宋体"/>
                <w:color w:val="auto"/>
                <w:kern w:val="2"/>
                <w:sz w:val="24"/>
                <w:szCs w:val="24"/>
                <w:highlight w:val="none"/>
              </w:rPr>
              <w:t>的解密时间为开标时间起</w:t>
            </w:r>
            <w:r>
              <w:rPr>
                <w:rFonts w:hint="eastAsia" w:ascii="宋体" w:hAnsi="宋体"/>
                <w:color w:val="auto"/>
                <w:kern w:val="2"/>
                <w:sz w:val="24"/>
                <w:szCs w:val="24"/>
                <w:highlight w:val="none"/>
              </w:rPr>
              <w:t>30</w:t>
            </w:r>
            <w:r>
              <w:rPr>
                <w:rFonts w:ascii="宋体" w:hAnsi="宋体" w:cs="宋体"/>
                <w:color w:val="auto"/>
                <w:kern w:val="2"/>
                <w:sz w:val="24"/>
                <w:szCs w:val="24"/>
                <w:highlight w:val="none"/>
              </w:rPr>
              <w:t>分钟内完成。待所有</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全部解密完成后，</w:t>
            </w:r>
            <w:r>
              <w:rPr>
                <w:rFonts w:hint="eastAsia" w:ascii="宋体" w:hAnsi="宋体" w:cs="宋体"/>
                <w:color w:val="auto"/>
                <w:kern w:val="2"/>
                <w:sz w:val="24"/>
                <w:szCs w:val="24"/>
                <w:highlight w:val="none"/>
              </w:rPr>
              <w:t>由中介服务机构操作，对所有已解密响应文件进行唱标。</w:t>
            </w:r>
          </w:p>
          <w:p w14:paraId="1C56CE55">
            <w:pPr>
              <w:widowControl w:val="0"/>
              <w:snapToGrid w:val="0"/>
              <w:spacing w:line="360" w:lineRule="auto"/>
              <w:jc w:val="both"/>
              <w:rPr>
                <w:rFonts w:hint="eastAsia" w:ascii="宋体" w:hAnsi="宋体"/>
                <w:b/>
                <w:color w:val="auto"/>
                <w:kern w:val="2"/>
                <w:sz w:val="24"/>
                <w:szCs w:val="24"/>
                <w:highlight w:val="none"/>
              </w:rPr>
            </w:pPr>
            <w:r>
              <w:rPr>
                <w:rFonts w:ascii="宋体" w:hAnsi="宋体"/>
                <w:color w:val="auto"/>
                <w:kern w:val="2"/>
                <w:sz w:val="24"/>
                <w:szCs w:val="24"/>
                <w:highlight w:val="none"/>
              </w:rPr>
              <w:t>3</w:t>
            </w:r>
            <w:r>
              <w:rPr>
                <w:rFonts w:ascii="宋体" w:hAnsi="宋体" w:cs="宋体"/>
                <w:color w:val="auto"/>
                <w:kern w:val="2"/>
                <w:sz w:val="24"/>
                <w:szCs w:val="24"/>
                <w:highlight w:val="none"/>
              </w:rPr>
              <w:t>、电子化</w:t>
            </w:r>
            <w:r>
              <w:rPr>
                <w:rFonts w:hint="eastAsia" w:ascii="宋体" w:hAnsi="宋体" w:cs="宋体"/>
                <w:color w:val="auto"/>
                <w:kern w:val="2"/>
                <w:sz w:val="24"/>
                <w:szCs w:val="24"/>
                <w:highlight w:val="none"/>
              </w:rPr>
              <w:t>响应</w:t>
            </w:r>
            <w:r>
              <w:rPr>
                <w:rFonts w:ascii="宋体" w:hAnsi="宋体" w:cs="宋体"/>
                <w:color w:val="auto"/>
                <w:kern w:val="2"/>
                <w:sz w:val="24"/>
                <w:szCs w:val="24"/>
                <w:highlight w:val="none"/>
              </w:rPr>
              <w:t>文件解密异常的处理</w:t>
            </w:r>
          </w:p>
          <w:p w14:paraId="49364262">
            <w:pPr>
              <w:widowControl w:val="0"/>
              <w:snapToGrid w:val="0"/>
              <w:spacing w:line="360" w:lineRule="auto"/>
              <w:jc w:val="both"/>
              <w:rPr>
                <w:rFonts w:hint="eastAsia" w:ascii="宋体" w:hAnsi="宋体"/>
                <w:color w:val="auto"/>
                <w:kern w:val="2"/>
                <w:sz w:val="24"/>
                <w:szCs w:val="24"/>
                <w:highlight w:val="none"/>
              </w:rPr>
            </w:pPr>
            <w:r>
              <w:rPr>
                <w:rFonts w:ascii="宋体" w:hAnsi="宋体" w:cs="宋体"/>
                <w:color w:val="auto"/>
                <w:kern w:val="2"/>
                <w:sz w:val="24"/>
                <w:szCs w:val="24"/>
                <w:highlight w:val="none"/>
              </w:rPr>
              <w:t>如出现</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的电子响应文件无法解密等异常情况，</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应及时致电中介服务机构说明。</w:t>
            </w:r>
            <w:r>
              <w:rPr>
                <w:rFonts w:hint="eastAsia" w:ascii="宋体" w:hAnsi="宋体" w:cs="宋体"/>
                <w:color w:val="auto"/>
                <w:kern w:val="2"/>
                <w:sz w:val="24"/>
                <w:szCs w:val="24"/>
                <w:highlight w:val="none"/>
              </w:rPr>
              <w:t>响应</w:t>
            </w:r>
            <w:r>
              <w:rPr>
                <w:rFonts w:ascii="宋体" w:hAnsi="宋体" w:cs="宋体"/>
                <w:color w:val="auto"/>
                <w:kern w:val="2"/>
                <w:sz w:val="24"/>
                <w:szCs w:val="24"/>
                <w:highlight w:val="none"/>
              </w:rPr>
              <w:t>文件异常，按以下步骤进行处理：</w:t>
            </w:r>
          </w:p>
          <w:p w14:paraId="419D8996">
            <w:pPr>
              <w:widowControl w:val="0"/>
              <w:snapToGrid w:val="0"/>
              <w:spacing w:line="360" w:lineRule="auto"/>
              <w:jc w:val="both"/>
              <w:rPr>
                <w:rFonts w:hint="eastAsia" w:ascii="宋体" w:hAnsi="宋体"/>
                <w:color w:val="auto"/>
                <w:kern w:val="2"/>
                <w:sz w:val="24"/>
                <w:szCs w:val="24"/>
                <w:highlight w:val="none"/>
              </w:rPr>
            </w:pPr>
            <w:r>
              <w:rPr>
                <w:rFonts w:ascii="宋体" w:hAnsi="宋体" w:cs="宋体"/>
                <w:color w:val="auto"/>
                <w:kern w:val="2"/>
                <w:sz w:val="24"/>
                <w:szCs w:val="24"/>
                <w:highlight w:val="none"/>
              </w:rPr>
              <w:t>（</w:t>
            </w:r>
            <w:r>
              <w:rPr>
                <w:rFonts w:ascii="宋体" w:hAnsi="宋体"/>
                <w:color w:val="auto"/>
                <w:kern w:val="2"/>
                <w:sz w:val="24"/>
                <w:szCs w:val="24"/>
                <w:highlight w:val="none"/>
              </w:rPr>
              <w:t>1</w:t>
            </w:r>
            <w:r>
              <w:rPr>
                <w:rFonts w:ascii="宋体" w:hAnsi="宋体" w:cs="宋体"/>
                <w:color w:val="auto"/>
                <w:kern w:val="2"/>
                <w:sz w:val="24"/>
                <w:szCs w:val="24"/>
                <w:highlight w:val="none"/>
              </w:rPr>
              <w:t>）首先由技术人员进行问题排查。</w:t>
            </w:r>
          </w:p>
          <w:p w14:paraId="53B40D1E">
            <w:pPr>
              <w:widowControl w:val="0"/>
              <w:snapToGrid w:val="0"/>
              <w:spacing w:line="360" w:lineRule="auto"/>
              <w:jc w:val="both"/>
              <w:rPr>
                <w:rFonts w:hint="eastAsia" w:ascii="宋体" w:hAnsi="宋体"/>
                <w:color w:val="auto"/>
                <w:kern w:val="2"/>
                <w:sz w:val="24"/>
                <w:szCs w:val="24"/>
                <w:highlight w:val="none"/>
              </w:rPr>
            </w:pPr>
            <w:r>
              <w:rPr>
                <w:rFonts w:ascii="宋体" w:hAnsi="宋体" w:cs="宋体"/>
                <w:color w:val="auto"/>
                <w:kern w:val="2"/>
                <w:sz w:val="24"/>
                <w:szCs w:val="24"/>
                <w:highlight w:val="none"/>
              </w:rPr>
              <w:t>（</w:t>
            </w:r>
            <w:r>
              <w:rPr>
                <w:rFonts w:ascii="宋体" w:hAnsi="宋体"/>
                <w:color w:val="auto"/>
                <w:kern w:val="2"/>
                <w:sz w:val="24"/>
                <w:szCs w:val="24"/>
                <w:highlight w:val="none"/>
              </w:rPr>
              <w:t>2</w:t>
            </w:r>
            <w:r>
              <w:rPr>
                <w:rFonts w:ascii="宋体" w:hAnsi="宋体" w:cs="宋体"/>
                <w:color w:val="auto"/>
                <w:kern w:val="2"/>
                <w:sz w:val="24"/>
                <w:szCs w:val="24"/>
                <w:highlight w:val="none"/>
              </w:rPr>
              <w:t>）经技术人员排查后，是</w:t>
            </w:r>
            <w:r>
              <w:rPr>
                <w:rFonts w:hint="eastAsia" w:ascii="宋体" w:hAnsi="宋体" w:cs="宋体"/>
                <w:color w:val="auto"/>
                <w:kern w:val="2"/>
                <w:sz w:val="24"/>
                <w:szCs w:val="24"/>
                <w:highlight w:val="none"/>
              </w:rPr>
              <w:t>供应商</w:t>
            </w:r>
            <w:r>
              <w:rPr>
                <w:rFonts w:ascii="宋体" w:hAnsi="宋体" w:cs="宋体"/>
                <w:color w:val="auto"/>
                <w:kern w:val="2"/>
                <w:sz w:val="24"/>
                <w:szCs w:val="24"/>
                <w:highlight w:val="none"/>
              </w:rPr>
              <w:t>文件自身问题导致响应文件无法解密的，该</w:t>
            </w:r>
            <w:r>
              <w:rPr>
                <w:rFonts w:hint="eastAsia" w:ascii="宋体" w:hAnsi="宋体" w:cs="宋体"/>
                <w:color w:val="auto"/>
                <w:kern w:val="2"/>
                <w:sz w:val="24"/>
                <w:szCs w:val="24"/>
                <w:highlight w:val="none"/>
              </w:rPr>
              <w:t>响应</w:t>
            </w:r>
            <w:r>
              <w:rPr>
                <w:rFonts w:ascii="宋体" w:hAnsi="宋体" w:cs="宋体"/>
                <w:color w:val="auto"/>
                <w:kern w:val="2"/>
                <w:sz w:val="24"/>
                <w:szCs w:val="24"/>
                <w:highlight w:val="none"/>
              </w:rPr>
              <w:t>文件将不予接收、解密和唱标。开标会议继续进行。</w:t>
            </w:r>
          </w:p>
          <w:p w14:paraId="3D6818A2">
            <w:pPr>
              <w:widowControl w:val="0"/>
              <w:snapToGrid w:val="0"/>
              <w:spacing w:line="360" w:lineRule="auto"/>
              <w:jc w:val="both"/>
              <w:rPr>
                <w:rFonts w:hint="eastAsia" w:ascii="宋体" w:hAnsi="宋体"/>
                <w:color w:val="auto"/>
                <w:kern w:val="2"/>
                <w:sz w:val="24"/>
                <w:szCs w:val="24"/>
                <w:highlight w:val="none"/>
              </w:rPr>
            </w:pPr>
            <w:r>
              <w:rPr>
                <w:rFonts w:ascii="宋体" w:hAnsi="宋体" w:cs="宋体"/>
                <w:color w:val="auto"/>
                <w:kern w:val="2"/>
                <w:sz w:val="24"/>
                <w:szCs w:val="24"/>
                <w:highlight w:val="none"/>
              </w:rPr>
              <w:t>（</w:t>
            </w:r>
            <w:r>
              <w:rPr>
                <w:rFonts w:ascii="宋体" w:hAnsi="宋体"/>
                <w:color w:val="auto"/>
                <w:kern w:val="2"/>
                <w:sz w:val="24"/>
                <w:szCs w:val="24"/>
                <w:highlight w:val="none"/>
              </w:rPr>
              <w:t>3</w:t>
            </w:r>
            <w:r>
              <w:rPr>
                <w:rFonts w:ascii="宋体" w:hAnsi="宋体" w:cs="宋体"/>
                <w:color w:val="auto"/>
                <w:kern w:val="2"/>
                <w:sz w:val="24"/>
                <w:szCs w:val="24"/>
                <w:highlight w:val="none"/>
              </w:rPr>
              <w:t>）经技术人员排查后，如果是电子化交易系统问题造成</w:t>
            </w:r>
            <w:r>
              <w:rPr>
                <w:rFonts w:hint="eastAsia" w:ascii="宋体" w:hAnsi="宋体" w:cs="宋体"/>
                <w:color w:val="auto"/>
                <w:kern w:val="2"/>
                <w:sz w:val="24"/>
                <w:szCs w:val="24"/>
                <w:highlight w:val="none"/>
              </w:rPr>
              <w:t>响应</w:t>
            </w:r>
            <w:r>
              <w:rPr>
                <w:rFonts w:ascii="宋体" w:hAnsi="宋体" w:cs="宋体"/>
                <w:color w:val="auto"/>
                <w:kern w:val="2"/>
                <w:sz w:val="24"/>
                <w:szCs w:val="24"/>
                <w:highlight w:val="none"/>
              </w:rPr>
              <w:t>文件无法解密的，将由技术人员对问题进行处理。如短时间内问题无法解决的，将由中介服务机构向监督部门申请，经监督部门同意后，暂停开标会议，待问题解决后继续开标。</w:t>
            </w:r>
          </w:p>
          <w:p w14:paraId="5D85C56F">
            <w:pPr>
              <w:widowControl w:val="0"/>
              <w:snapToGrid w:val="0"/>
              <w:spacing w:line="360" w:lineRule="auto"/>
              <w:jc w:val="both"/>
              <w:rPr>
                <w:rFonts w:hint="eastAsia" w:ascii="宋体" w:hAnsi="宋体"/>
                <w:color w:val="auto"/>
                <w:kern w:val="2"/>
                <w:sz w:val="24"/>
                <w:szCs w:val="24"/>
                <w:highlight w:val="none"/>
              </w:rPr>
            </w:pPr>
            <w:r>
              <w:rPr>
                <w:rFonts w:ascii="宋体" w:hAnsi="宋体"/>
                <w:color w:val="auto"/>
                <w:kern w:val="2"/>
                <w:sz w:val="24"/>
                <w:szCs w:val="24"/>
                <w:highlight w:val="none"/>
              </w:rPr>
              <w:t>4</w:t>
            </w:r>
            <w:r>
              <w:rPr>
                <w:rFonts w:ascii="宋体" w:hAnsi="宋体" w:cs="宋体"/>
                <w:color w:val="auto"/>
                <w:kern w:val="2"/>
                <w:sz w:val="24"/>
                <w:szCs w:val="24"/>
                <w:highlight w:val="none"/>
              </w:rPr>
              <w:t>、待所有</w:t>
            </w:r>
            <w:r>
              <w:rPr>
                <w:rFonts w:hint="eastAsia" w:ascii="宋体" w:hAnsi="宋体" w:cs="宋体"/>
                <w:color w:val="auto"/>
                <w:kern w:val="2"/>
                <w:sz w:val="24"/>
                <w:szCs w:val="24"/>
                <w:highlight w:val="none"/>
              </w:rPr>
              <w:t>供应商磋商</w:t>
            </w:r>
            <w:r>
              <w:rPr>
                <w:rFonts w:ascii="宋体" w:hAnsi="宋体" w:cs="宋体"/>
                <w:color w:val="auto"/>
                <w:kern w:val="2"/>
                <w:sz w:val="24"/>
                <w:szCs w:val="24"/>
                <w:highlight w:val="none"/>
              </w:rPr>
              <w:t>文件解密完成后，由中介服务机构操作，对所有已解密</w:t>
            </w:r>
            <w:r>
              <w:rPr>
                <w:rFonts w:hint="eastAsia" w:ascii="宋体" w:hAnsi="宋体" w:cs="宋体"/>
                <w:color w:val="auto"/>
                <w:kern w:val="2"/>
                <w:sz w:val="24"/>
                <w:szCs w:val="24"/>
                <w:highlight w:val="none"/>
              </w:rPr>
              <w:t>响应</w:t>
            </w:r>
            <w:r>
              <w:rPr>
                <w:rFonts w:ascii="宋体" w:hAnsi="宋体" w:cs="宋体"/>
                <w:color w:val="auto"/>
                <w:kern w:val="2"/>
                <w:sz w:val="24"/>
                <w:szCs w:val="24"/>
                <w:highlight w:val="none"/>
              </w:rPr>
              <w:t>文件进行唱标。</w:t>
            </w:r>
          </w:p>
          <w:p w14:paraId="6FF41135">
            <w:pPr>
              <w:widowControl w:val="0"/>
              <w:snapToGrid w:val="0"/>
              <w:spacing w:line="360" w:lineRule="auto"/>
              <w:jc w:val="both"/>
              <w:rPr>
                <w:rFonts w:hint="eastAsia" w:ascii="宋体" w:hAnsi="宋体" w:cs="宋体"/>
                <w:color w:val="auto"/>
                <w:kern w:val="2"/>
                <w:sz w:val="24"/>
                <w:szCs w:val="24"/>
                <w:highlight w:val="none"/>
              </w:rPr>
            </w:pPr>
            <w:r>
              <w:rPr>
                <w:rFonts w:hint="eastAsia" w:ascii="宋体" w:hAnsi="宋体" w:cs="宋体"/>
                <w:b/>
                <w:color w:val="auto"/>
                <w:kern w:val="2"/>
                <w:sz w:val="24"/>
                <w:szCs w:val="24"/>
                <w:highlight w:val="none"/>
              </w:rPr>
              <w:t>供应商</w:t>
            </w:r>
            <w:r>
              <w:rPr>
                <w:rFonts w:ascii="宋体" w:hAnsi="宋体" w:cs="宋体"/>
                <w:b/>
                <w:color w:val="auto"/>
                <w:kern w:val="2"/>
                <w:sz w:val="24"/>
                <w:szCs w:val="24"/>
                <w:highlight w:val="none"/>
              </w:rPr>
              <w:t>应保证在开标期间电话、电脑、网络能够正常工作，</w:t>
            </w:r>
            <w:r>
              <w:rPr>
                <w:rFonts w:hint="eastAsia" w:ascii="宋体" w:hAnsi="宋体" w:cs="宋体"/>
                <w:b/>
                <w:color w:val="auto"/>
                <w:kern w:val="2"/>
                <w:sz w:val="24"/>
                <w:szCs w:val="24"/>
                <w:highlight w:val="none"/>
              </w:rPr>
              <w:t>供应商</w:t>
            </w:r>
            <w:r>
              <w:rPr>
                <w:rFonts w:ascii="宋体" w:hAnsi="宋体" w:cs="宋体"/>
                <w:b/>
                <w:color w:val="auto"/>
                <w:kern w:val="2"/>
                <w:sz w:val="24"/>
                <w:szCs w:val="24"/>
                <w:highlight w:val="none"/>
              </w:rPr>
              <w:t>因停电、电脑病毒、网络堵塞等原因，未在规定的解密时间内对响应文件进行解密的，其响应文件不予接收、唱标。</w:t>
            </w:r>
          </w:p>
          <w:p w14:paraId="01450EF3">
            <w:pPr>
              <w:widowControl w:val="0"/>
              <w:snapToGrid w:val="0"/>
              <w:spacing w:line="360" w:lineRule="auto"/>
              <w:jc w:val="both"/>
              <w:rPr>
                <w:rFonts w:hint="eastAsia" w:ascii="宋体" w:hAnsi="宋体" w:cs="宋体"/>
                <w:color w:val="auto"/>
                <w:kern w:val="2"/>
                <w:sz w:val="24"/>
                <w:szCs w:val="24"/>
                <w:highlight w:val="none"/>
              </w:rPr>
            </w:pPr>
            <w:r>
              <w:rPr>
                <w:rFonts w:ascii="宋体" w:hAnsi="宋体" w:cs="宋体"/>
                <w:color w:val="auto"/>
                <w:kern w:val="2"/>
                <w:sz w:val="24"/>
                <w:szCs w:val="24"/>
                <w:highlight w:val="none"/>
              </w:rPr>
              <w:t>5、开标时</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可登录到交易系统中在开标解密栏查看自己的报价。如对自己的唱标内容有异议的，应在</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解密成功后</w:t>
            </w:r>
            <w:r>
              <w:rPr>
                <w:rFonts w:hint="eastAsia" w:ascii="宋体" w:hAnsi="宋体" w:cs="宋体"/>
                <w:color w:val="auto"/>
                <w:kern w:val="2"/>
                <w:sz w:val="24"/>
                <w:szCs w:val="24"/>
                <w:highlight w:val="none"/>
              </w:rPr>
              <w:t>1</w:t>
            </w:r>
            <w:r>
              <w:rPr>
                <w:rFonts w:ascii="宋体" w:hAnsi="宋体" w:cs="宋体"/>
                <w:color w:val="auto"/>
                <w:kern w:val="2"/>
                <w:sz w:val="24"/>
                <w:szCs w:val="24"/>
                <w:highlight w:val="none"/>
              </w:rPr>
              <w:t>0分钟内向中介服务机构电话质疑。中介服务机构应在监督人员的监督下进行免提通话接受</w:t>
            </w:r>
            <w:r>
              <w:rPr>
                <w:rFonts w:hint="eastAsia" w:ascii="宋体" w:hAnsi="宋体" w:cs="宋体"/>
                <w:color w:val="auto"/>
                <w:kern w:val="2"/>
                <w:sz w:val="24"/>
                <w:szCs w:val="24"/>
                <w:highlight w:val="none"/>
              </w:rPr>
              <w:t>供应商</w:t>
            </w:r>
            <w:r>
              <w:rPr>
                <w:rFonts w:ascii="宋体" w:hAnsi="宋体" w:cs="宋体"/>
                <w:color w:val="auto"/>
                <w:kern w:val="2"/>
                <w:sz w:val="24"/>
                <w:szCs w:val="24"/>
                <w:highlight w:val="none"/>
              </w:rPr>
              <w:t>的质疑并做好书面记录。</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未在规定时间内提出质疑的，视为认可唱标内容。</w:t>
            </w:r>
          </w:p>
          <w:p w14:paraId="515B3AF2">
            <w:pPr>
              <w:widowControl w:val="0"/>
              <w:snapToGrid w:val="0"/>
              <w:spacing w:line="360" w:lineRule="auto"/>
              <w:jc w:val="both"/>
              <w:rPr>
                <w:rFonts w:hint="eastAsia" w:ascii="宋体" w:hAnsi="宋体" w:cs="宋体"/>
                <w:color w:val="auto"/>
                <w:kern w:val="2"/>
                <w:sz w:val="24"/>
                <w:szCs w:val="24"/>
                <w:highlight w:val="none"/>
              </w:rPr>
            </w:pPr>
            <w:r>
              <w:rPr>
                <w:rFonts w:ascii="宋体" w:hAnsi="宋体" w:cs="宋体"/>
                <w:color w:val="auto"/>
                <w:kern w:val="2"/>
                <w:sz w:val="24"/>
                <w:szCs w:val="24"/>
                <w:highlight w:val="none"/>
              </w:rPr>
              <w:t>6、</w:t>
            </w:r>
            <w:r>
              <w:rPr>
                <w:rFonts w:hint="eastAsia" w:ascii="宋体" w:hAnsi="宋体" w:cs="宋体"/>
                <w:color w:val="auto"/>
                <w:kern w:val="2"/>
                <w:sz w:val="24"/>
                <w:szCs w:val="24"/>
                <w:highlight w:val="none"/>
              </w:rPr>
              <w:t>磋商</w:t>
            </w:r>
            <w:r>
              <w:rPr>
                <w:rFonts w:ascii="宋体" w:hAnsi="宋体" w:cs="宋体"/>
                <w:color w:val="auto"/>
                <w:kern w:val="2"/>
                <w:sz w:val="24"/>
                <w:szCs w:val="24"/>
                <w:highlight w:val="none"/>
              </w:rPr>
              <w:t>时，中介服务机构按顺序依次通知</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通过通过交易系统的</w:t>
            </w:r>
            <w:r>
              <w:rPr>
                <w:rFonts w:hint="eastAsia" w:ascii="宋体" w:hAnsi="宋体" w:cs="宋体"/>
                <w:color w:val="auto"/>
                <w:kern w:val="2"/>
                <w:sz w:val="24"/>
                <w:szCs w:val="24"/>
                <w:highlight w:val="none"/>
              </w:rPr>
              <w:t>开标</w:t>
            </w:r>
            <w:r>
              <w:rPr>
                <w:rFonts w:ascii="宋体" w:hAnsi="宋体" w:cs="宋体"/>
                <w:color w:val="auto"/>
                <w:kern w:val="2"/>
                <w:sz w:val="24"/>
                <w:szCs w:val="24"/>
                <w:highlight w:val="none"/>
              </w:rPr>
              <w:t>大厅与</w:t>
            </w:r>
            <w:r>
              <w:rPr>
                <w:rFonts w:hint="eastAsia" w:ascii="宋体" w:hAnsi="宋体" w:cs="宋体"/>
                <w:color w:val="auto"/>
                <w:kern w:val="2"/>
                <w:sz w:val="24"/>
                <w:szCs w:val="24"/>
                <w:highlight w:val="none"/>
              </w:rPr>
              <w:t>磋商</w:t>
            </w:r>
            <w:r>
              <w:rPr>
                <w:rFonts w:ascii="宋体" w:hAnsi="宋体" w:cs="宋体"/>
                <w:color w:val="auto"/>
                <w:kern w:val="2"/>
                <w:sz w:val="24"/>
                <w:szCs w:val="24"/>
                <w:highlight w:val="none"/>
              </w:rPr>
              <w:t>小组进行</w:t>
            </w:r>
            <w:r>
              <w:rPr>
                <w:rFonts w:hint="eastAsia" w:ascii="宋体" w:hAnsi="宋体" w:cs="宋体"/>
                <w:color w:val="auto"/>
                <w:kern w:val="2"/>
                <w:sz w:val="24"/>
                <w:szCs w:val="24"/>
                <w:highlight w:val="none"/>
              </w:rPr>
              <w:t>评审</w:t>
            </w:r>
            <w:r>
              <w:rPr>
                <w:rFonts w:ascii="宋体" w:hAnsi="宋体" w:cs="宋体"/>
                <w:color w:val="auto"/>
                <w:kern w:val="2"/>
                <w:sz w:val="24"/>
                <w:szCs w:val="24"/>
                <w:highlight w:val="none"/>
              </w:rPr>
              <w:t>。</w:t>
            </w:r>
          </w:p>
          <w:p w14:paraId="33F1385F">
            <w:pPr>
              <w:widowControl w:val="0"/>
              <w:snapToGrid w:val="0"/>
              <w:spacing w:line="360" w:lineRule="auto"/>
              <w:jc w:val="both"/>
              <w:rPr>
                <w:rFonts w:hint="eastAsia" w:ascii="宋体" w:hAnsi="宋体"/>
                <w:color w:val="auto"/>
                <w:kern w:val="2"/>
                <w:sz w:val="24"/>
                <w:szCs w:val="24"/>
                <w:highlight w:val="none"/>
              </w:rPr>
            </w:pPr>
            <w:r>
              <w:rPr>
                <w:rFonts w:ascii="宋体" w:hAnsi="宋体"/>
                <w:color w:val="auto"/>
                <w:kern w:val="2"/>
                <w:sz w:val="24"/>
                <w:szCs w:val="24"/>
                <w:highlight w:val="none"/>
              </w:rPr>
              <w:t>7</w:t>
            </w:r>
            <w:r>
              <w:rPr>
                <w:rFonts w:ascii="宋体" w:hAnsi="宋体" w:cs="宋体"/>
                <w:color w:val="auto"/>
                <w:kern w:val="2"/>
                <w:sz w:val="24"/>
                <w:szCs w:val="24"/>
                <w:highlight w:val="none"/>
              </w:rPr>
              <w:t>、</w:t>
            </w:r>
            <w:r>
              <w:rPr>
                <w:rFonts w:hint="eastAsia" w:ascii="宋体" w:hAnsi="宋体" w:cs="宋体"/>
                <w:color w:val="auto"/>
                <w:kern w:val="2"/>
                <w:sz w:val="24"/>
                <w:szCs w:val="24"/>
                <w:highlight w:val="none"/>
              </w:rPr>
              <w:t>磋商</w:t>
            </w:r>
            <w:r>
              <w:rPr>
                <w:rFonts w:ascii="宋体" w:hAnsi="宋体" w:cs="宋体"/>
                <w:color w:val="auto"/>
                <w:kern w:val="2"/>
                <w:sz w:val="24"/>
                <w:szCs w:val="24"/>
                <w:highlight w:val="none"/>
              </w:rPr>
              <w:t>小组对电子化响应文件有质疑的，将通过电子化交易系统对</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发起质疑，并在监督人员的监督下，用免提模式致电需要答复的</w:t>
            </w:r>
            <w:r>
              <w:rPr>
                <w:rFonts w:hint="eastAsia" w:ascii="宋体" w:hAnsi="宋体" w:cs="宋体"/>
                <w:color w:val="auto"/>
                <w:kern w:val="2"/>
                <w:sz w:val="24"/>
                <w:szCs w:val="24"/>
                <w:highlight w:val="none"/>
              </w:rPr>
              <w:t>供应商</w:t>
            </w:r>
            <w:r>
              <w:rPr>
                <w:rFonts w:ascii="宋体" w:hAnsi="宋体" w:cs="宋体"/>
                <w:color w:val="auto"/>
                <w:kern w:val="2"/>
                <w:sz w:val="24"/>
                <w:szCs w:val="24"/>
                <w:highlight w:val="none"/>
              </w:rPr>
              <w:t>对质疑进行回复。</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的回复文件必须以经过</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和其法定代表人签章的</w:t>
            </w:r>
            <w:r>
              <w:rPr>
                <w:rFonts w:ascii="宋体" w:hAnsi="宋体"/>
                <w:color w:val="auto"/>
                <w:kern w:val="2"/>
                <w:sz w:val="24"/>
                <w:szCs w:val="24"/>
                <w:highlight w:val="none"/>
              </w:rPr>
              <w:t>PDF</w:t>
            </w:r>
            <w:r>
              <w:rPr>
                <w:rFonts w:ascii="宋体" w:hAnsi="宋体" w:cs="宋体"/>
                <w:color w:val="auto"/>
                <w:kern w:val="2"/>
                <w:sz w:val="24"/>
                <w:szCs w:val="24"/>
                <w:highlight w:val="none"/>
              </w:rPr>
              <w:t>格式文件为准，并通过电子化交易系统提交至</w:t>
            </w:r>
            <w:r>
              <w:rPr>
                <w:rFonts w:hint="eastAsia" w:ascii="宋体" w:hAnsi="宋体" w:cs="宋体"/>
                <w:color w:val="auto"/>
                <w:kern w:val="2"/>
                <w:sz w:val="24"/>
                <w:szCs w:val="24"/>
                <w:highlight w:val="none"/>
              </w:rPr>
              <w:t>磋商小组</w:t>
            </w:r>
            <w:r>
              <w:rPr>
                <w:rFonts w:ascii="宋体" w:hAnsi="宋体" w:cs="宋体"/>
                <w:color w:val="auto"/>
                <w:kern w:val="2"/>
                <w:sz w:val="24"/>
                <w:szCs w:val="24"/>
                <w:highlight w:val="none"/>
              </w:rPr>
              <w:t>。</w:t>
            </w:r>
          </w:p>
          <w:p w14:paraId="480C6D60">
            <w:pPr>
              <w:widowControl w:val="0"/>
              <w:snapToGrid w:val="0"/>
              <w:spacing w:line="360" w:lineRule="auto"/>
              <w:jc w:val="both"/>
              <w:rPr>
                <w:rFonts w:hint="eastAsia" w:ascii="宋体" w:hAnsi="宋体" w:cs="宋体"/>
                <w:color w:val="auto"/>
                <w:kern w:val="2"/>
                <w:sz w:val="24"/>
                <w:szCs w:val="24"/>
                <w:highlight w:val="none"/>
              </w:rPr>
            </w:pPr>
            <w:r>
              <w:rPr>
                <w:rFonts w:ascii="宋体" w:hAnsi="宋体"/>
                <w:color w:val="auto"/>
                <w:kern w:val="2"/>
                <w:sz w:val="24"/>
                <w:szCs w:val="24"/>
                <w:highlight w:val="none"/>
              </w:rPr>
              <w:t>8</w:t>
            </w:r>
            <w:r>
              <w:rPr>
                <w:rFonts w:ascii="宋体" w:hAnsi="宋体" w:cs="宋体"/>
                <w:color w:val="auto"/>
                <w:kern w:val="2"/>
                <w:sz w:val="24"/>
                <w:szCs w:val="24"/>
                <w:highlight w:val="none"/>
              </w:rPr>
              <w:t>、如</w:t>
            </w:r>
            <w:r>
              <w:rPr>
                <w:rFonts w:hint="eastAsia" w:ascii="宋体" w:hAnsi="宋体" w:cs="宋体"/>
                <w:color w:val="auto"/>
                <w:kern w:val="2"/>
                <w:sz w:val="24"/>
                <w:szCs w:val="24"/>
                <w:highlight w:val="none"/>
              </w:rPr>
              <w:t>磋商小组</w:t>
            </w:r>
            <w:r>
              <w:rPr>
                <w:rFonts w:ascii="宋体" w:hAnsi="宋体" w:cs="宋体"/>
                <w:color w:val="auto"/>
                <w:kern w:val="2"/>
                <w:sz w:val="24"/>
                <w:szCs w:val="24"/>
                <w:highlight w:val="none"/>
              </w:rPr>
              <w:t>对需要回复的</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连续三次致电未接通的，视为</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放弃回复，</w:t>
            </w:r>
            <w:r>
              <w:rPr>
                <w:rFonts w:hint="eastAsia" w:ascii="宋体" w:hAnsi="宋体" w:cs="宋体"/>
                <w:color w:val="auto"/>
                <w:kern w:val="2"/>
                <w:sz w:val="24"/>
                <w:szCs w:val="24"/>
                <w:highlight w:val="none"/>
              </w:rPr>
              <w:t>磋商小组</w:t>
            </w:r>
            <w:r>
              <w:rPr>
                <w:rFonts w:ascii="宋体" w:hAnsi="宋体" w:cs="宋体"/>
                <w:color w:val="auto"/>
                <w:kern w:val="2"/>
                <w:sz w:val="24"/>
                <w:szCs w:val="24"/>
                <w:highlight w:val="none"/>
              </w:rPr>
              <w:t>将自行对需要回复的内容进行认定。</w:t>
            </w:r>
          </w:p>
          <w:p w14:paraId="1FCCE60D">
            <w:pPr>
              <w:widowControl w:val="0"/>
              <w:snapToGrid w:val="0"/>
              <w:spacing w:line="360" w:lineRule="auto"/>
              <w:jc w:val="both"/>
              <w:rPr>
                <w:rFonts w:hint="eastAsia" w:ascii="宋体" w:hAnsi="宋体"/>
                <w:color w:val="auto"/>
                <w:kern w:val="2"/>
                <w:sz w:val="24"/>
                <w:szCs w:val="24"/>
                <w:highlight w:val="none"/>
              </w:rPr>
            </w:pPr>
            <w:r>
              <w:rPr>
                <w:rFonts w:hint="eastAsia" w:ascii="宋体" w:hAnsi="宋体"/>
                <w:color w:val="auto"/>
                <w:kern w:val="2"/>
                <w:sz w:val="24"/>
                <w:szCs w:val="24"/>
                <w:highlight w:val="none"/>
              </w:rPr>
              <w:t>二、相关证书原件的提交</w:t>
            </w:r>
          </w:p>
          <w:p w14:paraId="12A242F6">
            <w:pPr>
              <w:widowControl w:val="0"/>
              <w:snapToGrid w:val="0"/>
              <w:spacing w:line="360" w:lineRule="auto"/>
              <w:jc w:val="both"/>
              <w:rPr>
                <w:rFonts w:hint="eastAsia" w:ascii="宋体" w:hAnsi="宋体"/>
                <w:color w:val="auto"/>
                <w:kern w:val="2"/>
                <w:sz w:val="24"/>
                <w:szCs w:val="24"/>
                <w:highlight w:val="none"/>
              </w:rPr>
            </w:pPr>
            <w:r>
              <w:rPr>
                <w:rFonts w:hint="eastAsia" w:ascii="宋体" w:hAnsi="宋体"/>
                <w:color w:val="auto"/>
                <w:kern w:val="2"/>
                <w:sz w:val="24"/>
                <w:szCs w:val="24"/>
                <w:highlight w:val="none"/>
              </w:rPr>
              <w:t>本项目实行资格后审，磋商文件中要求供应商提交资质、业绩、荣誉及单位人员等相关资料原件的，供应商需将原件扫描件制作到电子响应文件中，其上传资料真实性由供应商自行承担，同时，供应商要完善主体库。磋商小组对原件的核验工作按以下条款进行：</w:t>
            </w:r>
          </w:p>
          <w:p w14:paraId="75EFA0B8">
            <w:pPr>
              <w:widowControl w:val="0"/>
              <w:snapToGrid w:val="0"/>
              <w:spacing w:line="360" w:lineRule="auto"/>
              <w:jc w:val="both"/>
              <w:rPr>
                <w:rFonts w:hint="eastAsia" w:ascii="宋体" w:hAnsi="宋体"/>
                <w:color w:val="auto"/>
                <w:kern w:val="2"/>
                <w:sz w:val="24"/>
                <w:szCs w:val="24"/>
                <w:highlight w:val="none"/>
              </w:rPr>
            </w:pPr>
            <w:r>
              <w:rPr>
                <w:rFonts w:hint="eastAsia" w:ascii="宋体" w:hAnsi="宋体"/>
                <w:color w:val="auto"/>
                <w:kern w:val="2"/>
                <w:sz w:val="24"/>
                <w:szCs w:val="24"/>
                <w:highlight w:val="none"/>
              </w:rPr>
              <w:t>（一）评标时，磋商小组先查阅响应文件中是否具有该资料的原件扫描件，其上传资料真实性由供应商自行承担，同时，供应商需要完善主体库信息。本项目需要提交的原件扫描件以开标截止时间前在以供应商自行上传到响应文件中的相应内容为准。规定时间外上传或更改的信息不作为评标依据。评标时不接受供应商所提交的任何原件。</w:t>
            </w:r>
          </w:p>
          <w:p w14:paraId="04F5AC62">
            <w:pPr>
              <w:widowControl w:val="0"/>
              <w:snapToGrid w:val="0"/>
              <w:spacing w:line="360" w:lineRule="auto"/>
              <w:jc w:val="both"/>
              <w:rPr>
                <w:rFonts w:hint="eastAsia" w:ascii="宋体" w:hAnsi="宋体"/>
                <w:color w:val="auto"/>
                <w:kern w:val="2"/>
                <w:sz w:val="24"/>
                <w:szCs w:val="24"/>
                <w:highlight w:val="none"/>
              </w:rPr>
            </w:pPr>
            <w:r>
              <w:rPr>
                <w:rFonts w:hint="eastAsia" w:ascii="宋体" w:hAnsi="宋体"/>
                <w:color w:val="auto"/>
                <w:kern w:val="2"/>
                <w:sz w:val="24"/>
                <w:szCs w:val="24"/>
                <w:highlight w:val="none"/>
              </w:rPr>
              <w:t>（二）供应商需应仔细阅读操作手册，保证上传内容齐全，真实有效，原件扫描件清晰可辨。因供应商上传原因导致应得分项而未得分或资格审查不合格等情况的，由供应商自行承担责任。</w:t>
            </w:r>
          </w:p>
          <w:p w14:paraId="5FE2D0B0">
            <w:pPr>
              <w:widowControl w:val="0"/>
              <w:snapToGrid w:val="0"/>
              <w:spacing w:line="360" w:lineRule="auto"/>
              <w:jc w:val="both"/>
              <w:rPr>
                <w:rFonts w:hint="eastAsia" w:ascii="宋体" w:hAnsi="宋体"/>
                <w:color w:val="auto"/>
                <w:kern w:val="2"/>
                <w:sz w:val="24"/>
                <w:szCs w:val="24"/>
                <w:highlight w:val="none"/>
              </w:rPr>
            </w:pPr>
            <w:r>
              <w:rPr>
                <w:rFonts w:hint="eastAsia" w:ascii="宋体" w:hAnsi="宋体"/>
                <w:color w:val="auto"/>
                <w:kern w:val="2"/>
                <w:sz w:val="24"/>
                <w:szCs w:val="24"/>
                <w:highlight w:val="none"/>
              </w:rPr>
              <w:t>提示：本项目为电子化、无纸化交易项目，开标时不再接受任何纸质资料，为保证您能开标成功，请需仔细阅读以上条款。</w:t>
            </w:r>
          </w:p>
        </w:tc>
      </w:tr>
    </w:tbl>
    <w:p w14:paraId="3CC40C92">
      <w:pPr>
        <w:widowControl w:val="0"/>
        <w:spacing w:line="360" w:lineRule="auto"/>
        <w:ind w:firstLine="560" w:firstLineChars="200"/>
        <w:jc w:val="both"/>
        <w:rPr>
          <w:rFonts w:hint="eastAsia" w:ascii="宋体" w:hAnsi="宋体" w:cs="宋体"/>
          <w:color w:val="auto"/>
          <w:sz w:val="28"/>
          <w:szCs w:val="28"/>
          <w:highlight w:val="none"/>
        </w:rPr>
      </w:pPr>
      <w:bookmarkStart w:id="23" w:name="_Toc461977414"/>
      <w:bookmarkEnd w:id="23"/>
      <w:bookmarkStart w:id="24" w:name="_Toc12657"/>
    </w:p>
    <w:p w14:paraId="55C86F63">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4823100F">
      <w:pPr>
        <w:widowControl w:val="0"/>
        <w:spacing w:line="360" w:lineRule="auto"/>
        <w:ind w:firstLine="482" w:firstLineChars="200"/>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一、说明</w:t>
      </w:r>
      <w:bookmarkEnd w:id="24"/>
    </w:p>
    <w:p w14:paraId="042BF32F">
      <w:pPr>
        <w:widowControl w:val="0"/>
        <w:spacing w:line="360" w:lineRule="auto"/>
        <w:ind w:firstLine="482" w:firstLineChars="200"/>
        <w:rPr>
          <w:rFonts w:hint="eastAsia" w:ascii="宋体" w:hAnsi="宋体" w:cs="宋体"/>
          <w:b/>
          <w:bCs/>
          <w:color w:val="auto"/>
          <w:sz w:val="24"/>
          <w:szCs w:val="24"/>
          <w:highlight w:val="none"/>
        </w:rPr>
      </w:pPr>
      <w:bookmarkStart w:id="25" w:name="_Toc19964"/>
      <w:r>
        <w:rPr>
          <w:rFonts w:hint="eastAsia" w:ascii="宋体" w:hAnsi="宋体" w:cs="宋体"/>
          <w:b/>
          <w:bCs/>
          <w:color w:val="auto"/>
          <w:sz w:val="24"/>
          <w:szCs w:val="24"/>
          <w:highlight w:val="none"/>
        </w:rPr>
        <w:t>1.适用范围</w:t>
      </w:r>
      <w:bookmarkEnd w:id="25"/>
    </w:p>
    <w:p w14:paraId="251CFC7C">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本竞争性磋商文件仅适用于竞争性磋商公告中所叙述项目的相关采购。</w:t>
      </w:r>
    </w:p>
    <w:p w14:paraId="640EF38B">
      <w:pPr>
        <w:widowControl w:val="0"/>
        <w:spacing w:line="360" w:lineRule="auto"/>
        <w:ind w:firstLine="482" w:firstLineChars="200"/>
        <w:rPr>
          <w:rFonts w:hint="eastAsia" w:ascii="宋体" w:hAnsi="宋体" w:cs="宋体"/>
          <w:b/>
          <w:bCs/>
          <w:color w:val="auto"/>
          <w:sz w:val="24"/>
          <w:szCs w:val="24"/>
          <w:highlight w:val="none"/>
        </w:rPr>
      </w:pPr>
      <w:bookmarkStart w:id="26" w:name="_Toc7846"/>
      <w:r>
        <w:rPr>
          <w:rFonts w:hint="eastAsia" w:ascii="宋体" w:hAnsi="宋体" w:cs="宋体"/>
          <w:b/>
          <w:bCs/>
          <w:color w:val="auto"/>
          <w:sz w:val="24"/>
          <w:szCs w:val="24"/>
          <w:highlight w:val="none"/>
        </w:rPr>
        <w:t>2.定义</w:t>
      </w:r>
      <w:bookmarkEnd w:id="26"/>
    </w:p>
    <w:p w14:paraId="2CA1F4D0">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 “采购人”系指本次项目内容的采购单位。</w:t>
      </w:r>
    </w:p>
    <w:p w14:paraId="5C3996D1">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 “采购代理机构”系指本次采购项目活动组织方。</w:t>
      </w:r>
    </w:p>
    <w:p w14:paraId="285BC62A">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 “供应商”系指响应采购、参加磋商竞争的法人或者其他组织。</w:t>
      </w:r>
    </w:p>
    <w:p w14:paraId="63CE04DC">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 “供应商代表”系指代表供应商参加本次磋商活动的供应商的法定代表人或其委托代理人。</w:t>
      </w:r>
    </w:p>
    <w:p w14:paraId="719D5053">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 “服务”系指供应商按竞争性磋商文件规定提供采购人所要求的一切项目内容。</w:t>
      </w:r>
    </w:p>
    <w:p w14:paraId="3B1F6947">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 “相关服务”系指竞争性磋商文件规定供应商须承担的与本次采购项目相关的服务、协调工作以及其他类似的义务。</w:t>
      </w:r>
    </w:p>
    <w:p w14:paraId="3F169CA3">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 “竞争性磋商文件有效期”系指磋商截止之日起60日历天。</w:t>
      </w:r>
    </w:p>
    <w:p w14:paraId="6183FCDE">
      <w:pPr>
        <w:widowControl w:val="0"/>
        <w:spacing w:line="360" w:lineRule="auto"/>
        <w:ind w:firstLine="482" w:firstLineChars="200"/>
        <w:rPr>
          <w:rFonts w:hint="eastAsia" w:ascii="宋体" w:hAnsi="宋体" w:cs="宋体"/>
          <w:b/>
          <w:bCs/>
          <w:color w:val="auto"/>
          <w:sz w:val="24"/>
          <w:szCs w:val="24"/>
          <w:highlight w:val="none"/>
        </w:rPr>
      </w:pPr>
      <w:bookmarkStart w:id="27" w:name="_Toc25077"/>
      <w:r>
        <w:rPr>
          <w:rFonts w:hint="eastAsia" w:ascii="宋体" w:hAnsi="宋体" w:cs="宋体"/>
          <w:b/>
          <w:bCs/>
          <w:color w:val="auto"/>
          <w:sz w:val="24"/>
          <w:szCs w:val="24"/>
          <w:highlight w:val="none"/>
        </w:rPr>
        <w:t>3.资金来源</w:t>
      </w:r>
      <w:bookmarkEnd w:id="27"/>
    </w:p>
    <w:p w14:paraId="369D8910">
      <w:pPr>
        <w:widowControl w:val="0"/>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具体详见供应商须知</w:t>
      </w:r>
    </w:p>
    <w:p w14:paraId="1F88C0D2">
      <w:pPr>
        <w:widowControl w:val="0"/>
        <w:spacing w:line="360" w:lineRule="auto"/>
        <w:ind w:firstLine="482" w:firstLineChars="200"/>
        <w:rPr>
          <w:rFonts w:hint="eastAsia" w:ascii="宋体" w:hAnsi="宋体" w:cs="宋体"/>
          <w:b/>
          <w:bCs/>
          <w:color w:val="auto"/>
          <w:sz w:val="24"/>
          <w:szCs w:val="24"/>
          <w:highlight w:val="none"/>
        </w:rPr>
      </w:pPr>
      <w:bookmarkStart w:id="28" w:name="_Toc16278"/>
      <w:r>
        <w:rPr>
          <w:rFonts w:hint="eastAsia" w:ascii="宋体" w:hAnsi="宋体" w:cs="宋体"/>
          <w:b/>
          <w:bCs/>
          <w:color w:val="auto"/>
          <w:sz w:val="24"/>
          <w:szCs w:val="24"/>
          <w:highlight w:val="none"/>
        </w:rPr>
        <w:t>4.供应商</w:t>
      </w:r>
      <w:bookmarkEnd w:id="28"/>
      <w:r>
        <w:rPr>
          <w:rFonts w:ascii="宋体" w:hAnsi="宋体" w:cs="宋体"/>
          <w:b/>
          <w:bCs/>
          <w:color w:val="auto"/>
          <w:kern w:val="2"/>
          <w:sz w:val="24"/>
          <w:szCs w:val="24"/>
          <w:highlight w:val="none"/>
        </w:rPr>
        <w:t>资</w:t>
      </w:r>
      <w:r>
        <w:rPr>
          <w:rFonts w:hint="eastAsia" w:ascii="宋体" w:hAnsi="宋体" w:cs="宋体"/>
          <w:b/>
          <w:bCs/>
          <w:color w:val="auto"/>
          <w:kern w:val="2"/>
          <w:sz w:val="24"/>
          <w:szCs w:val="24"/>
          <w:highlight w:val="none"/>
          <w:lang w:val="en-US" w:eastAsia="zh-CN"/>
        </w:rPr>
        <w:t>格</w:t>
      </w:r>
      <w:r>
        <w:rPr>
          <w:rFonts w:ascii="宋体" w:hAnsi="宋体" w:cs="宋体"/>
          <w:b/>
          <w:bCs/>
          <w:color w:val="auto"/>
          <w:kern w:val="2"/>
          <w:sz w:val="24"/>
          <w:szCs w:val="24"/>
          <w:highlight w:val="none"/>
        </w:rPr>
        <w:t>要求</w:t>
      </w:r>
    </w:p>
    <w:p w14:paraId="5C59E88B">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具体详见供应商须知</w:t>
      </w:r>
    </w:p>
    <w:p w14:paraId="003AF571">
      <w:pPr>
        <w:widowControl w:val="0"/>
        <w:spacing w:line="360" w:lineRule="auto"/>
        <w:ind w:firstLine="482" w:firstLineChars="200"/>
        <w:rPr>
          <w:rFonts w:hint="eastAsia" w:ascii="宋体" w:hAnsi="宋体" w:cs="宋体"/>
          <w:b/>
          <w:bCs/>
          <w:color w:val="auto"/>
          <w:sz w:val="24"/>
          <w:szCs w:val="24"/>
          <w:highlight w:val="none"/>
        </w:rPr>
      </w:pPr>
      <w:bookmarkStart w:id="29" w:name="_Toc6584"/>
      <w:r>
        <w:rPr>
          <w:rFonts w:hint="eastAsia" w:ascii="宋体" w:hAnsi="宋体" w:cs="宋体"/>
          <w:b/>
          <w:bCs/>
          <w:color w:val="auto"/>
          <w:sz w:val="24"/>
          <w:szCs w:val="24"/>
          <w:highlight w:val="none"/>
        </w:rPr>
        <w:t>5.磋商费用</w:t>
      </w:r>
      <w:bookmarkEnd w:id="29"/>
    </w:p>
    <w:p w14:paraId="70E69477">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不论磋商结果如何，供应商均应自行承担所有与磋商有关的全部费用。</w:t>
      </w:r>
    </w:p>
    <w:p w14:paraId="58DA7DB6">
      <w:pPr>
        <w:widowControl w:val="0"/>
        <w:spacing w:line="360" w:lineRule="auto"/>
        <w:ind w:firstLine="482" w:firstLineChars="200"/>
        <w:rPr>
          <w:rFonts w:hint="eastAsia" w:ascii="宋体" w:hAnsi="宋体" w:cs="宋体"/>
          <w:b/>
          <w:bCs/>
          <w:color w:val="auto"/>
          <w:sz w:val="24"/>
          <w:szCs w:val="24"/>
          <w:highlight w:val="none"/>
        </w:rPr>
      </w:pPr>
      <w:bookmarkStart w:id="30" w:name="_Toc13621"/>
      <w:r>
        <w:rPr>
          <w:rFonts w:hint="eastAsia" w:ascii="宋体" w:hAnsi="宋体" w:cs="宋体"/>
          <w:b/>
          <w:bCs/>
          <w:color w:val="auto"/>
          <w:sz w:val="24"/>
          <w:szCs w:val="24"/>
          <w:highlight w:val="none"/>
        </w:rPr>
        <w:t>6.联合体参加磋商</w:t>
      </w:r>
      <w:bookmarkEnd w:id="30"/>
    </w:p>
    <w:p w14:paraId="5115874F">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否</w:t>
      </w:r>
    </w:p>
    <w:p w14:paraId="41F4B385">
      <w:pPr>
        <w:widowControl w:val="0"/>
        <w:spacing w:line="360" w:lineRule="auto"/>
        <w:ind w:firstLine="482" w:firstLineChars="200"/>
        <w:rPr>
          <w:rFonts w:hint="eastAsia" w:ascii="宋体" w:hAnsi="宋体" w:cs="宋体"/>
          <w:b/>
          <w:bCs/>
          <w:color w:val="auto"/>
          <w:sz w:val="24"/>
          <w:szCs w:val="24"/>
          <w:highlight w:val="none"/>
        </w:rPr>
      </w:pPr>
      <w:bookmarkStart w:id="31" w:name="_Toc7233"/>
      <w:r>
        <w:rPr>
          <w:rFonts w:hint="eastAsia" w:ascii="宋体" w:hAnsi="宋体" w:cs="宋体"/>
          <w:b/>
          <w:bCs/>
          <w:color w:val="auto"/>
          <w:sz w:val="24"/>
          <w:szCs w:val="24"/>
          <w:highlight w:val="none"/>
        </w:rPr>
        <w:t>7.转包与分包</w:t>
      </w:r>
      <w:bookmarkEnd w:id="31"/>
    </w:p>
    <w:p w14:paraId="6397DCA4">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7.1 本项目不允许采取转包方式履行合同。</w:t>
      </w:r>
    </w:p>
    <w:p w14:paraId="53F86BEC">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7.2 本项目不允许采取分包方式履行合同。</w:t>
      </w:r>
    </w:p>
    <w:p w14:paraId="7C512F99">
      <w:pPr>
        <w:widowControl w:val="0"/>
        <w:spacing w:line="360" w:lineRule="auto"/>
        <w:ind w:firstLine="480" w:firstLineChars="200"/>
        <w:rPr>
          <w:rFonts w:hint="eastAsia" w:ascii="宋体" w:hAnsi="宋体" w:cs="宋体"/>
          <w:color w:val="auto"/>
          <w:sz w:val="24"/>
          <w:szCs w:val="24"/>
          <w:highlight w:val="none"/>
        </w:rPr>
      </w:pPr>
      <w:bookmarkStart w:id="32" w:name="_Toc21763"/>
      <w:r>
        <w:rPr>
          <w:rFonts w:hint="eastAsia" w:ascii="宋体" w:hAnsi="宋体" w:cs="宋体"/>
          <w:color w:val="auto"/>
          <w:sz w:val="24"/>
          <w:szCs w:val="24"/>
          <w:highlight w:val="none"/>
        </w:rPr>
        <w:t>7.3 本项目不允许偏离。</w:t>
      </w:r>
    </w:p>
    <w:p w14:paraId="519BEBE1">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8.特别说明</w:t>
      </w:r>
      <w:bookmarkEnd w:id="32"/>
    </w:p>
    <w:p w14:paraId="65B4F4C5">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8.1 供应商参加磋商所使用的资格、信誉、荣誉、业绩与企业认证必须为本法人所拥有。</w:t>
      </w:r>
    </w:p>
    <w:p w14:paraId="6A1F2831">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8.2 供应商代表只能接受一个供应商的委托参加磋商。</w:t>
      </w:r>
    </w:p>
    <w:p w14:paraId="4855DEF4">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8.3 供应商在磋商活动中提供虚假材料或从事其他违法活动的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其响应无效，由相关部门查处。</w:t>
      </w:r>
    </w:p>
    <w:p w14:paraId="215719D9">
      <w:pPr>
        <w:widowControl w:val="0"/>
        <w:spacing w:line="360" w:lineRule="auto"/>
        <w:ind w:firstLine="482" w:firstLineChars="200"/>
        <w:rPr>
          <w:rFonts w:hint="eastAsia" w:ascii="宋体" w:hAnsi="宋体" w:cs="宋体"/>
          <w:b/>
          <w:bCs/>
          <w:color w:val="auto"/>
          <w:sz w:val="24"/>
          <w:szCs w:val="24"/>
          <w:highlight w:val="none"/>
        </w:rPr>
      </w:pPr>
      <w:bookmarkStart w:id="33" w:name="_Toc20927"/>
      <w:r>
        <w:rPr>
          <w:rFonts w:hint="eastAsia" w:ascii="宋体" w:hAnsi="宋体" w:cs="宋体"/>
          <w:b/>
          <w:bCs/>
          <w:color w:val="auto"/>
          <w:sz w:val="24"/>
          <w:szCs w:val="24"/>
          <w:highlight w:val="none"/>
        </w:rPr>
        <w:t>9.质疑和投诉</w:t>
      </w:r>
      <w:bookmarkEnd w:id="33"/>
    </w:p>
    <w:p w14:paraId="25876031">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558200C8">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7764CF58">
      <w:pPr>
        <w:widowControl w:val="0"/>
        <w:spacing w:line="360" w:lineRule="auto"/>
        <w:ind w:firstLine="482" w:firstLineChars="200"/>
        <w:rPr>
          <w:rFonts w:hint="eastAsia" w:ascii="宋体" w:hAnsi="宋体" w:cs="宋体"/>
          <w:b/>
          <w:bCs/>
          <w:color w:val="auto"/>
          <w:sz w:val="24"/>
          <w:szCs w:val="24"/>
          <w:highlight w:val="none"/>
        </w:rPr>
      </w:pPr>
      <w:bookmarkStart w:id="34" w:name="_Toc21617"/>
      <w:r>
        <w:rPr>
          <w:rFonts w:hint="eastAsia" w:ascii="宋体" w:hAnsi="宋体" w:cs="宋体"/>
          <w:b/>
          <w:bCs/>
          <w:color w:val="auto"/>
          <w:sz w:val="24"/>
          <w:szCs w:val="24"/>
          <w:highlight w:val="none"/>
        </w:rPr>
        <w:t>10.供应商的风险</w:t>
      </w:r>
      <w:bookmarkEnd w:id="34"/>
    </w:p>
    <w:p w14:paraId="7173693D">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供应商没有按照竞争性磋商文件要求提供全部资料，或者供应商没有对响应性文件在各方面都作出实质性响应是供应商的风险，并可能导致其响应被拒绝。</w:t>
      </w:r>
    </w:p>
    <w:p w14:paraId="7399362E">
      <w:pPr>
        <w:widowControl w:val="0"/>
        <w:spacing w:line="360" w:lineRule="auto"/>
        <w:ind w:firstLine="482" w:firstLineChars="200"/>
        <w:rPr>
          <w:rFonts w:hint="eastAsia" w:ascii="宋体" w:hAnsi="宋体" w:cs="宋体"/>
          <w:b/>
          <w:bCs/>
          <w:color w:val="auto"/>
          <w:sz w:val="24"/>
          <w:szCs w:val="24"/>
          <w:highlight w:val="none"/>
        </w:rPr>
      </w:pPr>
      <w:bookmarkStart w:id="35" w:name="_Toc461977415"/>
      <w:bookmarkEnd w:id="35"/>
      <w:bookmarkStart w:id="36" w:name="_Toc22484"/>
      <w:r>
        <w:rPr>
          <w:rFonts w:hint="eastAsia" w:ascii="宋体" w:hAnsi="宋体" w:cs="宋体"/>
          <w:b/>
          <w:bCs/>
          <w:color w:val="auto"/>
          <w:sz w:val="24"/>
          <w:szCs w:val="24"/>
          <w:highlight w:val="none"/>
        </w:rPr>
        <w:t>二、竞争性磋商文件</w:t>
      </w:r>
      <w:bookmarkEnd w:id="36"/>
    </w:p>
    <w:p w14:paraId="5205AC79">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11.竞争性磋商文件的构成</w:t>
      </w:r>
    </w:p>
    <w:p w14:paraId="57C067A3">
      <w:pPr>
        <w:widowControl w:val="0"/>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本竞争性磋商文件由以下部分组成</w:t>
      </w:r>
      <w:r>
        <w:rPr>
          <w:rFonts w:hint="eastAsia" w:ascii="宋体" w:hAnsi="宋体" w:cs="宋体"/>
          <w:b w:val="0"/>
          <w:bCs w:val="0"/>
          <w:color w:val="auto"/>
          <w:sz w:val="24"/>
          <w:szCs w:val="24"/>
          <w:highlight w:val="none"/>
          <w:lang w:eastAsia="zh-CN"/>
        </w:rPr>
        <w:t>：</w:t>
      </w:r>
    </w:p>
    <w:p w14:paraId="0B54CBD5">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 竞争性磋商公告</w:t>
      </w:r>
    </w:p>
    <w:p w14:paraId="4F1C6845">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 供应商须知</w:t>
      </w:r>
    </w:p>
    <w:p w14:paraId="0FD8FA42">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 服务内容及要求</w:t>
      </w:r>
    </w:p>
    <w:p w14:paraId="12056BA1">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11.4 合同条款及合同文件格式</w:t>
      </w:r>
    </w:p>
    <w:p w14:paraId="74FEB50F">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11.5 评审标准</w:t>
      </w:r>
    </w:p>
    <w:p w14:paraId="6A74FBC7">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11.6 响应文件格式</w:t>
      </w:r>
    </w:p>
    <w:p w14:paraId="24EC00E6">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12.竞争性磋商文件的澄清与修改</w:t>
      </w:r>
    </w:p>
    <w:p w14:paraId="0CEB37D9">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 采购代理机构对已发出的竞争性磋商文件进行必要澄清、修改或补充的，应当在竞争性磋商文件要求提交响应性文件截止时间5日前（如至原定截止时间不足5日，则需延长磋商开始时间）前，在发布公告的相关媒体上发布更正公告。竞争性磋商文件公示期间对竞争性磋商文件进行的澄清、修改或补充不受上述限制。</w:t>
      </w:r>
    </w:p>
    <w:p w14:paraId="36CA2D77">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12.2 竞争性磋商文件澄清、修改或补充的内容为竞争性磋商文件的组成部分。</w:t>
      </w:r>
    </w:p>
    <w:p w14:paraId="053EF976">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12.3 竞争性磋商文件的澄清、修改或补充都应通过本采购代理机构以法定形式发布。采购人未通过本采购代理机构对竞争性磋商文件进行的澄清、修改或补充无效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磋商时不予认可。</w:t>
      </w:r>
    </w:p>
    <w:p w14:paraId="5BF4E56E">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12.4 采购代理机构可以视采购具体情况，延长递交响应性文件截止时间和开始磋商时间，但至少应当在竞争性磋商文件要求提交响应性文件的截止时间5日前，将变更时间在《河南省政府采购网》、《中国招标投标公共服务平台》和《三门峡市公共资源交易中心网》等相关媒体上发布更正公告。</w:t>
      </w:r>
    </w:p>
    <w:p w14:paraId="5D128453">
      <w:pPr>
        <w:widowControl w:val="0"/>
        <w:spacing w:line="360" w:lineRule="auto"/>
        <w:ind w:firstLine="482" w:firstLineChars="200"/>
        <w:rPr>
          <w:rFonts w:hint="eastAsia" w:ascii="宋体" w:hAnsi="宋体" w:cs="宋体"/>
          <w:b/>
          <w:bCs/>
          <w:color w:val="auto"/>
          <w:sz w:val="24"/>
          <w:szCs w:val="24"/>
          <w:highlight w:val="none"/>
        </w:rPr>
      </w:pPr>
      <w:bookmarkStart w:id="37" w:name="_Toc461977416"/>
      <w:bookmarkEnd w:id="37"/>
      <w:bookmarkStart w:id="38" w:name="_Toc2226"/>
      <w:r>
        <w:rPr>
          <w:rFonts w:hint="eastAsia" w:ascii="宋体" w:hAnsi="宋体" w:cs="宋体"/>
          <w:b/>
          <w:bCs/>
          <w:color w:val="auto"/>
          <w:sz w:val="24"/>
          <w:szCs w:val="24"/>
          <w:highlight w:val="none"/>
        </w:rPr>
        <w:t>三、响应性文件的编制</w:t>
      </w:r>
      <w:bookmarkEnd w:id="38"/>
    </w:p>
    <w:p w14:paraId="2A6B5C6A">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13.要求</w:t>
      </w:r>
    </w:p>
    <w:p w14:paraId="73C51670">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6AFAAEE9">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14.响应性文件的语言和计量单位</w:t>
      </w:r>
    </w:p>
    <w:p w14:paraId="2E1513F6">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14.1 响应性文件以及供应商与采购、</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代理机构就有关磋商事宜的所有来往函电均应使用简体中文书写。</w:t>
      </w:r>
    </w:p>
    <w:p w14:paraId="79AB8CD2">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14.2 关于计量单位，竞争性磋商文件已有明确规定的，使用竞争性磋商文件规定的计量单位；竞争性磋商文件没有规定的，应采用中华人民共和国法定计量单位。</w:t>
      </w:r>
    </w:p>
    <w:p w14:paraId="309143F9">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15.响应性文件的组成</w:t>
      </w:r>
    </w:p>
    <w:p w14:paraId="454646EE">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详见磋商文件</w:t>
      </w:r>
    </w:p>
    <w:p w14:paraId="341BEF01">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16.响应性文件有效期</w:t>
      </w:r>
    </w:p>
    <w:p w14:paraId="2EACCB56">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16.1 响应性文件从所规定的递交响应性文件截止期之后开始生效，有效期不足将导致其响应性文件被拒绝。成交供应商的响应性文件有效期至合同完全履行止。</w:t>
      </w:r>
    </w:p>
    <w:p w14:paraId="36017125">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16.2 特殊情况下采购代理机构可于响应性文件有效期满之前要求供应商同意延长有效期，供应商应在采购代理机构规定的期限内予以答复。</w:t>
      </w:r>
    </w:p>
    <w:p w14:paraId="705E562E">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17.磋商报价</w:t>
      </w:r>
    </w:p>
    <w:p w14:paraId="6E1D1653">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17.1 所有磋商报价均以人民币元为计算单位。供应商的报价为项目实施所需的人工费、运输费、税费、服务费及完成项目所需其他一切费用。</w:t>
      </w:r>
    </w:p>
    <w:p w14:paraId="6CEE527B">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17.2 供应商要按初次报价一览表的内容填写。</w:t>
      </w:r>
    </w:p>
    <w:p w14:paraId="0DDF1AEB">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17.3 本次磋商应以人民币报价，进行二次报价。</w:t>
      </w:r>
    </w:p>
    <w:p w14:paraId="431861F1">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18.磋商保证金</w:t>
      </w:r>
    </w:p>
    <w:p w14:paraId="197239B6">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18.1 按照《河南省财政厅关于优化政府采购营商环境有关问题的通知》（豫财购[2019]4号文）的要求本项目不再收取磋商保证金。</w:t>
      </w:r>
    </w:p>
    <w:p w14:paraId="4E1CC8D1">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19.响应性文件的签署</w:t>
      </w:r>
    </w:p>
    <w:p w14:paraId="4150E1A0">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19.1 供应商应按供应商前附表中要求签署。响应性文件内容不完整、编排混乱导致被误读、漏读或者查找不到相关内容的，由供应商负责。</w:t>
      </w:r>
    </w:p>
    <w:p w14:paraId="56EC9FF3">
      <w:pPr>
        <w:widowControl w:val="0"/>
        <w:spacing w:line="360" w:lineRule="auto"/>
        <w:ind w:firstLine="482" w:firstLineChars="200"/>
        <w:rPr>
          <w:rFonts w:hint="eastAsia" w:ascii="宋体" w:hAnsi="宋体" w:cs="宋体"/>
          <w:b/>
          <w:bCs/>
          <w:color w:val="auto"/>
          <w:sz w:val="24"/>
          <w:szCs w:val="24"/>
          <w:highlight w:val="none"/>
        </w:rPr>
      </w:pPr>
      <w:bookmarkStart w:id="39" w:name="_Toc461977417"/>
      <w:bookmarkEnd w:id="39"/>
      <w:bookmarkStart w:id="40" w:name="_Toc27830"/>
      <w:r>
        <w:rPr>
          <w:rFonts w:hint="eastAsia" w:ascii="宋体" w:hAnsi="宋体" w:cs="宋体"/>
          <w:b/>
          <w:bCs/>
          <w:color w:val="auto"/>
          <w:sz w:val="24"/>
          <w:szCs w:val="24"/>
          <w:highlight w:val="none"/>
        </w:rPr>
        <w:t>四、响应性文件的递交</w:t>
      </w:r>
      <w:bookmarkEnd w:id="40"/>
    </w:p>
    <w:p w14:paraId="4EC10B89">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20.响应性文件的递交</w:t>
      </w:r>
    </w:p>
    <w:p w14:paraId="5EE473F0">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在响应文件截止时间前上传至三门峡市公共资源交易中心系统平台。</w:t>
      </w:r>
    </w:p>
    <w:p w14:paraId="7D40B0F9">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21.响应性文件的修改和撤回</w:t>
      </w:r>
    </w:p>
    <w:p w14:paraId="35D24B26">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供应商在递交竞争性磋商文件截止时间前，可以对所提交的响应性文件进行补充、修改或者撤回。</w:t>
      </w:r>
    </w:p>
    <w:p w14:paraId="5F99D309">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22.供应商有下列情形之一的，采购人或采购代理机构将拒绝接受其响应性文件</w:t>
      </w:r>
    </w:p>
    <w:p w14:paraId="2B41DF21">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 在竞争性磋商文件规定的递交竞争性磋商文件截止时间之后上传响应性文件的。</w:t>
      </w:r>
    </w:p>
    <w:p w14:paraId="1919CD2E">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 未按竞争性磋商文件参加磋商的。</w:t>
      </w:r>
    </w:p>
    <w:p w14:paraId="0DE12F89">
      <w:pPr>
        <w:widowControl w:val="0"/>
        <w:spacing w:line="360" w:lineRule="auto"/>
        <w:ind w:firstLine="482" w:firstLineChars="200"/>
        <w:rPr>
          <w:rFonts w:hint="eastAsia" w:ascii="宋体" w:hAnsi="宋体" w:cs="宋体"/>
          <w:b/>
          <w:bCs/>
          <w:color w:val="auto"/>
          <w:sz w:val="24"/>
          <w:szCs w:val="24"/>
          <w:highlight w:val="none"/>
        </w:rPr>
      </w:pPr>
      <w:bookmarkStart w:id="41" w:name="_Toc461977418"/>
      <w:bookmarkEnd w:id="41"/>
      <w:bookmarkStart w:id="42" w:name="_Toc9665"/>
      <w:r>
        <w:rPr>
          <w:rFonts w:hint="eastAsia" w:ascii="宋体" w:hAnsi="宋体" w:cs="宋体"/>
          <w:b/>
          <w:bCs/>
          <w:color w:val="auto"/>
          <w:sz w:val="24"/>
          <w:szCs w:val="24"/>
          <w:highlight w:val="none"/>
        </w:rPr>
        <w:t>五、磋商</w:t>
      </w:r>
      <w:bookmarkEnd w:id="42"/>
    </w:p>
    <w:p w14:paraId="12E95BBC">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23.磋商仪式</w:t>
      </w:r>
    </w:p>
    <w:p w14:paraId="1D710148">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仪式由代理公司主持，竞争性磋商采购人代表、监督代表及有关工作人员参加，本项目为不见面开标项目，所有参与交易活动的供应商可以不到现场参加开标，供应商进行远程开标解密工作，每位供应商的解密时间为开标时间起30分钟内完成，因供应商原因未能解密、解密失败或解密超时的将被拒绝。</w:t>
      </w:r>
    </w:p>
    <w:p w14:paraId="134AF3A9">
      <w:pPr>
        <w:widowControl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24.磋商小组</w:t>
      </w:r>
      <w:r>
        <w:rPr>
          <w:rFonts w:hint="eastAsia" w:ascii="宋体" w:hAnsi="宋体" w:cs="宋体"/>
          <w:color w:val="auto"/>
          <w:sz w:val="24"/>
          <w:szCs w:val="24"/>
          <w:highlight w:val="none"/>
        </w:rPr>
        <w:tab/>
      </w:r>
    </w:p>
    <w:p w14:paraId="3D725F54">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采购代理机构根据采购项目的特点依法组建磋商小组。磋商小组</w:t>
      </w:r>
      <w:r>
        <w:rPr>
          <w:rFonts w:hint="eastAsia" w:ascii="宋体" w:hAnsi="宋体" w:cs="宋体"/>
          <w:color w:val="auto"/>
          <w:sz w:val="24"/>
          <w:szCs w:val="24"/>
          <w:highlight w:val="none"/>
          <w:lang w:val="en-US" w:eastAsia="zh-CN"/>
        </w:rPr>
        <w:t>由有关技术、经济方面的专家3</w:t>
      </w:r>
      <w:r>
        <w:rPr>
          <w:rFonts w:hint="eastAsia" w:ascii="宋体" w:hAnsi="宋体" w:cs="宋体"/>
          <w:color w:val="auto"/>
          <w:sz w:val="24"/>
          <w:szCs w:val="24"/>
          <w:highlight w:val="none"/>
        </w:rPr>
        <w:t>人</w:t>
      </w:r>
      <w:r>
        <w:rPr>
          <w:rFonts w:hint="eastAsia" w:ascii="宋体" w:hAnsi="宋体" w:cs="宋体"/>
          <w:color w:val="auto"/>
          <w:sz w:val="24"/>
          <w:szCs w:val="24"/>
          <w:highlight w:val="none"/>
          <w:lang w:val="en-US" w:eastAsia="zh-CN"/>
        </w:rPr>
        <w:t>组成。</w:t>
      </w:r>
      <w:r>
        <w:rPr>
          <w:rFonts w:hint="eastAsia" w:ascii="宋体" w:hAnsi="宋体" w:cs="宋体"/>
          <w:color w:val="auto"/>
          <w:sz w:val="24"/>
          <w:szCs w:val="24"/>
          <w:highlight w:val="none"/>
        </w:rPr>
        <w:t>开标后在河南省政府采购评审专家库中随机抽取</w:t>
      </w:r>
      <w:r>
        <w:rPr>
          <w:rFonts w:hint="eastAsia" w:ascii="宋体" w:hAnsi="宋体" w:cs="宋体"/>
          <w:color w:val="auto"/>
          <w:sz w:val="24"/>
          <w:szCs w:val="24"/>
          <w:highlight w:val="none"/>
          <w:lang w:eastAsia="zh-CN"/>
        </w:rPr>
        <w:t>。</w:t>
      </w:r>
    </w:p>
    <w:p w14:paraId="67BFF78C">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25.磋商工作纪律及保密</w:t>
      </w:r>
    </w:p>
    <w:p w14:paraId="4A88B47D">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评审专家应当遵守评审工作纪律，不得泄露评审情况和评审中获悉的商业秘密。</w:t>
      </w:r>
    </w:p>
    <w:p w14:paraId="7980F832">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26.磋商小组工作原则</w:t>
      </w:r>
    </w:p>
    <w:p w14:paraId="63BE9FBB">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302B5A8">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27.响应文件审查</w:t>
      </w:r>
    </w:p>
    <w:p w14:paraId="39FFB703">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磋商小组在对响应文件的有效性、完整性和响应程度进行审查时，可以要求供应商对响应文件中含义不明确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同类问题表述不一致或者有明显文字和计算错误的内容等作出必要的澄清、说明或者更正。供应商的澄清、说明或者更正不得超出响应文件的范围或者改变响应文件的实质性内容。</w:t>
      </w:r>
    </w:p>
    <w:p w14:paraId="221CC4C9">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28.供应商澄清</w:t>
      </w:r>
    </w:p>
    <w:p w14:paraId="44B60C91">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磋商小组要求供应商澄清、说明或者更正响应文件将在电子系统作出。</w:t>
      </w:r>
    </w:p>
    <w:p w14:paraId="170CDD56">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29.磋商程序、最后报价、综合评分</w:t>
      </w:r>
    </w:p>
    <w:p w14:paraId="6393EABB">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磋商小组所有成员应当集中与单一供应商分别进行磋商，并给予所有参加磋商的供应商平等的磋商机会。</w:t>
      </w:r>
    </w:p>
    <w:p w14:paraId="3CA0F481">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05D0DA46">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磋商文件能够详细列明采购的的技术、服务要求的，磋商结束后，磋商小组将要求所有实质性响应的供应商在规定时间内提交最后报价。最后报价是供应商响应文件的有效组成部分。</w:t>
      </w:r>
    </w:p>
    <w:p w14:paraId="38526800">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已提交响应文件的供应商，在提交最后报价之前，可以根据情况退出磋商。将退还退出磋商的供应商的磋商保证金。</w:t>
      </w:r>
    </w:p>
    <w:p w14:paraId="4C6CA729">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7F559D97">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评审时，磋商小组各成员独立对每个有效响应的文件进行评价、打分，然后汇总每个供应商每项评分因素的得分。</w:t>
      </w:r>
    </w:p>
    <w:p w14:paraId="128BB7EC">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151B9B33">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出现下列情形之一的，将终止竞争性磋商采购活动，发布项目终止公告并说明原因，重新开展采购活动：</w:t>
      </w:r>
    </w:p>
    <w:p w14:paraId="5F1DAB6C">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1、不符合法律、法规和竞争性磋商文件中规定的其他实质性要求的；</w:t>
      </w:r>
    </w:p>
    <w:p w14:paraId="10463B68">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2、其他法律、法规及本竞争性磋商文件规定的属响应无效的情形。终止竞争性磋商采购活动的条款；</w:t>
      </w:r>
    </w:p>
    <w:p w14:paraId="7161D135">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3、因情况变化，不再符合规定的竞争性磋商采购方式适用情形的；出现影响采购公正的违法、违规行为的；</w:t>
      </w:r>
    </w:p>
    <w:p w14:paraId="50A3C295">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磋商截止时间结束后参加供应商不足3家的，应重新组织采购。评审期间符合专业条件的供应商或者对磋商响应文件作出实质响应的供应商不足3家的，采购代理机构将报请主管监督部门批准。</w:t>
      </w:r>
    </w:p>
    <w:p w14:paraId="356CB05C">
      <w:pPr>
        <w:widowControl w:val="0"/>
        <w:spacing w:line="360" w:lineRule="auto"/>
        <w:ind w:firstLine="482" w:firstLineChars="200"/>
        <w:rPr>
          <w:rFonts w:hint="eastAsia" w:ascii="宋体" w:hAnsi="宋体" w:cs="宋体"/>
          <w:b/>
          <w:bCs/>
          <w:color w:val="auto"/>
          <w:sz w:val="24"/>
          <w:szCs w:val="24"/>
          <w:highlight w:val="none"/>
        </w:rPr>
      </w:pPr>
      <w:bookmarkStart w:id="43" w:name="_Toc461977419"/>
      <w:bookmarkEnd w:id="43"/>
      <w:bookmarkStart w:id="44" w:name="_Toc12427"/>
      <w:r>
        <w:rPr>
          <w:rFonts w:hint="eastAsia" w:ascii="宋体" w:hAnsi="宋体" w:cs="宋体"/>
          <w:b/>
          <w:bCs/>
          <w:color w:val="auto"/>
          <w:sz w:val="24"/>
          <w:szCs w:val="24"/>
          <w:highlight w:val="none"/>
        </w:rPr>
        <w:t>六、确定成交</w:t>
      </w:r>
      <w:bookmarkEnd w:id="44"/>
    </w:p>
    <w:p w14:paraId="25B69848">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评标结束后，采购人和其委托的采购代理机构，在政府采购项目评审结束当日起2个工作日内完成评标报告的报送、成交供应商的确定、</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公告的发布、成交通知书发出。</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通知书对采购人和</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供应商具有同等法律效力。</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通知书发出后，采购人改变</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结果，或者</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供应商放弃中标，应按相关法律、规章、规范性文件的要求承担相应的法律责任。未按规定交纳服务费、领取</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通知书的视为自动放弃中标。</w:t>
      </w:r>
    </w:p>
    <w:p w14:paraId="68FCDA58">
      <w:pPr>
        <w:widowControl w:val="0"/>
        <w:spacing w:line="360" w:lineRule="auto"/>
        <w:ind w:firstLine="482" w:firstLineChars="200"/>
        <w:rPr>
          <w:rFonts w:hint="eastAsia" w:ascii="宋体" w:hAnsi="宋体" w:cs="宋体"/>
          <w:b/>
          <w:bCs/>
          <w:color w:val="auto"/>
          <w:sz w:val="24"/>
          <w:szCs w:val="24"/>
          <w:highlight w:val="none"/>
        </w:rPr>
      </w:pPr>
      <w:bookmarkStart w:id="45" w:name="_Toc461977420"/>
      <w:bookmarkEnd w:id="45"/>
      <w:bookmarkStart w:id="46" w:name="_Toc32480"/>
      <w:r>
        <w:rPr>
          <w:rFonts w:hint="eastAsia" w:ascii="宋体" w:hAnsi="宋体" w:cs="宋体"/>
          <w:b/>
          <w:bCs/>
          <w:color w:val="auto"/>
          <w:sz w:val="24"/>
          <w:szCs w:val="24"/>
          <w:highlight w:val="none"/>
        </w:rPr>
        <w:t>七、授予合同</w:t>
      </w:r>
      <w:bookmarkEnd w:id="46"/>
    </w:p>
    <w:p w14:paraId="47515A27">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签订合同</w:t>
      </w:r>
    </w:p>
    <w:p w14:paraId="16FC717F">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采购人、成交供应商在成交通知书发出之日发出之日起在</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个工作日，根据竞争性磋商文件确定的事项和成交供应商响应性文件签订合同。合同签订后1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6D9ADB1E">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8D500C3">
      <w:pPr>
        <w:widowControl w:val="0"/>
        <w:spacing w:line="360" w:lineRule="auto"/>
        <w:ind w:firstLine="480" w:firstLineChars="200"/>
        <w:rPr>
          <w:rFonts w:hint="eastAsia" w:ascii="宋体" w:hAnsi="宋体" w:cs="宋体"/>
          <w:color w:val="auto"/>
          <w:sz w:val="24"/>
          <w:szCs w:val="24"/>
          <w:highlight w:val="none"/>
        </w:rPr>
        <w:sectPr>
          <w:footerReference r:id="rId6" w:type="default"/>
          <w:pgSz w:w="11906" w:h="16838"/>
          <w:pgMar w:top="1440" w:right="1080" w:bottom="1440" w:left="1080" w:header="851" w:footer="992" w:gutter="0"/>
          <w:pgNumType w:fmt="decimal" w:start="1"/>
          <w:cols w:space="720" w:num="1"/>
          <w:docGrid w:type="lines" w:linePitch="312" w:charSpace="0"/>
        </w:sectPr>
      </w:pPr>
      <w:r>
        <w:rPr>
          <w:rFonts w:hint="eastAsia" w:ascii="宋体" w:hAnsi="宋体" w:cs="宋体"/>
          <w:color w:val="auto"/>
          <w:sz w:val="24"/>
          <w:szCs w:val="24"/>
          <w:highlight w:val="none"/>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47" w:name="_Toc461977421"/>
      <w:bookmarkEnd w:id="47"/>
    </w:p>
    <w:p w14:paraId="65DA00AC">
      <w:pPr>
        <w:pStyle w:val="2"/>
        <w:numPr>
          <w:ilvl w:val="0"/>
          <w:numId w:val="1"/>
        </w:numPr>
        <w:bidi w:val="0"/>
        <w:jc w:val="center"/>
        <w:rPr>
          <w:color w:val="auto"/>
          <w:highlight w:val="none"/>
        </w:rPr>
      </w:pPr>
      <w:bookmarkStart w:id="48" w:name="_Toc28075"/>
      <w:bookmarkStart w:id="49" w:name="_Toc7180"/>
      <w:bookmarkStart w:id="50" w:name="_Toc4222"/>
      <w:r>
        <w:rPr>
          <w:rFonts w:hint="eastAsia"/>
          <w:color w:val="auto"/>
          <w:sz w:val="36"/>
          <w:szCs w:val="16"/>
          <w:highlight w:val="none"/>
        </w:rPr>
        <w:t xml:space="preserve"> </w:t>
      </w:r>
      <w:bookmarkStart w:id="51" w:name="_Toc10985"/>
      <w:r>
        <w:rPr>
          <w:rFonts w:hint="eastAsia"/>
          <w:color w:val="auto"/>
          <w:sz w:val="36"/>
          <w:szCs w:val="16"/>
          <w:highlight w:val="none"/>
        </w:rPr>
        <w:t>服务内容及要求</w:t>
      </w:r>
      <w:bookmarkEnd w:id="48"/>
      <w:bookmarkEnd w:id="49"/>
      <w:bookmarkEnd w:id="50"/>
      <w:bookmarkEnd w:id="51"/>
    </w:p>
    <w:p w14:paraId="3ECD023B">
      <w:pPr>
        <w:keepNext/>
        <w:keepLines/>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color w:val="auto"/>
          <w:sz w:val="24"/>
          <w:szCs w:val="24"/>
          <w:highlight w:val="none"/>
        </w:rPr>
      </w:pPr>
      <w:bookmarkStart w:id="52" w:name="_Toc5145"/>
      <w:bookmarkStart w:id="53" w:name="_Toc7143"/>
      <w:bookmarkStart w:id="54" w:name="_Toc7152"/>
      <w:bookmarkStart w:id="55" w:name="_Toc11831"/>
      <w:bookmarkStart w:id="56" w:name="_Toc23879"/>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项目名称</w:t>
      </w:r>
      <w:r>
        <w:rPr>
          <w:rFonts w:hint="eastAsia" w:ascii="宋体" w:hAnsi="宋体" w:eastAsia="宋体" w:cs="宋体"/>
          <w:b w:val="0"/>
          <w:bCs/>
          <w:color w:val="auto"/>
          <w:sz w:val="24"/>
          <w:szCs w:val="24"/>
          <w:highlight w:val="none"/>
        </w:rPr>
        <w:t>：渑池县公路局S243线渑池白浪至渑陕界段改建工程压覆矿产资源报告编制项目</w:t>
      </w:r>
    </w:p>
    <w:p w14:paraId="07819555">
      <w:pPr>
        <w:keepNext/>
        <w:keepLines/>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3.预算金额：</w:t>
      </w:r>
      <w:r>
        <w:rPr>
          <w:rFonts w:hint="eastAsia" w:ascii="宋体" w:hAnsi="宋体" w:eastAsia="宋体" w:cs="宋体"/>
          <w:b w:val="0"/>
          <w:bCs/>
          <w:color w:val="auto"/>
          <w:sz w:val="24"/>
          <w:szCs w:val="24"/>
          <w:highlight w:val="none"/>
          <w:lang w:val="en-US" w:eastAsia="zh-CN"/>
        </w:rPr>
        <w:t>497600.00</w:t>
      </w:r>
      <w:r>
        <w:rPr>
          <w:rFonts w:hint="eastAsia" w:ascii="宋体" w:hAnsi="宋体" w:eastAsia="宋体" w:cs="宋体"/>
          <w:b w:val="0"/>
          <w:bCs/>
          <w:color w:val="auto"/>
          <w:sz w:val="24"/>
          <w:szCs w:val="24"/>
          <w:highlight w:val="none"/>
        </w:rPr>
        <w:t>元</w:t>
      </w:r>
    </w:p>
    <w:p w14:paraId="75D71DAD">
      <w:pPr>
        <w:keepNext/>
        <w:keepLines/>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4.服务要求：符合国家、行业、地方相关规范标准及采购单位要求。</w:t>
      </w:r>
    </w:p>
    <w:p w14:paraId="1C4C00D4">
      <w:pPr>
        <w:keepNext/>
        <w:keepLines/>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项目概况：S243线渑池白浪至渑陕界段改建工程位于三门峡市渑池县陈村乡境内，起点位于陈村乡白浪村，路线向南前行利用原X008线加宽改建，途径坡村、后槽村、红土坡村、五爱村至小南庄与G628线衔接，之后向西利用G628线前行至渑池县与陕州区交界处结束。完成拟压覆矿产资源储量核实评估报告（如需专家评审的，应完成评审并取得正向意见），对接主管单位办结批复。</w:t>
      </w:r>
    </w:p>
    <w:p w14:paraId="46F9FFC8">
      <w:pPr>
        <w:keepNext/>
        <w:keepLines/>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服务内容：对工程范围内压覆重要矿产资源情况、探矿权、采矿权设置状况进行核查，并对项目拟压覆资源／储量进行估算，按照现行规范编制《S243线渑池白浪至渑陕界段改建工程压覆矿产资源储量核实评估报告》，并通过自然资源主管部门审查或完成备案。</w:t>
      </w:r>
    </w:p>
    <w:p w14:paraId="0F160D51">
      <w:pPr>
        <w:keepNext/>
        <w:keepLines/>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服务期限：接到采购人通知后90日历天内按照采购人要求完成任务。</w:t>
      </w:r>
    </w:p>
    <w:p w14:paraId="31E656F5">
      <w:pPr>
        <w:keepNext/>
        <w:keepLines/>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服务质量：合格，符合国家、行业、地方相关规定及采购人要求。</w:t>
      </w:r>
    </w:p>
    <w:p w14:paraId="2F6E4309">
      <w:pPr>
        <w:rPr>
          <w:rFonts w:hint="eastAsia"/>
          <w:color w:val="auto"/>
          <w:sz w:val="36"/>
          <w:szCs w:val="16"/>
          <w:highlight w:val="none"/>
        </w:rPr>
      </w:pPr>
      <w:r>
        <w:rPr>
          <w:rFonts w:hint="eastAsia"/>
          <w:color w:val="auto"/>
          <w:sz w:val="36"/>
          <w:szCs w:val="16"/>
          <w:highlight w:val="none"/>
        </w:rPr>
        <w:br w:type="page"/>
      </w:r>
    </w:p>
    <w:p w14:paraId="4A410567">
      <w:pPr>
        <w:pStyle w:val="2"/>
        <w:bidi w:val="0"/>
        <w:jc w:val="center"/>
        <w:rPr>
          <w:rFonts w:ascii="黑体" w:cs="宋体"/>
          <w:b/>
          <w:color w:val="auto"/>
          <w:kern w:val="2"/>
          <w:szCs w:val="28"/>
          <w:highlight w:val="none"/>
        </w:rPr>
      </w:pPr>
      <w:r>
        <w:rPr>
          <w:rFonts w:hint="eastAsia"/>
          <w:color w:val="auto"/>
          <w:sz w:val="36"/>
          <w:szCs w:val="16"/>
          <w:highlight w:val="none"/>
        </w:rPr>
        <w:t>第四章  合同条款及合同文件格式</w:t>
      </w:r>
      <w:bookmarkEnd w:id="52"/>
      <w:bookmarkEnd w:id="53"/>
      <w:bookmarkEnd w:id="54"/>
      <w:bookmarkEnd w:id="55"/>
      <w:bookmarkEnd w:id="56"/>
    </w:p>
    <w:p w14:paraId="54651A19">
      <w:pPr>
        <w:spacing w:line="360" w:lineRule="auto"/>
        <w:ind w:firstLine="480" w:firstLineChars="200"/>
        <w:rPr>
          <w:rFonts w:hAnsi="宋体" w:cs="宋体"/>
          <w:b/>
          <w:bCs/>
          <w:color w:val="auto"/>
          <w:sz w:val="24"/>
          <w:highlight w:val="none"/>
        </w:rPr>
      </w:pPr>
      <w:bookmarkStart w:id="57" w:name="_Toc461977428"/>
      <w:bookmarkEnd w:id="57"/>
      <w:bookmarkStart w:id="58" w:name="_Toc21009"/>
      <w:r>
        <w:rPr>
          <w:rFonts w:hint="eastAsia" w:ascii="宋体" w:hAnsi="宋体" w:cs="宋体"/>
          <w:color w:val="auto"/>
          <w:sz w:val="24"/>
          <w:szCs w:val="24"/>
          <w:highlight w:val="none"/>
        </w:rPr>
        <w:t xml:space="preserve"> 按《三门峡市财政局关于市本级政府采购合同备案管理工作的通知》（三财购[2021]9号）文要求，集中采购目录以外政府采购项目，原则上自</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通知书发出之日起2个工作日内与中标（成交）供应商按照采购文件确定的事项与供应商签订政府采购合同</w:t>
      </w:r>
      <w:r>
        <w:rPr>
          <w:rFonts w:hint="eastAsia" w:ascii="宋体" w:hAnsi="宋体" w:cs="宋体"/>
          <w:color w:val="auto"/>
          <w:sz w:val="24"/>
          <w:szCs w:val="24"/>
          <w:highlight w:val="none"/>
          <w:lang w:eastAsia="zh-CN"/>
        </w:rPr>
        <w:t>。</w:t>
      </w:r>
      <w:bookmarkStart w:id="59" w:name="_Toc296602587"/>
      <w:bookmarkEnd w:id="59"/>
      <w:bookmarkStart w:id="60" w:name="_Toc144974855"/>
      <w:bookmarkEnd w:id="60"/>
      <w:bookmarkStart w:id="61" w:name="_Toc247085872"/>
      <w:bookmarkEnd w:id="61"/>
      <w:bookmarkStart w:id="62" w:name="_Toc246997097"/>
      <w:bookmarkEnd w:id="62"/>
      <w:bookmarkStart w:id="63" w:name="_Toc152045772"/>
      <w:bookmarkEnd w:id="63"/>
      <w:bookmarkStart w:id="64" w:name="_Toc152042554"/>
      <w:bookmarkEnd w:id="64"/>
      <w:bookmarkStart w:id="65" w:name="_Toc246996354"/>
      <w:bookmarkEnd w:id="65"/>
      <w:bookmarkStart w:id="66" w:name="_Toc246997083"/>
      <w:bookmarkEnd w:id="66"/>
      <w:bookmarkStart w:id="67" w:name="_Toc144974834"/>
      <w:bookmarkEnd w:id="67"/>
      <w:bookmarkStart w:id="68" w:name="_Toc152045786"/>
      <w:bookmarkEnd w:id="68"/>
      <w:bookmarkStart w:id="69" w:name="_Toc247085855"/>
      <w:bookmarkEnd w:id="69"/>
      <w:bookmarkStart w:id="70" w:name="_Toc179632806"/>
      <w:bookmarkEnd w:id="70"/>
      <w:bookmarkStart w:id="71" w:name="_Toc246996340"/>
      <w:bookmarkEnd w:id="71"/>
      <w:bookmarkStart w:id="72" w:name="_Toc296602600"/>
      <w:bookmarkEnd w:id="72"/>
      <w:bookmarkStart w:id="73" w:name="_Toc152042575"/>
      <w:bookmarkEnd w:id="73"/>
    </w:p>
    <w:p w14:paraId="2F262560">
      <w:pPr>
        <w:pStyle w:val="6"/>
        <w:spacing w:line="500" w:lineRule="exact"/>
        <w:ind w:firstLine="482" w:firstLineChars="200"/>
        <w:jc w:val="center"/>
        <w:rPr>
          <w:rFonts w:hAnsi="宋体" w:cs="宋体"/>
          <w:b/>
          <w:bCs/>
          <w:color w:val="auto"/>
          <w:sz w:val="24"/>
          <w:highlight w:val="none"/>
        </w:rPr>
      </w:pPr>
    </w:p>
    <w:p w14:paraId="17AA9C37">
      <w:pPr>
        <w:pStyle w:val="6"/>
        <w:spacing w:line="500" w:lineRule="exact"/>
        <w:ind w:firstLine="482" w:firstLineChars="200"/>
        <w:jc w:val="center"/>
        <w:rPr>
          <w:rFonts w:hAnsi="宋体" w:cs="宋体"/>
          <w:b/>
          <w:bCs/>
          <w:color w:val="auto"/>
          <w:sz w:val="24"/>
          <w:highlight w:val="none"/>
        </w:rPr>
      </w:pPr>
      <w:r>
        <w:rPr>
          <w:rFonts w:hAnsi="宋体" w:cs="宋体"/>
          <w:b/>
          <w:bCs/>
          <w:color w:val="auto"/>
          <w:sz w:val="24"/>
          <w:highlight w:val="none"/>
        </w:rPr>
        <w:t>（注：本合同样式仅供参考，具体合同以采购人与成交人签定的合同为准）</w:t>
      </w:r>
    </w:p>
    <w:p w14:paraId="13A18D3D">
      <w:pPr>
        <w:spacing w:line="360" w:lineRule="auto"/>
        <w:ind w:firstLine="480" w:firstLineChars="200"/>
        <w:rPr>
          <w:rFonts w:hint="eastAsia" w:ascii="宋体" w:hAnsi="宋体" w:cs="宋体"/>
          <w:color w:val="auto"/>
          <w:sz w:val="24"/>
          <w:szCs w:val="24"/>
          <w:highlight w:val="none"/>
        </w:rPr>
      </w:pPr>
    </w:p>
    <w:p w14:paraId="70D957C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14:paraId="52AAADC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项目编号：</w:t>
      </w:r>
    </w:p>
    <w:p w14:paraId="4B19BB2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甲方：（采购人）</w:t>
      </w:r>
    </w:p>
    <w:p w14:paraId="56C6D9D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乙方：（成交</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w:t>
      </w:r>
    </w:p>
    <w:p w14:paraId="61B960E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甲、乙双方根据《中华人民共和国政府采购法》、《中华人民共和国民法典》等法律法规的规定，按照 </w:t>
      </w:r>
      <w:r>
        <w:rPr>
          <w:rFonts w:hint="eastAsia" w:ascii="宋体" w:hAnsi="宋体" w:cs="宋体"/>
          <w:color w:val="auto"/>
          <w:sz w:val="24"/>
          <w:szCs w:val="24"/>
          <w:highlight w:val="none"/>
        </w:rPr>
        <w:tab/>
      </w:r>
      <w:r>
        <w:rPr>
          <w:rFonts w:hint="eastAsia" w:ascii="宋体" w:hAnsi="宋体" w:cs="宋体"/>
          <w:color w:val="auto"/>
          <w:sz w:val="24"/>
          <w:szCs w:val="24"/>
          <w:highlight w:val="none"/>
        </w:rPr>
        <w:t>（项目名称）的磋商结果签订本合同。</w:t>
      </w:r>
    </w:p>
    <w:p w14:paraId="034A87D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1.服务内容：</w:t>
      </w:r>
    </w:p>
    <w:p w14:paraId="2AE96F7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2.合同金额</w:t>
      </w:r>
    </w:p>
    <w:p w14:paraId="5BDEBB4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本合同金额为人民币（大写）： </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元（￥ </w:t>
      </w:r>
      <w:r>
        <w:rPr>
          <w:rFonts w:hint="eastAsia" w:ascii="宋体" w:hAnsi="宋体" w:cs="宋体"/>
          <w:color w:val="auto"/>
          <w:sz w:val="24"/>
          <w:szCs w:val="24"/>
          <w:highlight w:val="none"/>
        </w:rPr>
        <w:tab/>
      </w:r>
      <w:r>
        <w:rPr>
          <w:rFonts w:hint="eastAsia" w:ascii="宋体" w:hAnsi="宋体" w:cs="宋体"/>
          <w:color w:val="auto"/>
          <w:sz w:val="24"/>
          <w:szCs w:val="24"/>
          <w:highlight w:val="none"/>
        </w:rPr>
        <w:t>元）。</w:t>
      </w:r>
    </w:p>
    <w:p w14:paraId="4294CC62">
      <w:pPr>
        <w:spacing w:line="360" w:lineRule="auto"/>
        <w:ind w:firstLine="480" w:firstLineChars="200"/>
        <w:rPr>
          <w:rFonts w:hint="eastAsia"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3.服务期限和服务地点</w:t>
      </w:r>
    </w:p>
    <w:p w14:paraId="09DFFAB9">
      <w:pPr>
        <w:spacing w:line="360" w:lineRule="auto"/>
        <w:ind w:firstLine="480" w:firstLineChars="200"/>
        <w:rPr>
          <w:rFonts w:hint="eastAsia"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服务期限：</w:t>
      </w:r>
    </w:p>
    <w:p w14:paraId="073897B1">
      <w:pPr>
        <w:spacing w:line="360" w:lineRule="auto"/>
        <w:ind w:firstLine="480" w:firstLineChars="200"/>
        <w:rPr>
          <w:rFonts w:hint="eastAsia"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服务地点：</w:t>
      </w:r>
    </w:p>
    <w:p w14:paraId="32FBFE69">
      <w:pPr>
        <w:spacing w:line="360" w:lineRule="auto"/>
        <w:ind w:firstLine="480" w:firstLineChars="200"/>
        <w:rPr>
          <w:rFonts w:hint="eastAsia"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4.付款方式</w:t>
      </w:r>
    </w:p>
    <w:p w14:paraId="4F41B0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付款方式：</w:t>
      </w:r>
    </w:p>
    <w:p w14:paraId="0A764E8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5.税费</w:t>
      </w:r>
    </w:p>
    <w:p w14:paraId="6FAE8B0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本合同执行中相关的一切税费均由乙方负担。</w:t>
      </w:r>
    </w:p>
    <w:p w14:paraId="20F1554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6.技术资料</w:t>
      </w:r>
    </w:p>
    <w:p w14:paraId="1B04FDD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没有甲方事先书面同意，乙方不得将由甲方提供的有关合同或任何合同条文、等资料提供给与履行本合同无关的任何其他人。须提供承诺书，承诺书作为响应文件的一部分。</w:t>
      </w:r>
    </w:p>
    <w:p w14:paraId="12DDD50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7.知识产权</w:t>
      </w:r>
    </w:p>
    <w:p w14:paraId="39D538C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乙方保证所提供的货物或其任何一部分均不会侵犯任何第三方的知识产权。</w:t>
      </w:r>
    </w:p>
    <w:p w14:paraId="407B277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8.无产权瑕疵条款</w:t>
      </w:r>
    </w:p>
    <w:p w14:paraId="7CAC175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乙方保证所提供的服务的所有权完全属于乙方且无任何抵押、查封等产权瑕疵。如有产权瑕疵的，视为乙方违约。乙方应负担由此而产生的一切损失。</w:t>
      </w:r>
    </w:p>
    <w:p w14:paraId="5F2D075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9.履约保证金的收取及退还</w:t>
      </w:r>
    </w:p>
    <w:p w14:paraId="5BE9B12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无</w:t>
      </w:r>
    </w:p>
    <w:p w14:paraId="177559B4">
      <w:pPr>
        <w:spacing w:line="360" w:lineRule="auto"/>
        <w:ind w:firstLine="480" w:firstLineChars="200"/>
        <w:rPr>
          <w:rFonts w:hint="eastAsia"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10.转包或分包</w:t>
      </w:r>
    </w:p>
    <w:p w14:paraId="290915D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本合同范围的服务乙方不得以任何方式和形式进行转包和分包。</w:t>
      </w:r>
    </w:p>
    <w:p w14:paraId="4A28807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乙方如有转包和分包的行为，甲方有权给予终止合同。</w:t>
      </w:r>
    </w:p>
    <w:p w14:paraId="56BDF14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11.质量保证</w:t>
      </w:r>
    </w:p>
    <w:p w14:paraId="5CAF230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乙方应提供优质服务，保证服务质量，且不能低于合同规定要求。须提供承诺书，承诺书作为响应文件的一部分。</w:t>
      </w:r>
    </w:p>
    <w:p w14:paraId="61CAF1F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12.验收</w:t>
      </w:r>
    </w:p>
    <w:p w14:paraId="530A92A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验收严格按照招标文件和响应文件规定的标准进行验收。</w:t>
      </w:r>
    </w:p>
    <w:p w14:paraId="62D88BB4">
      <w:pPr>
        <w:spacing w:line="360" w:lineRule="auto"/>
        <w:ind w:firstLine="480" w:firstLineChars="200"/>
        <w:rPr>
          <w:rFonts w:hint="eastAsia"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13.甲方的权利和义务</w:t>
      </w:r>
    </w:p>
    <w:p w14:paraId="6A75F07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甲方有权对合同规定范围内乙方的服务行为进行监督和检查，拥有监管权。有权定期核对乙方提供服务所配备的人员数量等。对乙方未按照合同履行的部分有权下达整改通知书，并要求乙方限期整改。</w:t>
      </w:r>
    </w:p>
    <w:p w14:paraId="564D0EE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甲方有权依据双方签订的考评办法对乙方提供的服务进行定期考评。当考评结果未达到标准时，有权依据考评办法约定的数额扣除履约保证金。</w:t>
      </w:r>
    </w:p>
    <w:p w14:paraId="0819E5F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负责检查监督乙方管理工作的实施及制度的执行情况。</w:t>
      </w:r>
    </w:p>
    <w:p w14:paraId="12F40D7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国家法律、法规所规定由甲方承担的其它责任。</w:t>
      </w:r>
    </w:p>
    <w:p w14:paraId="66499831">
      <w:pPr>
        <w:spacing w:line="360" w:lineRule="auto"/>
        <w:ind w:firstLine="480" w:firstLineChars="200"/>
        <w:rPr>
          <w:rFonts w:hint="eastAsia"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14.乙方的权利和义务</w:t>
      </w:r>
    </w:p>
    <w:p w14:paraId="0CA702D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对本合同规定的委托服务范围内的项目享有管理权及服务义务。</w:t>
      </w:r>
    </w:p>
    <w:p w14:paraId="4F53E30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对甲方下达整改通知书及时配合处理。</w:t>
      </w:r>
    </w:p>
    <w:p w14:paraId="7F4EBCC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接受项目行业管理部门及政府有关部门的指导，接受甲方的监督。</w:t>
      </w:r>
    </w:p>
    <w:p w14:paraId="71B6BFF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国家法律、法规所规定由乙方承担的其它责任。</w:t>
      </w:r>
    </w:p>
    <w:p w14:paraId="5C9D7FC2">
      <w:pPr>
        <w:spacing w:line="360" w:lineRule="auto"/>
        <w:ind w:firstLine="480" w:firstLineChars="200"/>
        <w:rPr>
          <w:rFonts w:hint="eastAsia" w:ascii="宋体" w:hAnsi="宋体" w:cs="宋体"/>
          <w:color w:val="auto"/>
          <w:sz w:val="24"/>
          <w:szCs w:val="24"/>
          <w:highlight w:val="none"/>
          <w:lang w:eastAsia="en-US"/>
        </w:rPr>
      </w:pP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lang w:eastAsia="en-US"/>
        </w:rPr>
        <w:t>违约责任</w:t>
      </w:r>
    </w:p>
    <w:p w14:paraId="3A3ADB7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甲乙双方必须遵守本合同并执行合同中的各项规定，保证本合同的正常履行。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82BA92F">
      <w:pPr>
        <w:spacing w:line="360" w:lineRule="auto"/>
        <w:ind w:firstLine="480" w:firstLineChars="200"/>
        <w:rPr>
          <w:rFonts w:hint="eastAsia"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16.不可抗力事件处理</w:t>
      </w:r>
    </w:p>
    <w:p w14:paraId="6C6E263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因不可抗力造成违约的，遭受不可抗力一方应及时向对方通报不能履行或不能完全履行的理由，并在随后取得有关权威机构出具的证明后的 15 日内向另一方提供不可抗力发生以及持续期间的充分证据。基本于以上行为，允许遭受不可抗力一方延期履行、部分履行或者不履行合同，并根据情况可部分或全部免于承担违约责任。</w:t>
      </w:r>
    </w:p>
    <w:p w14:paraId="4EF0023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本合同中的不可抗力指不能预见、不能避免并不能克服的客观情况。包括但不限于：自然灾害如地震、台风、洪水、火灾；政府行为、法律规定或其适用的变化或者其他任何无法预见、避免或者控制的事件。</w:t>
      </w:r>
    </w:p>
    <w:p w14:paraId="2C4A637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17.合同纠纷处理</w:t>
      </w:r>
    </w:p>
    <w:p w14:paraId="089C8A4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因本合同或与本合同有关的一切事项发生争议，由双方友好协商解决。协商不成的，任何一方均可选择以下方式解决：</w:t>
      </w:r>
    </w:p>
    <w:p w14:paraId="71086DE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向甲方所在地仲裁委员会申请仲裁。</w:t>
      </w:r>
    </w:p>
    <w:p w14:paraId="3AFE4D3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向合同签订地人民法院提起诉讼。</w:t>
      </w:r>
    </w:p>
    <w:p w14:paraId="3CF5B733">
      <w:pPr>
        <w:spacing w:line="360" w:lineRule="auto"/>
        <w:ind w:firstLine="480" w:firstLineChars="200"/>
        <w:rPr>
          <w:rFonts w:hint="eastAsia"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18.违约解除合同</w:t>
      </w:r>
    </w:p>
    <w:p w14:paraId="1272B56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违反本合同第 10 条的规定的。</w:t>
      </w:r>
    </w:p>
    <w:p w14:paraId="6B1B550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乙方未能履行合同规定的其它主要义务的。</w:t>
      </w:r>
    </w:p>
    <w:p w14:paraId="477CD24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在本合同履行过程中有腐败和欺诈行为的。</w:t>
      </w:r>
    </w:p>
    <w:p w14:paraId="4D1C8205">
      <w:pPr>
        <w:spacing w:line="360" w:lineRule="auto"/>
        <w:ind w:firstLine="480" w:firstLineChars="200"/>
        <w:rPr>
          <w:rFonts w:hint="eastAsia"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19.其他约定</w:t>
      </w:r>
    </w:p>
    <w:p w14:paraId="3C0F39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本采购项目的招标文件、</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的响应文件以及相关的澄清确认函（如果有的话）均为本合同不可分割的一部分，与本合同具有同等法律效力。</w:t>
      </w:r>
    </w:p>
    <w:p w14:paraId="2B65C2F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本合同未尽事宜，双方另行补充。</w:t>
      </w:r>
    </w:p>
    <w:p w14:paraId="55C62D4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本合同正本一式 份，具有同等法律效力，甲、乙双方各执一份。自采购合同签订之日起 1 个工作日内，甲方按照有关规定将合同副本报同级财政部门备案。</w:t>
      </w:r>
    </w:p>
    <w:p w14:paraId="60FA55C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甲方（盖章）：                            乙方（盖章）： </w:t>
      </w:r>
    </w:p>
    <w:p w14:paraId="5267EFE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法人或代理人（签字）：                   法人或代理人（签字）：</w:t>
      </w:r>
    </w:p>
    <w:p w14:paraId="786BC3D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地址： </w:t>
      </w:r>
    </w:p>
    <w:p w14:paraId="68C80B3F">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电话：                                  电话</w:t>
      </w:r>
      <w:r>
        <w:rPr>
          <w:rFonts w:hint="eastAsia" w:ascii="宋体" w:hAnsi="宋体" w:cs="宋体"/>
          <w:color w:val="auto"/>
          <w:sz w:val="24"/>
          <w:szCs w:val="24"/>
          <w:highlight w:val="none"/>
          <w:lang w:eastAsia="zh-CN"/>
        </w:rPr>
        <w:t>：</w:t>
      </w:r>
    </w:p>
    <w:p w14:paraId="457DE8A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日期：                                  日期</w:t>
      </w:r>
      <w:r>
        <w:rPr>
          <w:rFonts w:hint="eastAsia" w:ascii="宋体" w:hAnsi="宋体" w:cs="宋体"/>
          <w:color w:val="auto"/>
          <w:sz w:val="24"/>
          <w:szCs w:val="24"/>
          <w:highlight w:val="none"/>
          <w:lang w:eastAsia="zh-CN"/>
        </w:rPr>
        <w:t>：</w:t>
      </w:r>
    </w:p>
    <w:p w14:paraId="0A5348CE">
      <w:pPr>
        <w:rPr>
          <w:rFonts w:ascii="黑体" w:cs="宋体"/>
          <w:b/>
          <w:color w:val="auto"/>
          <w:kern w:val="2"/>
          <w:sz w:val="24"/>
          <w:szCs w:val="24"/>
          <w:highlight w:val="none"/>
        </w:rPr>
      </w:pPr>
      <w:r>
        <w:rPr>
          <w:rFonts w:hint="eastAsia" w:ascii="黑体" w:cs="宋体"/>
          <w:b/>
          <w:color w:val="auto"/>
          <w:kern w:val="2"/>
          <w:sz w:val="24"/>
          <w:szCs w:val="24"/>
          <w:highlight w:val="none"/>
        </w:rPr>
        <w:br w:type="page"/>
      </w:r>
    </w:p>
    <w:p w14:paraId="381CBD29">
      <w:pPr>
        <w:pStyle w:val="2"/>
        <w:bidi w:val="0"/>
        <w:jc w:val="center"/>
        <w:rPr>
          <w:color w:val="auto"/>
          <w:sz w:val="36"/>
          <w:szCs w:val="16"/>
          <w:highlight w:val="none"/>
        </w:rPr>
      </w:pPr>
      <w:bookmarkStart w:id="74" w:name="_Toc26246"/>
      <w:bookmarkStart w:id="75" w:name="_Toc15943"/>
      <w:bookmarkStart w:id="76" w:name="_Toc8868"/>
      <w:bookmarkStart w:id="77" w:name="_Toc11180"/>
      <w:r>
        <w:rPr>
          <w:rFonts w:hint="eastAsia"/>
          <w:color w:val="auto"/>
          <w:sz w:val="36"/>
          <w:szCs w:val="16"/>
          <w:highlight w:val="none"/>
        </w:rPr>
        <w:t>第五章</w:t>
      </w:r>
      <w:r>
        <w:rPr>
          <w:rFonts w:hint="eastAsia"/>
          <w:color w:val="auto"/>
          <w:sz w:val="36"/>
          <w:szCs w:val="16"/>
          <w:highlight w:val="none"/>
          <w:lang w:val="en-US" w:eastAsia="zh-CN"/>
        </w:rPr>
        <w:t xml:space="preserve">  </w:t>
      </w:r>
      <w:r>
        <w:rPr>
          <w:rFonts w:hint="eastAsia"/>
          <w:color w:val="auto"/>
          <w:sz w:val="36"/>
          <w:szCs w:val="16"/>
          <w:highlight w:val="none"/>
        </w:rPr>
        <w:t>评审标准</w:t>
      </w:r>
      <w:bookmarkEnd w:id="58"/>
      <w:bookmarkEnd w:id="74"/>
      <w:bookmarkEnd w:id="75"/>
      <w:bookmarkEnd w:id="76"/>
      <w:bookmarkEnd w:id="77"/>
    </w:p>
    <w:p w14:paraId="41919BD2">
      <w:pPr>
        <w:widowControl w:val="0"/>
        <w:spacing w:line="360" w:lineRule="auto"/>
        <w:jc w:val="center"/>
        <w:rPr>
          <w:rFonts w:hint="eastAsia" w:ascii="宋体" w:hAnsi="宋体" w:cs="宋体"/>
          <w:b/>
          <w:color w:val="auto"/>
          <w:sz w:val="24"/>
          <w:szCs w:val="24"/>
          <w:highlight w:val="none"/>
        </w:rPr>
      </w:pPr>
      <w:bookmarkStart w:id="78" w:name="_Toc17665"/>
      <w:r>
        <w:rPr>
          <w:rFonts w:hint="eastAsia" w:ascii="宋体" w:hAnsi="宋体" w:cs="宋体"/>
          <w:b/>
          <w:color w:val="auto"/>
          <w:kern w:val="2"/>
          <w:sz w:val="24"/>
          <w:szCs w:val="24"/>
          <w:highlight w:val="none"/>
        </w:rPr>
        <w:t>评标办法前附表</w:t>
      </w:r>
      <w:bookmarkEnd w:id="78"/>
    </w:p>
    <w:tbl>
      <w:tblPr>
        <w:tblStyle w:val="13"/>
        <w:tblW w:w="9980" w:type="dxa"/>
        <w:tblInd w:w="108" w:type="dxa"/>
        <w:tblLayout w:type="fixed"/>
        <w:tblCellMar>
          <w:top w:w="0" w:type="dxa"/>
          <w:left w:w="108" w:type="dxa"/>
          <w:bottom w:w="0" w:type="dxa"/>
          <w:right w:w="108" w:type="dxa"/>
        </w:tblCellMar>
      </w:tblPr>
      <w:tblGrid>
        <w:gridCol w:w="832"/>
        <w:gridCol w:w="1171"/>
        <w:gridCol w:w="2370"/>
        <w:gridCol w:w="5607"/>
      </w:tblGrid>
      <w:tr w14:paraId="1A551F84">
        <w:tblPrEx>
          <w:tblCellMar>
            <w:top w:w="0" w:type="dxa"/>
            <w:left w:w="108" w:type="dxa"/>
            <w:bottom w:w="0" w:type="dxa"/>
            <w:right w:w="108" w:type="dxa"/>
          </w:tblCellMar>
        </w:tblPrEx>
        <w:trPr>
          <w:trHeight w:val="606" w:hRule="atLeast"/>
        </w:trPr>
        <w:tc>
          <w:tcPr>
            <w:tcW w:w="2003" w:type="dxa"/>
            <w:gridSpan w:val="2"/>
            <w:tcBorders>
              <w:top w:val="single" w:color="auto" w:sz="4" w:space="0"/>
              <w:left w:val="single" w:color="auto" w:sz="4" w:space="0"/>
              <w:bottom w:val="single" w:color="auto" w:sz="4" w:space="0"/>
              <w:right w:val="single" w:color="auto" w:sz="4" w:space="0"/>
            </w:tcBorders>
            <w:vAlign w:val="center"/>
          </w:tcPr>
          <w:p w14:paraId="0A139D89">
            <w:pPr>
              <w:widowControl w:val="0"/>
              <w:spacing w:line="360" w:lineRule="auto"/>
              <w:jc w:val="center"/>
              <w:rPr>
                <w:rFonts w:hint="eastAsia" w:ascii="宋体" w:hAnsi="宋体" w:cs="宋体"/>
                <w:color w:val="auto"/>
                <w:kern w:val="2"/>
                <w:sz w:val="24"/>
                <w:szCs w:val="24"/>
                <w:highlight w:val="none"/>
              </w:rPr>
            </w:pPr>
            <w:r>
              <w:rPr>
                <w:rFonts w:ascii="宋体" w:hAnsi="宋体" w:cs="宋体"/>
                <w:color w:val="auto"/>
                <w:kern w:val="2"/>
                <w:sz w:val="24"/>
                <w:szCs w:val="24"/>
                <w:highlight w:val="none"/>
              </w:rPr>
              <w:t>2.1初步评审</w:t>
            </w:r>
          </w:p>
        </w:tc>
        <w:tc>
          <w:tcPr>
            <w:tcW w:w="2370" w:type="dxa"/>
            <w:tcBorders>
              <w:top w:val="single" w:color="auto" w:sz="4" w:space="0"/>
              <w:left w:val="nil"/>
              <w:bottom w:val="single" w:color="auto" w:sz="4" w:space="0"/>
              <w:right w:val="single" w:color="auto" w:sz="4" w:space="0"/>
            </w:tcBorders>
            <w:vAlign w:val="center"/>
          </w:tcPr>
          <w:p w14:paraId="2D8F46DF">
            <w:pPr>
              <w:widowControl w:val="0"/>
              <w:spacing w:line="360" w:lineRule="auto"/>
              <w:jc w:val="center"/>
              <w:rPr>
                <w:rFonts w:hint="eastAsia" w:ascii="宋体" w:hAnsi="宋体" w:cs="宋体"/>
                <w:color w:val="auto"/>
                <w:kern w:val="2"/>
                <w:sz w:val="24"/>
                <w:szCs w:val="24"/>
                <w:highlight w:val="none"/>
              </w:rPr>
            </w:pPr>
            <w:r>
              <w:rPr>
                <w:rFonts w:ascii="宋体" w:hAnsi="宋体" w:cs="宋体"/>
                <w:color w:val="auto"/>
                <w:kern w:val="2"/>
                <w:sz w:val="24"/>
                <w:szCs w:val="24"/>
                <w:highlight w:val="none"/>
              </w:rPr>
              <w:t>评审因素</w:t>
            </w:r>
          </w:p>
        </w:tc>
        <w:tc>
          <w:tcPr>
            <w:tcW w:w="5607" w:type="dxa"/>
            <w:tcBorders>
              <w:top w:val="single" w:color="auto" w:sz="4" w:space="0"/>
              <w:left w:val="nil"/>
              <w:bottom w:val="single" w:color="auto" w:sz="4" w:space="0"/>
              <w:right w:val="single" w:color="auto" w:sz="4" w:space="0"/>
            </w:tcBorders>
            <w:vAlign w:val="center"/>
          </w:tcPr>
          <w:p w14:paraId="6C9E9208">
            <w:pPr>
              <w:widowControl w:val="0"/>
              <w:spacing w:line="360" w:lineRule="auto"/>
              <w:jc w:val="center"/>
              <w:rPr>
                <w:rFonts w:hint="eastAsia" w:ascii="宋体" w:hAnsi="宋体" w:cs="宋体"/>
                <w:color w:val="auto"/>
                <w:kern w:val="2"/>
                <w:sz w:val="24"/>
                <w:szCs w:val="24"/>
                <w:highlight w:val="none"/>
              </w:rPr>
            </w:pPr>
            <w:r>
              <w:rPr>
                <w:rFonts w:ascii="宋体" w:hAnsi="宋体" w:cs="宋体"/>
                <w:color w:val="auto"/>
                <w:kern w:val="2"/>
                <w:sz w:val="24"/>
                <w:szCs w:val="24"/>
                <w:highlight w:val="none"/>
              </w:rPr>
              <w:t>评审标准</w:t>
            </w:r>
          </w:p>
        </w:tc>
      </w:tr>
      <w:tr w14:paraId="4667BBC1">
        <w:tblPrEx>
          <w:tblCellMar>
            <w:top w:w="0" w:type="dxa"/>
            <w:left w:w="108" w:type="dxa"/>
            <w:bottom w:w="0" w:type="dxa"/>
            <w:right w:w="108" w:type="dxa"/>
          </w:tblCellMar>
        </w:tblPrEx>
        <w:trPr>
          <w:trHeight w:val="90" w:hRule="atLeast"/>
        </w:trPr>
        <w:tc>
          <w:tcPr>
            <w:tcW w:w="832" w:type="dxa"/>
            <w:vMerge w:val="restart"/>
            <w:tcBorders>
              <w:top w:val="nil"/>
              <w:left w:val="single" w:color="auto" w:sz="4" w:space="0"/>
              <w:bottom w:val="single" w:color="auto" w:sz="4" w:space="0"/>
              <w:right w:val="single" w:color="auto" w:sz="4" w:space="0"/>
            </w:tcBorders>
            <w:vAlign w:val="center"/>
          </w:tcPr>
          <w:p w14:paraId="4EA6BFED">
            <w:pPr>
              <w:widowControl w:val="0"/>
              <w:spacing w:line="360" w:lineRule="auto"/>
              <w:jc w:val="center"/>
              <w:rPr>
                <w:rFonts w:hint="eastAsia" w:ascii="宋体" w:hAnsi="宋体" w:cs="宋体"/>
                <w:color w:val="auto"/>
                <w:kern w:val="2"/>
                <w:sz w:val="24"/>
                <w:szCs w:val="24"/>
                <w:highlight w:val="none"/>
              </w:rPr>
            </w:pPr>
            <w:r>
              <w:rPr>
                <w:rFonts w:ascii="宋体" w:hAnsi="宋体" w:cs="宋体"/>
                <w:color w:val="auto"/>
                <w:kern w:val="2"/>
                <w:sz w:val="24"/>
                <w:szCs w:val="24"/>
                <w:highlight w:val="none"/>
              </w:rPr>
              <w:t>2.1.1</w:t>
            </w:r>
          </w:p>
        </w:tc>
        <w:tc>
          <w:tcPr>
            <w:tcW w:w="1171" w:type="dxa"/>
            <w:vMerge w:val="restart"/>
            <w:tcBorders>
              <w:top w:val="nil"/>
              <w:left w:val="nil"/>
              <w:bottom w:val="single" w:color="auto" w:sz="4" w:space="0"/>
              <w:right w:val="single" w:color="auto" w:sz="4" w:space="0"/>
            </w:tcBorders>
            <w:vAlign w:val="center"/>
          </w:tcPr>
          <w:p w14:paraId="6E1DD10B">
            <w:pPr>
              <w:widowControl w:val="0"/>
              <w:spacing w:line="360" w:lineRule="auto"/>
              <w:jc w:val="center"/>
              <w:rPr>
                <w:rFonts w:hint="eastAsia" w:ascii="宋体" w:hAnsi="宋体" w:cs="宋体"/>
                <w:color w:val="auto"/>
                <w:kern w:val="2"/>
                <w:sz w:val="24"/>
                <w:szCs w:val="24"/>
                <w:highlight w:val="none"/>
              </w:rPr>
            </w:pPr>
            <w:r>
              <w:rPr>
                <w:rFonts w:ascii="宋体" w:hAnsi="宋体" w:cs="宋体"/>
                <w:color w:val="auto"/>
                <w:kern w:val="2"/>
                <w:sz w:val="24"/>
                <w:szCs w:val="24"/>
                <w:highlight w:val="none"/>
              </w:rPr>
              <w:t>资格</w:t>
            </w:r>
            <w:r>
              <w:rPr>
                <w:rFonts w:hint="eastAsia" w:ascii="宋体" w:hAnsi="宋体" w:cs="宋体"/>
                <w:color w:val="auto"/>
                <w:kern w:val="2"/>
                <w:sz w:val="24"/>
                <w:szCs w:val="24"/>
                <w:highlight w:val="none"/>
                <w:lang w:val="en-US" w:eastAsia="zh-CN"/>
              </w:rPr>
              <w:t>性</w:t>
            </w:r>
            <w:r>
              <w:rPr>
                <w:rFonts w:ascii="宋体" w:hAnsi="宋体" w:cs="宋体"/>
                <w:color w:val="auto"/>
                <w:kern w:val="2"/>
                <w:sz w:val="24"/>
                <w:szCs w:val="24"/>
                <w:highlight w:val="none"/>
              </w:rPr>
              <w:t>评审标准</w:t>
            </w:r>
          </w:p>
        </w:tc>
        <w:tc>
          <w:tcPr>
            <w:tcW w:w="2370" w:type="dxa"/>
            <w:tcBorders>
              <w:top w:val="single" w:color="auto" w:sz="4" w:space="0"/>
              <w:left w:val="nil"/>
              <w:bottom w:val="single" w:color="auto" w:sz="4" w:space="0"/>
              <w:right w:val="single" w:color="auto" w:sz="4" w:space="0"/>
            </w:tcBorders>
            <w:vAlign w:val="center"/>
          </w:tcPr>
          <w:p w14:paraId="08E98D0F">
            <w:pPr>
              <w:spacing w:line="480" w:lineRule="exact"/>
              <w:jc w:val="center"/>
              <w:rPr>
                <w:rFonts w:hint="eastAsia" w:ascii="宋体" w:hAnsi="宋体" w:cs="宋体"/>
                <w:color w:val="auto"/>
                <w:sz w:val="24"/>
                <w:szCs w:val="24"/>
                <w:highlight w:val="none"/>
              </w:rPr>
            </w:pPr>
            <w:r>
              <w:rPr>
                <w:rFonts w:ascii="宋体" w:hAnsi="宋体" w:cs="宋体"/>
                <w:color w:val="auto"/>
                <w:sz w:val="24"/>
                <w:szCs w:val="24"/>
                <w:highlight w:val="none"/>
              </w:rPr>
              <w:t>营业执照</w:t>
            </w:r>
          </w:p>
        </w:tc>
        <w:tc>
          <w:tcPr>
            <w:tcW w:w="5607" w:type="dxa"/>
            <w:tcBorders>
              <w:top w:val="single" w:color="auto" w:sz="4" w:space="0"/>
              <w:left w:val="nil"/>
              <w:bottom w:val="single" w:color="auto" w:sz="4" w:space="0"/>
              <w:right w:val="single" w:color="auto" w:sz="4" w:space="0"/>
            </w:tcBorders>
            <w:vAlign w:val="center"/>
          </w:tcPr>
          <w:p w14:paraId="02D527E2">
            <w:pPr>
              <w:spacing w:line="48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供应商须具有有效的企业营业执照或事业单位法人证书或其他有效登记证书</w:t>
            </w:r>
          </w:p>
        </w:tc>
      </w:tr>
      <w:tr w14:paraId="66A262DF">
        <w:tblPrEx>
          <w:tblCellMar>
            <w:top w:w="0" w:type="dxa"/>
            <w:left w:w="108" w:type="dxa"/>
            <w:bottom w:w="0" w:type="dxa"/>
            <w:right w:w="108" w:type="dxa"/>
          </w:tblCellMar>
        </w:tblPrEx>
        <w:trPr>
          <w:trHeight w:val="90" w:hRule="atLeast"/>
        </w:trPr>
        <w:tc>
          <w:tcPr>
            <w:tcW w:w="832" w:type="dxa"/>
            <w:vMerge w:val="continue"/>
            <w:tcBorders>
              <w:left w:val="single" w:color="auto" w:sz="4" w:space="0"/>
              <w:right w:val="single" w:color="auto" w:sz="4" w:space="0"/>
            </w:tcBorders>
            <w:vAlign w:val="center"/>
          </w:tcPr>
          <w:p w14:paraId="026D342A">
            <w:pPr>
              <w:widowControl w:val="0"/>
              <w:spacing w:line="360" w:lineRule="auto"/>
              <w:jc w:val="center"/>
              <w:rPr>
                <w:rFonts w:ascii="宋体" w:hAnsi="宋体" w:cs="宋体"/>
                <w:color w:val="auto"/>
                <w:kern w:val="2"/>
                <w:sz w:val="24"/>
                <w:szCs w:val="24"/>
                <w:highlight w:val="none"/>
              </w:rPr>
            </w:pPr>
          </w:p>
        </w:tc>
        <w:tc>
          <w:tcPr>
            <w:tcW w:w="1171" w:type="dxa"/>
            <w:vMerge w:val="continue"/>
            <w:tcBorders>
              <w:left w:val="nil"/>
              <w:right w:val="single" w:color="auto" w:sz="4" w:space="0"/>
            </w:tcBorders>
            <w:vAlign w:val="center"/>
          </w:tcPr>
          <w:p w14:paraId="495FC125">
            <w:pPr>
              <w:widowControl w:val="0"/>
              <w:spacing w:line="360" w:lineRule="auto"/>
              <w:jc w:val="center"/>
              <w:rPr>
                <w:rFonts w:ascii="宋体" w:hAnsi="宋体" w:cs="宋体"/>
                <w:color w:val="auto"/>
                <w:kern w:val="2"/>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14:paraId="6C6C86F9">
            <w:pPr>
              <w:spacing w:line="480" w:lineRule="exact"/>
              <w:jc w:val="center"/>
              <w:rPr>
                <w:rFonts w:ascii="宋体" w:hAnsi="宋体" w:cs="宋体"/>
                <w:color w:val="auto"/>
                <w:sz w:val="24"/>
                <w:szCs w:val="24"/>
                <w:highlight w:val="none"/>
              </w:rPr>
            </w:pPr>
            <w:r>
              <w:rPr>
                <w:rFonts w:hint="eastAsia" w:asciiTheme="minorEastAsia" w:hAnsiTheme="minorEastAsia" w:cstheme="minorEastAsia"/>
                <w:color w:val="auto"/>
                <w:sz w:val="24"/>
                <w:szCs w:val="24"/>
                <w:highlight w:val="none"/>
              </w:rPr>
              <w:t>无行贿犯罪记录</w:t>
            </w:r>
          </w:p>
        </w:tc>
        <w:tc>
          <w:tcPr>
            <w:tcW w:w="5607" w:type="dxa"/>
            <w:tcBorders>
              <w:top w:val="single" w:color="auto" w:sz="4" w:space="0"/>
              <w:left w:val="nil"/>
              <w:bottom w:val="single" w:color="auto" w:sz="4" w:space="0"/>
              <w:right w:val="single" w:color="auto" w:sz="4" w:space="0"/>
            </w:tcBorders>
            <w:vAlign w:val="center"/>
          </w:tcPr>
          <w:p w14:paraId="57E23265">
            <w:pPr>
              <w:spacing w:line="480" w:lineRule="exact"/>
              <w:rPr>
                <w:rFonts w:hint="eastAsia" w:ascii="宋体" w:hAnsi="宋体" w:cs="宋体"/>
                <w:color w:val="auto"/>
                <w:sz w:val="24"/>
                <w:szCs w:val="24"/>
                <w:highlight w:val="none"/>
              </w:rPr>
            </w:pP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tc>
      </w:tr>
      <w:tr w14:paraId="6E969289">
        <w:tblPrEx>
          <w:tblCellMar>
            <w:top w:w="0" w:type="dxa"/>
            <w:left w:w="108" w:type="dxa"/>
            <w:bottom w:w="0" w:type="dxa"/>
            <w:right w:w="108" w:type="dxa"/>
          </w:tblCellMar>
        </w:tblPrEx>
        <w:trPr>
          <w:trHeight w:val="90" w:hRule="atLeast"/>
        </w:trPr>
        <w:tc>
          <w:tcPr>
            <w:tcW w:w="832" w:type="dxa"/>
            <w:vMerge w:val="continue"/>
            <w:tcBorders>
              <w:left w:val="single" w:color="auto" w:sz="4" w:space="0"/>
              <w:right w:val="single" w:color="auto" w:sz="4" w:space="0"/>
            </w:tcBorders>
            <w:vAlign w:val="center"/>
          </w:tcPr>
          <w:p w14:paraId="41829835">
            <w:pPr>
              <w:widowControl w:val="0"/>
              <w:spacing w:line="360" w:lineRule="auto"/>
              <w:jc w:val="center"/>
              <w:rPr>
                <w:rFonts w:ascii="宋体" w:hAnsi="宋体" w:cs="宋体"/>
                <w:color w:val="auto"/>
                <w:kern w:val="2"/>
                <w:sz w:val="24"/>
                <w:szCs w:val="24"/>
                <w:highlight w:val="none"/>
              </w:rPr>
            </w:pPr>
          </w:p>
        </w:tc>
        <w:tc>
          <w:tcPr>
            <w:tcW w:w="1171" w:type="dxa"/>
            <w:vMerge w:val="continue"/>
            <w:tcBorders>
              <w:left w:val="nil"/>
              <w:right w:val="single" w:color="auto" w:sz="4" w:space="0"/>
            </w:tcBorders>
            <w:vAlign w:val="center"/>
          </w:tcPr>
          <w:p w14:paraId="70E5C80D">
            <w:pPr>
              <w:widowControl w:val="0"/>
              <w:spacing w:line="360" w:lineRule="auto"/>
              <w:jc w:val="center"/>
              <w:rPr>
                <w:rFonts w:ascii="宋体" w:hAnsi="宋体" w:cs="宋体"/>
                <w:color w:val="auto"/>
                <w:kern w:val="2"/>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14:paraId="0FD5E463">
            <w:pPr>
              <w:spacing w:line="480" w:lineRule="exact"/>
              <w:jc w:val="center"/>
              <w:rPr>
                <w:rFonts w:hint="default" w:asciiTheme="minorEastAsia" w:hAnsiTheme="minorEastAsia" w:cstheme="minorEastAsia"/>
                <w:color w:val="auto"/>
                <w:sz w:val="24"/>
                <w:szCs w:val="24"/>
                <w:highlight w:val="none"/>
                <w:lang w:val="en-US"/>
              </w:rPr>
            </w:pPr>
            <w:r>
              <w:rPr>
                <w:rFonts w:hint="eastAsia" w:asciiTheme="minorEastAsia" w:hAnsiTheme="minorEastAsia" w:cstheme="minorEastAsia"/>
                <w:color w:val="auto"/>
                <w:sz w:val="24"/>
                <w:szCs w:val="24"/>
                <w:highlight w:val="none"/>
                <w:lang w:val="en-US" w:eastAsia="zh-CN"/>
              </w:rPr>
              <w:t>项目负责人</w:t>
            </w:r>
          </w:p>
        </w:tc>
        <w:tc>
          <w:tcPr>
            <w:tcW w:w="5607" w:type="dxa"/>
            <w:tcBorders>
              <w:top w:val="single" w:color="auto" w:sz="4" w:space="0"/>
              <w:left w:val="nil"/>
              <w:bottom w:val="single" w:color="auto" w:sz="4" w:space="0"/>
              <w:right w:val="single" w:color="auto" w:sz="4" w:space="0"/>
            </w:tcBorders>
            <w:vAlign w:val="center"/>
          </w:tcPr>
          <w:p w14:paraId="0DE2D7E5">
            <w:pPr>
              <w:spacing w:line="480" w:lineRule="exac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供应商拟派本项目负责人须具有地质类或测绘类相关专业中级及以上职称</w:t>
            </w:r>
          </w:p>
        </w:tc>
      </w:tr>
      <w:tr w14:paraId="2C75BBA6">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47FD04E3">
            <w:pPr>
              <w:spacing w:line="360" w:lineRule="auto"/>
              <w:rPr>
                <w:rFonts w:hint="eastAsia"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vAlign w:val="center"/>
          </w:tcPr>
          <w:p w14:paraId="65D858A6">
            <w:pPr>
              <w:spacing w:line="360" w:lineRule="auto"/>
              <w:rPr>
                <w:rFonts w:hint="eastAsia" w:ascii="宋体" w:hAnsi="宋体" w:cs="宋体"/>
                <w:color w:val="auto"/>
                <w:kern w:val="2"/>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14:paraId="37CDD549">
            <w:pPr>
              <w:spacing w:line="4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控股、管理关系</w:t>
            </w:r>
          </w:p>
        </w:tc>
        <w:tc>
          <w:tcPr>
            <w:tcW w:w="5607" w:type="dxa"/>
            <w:tcBorders>
              <w:top w:val="single" w:color="auto" w:sz="4" w:space="0"/>
              <w:left w:val="nil"/>
              <w:bottom w:val="single" w:color="auto" w:sz="4" w:space="0"/>
              <w:right w:val="single" w:color="auto" w:sz="4" w:space="0"/>
            </w:tcBorders>
            <w:vAlign w:val="center"/>
          </w:tcPr>
          <w:p w14:paraId="6E7C2A75">
            <w:pPr>
              <w:spacing w:line="480" w:lineRule="exact"/>
              <w:rPr>
                <w:rFonts w:hint="eastAsia" w:ascii="宋体" w:hAnsi="宋体" w:cs="宋体"/>
                <w:color w:val="auto"/>
                <w:sz w:val="24"/>
                <w:szCs w:val="24"/>
                <w:highlight w:val="none"/>
              </w:rPr>
            </w:pPr>
            <w:r>
              <w:rPr>
                <w:rFonts w:hint="eastAsia" w:asciiTheme="minorEastAsia" w:hAnsiTheme="minorEastAsia" w:cstheme="minorEastAsia"/>
                <w:color w:val="auto"/>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tc>
      </w:tr>
      <w:tr w14:paraId="7842B11D">
        <w:tblPrEx>
          <w:tblCellMar>
            <w:top w:w="0" w:type="dxa"/>
            <w:left w:w="108" w:type="dxa"/>
            <w:bottom w:w="0" w:type="dxa"/>
            <w:right w:w="108" w:type="dxa"/>
          </w:tblCellMar>
        </w:tblPrEx>
        <w:trPr>
          <w:trHeight w:val="935" w:hRule="atLeast"/>
        </w:trPr>
        <w:tc>
          <w:tcPr>
            <w:tcW w:w="832" w:type="dxa"/>
            <w:vMerge w:val="continue"/>
            <w:tcBorders>
              <w:top w:val="nil"/>
              <w:left w:val="single" w:color="auto" w:sz="4" w:space="0"/>
              <w:bottom w:val="single" w:color="auto" w:sz="4" w:space="0"/>
              <w:right w:val="single" w:color="auto" w:sz="4" w:space="0"/>
            </w:tcBorders>
            <w:vAlign w:val="center"/>
          </w:tcPr>
          <w:p w14:paraId="3BAC8D92">
            <w:pPr>
              <w:spacing w:line="360" w:lineRule="auto"/>
              <w:rPr>
                <w:rFonts w:hint="eastAsia"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vAlign w:val="center"/>
          </w:tcPr>
          <w:p w14:paraId="65BFF1B4">
            <w:pPr>
              <w:spacing w:line="360" w:lineRule="auto"/>
              <w:rPr>
                <w:rFonts w:hint="eastAsia" w:ascii="宋体" w:hAnsi="宋体" w:cs="宋体"/>
                <w:color w:val="auto"/>
                <w:kern w:val="2"/>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14:paraId="0FA8742A">
            <w:pPr>
              <w:spacing w:line="4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无商业贿赂及不正当竞争行为的承诺书</w:t>
            </w:r>
          </w:p>
        </w:tc>
        <w:tc>
          <w:tcPr>
            <w:tcW w:w="5607" w:type="dxa"/>
            <w:tcBorders>
              <w:top w:val="single" w:color="auto" w:sz="4" w:space="0"/>
              <w:left w:val="nil"/>
              <w:bottom w:val="single" w:color="auto" w:sz="4" w:space="0"/>
              <w:right w:val="single" w:color="auto" w:sz="4" w:space="0"/>
            </w:tcBorders>
            <w:vAlign w:val="center"/>
          </w:tcPr>
          <w:p w14:paraId="4C7D26B4">
            <w:pPr>
              <w:spacing w:line="4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供应商需提供本企业的无商业贿赂及不正当竞争行为的承诺书</w:t>
            </w:r>
          </w:p>
        </w:tc>
      </w:tr>
      <w:tr w14:paraId="13392874">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40BB7CCB">
            <w:pPr>
              <w:spacing w:line="360" w:lineRule="auto"/>
              <w:rPr>
                <w:rFonts w:hint="eastAsia"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vAlign w:val="center"/>
          </w:tcPr>
          <w:p w14:paraId="5727AB41">
            <w:pPr>
              <w:spacing w:line="360" w:lineRule="auto"/>
              <w:rPr>
                <w:rFonts w:hint="eastAsia" w:ascii="宋体" w:hAnsi="宋体" w:cs="宋体"/>
                <w:color w:val="auto"/>
                <w:kern w:val="2"/>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14:paraId="7CCDE8C3">
            <w:pPr>
              <w:spacing w:line="480" w:lineRule="exact"/>
              <w:jc w:val="center"/>
              <w:rPr>
                <w:rFonts w:hint="eastAsia" w:ascii="宋体" w:hAnsi="宋体" w:cs="宋体"/>
                <w:color w:val="auto"/>
                <w:kern w:val="2"/>
                <w:sz w:val="24"/>
                <w:szCs w:val="24"/>
                <w:highlight w:val="none"/>
              </w:rPr>
            </w:pPr>
            <w:r>
              <w:rPr>
                <w:rFonts w:hint="eastAsia" w:ascii="宋体" w:hAnsi="宋体" w:cs="宋体"/>
                <w:color w:val="auto"/>
                <w:sz w:val="24"/>
                <w:szCs w:val="24"/>
                <w:highlight w:val="none"/>
                <w:lang w:eastAsia="zh-Hans"/>
              </w:rPr>
              <w:t>信用查询</w:t>
            </w:r>
          </w:p>
        </w:tc>
        <w:tc>
          <w:tcPr>
            <w:tcW w:w="5607" w:type="dxa"/>
            <w:tcBorders>
              <w:top w:val="single" w:color="auto" w:sz="4" w:space="0"/>
              <w:left w:val="nil"/>
              <w:bottom w:val="single" w:color="auto" w:sz="4" w:space="0"/>
              <w:right w:val="single" w:color="auto" w:sz="4" w:space="0"/>
            </w:tcBorders>
            <w:vAlign w:val="center"/>
          </w:tcPr>
          <w:p w14:paraId="09A6C637">
            <w:pPr>
              <w:spacing w:line="480" w:lineRule="exact"/>
              <w:rPr>
                <w:rFonts w:hint="eastAsia" w:ascii="宋体" w:hAnsi="宋体" w:cs="宋体"/>
                <w:color w:val="auto"/>
                <w:sz w:val="24"/>
                <w:szCs w:val="24"/>
                <w:highlight w:val="none"/>
              </w:rPr>
            </w:pP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7E49EDEE">
        <w:tblPrEx>
          <w:tblCellMar>
            <w:top w:w="0" w:type="dxa"/>
            <w:left w:w="108" w:type="dxa"/>
            <w:bottom w:w="0" w:type="dxa"/>
            <w:right w:w="108" w:type="dxa"/>
          </w:tblCellMar>
        </w:tblPrEx>
        <w:trPr>
          <w:trHeight w:val="581" w:hRule="atLeast"/>
        </w:trPr>
        <w:tc>
          <w:tcPr>
            <w:tcW w:w="832" w:type="dxa"/>
            <w:vMerge w:val="continue"/>
            <w:tcBorders>
              <w:top w:val="nil"/>
              <w:left w:val="single" w:color="auto" w:sz="4" w:space="0"/>
              <w:bottom w:val="single" w:color="auto" w:sz="4" w:space="0"/>
              <w:right w:val="single" w:color="auto" w:sz="4" w:space="0"/>
            </w:tcBorders>
            <w:vAlign w:val="center"/>
          </w:tcPr>
          <w:p w14:paraId="106CDCAD">
            <w:pPr>
              <w:spacing w:line="360" w:lineRule="auto"/>
              <w:rPr>
                <w:rFonts w:hint="eastAsia"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vAlign w:val="center"/>
          </w:tcPr>
          <w:p w14:paraId="117055C2">
            <w:pPr>
              <w:spacing w:line="360" w:lineRule="auto"/>
              <w:rPr>
                <w:rFonts w:hint="eastAsia" w:ascii="宋体" w:hAnsi="宋体" w:cs="宋体"/>
                <w:color w:val="auto"/>
                <w:kern w:val="2"/>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14:paraId="1D96BFFB">
            <w:pPr>
              <w:spacing w:line="4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非</w:t>
            </w:r>
            <w:r>
              <w:rPr>
                <w:rFonts w:hint="eastAsia" w:ascii="宋体" w:hAnsi="宋体" w:cs="宋体"/>
                <w:color w:val="auto"/>
                <w:sz w:val="24"/>
                <w:szCs w:val="24"/>
                <w:highlight w:val="none"/>
              </w:rPr>
              <w:t>联合体承诺书</w:t>
            </w:r>
          </w:p>
        </w:tc>
        <w:tc>
          <w:tcPr>
            <w:tcW w:w="5607" w:type="dxa"/>
            <w:tcBorders>
              <w:top w:val="single" w:color="auto" w:sz="4" w:space="0"/>
              <w:left w:val="nil"/>
              <w:bottom w:val="single" w:color="auto" w:sz="4" w:space="0"/>
              <w:right w:val="single" w:color="auto" w:sz="4" w:space="0"/>
            </w:tcBorders>
            <w:vAlign w:val="center"/>
          </w:tcPr>
          <w:p w14:paraId="3B4FC51E">
            <w:pPr>
              <w:spacing w:line="4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本项目不接受联合体投标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提供非联合体</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承诺，格式自拟</w:t>
            </w:r>
          </w:p>
        </w:tc>
      </w:tr>
      <w:tr w14:paraId="3623D209">
        <w:tblPrEx>
          <w:tblCellMar>
            <w:top w:w="0" w:type="dxa"/>
            <w:left w:w="108" w:type="dxa"/>
            <w:bottom w:w="0" w:type="dxa"/>
            <w:right w:w="108" w:type="dxa"/>
          </w:tblCellMar>
        </w:tblPrEx>
        <w:trPr>
          <w:trHeight w:val="515" w:hRule="atLeast"/>
        </w:trPr>
        <w:tc>
          <w:tcPr>
            <w:tcW w:w="832" w:type="dxa"/>
            <w:vMerge w:val="restart"/>
            <w:tcBorders>
              <w:top w:val="single" w:color="auto" w:sz="4" w:space="0"/>
              <w:left w:val="single" w:color="auto" w:sz="4" w:space="0"/>
              <w:bottom w:val="single" w:color="auto" w:sz="4" w:space="0"/>
              <w:right w:val="single" w:color="auto" w:sz="4" w:space="0"/>
            </w:tcBorders>
            <w:vAlign w:val="center"/>
          </w:tcPr>
          <w:p w14:paraId="7539C216">
            <w:pPr>
              <w:widowControl w:val="0"/>
              <w:spacing w:line="360" w:lineRule="auto"/>
              <w:jc w:val="center"/>
              <w:rPr>
                <w:rFonts w:hint="eastAsia" w:ascii="宋体" w:hAnsi="宋体" w:cs="宋体"/>
                <w:color w:val="auto"/>
                <w:kern w:val="2"/>
                <w:sz w:val="24"/>
                <w:szCs w:val="24"/>
                <w:highlight w:val="none"/>
              </w:rPr>
            </w:pPr>
            <w:r>
              <w:rPr>
                <w:rFonts w:ascii="宋体" w:hAnsi="宋体" w:cs="宋体"/>
                <w:color w:val="auto"/>
                <w:kern w:val="2"/>
                <w:sz w:val="24"/>
                <w:szCs w:val="24"/>
                <w:highlight w:val="none"/>
              </w:rPr>
              <w:t>2.1.2</w:t>
            </w:r>
          </w:p>
        </w:tc>
        <w:tc>
          <w:tcPr>
            <w:tcW w:w="1171" w:type="dxa"/>
            <w:vMerge w:val="restart"/>
            <w:tcBorders>
              <w:top w:val="single" w:color="auto" w:sz="4" w:space="0"/>
              <w:left w:val="single" w:color="auto" w:sz="4" w:space="0"/>
              <w:bottom w:val="single" w:color="auto" w:sz="4" w:space="0"/>
              <w:right w:val="single" w:color="auto" w:sz="4" w:space="0"/>
            </w:tcBorders>
            <w:vAlign w:val="center"/>
          </w:tcPr>
          <w:p w14:paraId="43D7C54C">
            <w:pPr>
              <w:widowControl w:val="0"/>
              <w:spacing w:line="360" w:lineRule="auto"/>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符合</w:t>
            </w:r>
            <w:r>
              <w:rPr>
                <w:rFonts w:ascii="宋体" w:hAnsi="宋体" w:cs="宋体"/>
                <w:color w:val="auto"/>
                <w:kern w:val="2"/>
                <w:sz w:val="24"/>
                <w:szCs w:val="24"/>
                <w:highlight w:val="none"/>
              </w:rPr>
              <w:t>性</w:t>
            </w:r>
            <w:r>
              <w:rPr>
                <w:rFonts w:hint="eastAsia" w:ascii="宋体" w:hAnsi="宋体" w:cs="宋体"/>
                <w:color w:val="auto"/>
                <w:kern w:val="2"/>
                <w:sz w:val="24"/>
                <w:szCs w:val="24"/>
                <w:highlight w:val="none"/>
              </w:rPr>
              <w:t>评审标准</w:t>
            </w:r>
          </w:p>
        </w:tc>
        <w:tc>
          <w:tcPr>
            <w:tcW w:w="2370" w:type="dxa"/>
            <w:tcBorders>
              <w:top w:val="single" w:color="auto" w:sz="4" w:space="0"/>
              <w:left w:val="single" w:color="auto" w:sz="4" w:space="0"/>
              <w:bottom w:val="single" w:color="auto" w:sz="4" w:space="0"/>
              <w:right w:val="single" w:color="auto" w:sz="4" w:space="0"/>
            </w:tcBorders>
            <w:vAlign w:val="center"/>
          </w:tcPr>
          <w:p w14:paraId="47B8BF76">
            <w:pPr>
              <w:spacing w:line="480" w:lineRule="exact"/>
              <w:jc w:val="center"/>
              <w:rPr>
                <w:rFonts w:hint="eastAsia" w:ascii="宋体" w:hAnsi="宋体" w:cs="宋体"/>
                <w:color w:val="auto"/>
                <w:kern w:val="2"/>
                <w:sz w:val="24"/>
                <w:szCs w:val="24"/>
                <w:highlight w:val="none"/>
              </w:rPr>
            </w:pPr>
            <w:r>
              <w:rPr>
                <w:rFonts w:hint="eastAsia" w:ascii="宋体" w:hAnsi="宋体" w:cs="宋体"/>
                <w:color w:val="auto"/>
                <w:sz w:val="24"/>
                <w:szCs w:val="24"/>
                <w:highlight w:val="none"/>
              </w:rPr>
              <w:t>磋商有效期</w:t>
            </w:r>
          </w:p>
        </w:tc>
        <w:tc>
          <w:tcPr>
            <w:tcW w:w="5607" w:type="dxa"/>
            <w:tcBorders>
              <w:top w:val="single" w:color="auto" w:sz="4" w:space="0"/>
              <w:left w:val="single" w:color="auto" w:sz="4" w:space="0"/>
              <w:bottom w:val="single" w:color="auto" w:sz="4" w:space="0"/>
              <w:right w:val="single" w:color="auto" w:sz="4" w:space="0"/>
            </w:tcBorders>
            <w:vAlign w:val="center"/>
          </w:tcPr>
          <w:p w14:paraId="1595FD51">
            <w:pPr>
              <w:spacing w:line="480" w:lineRule="exact"/>
              <w:rPr>
                <w:rFonts w:hint="eastAsia" w:ascii="宋体" w:hAnsi="宋体" w:cs="宋体"/>
                <w:color w:val="auto"/>
                <w:kern w:val="2"/>
                <w:sz w:val="24"/>
                <w:szCs w:val="24"/>
                <w:highlight w:val="none"/>
              </w:rPr>
            </w:pPr>
            <w:r>
              <w:rPr>
                <w:rFonts w:hint="eastAsia" w:ascii="宋体" w:hAnsi="宋体" w:cs="宋体"/>
                <w:color w:val="auto"/>
                <w:sz w:val="24"/>
                <w:szCs w:val="24"/>
                <w:highlight w:val="none"/>
              </w:rPr>
              <w:t>磋商截止之日起60日历天</w:t>
            </w:r>
          </w:p>
        </w:tc>
      </w:tr>
      <w:tr w14:paraId="440F814B">
        <w:tblPrEx>
          <w:tblCellMar>
            <w:top w:w="0" w:type="dxa"/>
            <w:left w:w="108" w:type="dxa"/>
            <w:bottom w:w="0" w:type="dxa"/>
            <w:right w:w="108" w:type="dxa"/>
          </w:tblCellMar>
        </w:tblPrEx>
        <w:trPr>
          <w:trHeight w:val="510"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173D734C">
            <w:pPr>
              <w:spacing w:line="360" w:lineRule="auto"/>
              <w:rPr>
                <w:rFonts w:hint="eastAsia" w:ascii="宋体" w:hAnsi="宋体" w:cs="宋体"/>
                <w:color w:val="auto"/>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2B7CDDC9">
            <w:pPr>
              <w:spacing w:line="360" w:lineRule="auto"/>
              <w:rPr>
                <w:rFonts w:hint="eastAsia" w:ascii="宋体" w:hAnsi="宋体" w:cs="宋体"/>
                <w:color w:val="auto"/>
                <w:kern w:val="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14:paraId="7055442E">
            <w:pPr>
              <w:spacing w:line="480" w:lineRule="exact"/>
              <w:jc w:val="center"/>
              <w:rPr>
                <w:rFonts w:hint="eastAsia" w:ascii="宋体" w:hAnsi="宋体" w:cs="宋体"/>
                <w:color w:val="auto"/>
                <w:kern w:val="2"/>
                <w:sz w:val="24"/>
                <w:szCs w:val="24"/>
                <w:highlight w:val="none"/>
              </w:rPr>
            </w:pPr>
            <w:r>
              <w:rPr>
                <w:rFonts w:hint="eastAsia" w:ascii="宋体" w:hAnsi="宋体" w:cs="宋体"/>
                <w:color w:val="auto"/>
                <w:sz w:val="24"/>
                <w:szCs w:val="24"/>
                <w:highlight w:val="none"/>
              </w:rPr>
              <w:t>服务地点</w:t>
            </w:r>
          </w:p>
        </w:tc>
        <w:tc>
          <w:tcPr>
            <w:tcW w:w="5607" w:type="dxa"/>
            <w:tcBorders>
              <w:top w:val="single" w:color="auto" w:sz="4" w:space="0"/>
              <w:left w:val="single" w:color="auto" w:sz="4" w:space="0"/>
              <w:bottom w:val="single" w:color="auto" w:sz="4" w:space="0"/>
              <w:right w:val="single" w:color="auto" w:sz="4" w:space="0"/>
            </w:tcBorders>
            <w:vAlign w:val="center"/>
          </w:tcPr>
          <w:p w14:paraId="12258296">
            <w:pPr>
              <w:spacing w:line="480" w:lineRule="exact"/>
              <w:rPr>
                <w:rFonts w:hint="eastAsia" w:ascii="宋体" w:hAnsi="宋体" w:cs="宋体"/>
                <w:color w:val="auto"/>
                <w:kern w:val="2"/>
                <w:sz w:val="24"/>
                <w:szCs w:val="24"/>
                <w:highlight w:val="none"/>
              </w:rPr>
            </w:pPr>
            <w:r>
              <w:rPr>
                <w:rFonts w:hint="eastAsia" w:ascii="宋体" w:hAnsi="宋体" w:cs="宋体"/>
                <w:color w:val="auto"/>
                <w:sz w:val="24"/>
                <w:szCs w:val="24"/>
                <w:highlight w:val="none"/>
              </w:rPr>
              <w:t>采购人指定地点</w:t>
            </w:r>
          </w:p>
        </w:tc>
      </w:tr>
      <w:tr w14:paraId="698DABF9">
        <w:tblPrEx>
          <w:tblCellMar>
            <w:top w:w="0" w:type="dxa"/>
            <w:left w:w="108" w:type="dxa"/>
            <w:bottom w:w="0" w:type="dxa"/>
            <w:right w:w="108" w:type="dxa"/>
          </w:tblCellMar>
        </w:tblPrEx>
        <w:trPr>
          <w:trHeight w:val="528"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21DFFB0E">
            <w:pPr>
              <w:spacing w:line="360" w:lineRule="auto"/>
              <w:rPr>
                <w:rFonts w:hint="eastAsia" w:ascii="宋体" w:hAnsi="宋体" w:cs="宋体"/>
                <w:color w:val="auto"/>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28AF15A3">
            <w:pPr>
              <w:spacing w:line="360" w:lineRule="auto"/>
              <w:rPr>
                <w:rFonts w:hint="eastAsia" w:ascii="宋体" w:hAnsi="宋体" w:cs="宋体"/>
                <w:color w:val="auto"/>
                <w:kern w:val="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14:paraId="5FDDE7FA">
            <w:pPr>
              <w:widowControl w:val="0"/>
              <w:spacing w:line="360" w:lineRule="auto"/>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服务期限</w:t>
            </w:r>
          </w:p>
        </w:tc>
        <w:tc>
          <w:tcPr>
            <w:tcW w:w="5607" w:type="dxa"/>
            <w:tcBorders>
              <w:top w:val="single" w:color="auto" w:sz="4" w:space="0"/>
              <w:left w:val="single" w:color="auto" w:sz="4" w:space="0"/>
              <w:bottom w:val="single" w:color="auto" w:sz="4" w:space="0"/>
              <w:right w:val="single" w:color="auto" w:sz="4" w:space="0"/>
            </w:tcBorders>
            <w:vAlign w:val="center"/>
          </w:tcPr>
          <w:p w14:paraId="5F1952E3">
            <w:pPr>
              <w:widowControl w:val="0"/>
              <w:spacing w:line="360" w:lineRule="auto"/>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接到采购人通知后90日历天内按照采购人要求完成任务</w:t>
            </w:r>
          </w:p>
        </w:tc>
      </w:tr>
      <w:tr w14:paraId="08408F49">
        <w:tblPrEx>
          <w:tblCellMar>
            <w:top w:w="0" w:type="dxa"/>
            <w:left w:w="108" w:type="dxa"/>
            <w:bottom w:w="0" w:type="dxa"/>
            <w:right w:w="108" w:type="dxa"/>
          </w:tblCellMar>
        </w:tblPrEx>
        <w:trPr>
          <w:trHeight w:val="541"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7B0B63AB">
            <w:pPr>
              <w:spacing w:line="360" w:lineRule="auto"/>
              <w:rPr>
                <w:rFonts w:hint="eastAsia" w:ascii="宋体" w:hAnsi="宋体" w:cs="宋体"/>
                <w:color w:val="auto"/>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7EFB8CC1">
            <w:pPr>
              <w:spacing w:line="360" w:lineRule="auto"/>
              <w:rPr>
                <w:rFonts w:hint="eastAsia" w:ascii="宋体" w:hAnsi="宋体" w:cs="宋体"/>
                <w:color w:val="auto"/>
                <w:kern w:val="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14:paraId="1353CF36">
            <w:pPr>
              <w:widowControl w:val="0"/>
              <w:spacing w:line="360" w:lineRule="auto"/>
              <w:jc w:val="center"/>
              <w:rPr>
                <w:rFonts w:hint="eastAsia" w:ascii="宋体" w:hAnsi="宋体" w:cs="宋体"/>
                <w:color w:val="auto"/>
                <w:kern w:val="2"/>
                <w:sz w:val="24"/>
                <w:szCs w:val="24"/>
                <w:highlight w:val="none"/>
              </w:rPr>
            </w:pPr>
            <w:r>
              <w:rPr>
                <w:rFonts w:hint="eastAsia" w:ascii="宋体" w:hAnsi="宋体" w:cs="宋体"/>
                <w:color w:val="auto"/>
                <w:sz w:val="24"/>
                <w:szCs w:val="24"/>
                <w:highlight w:val="none"/>
                <w:lang w:eastAsia="zh-CN"/>
              </w:rPr>
              <w:t>服务要求</w:t>
            </w:r>
          </w:p>
        </w:tc>
        <w:tc>
          <w:tcPr>
            <w:tcW w:w="5607" w:type="dxa"/>
            <w:tcBorders>
              <w:top w:val="single" w:color="auto" w:sz="4" w:space="0"/>
              <w:left w:val="single" w:color="auto" w:sz="4" w:space="0"/>
              <w:bottom w:val="single" w:color="auto" w:sz="4" w:space="0"/>
              <w:right w:val="single" w:color="auto" w:sz="4" w:space="0"/>
            </w:tcBorders>
            <w:vAlign w:val="center"/>
          </w:tcPr>
          <w:p w14:paraId="11411147">
            <w:pPr>
              <w:widowControl w:val="0"/>
              <w:spacing w:line="360" w:lineRule="auto"/>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合格，符合国家、行业、地方相关规定及采购人要求</w:t>
            </w:r>
          </w:p>
        </w:tc>
      </w:tr>
      <w:tr w14:paraId="60D78021">
        <w:tblPrEx>
          <w:tblCellMar>
            <w:top w:w="0" w:type="dxa"/>
            <w:left w:w="108" w:type="dxa"/>
            <w:bottom w:w="0" w:type="dxa"/>
            <w:right w:w="108" w:type="dxa"/>
          </w:tblCellMar>
        </w:tblPrEx>
        <w:trPr>
          <w:trHeight w:val="872"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2FC5A9BB">
            <w:pPr>
              <w:spacing w:line="360" w:lineRule="auto"/>
              <w:rPr>
                <w:rFonts w:hint="eastAsia" w:ascii="宋体" w:hAnsi="宋体" w:cs="宋体"/>
                <w:color w:val="auto"/>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4D0D25FA">
            <w:pPr>
              <w:spacing w:line="360" w:lineRule="auto"/>
              <w:rPr>
                <w:rFonts w:hint="eastAsia" w:ascii="宋体" w:hAnsi="宋体" w:cs="宋体"/>
                <w:color w:val="auto"/>
                <w:kern w:val="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14:paraId="0C76C6C2">
            <w:pPr>
              <w:widowControl w:val="0"/>
              <w:spacing w:line="360" w:lineRule="auto"/>
              <w:jc w:val="center"/>
              <w:rPr>
                <w:rFonts w:hint="eastAsia" w:ascii="宋体" w:hAnsi="宋体" w:cs="宋体"/>
                <w:color w:val="auto"/>
                <w:kern w:val="2"/>
                <w:sz w:val="24"/>
                <w:szCs w:val="24"/>
                <w:highlight w:val="none"/>
              </w:rPr>
            </w:pPr>
            <w:r>
              <w:rPr>
                <w:rFonts w:ascii="宋体" w:hAnsi="宋体" w:cs="宋体"/>
                <w:color w:val="auto"/>
                <w:kern w:val="2"/>
                <w:sz w:val="24"/>
                <w:szCs w:val="24"/>
                <w:highlight w:val="none"/>
              </w:rPr>
              <w:t>磋商报价</w:t>
            </w:r>
          </w:p>
        </w:tc>
        <w:tc>
          <w:tcPr>
            <w:tcW w:w="5607" w:type="dxa"/>
            <w:tcBorders>
              <w:top w:val="single" w:color="auto" w:sz="4" w:space="0"/>
              <w:left w:val="single" w:color="auto" w:sz="4" w:space="0"/>
              <w:bottom w:val="single" w:color="auto" w:sz="4" w:space="0"/>
              <w:right w:val="single" w:color="auto" w:sz="4" w:space="0"/>
            </w:tcBorders>
            <w:vAlign w:val="center"/>
          </w:tcPr>
          <w:p w14:paraId="43B3B946">
            <w:pPr>
              <w:widowControl w:val="0"/>
              <w:spacing w:line="360" w:lineRule="auto"/>
              <w:jc w:val="both"/>
              <w:rPr>
                <w:rFonts w:hint="eastAsia" w:ascii="宋体" w:hAnsi="宋体" w:cs="宋体"/>
                <w:color w:val="auto"/>
                <w:kern w:val="2"/>
                <w:sz w:val="24"/>
                <w:szCs w:val="24"/>
                <w:highlight w:val="none"/>
              </w:rPr>
            </w:pPr>
            <w:r>
              <w:rPr>
                <w:rFonts w:ascii="宋体" w:hAnsi="宋体" w:cs="宋体"/>
                <w:color w:val="auto"/>
                <w:kern w:val="2"/>
                <w:sz w:val="24"/>
                <w:szCs w:val="24"/>
                <w:highlight w:val="none"/>
              </w:rPr>
              <w:t>磋商供应商的报价不能超出磋商预算价</w:t>
            </w:r>
            <w:r>
              <w:rPr>
                <w:rFonts w:hint="eastAsia" w:ascii="宋体" w:hAnsi="宋体" w:cs="宋体"/>
                <w:color w:val="auto"/>
                <w:kern w:val="2"/>
                <w:sz w:val="24"/>
                <w:szCs w:val="24"/>
                <w:highlight w:val="none"/>
              </w:rPr>
              <w:t>，如超出按无效标处理</w:t>
            </w:r>
          </w:p>
        </w:tc>
      </w:tr>
      <w:tr w14:paraId="5B1B260A">
        <w:tblPrEx>
          <w:tblCellMar>
            <w:top w:w="0" w:type="dxa"/>
            <w:left w:w="108" w:type="dxa"/>
            <w:bottom w:w="0" w:type="dxa"/>
            <w:right w:w="108" w:type="dxa"/>
          </w:tblCellMar>
        </w:tblPrEx>
        <w:trPr>
          <w:trHeight w:val="567" w:hRule="atLeast"/>
        </w:trPr>
        <w:tc>
          <w:tcPr>
            <w:tcW w:w="832" w:type="dxa"/>
            <w:vMerge w:val="restart"/>
            <w:tcBorders>
              <w:top w:val="single" w:color="auto" w:sz="4" w:space="0"/>
              <w:left w:val="single" w:color="auto" w:sz="4" w:space="0"/>
              <w:bottom w:val="single" w:color="auto" w:sz="4" w:space="0"/>
              <w:right w:val="single" w:color="auto" w:sz="4" w:space="0"/>
            </w:tcBorders>
            <w:vAlign w:val="center"/>
          </w:tcPr>
          <w:p w14:paraId="465B59B0">
            <w:pPr>
              <w:spacing w:line="360" w:lineRule="auto"/>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2.1.3</w:t>
            </w:r>
          </w:p>
        </w:tc>
        <w:tc>
          <w:tcPr>
            <w:tcW w:w="1171" w:type="dxa"/>
            <w:vMerge w:val="restart"/>
            <w:tcBorders>
              <w:top w:val="single" w:color="auto" w:sz="4" w:space="0"/>
              <w:left w:val="single" w:color="auto" w:sz="4" w:space="0"/>
              <w:bottom w:val="single" w:color="auto" w:sz="4" w:space="0"/>
              <w:right w:val="single" w:color="auto" w:sz="4" w:space="0"/>
            </w:tcBorders>
            <w:vAlign w:val="center"/>
          </w:tcPr>
          <w:p w14:paraId="398C9DC3">
            <w:pPr>
              <w:spacing w:line="360" w:lineRule="auto"/>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实质性响应评审标准</w:t>
            </w:r>
          </w:p>
        </w:tc>
        <w:tc>
          <w:tcPr>
            <w:tcW w:w="2370" w:type="dxa"/>
            <w:tcBorders>
              <w:top w:val="single" w:color="auto" w:sz="4" w:space="0"/>
              <w:left w:val="single" w:color="auto" w:sz="4" w:space="0"/>
              <w:bottom w:val="single" w:color="auto" w:sz="4" w:space="0"/>
              <w:right w:val="single" w:color="auto" w:sz="4" w:space="0"/>
            </w:tcBorders>
            <w:vAlign w:val="center"/>
          </w:tcPr>
          <w:p w14:paraId="628D2019">
            <w:pPr>
              <w:widowControl w:val="0"/>
              <w:spacing w:line="360" w:lineRule="auto"/>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供应商名称</w:t>
            </w:r>
          </w:p>
        </w:tc>
        <w:tc>
          <w:tcPr>
            <w:tcW w:w="5607" w:type="dxa"/>
            <w:tcBorders>
              <w:top w:val="single" w:color="auto" w:sz="4" w:space="0"/>
              <w:left w:val="single" w:color="auto" w:sz="4" w:space="0"/>
              <w:bottom w:val="single" w:color="auto" w:sz="4" w:space="0"/>
              <w:right w:val="single" w:color="auto" w:sz="4" w:space="0"/>
            </w:tcBorders>
            <w:vAlign w:val="center"/>
          </w:tcPr>
          <w:p w14:paraId="5B154C40">
            <w:pPr>
              <w:widowControl w:val="0"/>
              <w:spacing w:line="360" w:lineRule="auto"/>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供应商名称与营业执照或事业单位法人证书一致</w:t>
            </w:r>
          </w:p>
        </w:tc>
      </w:tr>
      <w:tr w14:paraId="7CADDF02">
        <w:tblPrEx>
          <w:tblCellMar>
            <w:top w:w="0" w:type="dxa"/>
            <w:left w:w="108" w:type="dxa"/>
            <w:bottom w:w="0" w:type="dxa"/>
            <w:right w:w="108" w:type="dxa"/>
          </w:tblCellMar>
        </w:tblPrEx>
        <w:trPr>
          <w:trHeight w:val="572"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3B8F31F6">
            <w:pPr>
              <w:spacing w:line="360" w:lineRule="auto"/>
              <w:rPr>
                <w:rFonts w:hint="eastAsia" w:ascii="宋体" w:hAnsi="宋体" w:cs="宋体"/>
                <w:color w:val="auto"/>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7F7C8C85">
            <w:pPr>
              <w:spacing w:line="360" w:lineRule="auto"/>
              <w:rPr>
                <w:rFonts w:hint="eastAsia" w:ascii="宋体" w:hAnsi="宋体" w:cs="宋体"/>
                <w:color w:val="auto"/>
                <w:kern w:val="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14:paraId="6827C892">
            <w:pPr>
              <w:widowControl w:val="0"/>
              <w:spacing w:line="360" w:lineRule="auto"/>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响应文件签章</w:t>
            </w:r>
          </w:p>
        </w:tc>
        <w:tc>
          <w:tcPr>
            <w:tcW w:w="5607" w:type="dxa"/>
            <w:tcBorders>
              <w:top w:val="single" w:color="auto" w:sz="4" w:space="0"/>
              <w:left w:val="single" w:color="auto" w:sz="4" w:space="0"/>
              <w:bottom w:val="single" w:color="auto" w:sz="4" w:space="0"/>
              <w:right w:val="single" w:color="auto" w:sz="4" w:space="0"/>
            </w:tcBorders>
            <w:vAlign w:val="center"/>
          </w:tcPr>
          <w:p w14:paraId="5946656D">
            <w:pPr>
              <w:widowControl w:val="0"/>
              <w:spacing w:line="360" w:lineRule="auto"/>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符合竞争性磋商文件要求</w:t>
            </w:r>
          </w:p>
        </w:tc>
      </w:tr>
      <w:tr w14:paraId="1AFC55AD">
        <w:tblPrEx>
          <w:tblCellMar>
            <w:top w:w="0" w:type="dxa"/>
            <w:left w:w="108" w:type="dxa"/>
            <w:bottom w:w="0" w:type="dxa"/>
            <w:right w:w="108" w:type="dxa"/>
          </w:tblCellMar>
        </w:tblPrEx>
        <w:trPr>
          <w:trHeight w:val="552"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35515CD1">
            <w:pPr>
              <w:spacing w:line="360" w:lineRule="auto"/>
              <w:rPr>
                <w:rFonts w:hint="eastAsia" w:ascii="宋体" w:hAnsi="宋体" w:cs="宋体"/>
                <w:color w:val="auto"/>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0D6298F8">
            <w:pPr>
              <w:spacing w:line="360" w:lineRule="auto"/>
              <w:rPr>
                <w:rFonts w:hint="eastAsia" w:ascii="宋体" w:hAnsi="宋体" w:cs="宋体"/>
                <w:color w:val="auto"/>
                <w:kern w:val="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14:paraId="1A9309CF">
            <w:pPr>
              <w:widowControl w:val="0"/>
              <w:spacing w:line="360" w:lineRule="auto"/>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响应文件格式</w:t>
            </w:r>
          </w:p>
        </w:tc>
        <w:tc>
          <w:tcPr>
            <w:tcW w:w="5607" w:type="dxa"/>
            <w:tcBorders>
              <w:top w:val="single" w:color="auto" w:sz="4" w:space="0"/>
              <w:left w:val="single" w:color="auto" w:sz="4" w:space="0"/>
              <w:bottom w:val="single" w:color="auto" w:sz="4" w:space="0"/>
              <w:right w:val="single" w:color="auto" w:sz="4" w:space="0"/>
            </w:tcBorders>
            <w:vAlign w:val="center"/>
          </w:tcPr>
          <w:p w14:paraId="15EC0805">
            <w:pPr>
              <w:widowControl w:val="0"/>
              <w:spacing w:line="360" w:lineRule="auto"/>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符合竞争性磋商文件要求</w:t>
            </w:r>
          </w:p>
        </w:tc>
      </w:tr>
      <w:tr w14:paraId="0E0BF375">
        <w:tblPrEx>
          <w:tblCellMar>
            <w:top w:w="0" w:type="dxa"/>
            <w:left w:w="108" w:type="dxa"/>
            <w:bottom w:w="0" w:type="dxa"/>
            <w:right w:w="108" w:type="dxa"/>
          </w:tblCellMar>
        </w:tblPrEx>
        <w:trPr>
          <w:trHeight w:val="542"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5D6F879E">
            <w:pPr>
              <w:spacing w:line="360" w:lineRule="auto"/>
              <w:rPr>
                <w:rFonts w:hint="eastAsia" w:ascii="宋体" w:hAnsi="宋体" w:cs="宋体"/>
                <w:color w:val="auto"/>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1AB293F7">
            <w:pPr>
              <w:spacing w:line="360" w:lineRule="auto"/>
              <w:rPr>
                <w:rFonts w:hint="eastAsia" w:ascii="宋体" w:hAnsi="宋体" w:cs="宋体"/>
                <w:color w:val="auto"/>
                <w:kern w:val="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14:paraId="4FE31CDB">
            <w:pPr>
              <w:widowControl w:val="0"/>
              <w:spacing w:line="360" w:lineRule="auto"/>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报价唯一</w:t>
            </w:r>
          </w:p>
        </w:tc>
        <w:tc>
          <w:tcPr>
            <w:tcW w:w="5607" w:type="dxa"/>
            <w:tcBorders>
              <w:top w:val="single" w:color="auto" w:sz="4" w:space="0"/>
              <w:left w:val="single" w:color="auto" w:sz="4" w:space="0"/>
              <w:bottom w:val="single" w:color="auto" w:sz="4" w:space="0"/>
              <w:right w:val="single" w:color="auto" w:sz="4" w:space="0"/>
            </w:tcBorders>
            <w:vAlign w:val="center"/>
          </w:tcPr>
          <w:p w14:paraId="56D6EB41">
            <w:pPr>
              <w:widowControl w:val="0"/>
              <w:spacing w:line="360" w:lineRule="auto"/>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磋商函及磋商函附录中只能有一个有效报价</w:t>
            </w:r>
          </w:p>
        </w:tc>
      </w:tr>
    </w:tbl>
    <w:p w14:paraId="7B8796FB">
      <w:pPr>
        <w:widowControl w:val="0"/>
        <w:spacing w:line="360" w:lineRule="auto"/>
        <w:jc w:val="both"/>
        <w:rPr>
          <w:color w:val="auto"/>
          <w:kern w:val="2"/>
          <w:sz w:val="24"/>
          <w:szCs w:val="24"/>
          <w:highlight w:val="none"/>
        </w:rPr>
      </w:pPr>
      <w:r>
        <w:rPr>
          <w:rFonts w:hint="eastAsia"/>
          <w:color w:val="auto"/>
          <w:kern w:val="2"/>
          <w:sz w:val="24"/>
          <w:szCs w:val="24"/>
          <w:highlight w:val="none"/>
        </w:rPr>
        <w:t xml:space="preserve"> </w:t>
      </w:r>
    </w:p>
    <w:p w14:paraId="1BB82654">
      <w:pPr>
        <w:spacing w:line="360" w:lineRule="auto"/>
        <w:ind w:firstLine="480"/>
        <w:jc w:val="both"/>
        <w:outlineLvl w:val="9"/>
        <w:rPr>
          <w:color w:val="auto"/>
          <w:sz w:val="24"/>
          <w:szCs w:val="24"/>
          <w:highlight w:val="none"/>
        </w:rPr>
      </w:pPr>
      <w:bookmarkStart w:id="79" w:name="_Toc20868"/>
      <w:bookmarkStart w:id="80" w:name="_Toc19062"/>
      <w:bookmarkStart w:id="81" w:name="_Toc5963"/>
      <w:bookmarkStart w:id="82" w:name="_Toc18502"/>
      <w:bookmarkStart w:id="83" w:name="_Toc17450"/>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rPr>
        <w:t>磋商文件的评审、比较和否决</w:t>
      </w:r>
      <w:bookmarkEnd w:id="79"/>
      <w:bookmarkEnd w:id="80"/>
      <w:bookmarkEnd w:id="81"/>
      <w:bookmarkEnd w:id="82"/>
      <w:bookmarkEnd w:id="83"/>
    </w:p>
    <w:p w14:paraId="02A323D6">
      <w:pPr>
        <w:spacing w:line="360" w:lineRule="auto"/>
        <w:ind w:firstLine="480"/>
        <w:jc w:val="both"/>
        <w:rPr>
          <w:color w:val="auto"/>
          <w:sz w:val="24"/>
          <w:szCs w:val="24"/>
          <w:highlight w:val="none"/>
        </w:rPr>
      </w:pPr>
      <w:r>
        <w:rPr>
          <w:rFonts w:hint="eastAsia" w:ascii="宋体" w:hAnsi="宋体" w:cs="宋体"/>
          <w:b w:val="0"/>
          <w:bCs/>
          <w:color w:val="auto"/>
          <w:sz w:val="24"/>
          <w:szCs w:val="24"/>
          <w:highlight w:val="none"/>
        </w:rPr>
        <w:t>1.1</w:t>
      </w:r>
      <w:r>
        <w:rPr>
          <w:rFonts w:hint="eastAsia" w:ascii="宋体" w:hAnsi="宋体" w:cs="宋体"/>
          <w:color w:val="auto"/>
          <w:sz w:val="24"/>
          <w:szCs w:val="24"/>
          <w:highlight w:val="none"/>
        </w:rPr>
        <w:t>磋商小组将按照竞争性磋商文件的规定，仅对在实质上响应竞争性磋商文件要求的磋商文件进行评估和比较。</w:t>
      </w:r>
    </w:p>
    <w:p w14:paraId="47A26883">
      <w:pPr>
        <w:spacing w:line="360" w:lineRule="auto"/>
        <w:ind w:firstLine="480"/>
        <w:jc w:val="both"/>
        <w:rPr>
          <w:color w:val="auto"/>
          <w:sz w:val="24"/>
          <w:szCs w:val="24"/>
          <w:highlight w:val="none"/>
        </w:rPr>
      </w:pPr>
      <w:r>
        <w:rPr>
          <w:rFonts w:hint="eastAsia" w:ascii="宋体" w:hAnsi="宋体" w:cs="宋体"/>
          <w:b w:val="0"/>
          <w:bCs/>
          <w:color w:val="auto"/>
          <w:sz w:val="24"/>
          <w:szCs w:val="24"/>
          <w:highlight w:val="none"/>
        </w:rPr>
        <w:t>1.2</w:t>
      </w:r>
      <w:r>
        <w:rPr>
          <w:rFonts w:hint="eastAsia" w:ascii="宋体" w:hAnsi="宋体" w:cs="宋体"/>
          <w:color w:val="auto"/>
          <w:sz w:val="24"/>
          <w:szCs w:val="24"/>
          <w:highlight w:val="none"/>
        </w:rPr>
        <w:t>根据相关法律法规及有关磋商文件规定，结合本项目具体情况，制定本次采购评标办法。并按照“公平、公正、科学、择优”的原则进行评标。采用百分制综合评估法进行评比。</w:t>
      </w:r>
    </w:p>
    <w:p w14:paraId="3C904408">
      <w:pPr>
        <w:spacing w:line="360" w:lineRule="auto"/>
        <w:ind w:firstLine="480"/>
        <w:jc w:val="both"/>
        <w:rPr>
          <w:color w:val="auto"/>
          <w:sz w:val="24"/>
          <w:szCs w:val="24"/>
          <w:highlight w:val="none"/>
        </w:rPr>
      </w:pPr>
      <w:r>
        <w:rPr>
          <w:rFonts w:hint="eastAsia" w:ascii="宋体" w:hAnsi="宋体" w:cs="宋体"/>
          <w:b w:val="0"/>
          <w:bCs/>
          <w:color w:val="auto"/>
          <w:sz w:val="24"/>
          <w:szCs w:val="24"/>
          <w:highlight w:val="none"/>
        </w:rPr>
        <w:t>1.3</w:t>
      </w:r>
      <w:r>
        <w:rPr>
          <w:rFonts w:hint="eastAsia" w:ascii="宋体" w:hAnsi="宋体" w:cs="宋体"/>
          <w:color w:val="auto"/>
          <w:sz w:val="24"/>
          <w:szCs w:val="24"/>
          <w:highlight w:val="none"/>
        </w:rPr>
        <w:t>在评审过程中，磋商小组可以以书面形式要求磋商供应商就磋商文件中含义不明确的内容进行书面说明并提供相关材料；</w:t>
      </w:r>
      <w:r>
        <w:rPr>
          <w:rFonts w:hint="eastAsia" w:ascii="宋体" w:hAnsi="宋体" w:cs="宋体"/>
          <w:color w:val="auto"/>
          <w:spacing w:val="-12"/>
          <w:sz w:val="24"/>
          <w:szCs w:val="24"/>
          <w:highlight w:val="none"/>
        </w:rPr>
        <w:t>凡遇到竞争性磋商文件中无界定或界定不清、前后不一致使评委会成员</w:t>
      </w:r>
      <w:r>
        <w:rPr>
          <w:rFonts w:hint="eastAsia" w:ascii="宋体" w:hAnsi="宋体" w:cs="宋体"/>
          <w:color w:val="auto"/>
          <w:sz w:val="24"/>
          <w:szCs w:val="24"/>
          <w:highlight w:val="none"/>
        </w:rPr>
        <w:t>意见</w:t>
      </w:r>
      <w:r>
        <w:rPr>
          <w:rFonts w:hint="eastAsia" w:ascii="宋体" w:hAnsi="宋体" w:cs="宋体"/>
          <w:color w:val="auto"/>
          <w:spacing w:val="-12"/>
          <w:sz w:val="24"/>
          <w:szCs w:val="24"/>
          <w:highlight w:val="none"/>
        </w:rPr>
        <w:t>有分歧且又难于协商一致的问题，均由评委会予以表决，获半数以上同意的即为通过，未获半数同意的即为否决</w:t>
      </w:r>
      <w:r>
        <w:rPr>
          <w:rFonts w:hint="eastAsia" w:ascii="宋体" w:hAnsi="宋体" w:cs="宋体"/>
          <w:color w:val="auto"/>
          <w:sz w:val="24"/>
          <w:szCs w:val="24"/>
          <w:highlight w:val="none"/>
        </w:rPr>
        <w:t>。</w:t>
      </w:r>
    </w:p>
    <w:p w14:paraId="16E5EA1B">
      <w:pPr>
        <w:spacing w:line="360" w:lineRule="auto"/>
        <w:ind w:firstLine="480"/>
        <w:jc w:val="both"/>
        <w:rPr>
          <w:rFonts w:hint="eastAsia" w:ascii="宋体" w:hAnsi="宋体" w:cs="宋体"/>
          <w:color w:val="auto"/>
          <w:sz w:val="24"/>
          <w:szCs w:val="24"/>
          <w:highlight w:val="none"/>
        </w:rPr>
      </w:pPr>
      <w:r>
        <w:rPr>
          <w:rFonts w:hint="eastAsia" w:ascii="宋体" w:hAnsi="宋体" w:cs="宋体"/>
          <w:b w:val="0"/>
          <w:bCs/>
          <w:color w:val="auto"/>
          <w:sz w:val="24"/>
          <w:szCs w:val="24"/>
          <w:highlight w:val="none"/>
        </w:rPr>
        <w:t>1.4</w:t>
      </w:r>
      <w:r>
        <w:rPr>
          <w:rFonts w:hint="eastAsia" w:ascii="宋体" w:hAnsi="宋体" w:cs="宋体"/>
          <w:color w:val="auto"/>
          <w:sz w:val="24"/>
          <w:szCs w:val="24"/>
          <w:highlight w:val="none"/>
        </w:rPr>
        <w:t>评标时，磋商报价是评标的重要依据，但不是唯一依据，采购人不承诺将合同授予报价最低或最高的磋商供应商。</w:t>
      </w:r>
    </w:p>
    <w:p w14:paraId="4F997BAA">
      <w:pPr>
        <w:spacing w:line="360" w:lineRule="auto"/>
        <w:ind w:firstLine="480"/>
        <w:jc w:val="both"/>
        <w:rPr>
          <w:color w:val="auto"/>
          <w:sz w:val="24"/>
          <w:szCs w:val="24"/>
          <w:highlight w:val="none"/>
        </w:rPr>
      </w:pPr>
      <w:r>
        <w:rPr>
          <w:rFonts w:hint="eastAsia" w:ascii="宋体" w:hAnsi="宋体" w:cs="宋体"/>
          <w:b w:val="0"/>
          <w:bCs/>
          <w:color w:val="auto"/>
          <w:sz w:val="24"/>
          <w:szCs w:val="24"/>
          <w:highlight w:val="none"/>
        </w:rPr>
        <w:t>1.5</w:t>
      </w:r>
      <w:r>
        <w:rPr>
          <w:rFonts w:hint="eastAsia" w:ascii="宋体" w:hAnsi="宋体" w:cs="宋体"/>
          <w:color w:val="auto"/>
          <w:sz w:val="24"/>
          <w:szCs w:val="24"/>
          <w:highlight w:val="none"/>
        </w:rPr>
        <w:t>磋商小组依据竞争性磋商文件中规定的评标标准和方法，对磋商文件进行评审和比较，向采购人提出书面评标报告，并推荐合格的</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候选人。采购人根据磋商小组提出的书面评标报告和推荐的</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候选人按序确定</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人。</w:t>
      </w:r>
    </w:p>
    <w:p w14:paraId="4E29FACE">
      <w:pPr>
        <w:spacing w:line="360" w:lineRule="auto"/>
        <w:ind w:firstLine="480"/>
        <w:jc w:val="both"/>
        <w:outlineLvl w:val="9"/>
        <w:rPr>
          <w:color w:val="auto"/>
          <w:sz w:val="24"/>
          <w:szCs w:val="24"/>
          <w:highlight w:val="none"/>
        </w:rPr>
      </w:pPr>
      <w:bookmarkStart w:id="84" w:name="_Toc13131"/>
      <w:bookmarkStart w:id="85" w:name="_Toc22897"/>
      <w:bookmarkStart w:id="86" w:name="_Toc8183"/>
      <w:bookmarkStart w:id="87" w:name="_Toc416"/>
      <w:bookmarkStart w:id="88" w:name="_Toc4591"/>
      <w:r>
        <w:rPr>
          <w:rFonts w:hint="eastAsia" w:ascii="宋体" w:hAnsi="宋体" w:cs="宋体"/>
          <w:b/>
          <w:color w:val="auto"/>
          <w:sz w:val="24"/>
          <w:szCs w:val="24"/>
          <w:highlight w:val="none"/>
        </w:rPr>
        <w:t>2. 评审程序</w:t>
      </w:r>
      <w:bookmarkEnd w:id="84"/>
      <w:bookmarkEnd w:id="85"/>
      <w:bookmarkEnd w:id="86"/>
      <w:bookmarkEnd w:id="87"/>
      <w:bookmarkEnd w:id="88"/>
    </w:p>
    <w:p w14:paraId="3B8786B4">
      <w:pPr>
        <w:spacing w:line="360" w:lineRule="auto"/>
        <w:ind w:firstLine="480"/>
        <w:jc w:val="both"/>
        <w:rPr>
          <w:color w:val="auto"/>
          <w:sz w:val="24"/>
          <w:szCs w:val="24"/>
          <w:highlight w:val="none"/>
        </w:rPr>
      </w:pPr>
      <w:r>
        <w:rPr>
          <w:rFonts w:hint="eastAsia" w:ascii="宋体" w:hAnsi="宋体" w:cs="宋体"/>
          <w:color w:val="auto"/>
          <w:sz w:val="24"/>
          <w:szCs w:val="24"/>
          <w:highlight w:val="none"/>
        </w:rPr>
        <w:t>2.1 资格审查</w:t>
      </w:r>
    </w:p>
    <w:p w14:paraId="5947875F">
      <w:pPr>
        <w:spacing w:line="360" w:lineRule="auto"/>
        <w:ind w:firstLine="480"/>
        <w:jc w:val="both"/>
        <w:rPr>
          <w:color w:val="auto"/>
          <w:sz w:val="24"/>
          <w:szCs w:val="24"/>
          <w:highlight w:val="none"/>
        </w:rPr>
      </w:pPr>
      <w:r>
        <w:rPr>
          <w:rFonts w:hint="eastAsia" w:ascii="宋体" w:hAnsi="宋体" w:cs="宋体"/>
          <w:color w:val="auto"/>
          <w:sz w:val="24"/>
          <w:szCs w:val="24"/>
          <w:highlight w:val="none"/>
        </w:rPr>
        <w:t>本项目采用资格后审</w:t>
      </w:r>
    </w:p>
    <w:p w14:paraId="28213B81">
      <w:pPr>
        <w:spacing w:line="360" w:lineRule="auto"/>
        <w:ind w:firstLine="480"/>
        <w:jc w:val="both"/>
        <w:rPr>
          <w:color w:val="auto"/>
          <w:sz w:val="24"/>
          <w:szCs w:val="24"/>
          <w:highlight w:val="none"/>
        </w:rPr>
      </w:pPr>
      <w:r>
        <w:rPr>
          <w:rFonts w:hint="eastAsia" w:ascii="宋体" w:hAnsi="宋体" w:cs="宋体"/>
          <w:color w:val="auto"/>
          <w:sz w:val="24"/>
          <w:szCs w:val="24"/>
          <w:highlight w:val="none"/>
        </w:rPr>
        <w:t>磋商小组按照竞争性磋商文件供应商资格要求，对磋商供应商的磋商文件进行初步评审，有一项不符合的，视为未通过初步审查，按废标处理，符合的进入下一评标程序。</w:t>
      </w:r>
    </w:p>
    <w:p w14:paraId="1DF47E3C">
      <w:pPr>
        <w:numPr>
          <w:ilvl w:val="0"/>
          <w:numId w:val="2"/>
        </w:numPr>
        <w:spacing w:line="360" w:lineRule="auto"/>
        <w:ind w:firstLine="472" w:firstLineChars="196"/>
        <w:outlineLvl w:val="9"/>
        <w:rPr>
          <w:rFonts w:hint="eastAsia" w:ascii="宋体" w:hAnsi="宋体" w:cs="宋体"/>
          <w:b/>
          <w:color w:val="auto"/>
          <w:sz w:val="24"/>
          <w:szCs w:val="24"/>
          <w:highlight w:val="none"/>
        </w:rPr>
      </w:pPr>
      <w:bookmarkStart w:id="89" w:name="_Toc3412"/>
      <w:bookmarkStart w:id="90" w:name="_Toc2527"/>
      <w:bookmarkStart w:id="91" w:name="_Toc15259"/>
      <w:bookmarkStart w:id="92" w:name="_Toc20961"/>
      <w:bookmarkStart w:id="93" w:name="_Toc22405"/>
      <w:r>
        <w:rPr>
          <w:rFonts w:hint="eastAsia" w:ascii="宋体" w:hAnsi="宋体" w:cs="宋体"/>
          <w:b/>
          <w:color w:val="auto"/>
          <w:sz w:val="24"/>
          <w:szCs w:val="24"/>
          <w:highlight w:val="none"/>
        </w:rPr>
        <w:t>评标具体方法和标准</w:t>
      </w:r>
      <w:bookmarkEnd w:id="89"/>
      <w:bookmarkEnd w:id="90"/>
      <w:bookmarkEnd w:id="91"/>
      <w:bookmarkEnd w:id="92"/>
      <w:bookmarkEnd w:id="93"/>
    </w:p>
    <w:p w14:paraId="479B8A61">
      <w:pPr>
        <w:spacing w:line="360" w:lineRule="auto"/>
        <w:ind w:firstLine="48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磋商小组根据评标原则和办法对所有磋商文件进行集中审核，分别评价。</w:t>
      </w:r>
    </w:p>
    <w:p w14:paraId="35188920">
      <w:pPr>
        <w:spacing w:line="360" w:lineRule="auto"/>
        <w:ind w:firstLine="48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评审因素：首先应对供应商的资格文件进行审查，不能通过初步审查的，其响应文件不再评审，通过初步审查的，其进入以下评标程序。</w:t>
      </w:r>
    </w:p>
    <w:p w14:paraId="773F9BD3">
      <w:pPr>
        <w:rPr>
          <w:rFonts w:hint="eastAsia" w:ascii="宋体" w:hAnsi="宋体" w:cs="宋体"/>
          <w:b/>
          <w:bCs/>
          <w:color w:val="auto"/>
          <w:sz w:val="28"/>
          <w:szCs w:val="28"/>
          <w:highlight w:val="none"/>
        </w:rPr>
      </w:pPr>
      <w:bookmarkStart w:id="94" w:name="_Toc14737"/>
      <w:bookmarkStart w:id="95" w:name="_Toc22971"/>
      <w:bookmarkStart w:id="96" w:name="_Toc14123"/>
      <w:bookmarkStart w:id="97" w:name="_Toc2673"/>
      <w:bookmarkStart w:id="98" w:name="_Toc3541"/>
      <w:r>
        <w:rPr>
          <w:rFonts w:hint="eastAsia" w:ascii="宋体" w:hAnsi="宋体" w:cs="宋体"/>
          <w:b/>
          <w:bCs/>
          <w:color w:val="auto"/>
          <w:sz w:val="28"/>
          <w:szCs w:val="28"/>
          <w:highlight w:val="none"/>
        </w:rPr>
        <w:br w:type="page"/>
      </w:r>
    </w:p>
    <w:p w14:paraId="53F3F578">
      <w:pPr>
        <w:pStyle w:val="12"/>
        <w:spacing w:line="360" w:lineRule="auto"/>
        <w:ind w:left="400" w:firstLine="0" w:firstLineChars="0"/>
        <w:jc w:val="center"/>
        <w:outlineLvl w:val="9"/>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综合评分法评标办法</w:t>
      </w:r>
      <w:bookmarkEnd w:id="94"/>
      <w:bookmarkEnd w:id="95"/>
      <w:bookmarkEnd w:id="96"/>
      <w:bookmarkEnd w:id="97"/>
      <w:bookmarkEnd w:id="98"/>
    </w:p>
    <w:tbl>
      <w:tblPr>
        <w:tblStyle w:val="13"/>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939"/>
        <w:gridCol w:w="6276"/>
      </w:tblGrid>
      <w:tr w14:paraId="564B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65" w:type="dxa"/>
            <w:gridSpan w:val="2"/>
            <w:tcBorders>
              <w:top w:val="single" w:color="auto" w:sz="4" w:space="0"/>
              <w:left w:val="single" w:color="auto" w:sz="4" w:space="0"/>
              <w:bottom w:val="single" w:color="auto" w:sz="4" w:space="0"/>
              <w:right w:val="single" w:color="auto" w:sz="4" w:space="0"/>
            </w:tcBorders>
            <w:vAlign w:val="center"/>
          </w:tcPr>
          <w:p w14:paraId="511CCF8A">
            <w:pPr>
              <w:adjustRightInd w:val="0"/>
              <w:spacing w:line="360" w:lineRule="auto"/>
              <w:ind w:left="2" w:hanging="2" w:hangingChars="1"/>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条款内容</w:t>
            </w:r>
          </w:p>
        </w:tc>
        <w:tc>
          <w:tcPr>
            <w:tcW w:w="6276" w:type="dxa"/>
            <w:tcBorders>
              <w:top w:val="single" w:color="auto" w:sz="4" w:space="0"/>
              <w:left w:val="nil"/>
              <w:bottom w:val="single" w:color="auto" w:sz="4" w:space="0"/>
              <w:right w:val="single" w:color="auto" w:sz="4" w:space="0"/>
            </w:tcBorders>
            <w:vAlign w:val="center"/>
          </w:tcPr>
          <w:p w14:paraId="5952BDE5">
            <w:pPr>
              <w:adjustRightInd w:val="0"/>
              <w:spacing w:line="360" w:lineRule="auto"/>
              <w:ind w:left="2" w:hanging="2" w:hangingChars="1"/>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编列内容</w:t>
            </w:r>
          </w:p>
        </w:tc>
      </w:tr>
      <w:tr w14:paraId="6C5D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65" w:type="dxa"/>
            <w:gridSpan w:val="2"/>
            <w:tcBorders>
              <w:top w:val="single" w:color="auto" w:sz="4" w:space="0"/>
              <w:left w:val="single" w:color="auto" w:sz="4" w:space="0"/>
              <w:bottom w:val="single" w:color="auto" w:sz="4" w:space="0"/>
              <w:right w:val="single" w:color="auto" w:sz="4" w:space="0"/>
            </w:tcBorders>
            <w:vAlign w:val="center"/>
          </w:tcPr>
          <w:p w14:paraId="3554511D">
            <w:pPr>
              <w:adjustRightInd w:val="0"/>
              <w:spacing w:line="360" w:lineRule="auto"/>
              <w:ind w:left="2" w:hanging="2" w:hangingChars="1"/>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分值构成（总分100分）</w:t>
            </w:r>
          </w:p>
        </w:tc>
        <w:tc>
          <w:tcPr>
            <w:tcW w:w="6276" w:type="dxa"/>
            <w:tcBorders>
              <w:top w:val="single" w:color="auto" w:sz="4" w:space="0"/>
              <w:left w:val="nil"/>
              <w:bottom w:val="single" w:color="auto" w:sz="4" w:space="0"/>
              <w:right w:val="single" w:color="auto" w:sz="4" w:space="0"/>
            </w:tcBorders>
            <w:vAlign w:val="center"/>
          </w:tcPr>
          <w:p w14:paraId="7EB8A25E">
            <w:pPr>
              <w:adjustRightInd w:val="0"/>
              <w:spacing w:line="360" w:lineRule="auto"/>
              <w:ind w:left="2" w:hanging="2" w:hangingChars="1"/>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投标报价：</w:t>
            </w:r>
            <w:r>
              <w:rPr>
                <w:rFonts w:hint="eastAsia" w:ascii="宋体" w:hAnsi="宋体" w:cs="宋体"/>
                <w:color w:val="auto"/>
                <w:kern w:val="2"/>
                <w:sz w:val="24"/>
                <w:szCs w:val="24"/>
                <w:highlight w:val="none"/>
                <w:lang w:val="en-US" w:eastAsia="zh-CN"/>
              </w:rPr>
              <w:t>25</w:t>
            </w:r>
            <w:r>
              <w:rPr>
                <w:rFonts w:hint="eastAsia" w:ascii="宋体" w:hAnsi="宋体" w:cs="宋体"/>
                <w:color w:val="auto"/>
                <w:kern w:val="2"/>
                <w:sz w:val="24"/>
                <w:szCs w:val="24"/>
                <w:highlight w:val="none"/>
              </w:rPr>
              <w:t>分</w:t>
            </w:r>
          </w:p>
          <w:p w14:paraId="0C39F261">
            <w:pPr>
              <w:adjustRightInd w:val="0"/>
              <w:spacing w:line="360" w:lineRule="auto"/>
              <w:ind w:left="2" w:hanging="2" w:hangingChars="1"/>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技术部分：</w:t>
            </w:r>
            <w:r>
              <w:rPr>
                <w:rFonts w:hint="eastAsia" w:ascii="宋体" w:hAnsi="宋体" w:cs="宋体"/>
                <w:color w:val="auto"/>
                <w:kern w:val="2"/>
                <w:sz w:val="24"/>
                <w:szCs w:val="24"/>
                <w:highlight w:val="none"/>
                <w:lang w:val="en-US" w:eastAsia="zh-CN"/>
              </w:rPr>
              <w:t>50</w:t>
            </w:r>
            <w:r>
              <w:rPr>
                <w:rFonts w:hint="eastAsia" w:ascii="宋体" w:hAnsi="宋体" w:cs="宋体"/>
                <w:color w:val="auto"/>
                <w:kern w:val="2"/>
                <w:sz w:val="24"/>
                <w:szCs w:val="24"/>
                <w:highlight w:val="none"/>
              </w:rPr>
              <w:t>分</w:t>
            </w:r>
          </w:p>
          <w:p w14:paraId="26141B07">
            <w:pPr>
              <w:adjustRightInd w:val="0"/>
              <w:spacing w:line="360" w:lineRule="auto"/>
              <w:ind w:left="2" w:hanging="2" w:hangingChars="1"/>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综合部分：</w:t>
            </w:r>
            <w:r>
              <w:rPr>
                <w:rFonts w:hint="eastAsia" w:ascii="宋体" w:hAnsi="宋体" w:cs="宋体"/>
                <w:color w:val="auto"/>
                <w:kern w:val="2"/>
                <w:sz w:val="24"/>
                <w:szCs w:val="24"/>
                <w:highlight w:val="none"/>
                <w:lang w:val="en-US" w:eastAsia="zh-CN"/>
              </w:rPr>
              <w:t>25</w:t>
            </w:r>
            <w:r>
              <w:rPr>
                <w:rFonts w:hint="eastAsia" w:ascii="宋体" w:hAnsi="宋体" w:cs="宋体"/>
                <w:color w:val="auto"/>
                <w:kern w:val="2"/>
                <w:sz w:val="24"/>
                <w:szCs w:val="24"/>
                <w:highlight w:val="none"/>
              </w:rPr>
              <w:t>分</w:t>
            </w:r>
          </w:p>
        </w:tc>
      </w:tr>
      <w:tr w14:paraId="443D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6" w:type="dxa"/>
            <w:tcBorders>
              <w:top w:val="single" w:color="auto" w:sz="4" w:space="0"/>
              <w:left w:val="single" w:color="auto" w:sz="4" w:space="0"/>
              <w:bottom w:val="single" w:color="auto" w:sz="4" w:space="0"/>
              <w:right w:val="single" w:color="auto" w:sz="4" w:space="0"/>
            </w:tcBorders>
            <w:vAlign w:val="center"/>
          </w:tcPr>
          <w:p w14:paraId="0F854D72">
            <w:pPr>
              <w:adjustRightInd w:val="0"/>
              <w:spacing w:line="360" w:lineRule="auto"/>
              <w:ind w:left="2" w:hanging="2" w:hangingChars="1"/>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评审项</w:t>
            </w:r>
          </w:p>
        </w:tc>
        <w:tc>
          <w:tcPr>
            <w:tcW w:w="1939" w:type="dxa"/>
            <w:tcBorders>
              <w:top w:val="single" w:color="auto" w:sz="4" w:space="0"/>
              <w:left w:val="nil"/>
              <w:bottom w:val="single" w:color="auto" w:sz="4" w:space="0"/>
              <w:right w:val="single" w:color="auto" w:sz="4" w:space="0"/>
            </w:tcBorders>
            <w:vAlign w:val="center"/>
          </w:tcPr>
          <w:p w14:paraId="07F8D719">
            <w:pPr>
              <w:adjustRightInd w:val="0"/>
              <w:spacing w:line="360" w:lineRule="auto"/>
              <w:ind w:left="2" w:hanging="2" w:hangingChars="1"/>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编列内容</w:t>
            </w:r>
          </w:p>
        </w:tc>
        <w:tc>
          <w:tcPr>
            <w:tcW w:w="6276" w:type="dxa"/>
            <w:tcBorders>
              <w:top w:val="single" w:color="auto" w:sz="4" w:space="0"/>
              <w:left w:val="nil"/>
              <w:bottom w:val="single" w:color="auto" w:sz="4" w:space="0"/>
              <w:right w:val="single" w:color="auto" w:sz="4" w:space="0"/>
            </w:tcBorders>
            <w:vAlign w:val="center"/>
          </w:tcPr>
          <w:p w14:paraId="706094E6">
            <w:pPr>
              <w:adjustRightInd w:val="0"/>
              <w:spacing w:line="360" w:lineRule="auto"/>
              <w:ind w:left="2" w:hanging="2" w:hangingChars="1"/>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评审方法</w:t>
            </w:r>
          </w:p>
        </w:tc>
      </w:tr>
      <w:tr w14:paraId="43A6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6" w:type="dxa"/>
            <w:tcBorders>
              <w:top w:val="single" w:color="auto" w:sz="4" w:space="0"/>
              <w:left w:val="single" w:color="auto" w:sz="4" w:space="0"/>
              <w:bottom w:val="single" w:color="auto" w:sz="4" w:space="0"/>
              <w:right w:val="single" w:color="auto" w:sz="4" w:space="0"/>
            </w:tcBorders>
            <w:vAlign w:val="center"/>
          </w:tcPr>
          <w:p w14:paraId="79CBCE6F">
            <w:pPr>
              <w:widowControl w:val="0"/>
              <w:adjustRightInd w:val="0"/>
              <w:snapToGrid w:val="0"/>
              <w:spacing w:line="360" w:lineRule="auto"/>
              <w:jc w:val="center"/>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投标报价（</w:t>
            </w:r>
            <w:r>
              <w:rPr>
                <w:rFonts w:hint="eastAsia" w:ascii="宋体" w:hAnsi="宋体" w:cs="宋体"/>
                <w:bCs/>
                <w:color w:val="auto"/>
                <w:kern w:val="2"/>
                <w:sz w:val="24"/>
                <w:szCs w:val="24"/>
                <w:highlight w:val="none"/>
                <w:lang w:val="en-US" w:eastAsia="zh-CN"/>
              </w:rPr>
              <w:t>25</w:t>
            </w:r>
            <w:r>
              <w:rPr>
                <w:rFonts w:hint="eastAsia" w:ascii="宋体" w:hAnsi="宋体" w:cs="宋体"/>
                <w:bCs/>
                <w:color w:val="auto"/>
                <w:kern w:val="2"/>
                <w:sz w:val="24"/>
                <w:szCs w:val="24"/>
                <w:highlight w:val="none"/>
              </w:rPr>
              <w:t>分）</w:t>
            </w:r>
          </w:p>
        </w:tc>
        <w:tc>
          <w:tcPr>
            <w:tcW w:w="1939" w:type="dxa"/>
            <w:tcBorders>
              <w:top w:val="single" w:color="auto" w:sz="4" w:space="0"/>
              <w:left w:val="nil"/>
              <w:bottom w:val="single" w:color="auto" w:sz="4" w:space="0"/>
              <w:right w:val="single" w:color="auto" w:sz="4" w:space="0"/>
            </w:tcBorders>
            <w:vAlign w:val="center"/>
          </w:tcPr>
          <w:p w14:paraId="1ABB6B44">
            <w:pPr>
              <w:widowControl w:val="0"/>
              <w:adjustRightInd w:val="0"/>
              <w:snapToGrid w:val="0"/>
              <w:spacing w:line="360" w:lineRule="auto"/>
              <w:jc w:val="center"/>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投标报价</w:t>
            </w:r>
          </w:p>
        </w:tc>
        <w:tc>
          <w:tcPr>
            <w:tcW w:w="6276" w:type="dxa"/>
            <w:tcBorders>
              <w:top w:val="single" w:color="auto" w:sz="4" w:space="0"/>
              <w:left w:val="nil"/>
              <w:bottom w:val="single" w:color="auto" w:sz="4" w:space="0"/>
              <w:right w:val="single" w:color="auto" w:sz="4" w:space="0"/>
            </w:tcBorders>
            <w:vAlign w:val="center"/>
          </w:tcPr>
          <w:p w14:paraId="231CA799">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综合评分法中的价格分用低价优先法计算，即满足</w:t>
            </w:r>
            <w:r>
              <w:rPr>
                <w:rFonts w:hint="eastAsia" w:ascii="宋体" w:hAnsi="宋体" w:eastAsia="宋体" w:cs="宋体"/>
                <w:color w:val="auto"/>
                <w:sz w:val="24"/>
                <w:szCs w:val="22"/>
                <w:highlight w:val="none"/>
                <w:lang w:val="en-US" w:eastAsia="zh-CN"/>
              </w:rPr>
              <w:t>竞争性磋商</w:t>
            </w:r>
            <w:r>
              <w:rPr>
                <w:rFonts w:hint="eastAsia" w:ascii="宋体" w:hAnsi="宋体" w:eastAsia="宋体" w:cs="宋体"/>
                <w:color w:val="auto"/>
                <w:sz w:val="24"/>
                <w:szCs w:val="22"/>
                <w:highlight w:val="none"/>
              </w:rPr>
              <w:t>文件要求且投标价格最低的投标报价为评标基准价，其价格分为满分</w:t>
            </w:r>
            <w:r>
              <w:rPr>
                <w:rFonts w:hint="eastAsia" w:ascii="宋体" w:hAnsi="宋体" w:eastAsia="宋体" w:cs="宋体"/>
                <w:color w:val="auto"/>
                <w:sz w:val="24"/>
                <w:szCs w:val="22"/>
                <w:highlight w:val="none"/>
                <w:lang w:val="en-US" w:eastAsia="zh-CN"/>
              </w:rPr>
              <w:t>25</w:t>
            </w:r>
            <w:r>
              <w:rPr>
                <w:rFonts w:hint="eastAsia" w:ascii="宋体" w:hAnsi="宋体" w:eastAsia="宋体" w:cs="宋体"/>
                <w:color w:val="auto"/>
                <w:sz w:val="24"/>
                <w:szCs w:val="22"/>
                <w:highlight w:val="none"/>
              </w:rPr>
              <w:t>分。</w:t>
            </w:r>
          </w:p>
          <w:p w14:paraId="0AC52204">
            <w:pPr>
              <w:spacing w:line="440" w:lineRule="exact"/>
              <w:jc w:val="left"/>
              <w:rPr>
                <w:rFonts w:hint="default"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投标报价得分=(评标基准价/投标报价)×</w:t>
            </w:r>
            <w:r>
              <w:rPr>
                <w:rFonts w:hint="eastAsia" w:ascii="宋体" w:hAnsi="宋体" w:eastAsia="宋体" w:cs="宋体"/>
                <w:color w:val="auto"/>
                <w:sz w:val="24"/>
                <w:szCs w:val="22"/>
                <w:highlight w:val="none"/>
                <w:lang w:val="en-US" w:eastAsia="zh-CN"/>
              </w:rPr>
              <w:t>25</w:t>
            </w:r>
          </w:p>
          <w:p w14:paraId="67521F2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12669253">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78D9207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42763101">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r>
      <w:tr w14:paraId="09DE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6" w:type="dxa"/>
            <w:vMerge w:val="restart"/>
            <w:tcBorders>
              <w:left w:val="single" w:color="auto" w:sz="4" w:space="0"/>
              <w:right w:val="single" w:color="auto" w:sz="4" w:space="0"/>
            </w:tcBorders>
            <w:vAlign w:val="center"/>
          </w:tcPr>
          <w:p w14:paraId="1F503AEB">
            <w:pPr>
              <w:adjustRightInd w:val="0"/>
              <w:spacing w:line="360" w:lineRule="auto"/>
              <w:ind w:left="2" w:hanging="2" w:hangingChars="1"/>
              <w:jc w:val="both"/>
              <w:rPr>
                <w:rFonts w:hint="eastAsia" w:ascii="宋体" w:hAnsi="宋体" w:cs="宋体"/>
                <w:color w:val="auto"/>
                <w:kern w:val="2"/>
                <w:sz w:val="24"/>
                <w:szCs w:val="24"/>
                <w:highlight w:val="none"/>
              </w:rPr>
            </w:pPr>
          </w:p>
          <w:p w14:paraId="45C72EE4">
            <w:pPr>
              <w:adjustRightInd w:val="0"/>
              <w:spacing w:line="360" w:lineRule="auto"/>
              <w:ind w:left="2" w:hanging="2" w:hangingChars="1"/>
              <w:jc w:val="both"/>
              <w:rPr>
                <w:rFonts w:hint="eastAsia" w:ascii="宋体" w:hAnsi="宋体" w:cs="宋体"/>
                <w:color w:val="auto"/>
                <w:kern w:val="2"/>
                <w:sz w:val="24"/>
                <w:szCs w:val="24"/>
                <w:highlight w:val="none"/>
              </w:rPr>
            </w:pPr>
          </w:p>
          <w:p w14:paraId="4DAA50B7">
            <w:pPr>
              <w:adjustRightInd w:val="0"/>
              <w:spacing w:line="360" w:lineRule="auto"/>
              <w:ind w:left="2" w:hanging="2" w:hangingChars="1"/>
              <w:jc w:val="both"/>
              <w:rPr>
                <w:rFonts w:hint="eastAsia" w:ascii="宋体" w:hAnsi="宋体" w:cs="宋体"/>
                <w:color w:val="auto"/>
                <w:kern w:val="2"/>
                <w:sz w:val="24"/>
                <w:szCs w:val="24"/>
                <w:highlight w:val="none"/>
              </w:rPr>
            </w:pPr>
          </w:p>
          <w:p w14:paraId="3EA22208">
            <w:pPr>
              <w:adjustRightInd w:val="0"/>
              <w:spacing w:line="360" w:lineRule="auto"/>
              <w:ind w:left="2" w:hanging="2" w:hangingChars="1"/>
              <w:jc w:val="both"/>
              <w:rPr>
                <w:rFonts w:hint="eastAsia" w:ascii="宋体" w:hAnsi="宋体" w:cs="宋体"/>
                <w:color w:val="auto"/>
                <w:kern w:val="2"/>
                <w:sz w:val="24"/>
                <w:szCs w:val="24"/>
                <w:highlight w:val="none"/>
              </w:rPr>
            </w:pPr>
          </w:p>
          <w:p w14:paraId="3A33D71B">
            <w:pPr>
              <w:adjustRightInd w:val="0"/>
              <w:spacing w:line="360" w:lineRule="auto"/>
              <w:ind w:left="2" w:hanging="2" w:hangingChars="1"/>
              <w:jc w:val="both"/>
              <w:rPr>
                <w:rFonts w:hint="eastAsia" w:ascii="宋体" w:hAnsi="宋体" w:cs="宋体"/>
                <w:color w:val="auto"/>
                <w:kern w:val="2"/>
                <w:sz w:val="24"/>
                <w:szCs w:val="24"/>
                <w:highlight w:val="none"/>
              </w:rPr>
            </w:pPr>
          </w:p>
          <w:p w14:paraId="68981BE2">
            <w:pPr>
              <w:adjustRightInd w:val="0"/>
              <w:spacing w:line="360" w:lineRule="auto"/>
              <w:ind w:left="2" w:hanging="2" w:hangingChars="1"/>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技术部分</w:t>
            </w:r>
            <w:r>
              <w:rPr>
                <w:rFonts w:hint="eastAsia" w:ascii="宋体" w:hAnsi="宋体" w:cs="宋体"/>
                <w:color w:val="auto"/>
                <w:kern w:val="2"/>
                <w:sz w:val="24"/>
                <w:szCs w:val="24"/>
                <w:highlight w:val="none"/>
                <w:lang w:val="en-US" w:eastAsia="zh-CN"/>
              </w:rPr>
              <w:t>50</w:t>
            </w:r>
            <w:r>
              <w:rPr>
                <w:rFonts w:hint="eastAsia" w:ascii="宋体" w:hAnsi="宋体" w:cs="宋体"/>
                <w:color w:val="auto"/>
                <w:kern w:val="2"/>
                <w:sz w:val="24"/>
                <w:szCs w:val="24"/>
                <w:highlight w:val="none"/>
              </w:rPr>
              <w:t>分</w:t>
            </w:r>
          </w:p>
          <w:p w14:paraId="6C57BC45">
            <w:pPr>
              <w:adjustRightInd w:val="0"/>
              <w:spacing w:line="360" w:lineRule="auto"/>
              <w:ind w:left="2" w:hanging="2" w:hangingChars="1"/>
              <w:jc w:val="both"/>
              <w:rPr>
                <w:rFonts w:hint="eastAsia" w:ascii="宋体" w:hAnsi="宋体" w:cs="宋体"/>
                <w:color w:val="auto"/>
                <w:kern w:val="2"/>
                <w:sz w:val="24"/>
                <w:szCs w:val="24"/>
                <w:highlight w:val="none"/>
              </w:rPr>
            </w:pPr>
          </w:p>
        </w:tc>
        <w:tc>
          <w:tcPr>
            <w:tcW w:w="1939" w:type="dxa"/>
            <w:tcBorders>
              <w:top w:val="single" w:color="auto" w:sz="4" w:space="0"/>
              <w:left w:val="single" w:color="auto" w:sz="4" w:space="0"/>
              <w:right w:val="single" w:color="auto" w:sz="4" w:space="0"/>
            </w:tcBorders>
            <w:vAlign w:val="center"/>
          </w:tcPr>
          <w:p w14:paraId="476C108E">
            <w:pPr>
              <w:widowControl w:val="0"/>
              <w:adjustRightInd w:val="0"/>
              <w:snapToGrid w:val="0"/>
              <w:spacing w:line="360" w:lineRule="auto"/>
              <w:jc w:val="center"/>
              <w:rPr>
                <w:rFonts w:hint="eastAsia" w:ascii="宋体" w:hAnsi="宋体" w:cs="宋体"/>
                <w:bCs/>
                <w:color w:val="auto"/>
                <w:kern w:val="2"/>
                <w:sz w:val="24"/>
                <w:szCs w:val="24"/>
                <w:highlight w:val="none"/>
                <w:lang w:val="en-US" w:eastAsia="zh-CN"/>
              </w:rPr>
            </w:pPr>
          </w:p>
          <w:p w14:paraId="5729356A">
            <w:pPr>
              <w:widowControl w:val="0"/>
              <w:adjustRightInd w:val="0"/>
              <w:snapToGrid w:val="0"/>
              <w:spacing w:line="360" w:lineRule="auto"/>
              <w:jc w:val="center"/>
              <w:rPr>
                <w:rFonts w:hint="eastAsia" w:ascii="宋体" w:hAnsi="宋体" w:cs="宋体"/>
                <w:bCs/>
                <w:color w:val="auto"/>
                <w:kern w:val="2"/>
                <w:sz w:val="24"/>
                <w:szCs w:val="24"/>
                <w:highlight w:val="none"/>
                <w:lang w:val="en-US" w:eastAsia="zh-CN"/>
              </w:rPr>
            </w:pPr>
          </w:p>
          <w:p w14:paraId="325CBD42">
            <w:pPr>
              <w:widowControl w:val="0"/>
              <w:adjustRightInd w:val="0"/>
              <w:snapToGrid w:val="0"/>
              <w:spacing w:line="360" w:lineRule="auto"/>
              <w:jc w:val="center"/>
              <w:rPr>
                <w:rFonts w:hint="default" w:ascii="宋体" w:hAnsi="宋体" w:eastAsia="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1、对本项目的理解和认识（5分）</w:t>
            </w:r>
          </w:p>
        </w:tc>
        <w:tc>
          <w:tcPr>
            <w:tcW w:w="6276" w:type="dxa"/>
            <w:tcBorders>
              <w:top w:val="single" w:color="auto" w:sz="4" w:space="0"/>
              <w:left w:val="nil"/>
              <w:right w:val="single" w:color="auto" w:sz="4" w:space="0"/>
            </w:tcBorders>
            <w:vAlign w:val="top"/>
          </w:tcPr>
          <w:p w14:paraId="5D79B497">
            <w:pPr>
              <w:widowControl w:val="0"/>
              <w:adjustRightInd w:val="0"/>
              <w:snapToGrid w:val="0"/>
              <w:spacing w:line="360" w:lineRule="auto"/>
              <w:jc w:val="both"/>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lang w:val="en-US" w:eastAsia="zh-CN"/>
              </w:rPr>
              <w:t xml:space="preserve">供应商需结合项目实际情况，从项目概况、工程布局、评估范围确定依据、区域地质与矿产资源分布概况、矿业权设置现状、相关法律法规政策等方面阐述理解与认识： </w:t>
            </w:r>
          </w:p>
          <w:p w14:paraId="36604E41">
            <w:pPr>
              <w:widowControl w:val="0"/>
              <w:adjustRightInd w:val="0"/>
              <w:snapToGrid w:val="0"/>
              <w:spacing w:line="360" w:lineRule="auto"/>
              <w:jc w:val="both"/>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lang w:val="en-US" w:eastAsia="zh-CN"/>
              </w:rPr>
              <w:t xml:space="preserve">① 内容详实，分析深入，针对性强，完全满足采购需求的，得 5 分； </w:t>
            </w:r>
          </w:p>
          <w:p w14:paraId="3D127B07">
            <w:pPr>
              <w:widowControl w:val="0"/>
              <w:adjustRightInd w:val="0"/>
              <w:snapToGrid w:val="0"/>
              <w:spacing w:line="360" w:lineRule="auto"/>
              <w:jc w:val="both"/>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lang w:val="en-US" w:eastAsia="zh-CN"/>
              </w:rPr>
              <w:t xml:space="preserve">② 内容完整，针对性较强，可满足采购需求的，得3 分； </w:t>
            </w:r>
          </w:p>
          <w:p w14:paraId="0E9D1578">
            <w:pPr>
              <w:widowControl w:val="0"/>
              <w:adjustRightInd w:val="0"/>
              <w:snapToGrid w:val="0"/>
              <w:spacing w:line="360" w:lineRule="auto"/>
              <w:jc w:val="both"/>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lang w:val="en-US" w:eastAsia="zh-CN"/>
              </w:rPr>
              <w:t xml:space="preserve">③ 内容基本完整，但针对性一般的，得 1 分； </w:t>
            </w:r>
          </w:p>
          <w:p w14:paraId="28038166">
            <w:pPr>
              <w:widowControl w:val="0"/>
              <w:adjustRightInd w:val="0"/>
              <w:snapToGrid w:val="0"/>
              <w:spacing w:line="360" w:lineRule="auto"/>
              <w:jc w:val="both"/>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lang w:val="en-US" w:eastAsia="zh-CN"/>
              </w:rPr>
              <w:t>④ 缺项或内容严重不符的，得 0 分。</w:t>
            </w:r>
          </w:p>
        </w:tc>
      </w:tr>
      <w:tr w14:paraId="6BDE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6" w:type="dxa"/>
            <w:vMerge w:val="continue"/>
            <w:tcBorders>
              <w:left w:val="single" w:color="auto" w:sz="4" w:space="0"/>
              <w:right w:val="single" w:color="auto" w:sz="4" w:space="0"/>
            </w:tcBorders>
            <w:vAlign w:val="center"/>
          </w:tcPr>
          <w:p w14:paraId="3856DF0B">
            <w:pPr>
              <w:adjustRightInd w:val="0"/>
              <w:spacing w:line="360" w:lineRule="auto"/>
              <w:ind w:left="2" w:hanging="2" w:hangingChars="1"/>
              <w:jc w:val="both"/>
              <w:rPr>
                <w:rFonts w:hint="eastAsia" w:ascii="宋体" w:hAnsi="宋体" w:cs="宋体"/>
                <w:color w:val="auto"/>
                <w:kern w:val="2"/>
                <w:sz w:val="24"/>
                <w:szCs w:val="24"/>
                <w:highlight w:val="none"/>
              </w:rPr>
            </w:pPr>
          </w:p>
        </w:tc>
        <w:tc>
          <w:tcPr>
            <w:tcW w:w="1939" w:type="dxa"/>
            <w:tcBorders>
              <w:top w:val="single" w:color="auto" w:sz="4" w:space="0"/>
              <w:left w:val="single" w:color="auto" w:sz="4" w:space="0"/>
              <w:right w:val="single" w:color="auto" w:sz="4" w:space="0"/>
            </w:tcBorders>
            <w:vAlign w:val="center"/>
          </w:tcPr>
          <w:p w14:paraId="46C3F2AA">
            <w:pPr>
              <w:widowControl w:val="0"/>
              <w:adjustRightInd w:val="0"/>
              <w:snapToGrid w:val="0"/>
              <w:spacing w:line="360" w:lineRule="auto"/>
              <w:jc w:val="center"/>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2、重难点分析</w:t>
            </w:r>
          </w:p>
          <w:p w14:paraId="56E3B4C0">
            <w:pPr>
              <w:widowControl w:val="0"/>
              <w:adjustRightInd w:val="0"/>
              <w:snapToGrid w:val="0"/>
              <w:spacing w:line="360" w:lineRule="auto"/>
              <w:jc w:val="center"/>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（5分）</w:t>
            </w:r>
          </w:p>
        </w:tc>
        <w:tc>
          <w:tcPr>
            <w:tcW w:w="6276" w:type="dxa"/>
            <w:tcBorders>
              <w:top w:val="single" w:color="auto" w:sz="4" w:space="0"/>
              <w:left w:val="nil"/>
              <w:right w:val="single" w:color="auto" w:sz="4" w:space="0"/>
            </w:tcBorders>
            <w:vAlign w:val="center"/>
          </w:tcPr>
          <w:p w14:paraId="7AEEE839">
            <w:pPr>
              <w:widowControl w:val="0"/>
              <w:adjustRightInd w:val="0"/>
              <w:snapToGrid w:val="0"/>
              <w:spacing w:line="360" w:lineRule="auto"/>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 xml:space="preserve">供应商需结合项目实际情况，对资料收集的完整性与准确性、与矿业权人协调沟通、资源量估算与评估方法的合理性、建设项目与矿产资源保护的协调性分析、报告编制与国家及地方最新压覆矿政策的符合性等进行重点与难点分析： </w:t>
            </w:r>
          </w:p>
          <w:p w14:paraId="5DE5B16D">
            <w:pPr>
              <w:widowControl w:val="0"/>
              <w:adjustRightInd w:val="0"/>
              <w:snapToGrid w:val="0"/>
              <w:spacing w:line="360" w:lineRule="auto"/>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 xml:space="preserve">① 分析全面、准确，对策科学有效，完全满足采购需求的，得5分； </w:t>
            </w:r>
          </w:p>
          <w:p w14:paraId="00B312B2">
            <w:pPr>
              <w:widowControl w:val="0"/>
              <w:adjustRightInd w:val="0"/>
              <w:snapToGrid w:val="0"/>
              <w:spacing w:line="360" w:lineRule="auto"/>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 xml:space="preserve">② 分析较全面，对策基本可行，可满足采购需求的，得3 分； </w:t>
            </w:r>
          </w:p>
          <w:p w14:paraId="1D4E7634">
            <w:pPr>
              <w:widowControl w:val="0"/>
              <w:adjustRightInd w:val="0"/>
              <w:snapToGrid w:val="0"/>
              <w:spacing w:line="360" w:lineRule="auto"/>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 xml:space="preserve">③分析基本完整，但对策针对性不强的，得1分； </w:t>
            </w:r>
          </w:p>
          <w:p w14:paraId="3549D0DD">
            <w:pPr>
              <w:widowControl w:val="0"/>
              <w:adjustRightInd w:val="0"/>
              <w:snapToGrid w:val="0"/>
              <w:spacing w:line="360" w:lineRule="auto"/>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④ 缺项或分析空洞的，得0分</w:t>
            </w:r>
          </w:p>
        </w:tc>
      </w:tr>
      <w:tr w14:paraId="2A07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1326" w:type="dxa"/>
            <w:vMerge w:val="continue"/>
            <w:tcBorders>
              <w:left w:val="single" w:color="auto" w:sz="4" w:space="0"/>
              <w:right w:val="single" w:color="auto" w:sz="4" w:space="0"/>
            </w:tcBorders>
            <w:vAlign w:val="center"/>
          </w:tcPr>
          <w:p w14:paraId="50A3819E">
            <w:pPr>
              <w:adjustRightInd w:val="0"/>
              <w:spacing w:line="360" w:lineRule="auto"/>
              <w:ind w:left="2" w:hanging="2" w:hangingChars="1"/>
              <w:jc w:val="both"/>
              <w:rPr>
                <w:rFonts w:hint="eastAsia" w:ascii="宋体" w:hAnsi="宋体" w:cs="宋体"/>
                <w:color w:val="auto"/>
                <w:kern w:val="2"/>
                <w:sz w:val="24"/>
                <w:szCs w:val="24"/>
                <w:highlight w:val="none"/>
              </w:rPr>
            </w:pPr>
          </w:p>
        </w:tc>
        <w:tc>
          <w:tcPr>
            <w:tcW w:w="1939" w:type="dxa"/>
            <w:tcBorders>
              <w:top w:val="single" w:color="auto" w:sz="4" w:space="0"/>
              <w:left w:val="single" w:color="auto" w:sz="4" w:space="0"/>
              <w:right w:val="single" w:color="auto" w:sz="4" w:space="0"/>
            </w:tcBorders>
            <w:vAlign w:val="center"/>
          </w:tcPr>
          <w:p w14:paraId="2BF927B1">
            <w:pPr>
              <w:widowControl w:val="0"/>
              <w:adjustRightInd w:val="0"/>
              <w:snapToGrid w:val="0"/>
              <w:spacing w:line="360" w:lineRule="auto"/>
              <w:jc w:val="center"/>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3、组织方案及工作流程（5分）</w:t>
            </w:r>
          </w:p>
        </w:tc>
        <w:tc>
          <w:tcPr>
            <w:tcW w:w="6276" w:type="dxa"/>
            <w:tcBorders>
              <w:top w:val="single" w:color="auto" w:sz="4" w:space="0"/>
              <w:left w:val="nil"/>
              <w:right w:val="single" w:color="auto" w:sz="4" w:space="0"/>
            </w:tcBorders>
            <w:vAlign w:val="center"/>
          </w:tcPr>
          <w:p w14:paraId="03A8AAA1">
            <w:pPr>
              <w:widowControl w:val="0"/>
              <w:adjustRightInd w:val="0"/>
              <w:snapToGrid w:val="0"/>
              <w:spacing w:line="360" w:lineRule="auto"/>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 xml:space="preserve">供应商需制定服务方案，包括但不限于项目团队组织架构、资料收集与实地调查、资源量估算、报告编制、内部审核、与主管部门的沟通协调等全工作流程： </w:t>
            </w:r>
          </w:p>
          <w:p w14:paraId="74083D61">
            <w:pPr>
              <w:widowControl w:val="0"/>
              <w:adjustRightInd w:val="0"/>
              <w:snapToGrid w:val="0"/>
              <w:spacing w:line="360" w:lineRule="auto"/>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 xml:space="preserve">① 方案详实、流程清晰、措施有力，完全满足需求的，得 5分； </w:t>
            </w:r>
          </w:p>
          <w:p w14:paraId="2C5A273D">
            <w:pPr>
              <w:widowControl w:val="0"/>
              <w:adjustRightInd w:val="0"/>
              <w:snapToGrid w:val="0"/>
              <w:spacing w:line="360" w:lineRule="auto"/>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 xml:space="preserve">② 方案基本完整、流程可行，基本满足需求的，得3分； </w:t>
            </w:r>
          </w:p>
          <w:p w14:paraId="38B71F47">
            <w:pPr>
              <w:widowControl w:val="0"/>
              <w:adjustRightInd w:val="0"/>
              <w:snapToGrid w:val="0"/>
              <w:spacing w:line="360" w:lineRule="auto"/>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 xml:space="preserve">③ 方案有缺失、流程笼统，满足需求一般的，得1分； </w:t>
            </w:r>
          </w:p>
          <w:p w14:paraId="5E958B21">
            <w:pPr>
              <w:widowControl w:val="0"/>
              <w:adjustRightInd w:val="0"/>
              <w:snapToGrid w:val="0"/>
              <w:spacing w:line="360" w:lineRule="auto"/>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④ 无方案或方案严重缺失，无法满足需求的，得 0 分</w:t>
            </w:r>
          </w:p>
        </w:tc>
      </w:tr>
      <w:tr w14:paraId="373D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4" w:hRule="atLeast"/>
          <w:jc w:val="center"/>
        </w:trPr>
        <w:tc>
          <w:tcPr>
            <w:tcW w:w="1326" w:type="dxa"/>
            <w:vMerge w:val="continue"/>
            <w:tcBorders>
              <w:left w:val="single" w:color="auto" w:sz="4" w:space="0"/>
              <w:right w:val="single" w:color="auto" w:sz="4" w:space="0"/>
            </w:tcBorders>
            <w:vAlign w:val="center"/>
          </w:tcPr>
          <w:p w14:paraId="103904D9">
            <w:pPr>
              <w:adjustRightInd w:val="0"/>
              <w:spacing w:line="360" w:lineRule="auto"/>
              <w:ind w:left="2" w:hanging="2" w:hangingChars="1"/>
              <w:jc w:val="both"/>
              <w:rPr>
                <w:rFonts w:hint="eastAsia" w:ascii="宋体" w:hAnsi="宋体" w:cs="宋体"/>
                <w:color w:val="auto"/>
                <w:kern w:val="2"/>
                <w:sz w:val="24"/>
                <w:szCs w:val="24"/>
                <w:highlight w:val="none"/>
              </w:rPr>
            </w:pPr>
          </w:p>
        </w:tc>
        <w:tc>
          <w:tcPr>
            <w:tcW w:w="1939" w:type="dxa"/>
            <w:tcBorders>
              <w:top w:val="single" w:color="auto" w:sz="4" w:space="0"/>
              <w:left w:val="single" w:color="auto" w:sz="4" w:space="0"/>
              <w:right w:val="single" w:color="auto" w:sz="4" w:space="0"/>
            </w:tcBorders>
            <w:vAlign w:val="center"/>
          </w:tcPr>
          <w:p w14:paraId="4A69FF65">
            <w:pPr>
              <w:widowControl w:val="0"/>
              <w:adjustRightInd w:val="0"/>
              <w:snapToGrid w:val="0"/>
              <w:spacing w:line="360" w:lineRule="auto"/>
              <w:jc w:val="center"/>
              <w:rPr>
                <w:rFonts w:hint="eastAsia" w:ascii="宋体" w:hAnsi="宋体" w:cs="宋体"/>
                <w:color w:val="auto"/>
                <w:spacing w:val="-4"/>
                <w:sz w:val="24"/>
                <w:szCs w:val="24"/>
                <w:highlight w:val="none"/>
                <w:lang w:val="en-US" w:eastAsia="zh-CN"/>
              </w:rPr>
            </w:pPr>
            <w:r>
              <w:rPr>
                <w:rFonts w:hint="eastAsia" w:ascii="宋体" w:hAnsi="宋体" w:cs="宋体"/>
                <w:color w:val="auto"/>
                <w:spacing w:val="-4"/>
                <w:sz w:val="24"/>
                <w:szCs w:val="24"/>
                <w:highlight w:val="none"/>
                <w:lang w:val="en-US" w:eastAsia="zh-CN"/>
              </w:rPr>
              <w:t>4、质量控制与安全文明措施</w:t>
            </w:r>
          </w:p>
          <w:p w14:paraId="35DA5FD2">
            <w:pPr>
              <w:widowControl w:val="0"/>
              <w:adjustRightInd w:val="0"/>
              <w:snapToGrid w:val="0"/>
              <w:spacing w:line="360" w:lineRule="auto"/>
              <w:jc w:val="center"/>
              <w:rPr>
                <w:rFonts w:hint="default" w:ascii="宋体" w:hAnsi="宋体" w:eastAsia="宋体" w:cs="宋体"/>
                <w:color w:val="auto"/>
                <w:spacing w:val="-4"/>
                <w:sz w:val="24"/>
                <w:szCs w:val="24"/>
                <w:highlight w:val="none"/>
                <w:lang w:val="en-US" w:eastAsia="zh-CN"/>
              </w:rPr>
            </w:pPr>
            <w:r>
              <w:rPr>
                <w:rFonts w:hint="eastAsia" w:ascii="宋体" w:hAnsi="宋体" w:eastAsia="宋体" w:cs="宋体"/>
                <w:bCs/>
                <w:color w:val="auto"/>
                <w:kern w:val="2"/>
                <w:sz w:val="24"/>
                <w:szCs w:val="24"/>
                <w:highlight w:val="none"/>
                <w:lang w:val="en-US" w:eastAsia="zh-CN"/>
              </w:rPr>
              <w:t>（5分）</w:t>
            </w:r>
          </w:p>
        </w:tc>
        <w:tc>
          <w:tcPr>
            <w:tcW w:w="6276" w:type="dxa"/>
            <w:tcBorders>
              <w:top w:val="single" w:color="auto" w:sz="4" w:space="0"/>
              <w:left w:val="nil"/>
              <w:right w:val="single" w:color="auto" w:sz="4" w:space="0"/>
            </w:tcBorders>
            <w:vAlign w:val="center"/>
          </w:tcPr>
          <w:p w14:paraId="61D30186">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供应商需阐述其压覆矿产评估质量保证体系、数据来源核查与真实性控制措施、现场调查安全保障等： </w:t>
            </w:r>
          </w:p>
          <w:p w14:paraId="7CDB4AD6">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 内容详实，分析深入，针对性强，完全满足采购需求的，得5分； </w:t>
            </w:r>
          </w:p>
          <w:p w14:paraId="7D60DB1E">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 内容完整，针对性较强，可满足采购需求的，得3分； </w:t>
            </w:r>
          </w:p>
          <w:p w14:paraId="21F8EC9A">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③ 内容基本完整，但针对性一般的，得 1 分； </w:t>
            </w:r>
          </w:p>
          <w:p w14:paraId="0FDF68FC">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 缺项或内容严重不符的，得 0 分。</w:t>
            </w:r>
          </w:p>
        </w:tc>
      </w:tr>
      <w:tr w14:paraId="64BE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4" w:hRule="atLeast"/>
          <w:jc w:val="center"/>
        </w:trPr>
        <w:tc>
          <w:tcPr>
            <w:tcW w:w="1326" w:type="dxa"/>
            <w:vMerge w:val="continue"/>
            <w:tcBorders>
              <w:left w:val="single" w:color="auto" w:sz="4" w:space="0"/>
              <w:right w:val="single" w:color="auto" w:sz="4" w:space="0"/>
            </w:tcBorders>
            <w:vAlign w:val="center"/>
          </w:tcPr>
          <w:p w14:paraId="47BADE72">
            <w:pPr>
              <w:adjustRightInd w:val="0"/>
              <w:spacing w:line="360" w:lineRule="auto"/>
              <w:ind w:left="2" w:hanging="2" w:hangingChars="1"/>
              <w:jc w:val="both"/>
              <w:rPr>
                <w:rFonts w:hint="eastAsia" w:ascii="宋体" w:hAnsi="宋体" w:cs="宋体"/>
                <w:color w:val="auto"/>
                <w:kern w:val="2"/>
                <w:sz w:val="24"/>
                <w:szCs w:val="24"/>
                <w:highlight w:val="none"/>
              </w:rPr>
            </w:pPr>
          </w:p>
        </w:tc>
        <w:tc>
          <w:tcPr>
            <w:tcW w:w="1939" w:type="dxa"/>
            <w:tcBorders>
              <w:top w:val="single" w:color="auto" w:sz="4" w:space="0"/>
              <w:left w:val="single" w:color="auto" w:sz="4" w:space="0"/>
              <w:right w:val="single" w:color="auto" w:sz="4" w:space="0"/>
            </w:tcBorders>
            <w:vAlign w:val="center"/>
          </w:tcPr>
          <w:p w14:paraId="41EE47E7">
            <w:pPr>
              <w:widowControl w:val="0"/>
              <w:adjustRightInd w:val="0"/>
              <w:snapToGrid w:val="0"/>
              <w:spacing w:line="360" w:lineRule="auto"/>
              <w:jc w:val="center"/>
              <w:rPr>
                <w:rFonts w:hint="default" w:ascii="宋体" w:hAnsi="宋体" w:eastAsia="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5、进度计划方案</w:t>
            </w:r>
            <w:r>
              <w:rPr>
                <w:rFonts w:hint="eastAsia" w:ascii="宋体" w:hAnsi="宋体" w:eastAsia="宋体" w:cs="宋体"/>
                <w:bCs/>
                <w:color w:val="auto"/>
                <w:kern w:val="2"/>
                <w:sz w:val="24"/>
                <w:szCs w:val="24"/>
                <w:highlight w:val="none"/>
                <w:lang w:val="en-US" w:eastAsia="zh-CN"/>
              </w:rPr>
              <w:t>（5分）</w:t>
            </w:r>
          </w:p>
        </w:tc>
        <w:tc>
          <w:tcPr>
            <w:tcW w:w="6276" w:type="dxa"/>
            <w:tcBorders>
              <w:top w:val="single" w:color="auto" w:sz="4" w:space="0"/>
              <w:left w:val="nil"/>
              <w:right w:val="single" w:color="auto" w:sz="4" w:space="0"/>
            </w:tcBorders>
            <w:vAlign w:val="center"/>
          </w:tcPr>
          <w:p w14:paraId="288A7F02">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供应商需结合项目实际情况，制定进度计划方案， 包括资料收集、实地调查、报告编制、内部审核、报送备案或审批、配合取得主管部门意见等各阶段的详细时间安排、关键节点、与主管部门行政流程的衔接保障措施： </w:t>
            </w:r>
          </w:p>
          <w:p w14:paraId="5414EA0A">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 内容详实，分析深入，针对性强，完全满足采购 </w:t>
            </w:r>
          </w:p>
          <w:p w14:paraId="7324EDA3">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需求的，得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分； </w:t>
            </w:r>
          </w:p>
          <w:p w14:paraId="1CC6A86F">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 内容完整，针对性较强，可满足采购需求的，得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分； </w:t>
            </w:r>
          </w:p>
          <w:p w14:paraId="0137BE26">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③ 内容基本完整，但针对性一般的，得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p>
          <w:p w14:paraId="4281A1F1">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 缺项或内容严重不符的，得 0 分。</w:t>
            </w:r>
          </w:p>
        </w:tc>
      </w:tr>
      <w:tr w14:paraId="5A0B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4" w:hRule="atLeast"/>
          <w:jc w:val="center"/>
        </w:trPr>
        <w:tc>
          <w:tcPr>
            <w:tcW w:w="1326" w:type="dxa"/>
            <w:vMerge w:val="continue"/>
            <w:tcBorders>
              <w:left w:val="single" w:color="auto" w:sz="4" w:space="0"/>
              <w:right w:val="single" w:color="auto" w:sz="4" w:space="0"/>
            </w:tcBorders>
            <w:vAlign w:val="center"/>
          </w:tcPr>
          <w:p w14:paraId="3C1E106C">
            <w:pPr>
              <w:adjustRightInd w:val="0"/>
              <w:spacing w:line="360" w:lineRule="auto"/>
              <w:ind w:left="2" w:hanging="2" w:hangingChars="1"/>
              <w:jc w:val="both"/>
              <w:rPr>
                <w:rFonts w:hint="eastAsia" w:ascii="宋体" w:hAnsi="宋体" w:cs="宋体"/>
                <w:color w:val="auto"/>
                <w:kern w:val="2"/>
                <w:sz w:val="24"/>
                <w:szCs w:val="24"/>
                <w:highlight w:val="none"/>
              </w:rPr>
            </w:pPr>
          </w:p>
        </w:tc>
        <w:tc>
          <w:tcPr>
            <w:tcW w:w="1939" w:type="dxa"/>
            <w:tcBorders>
              <w:top w:val="single" w:color="auto" w:sz="4" w:space="0"/>
              <w:left w:val="single" w:color="auto" w:sz="4" w:space="0"/>
              <w:right w:val="single" w:color="auto" w:sz="4" w:space="0"/>
            </w:tcBorders>
            <w:vAlign w:val="center"/>
          </w:tcPr>
          <w:p w14:paraId="1C6F6DD6">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确保评价成果通过相关部门审查或审批 </w:t>
            </w:r>
            <w:r>
              <w:rPr>
                <w:rFonts w:hint="eastAsia" w:ascii="宋体" w:hAnsi="宋体" w:eastAsia="宋体" w:cs="宋体"/>
                <w:bCs/>
                <w:color w:val="auto"/>
                <w:kern w:val="2"/>
                <w:sz w:val="24"/>
                <w:szCs w:val="24"/>
                <w:highlight w:val="none"/>
                <w:lang w:val="en-US" w:eastAsia="zh-CN"/>
              </w:rPr>
              <w:t>（5分）</w:t>
            </w:r>
          </w:p>
          <w:p w14:paraId="569D7F62">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p>
          <w:p w14:paraId="3C57E27E">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p>
        </w:tc>
        <w:tc>
          <w:tcPr>
            <w:tcW w:w="6276" w:type="dxa"/>
            <w:tcBorders>
              <w:top w:val="single" w:color="auto" w:sz="4" w:space="0"/>
              <w:left w:val="nil"/>
              <w:right w:val="single" w:color="auto" w:sz="4" w:space="0"/>
            </w:tcBorders>
            <w:vAlign w:val="center"/>
          </w:tcPr>
          <w:p w14:paraId="62A4BF29">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根据供应商为确保《压覆矿产资源评估报告》顺利 通过主管部门审查备案所制定的具体措施、承诺及保障方案进行评分： </w:t>
            </w:r>
          </w:p>
          <w:p w14:paraId="0A7D3B69">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 内容详实，分析深入，针对性强，完全满足采购 </w:t>
            </w:r>
          </w:p>
          <w:p w14:paraId="4D135FC8">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需求的，得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分； </w:t>
            </w:r>
          </w:p>
          <w:p w14:paraId="37CED6C7">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 内容完整，针对性较强，可满足采购需求的，得 </w:t>
            </w:r>
          </w:p>
          <w:p w14:paraId="1842E15B">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的措施</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分； </w:t>
            </w:r>
          </w:p>
          <w:p w14:paraId="6806FFAF">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 内容基本完整，但针对性一般的，得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分； </w:t>
            </w:r>
          </w:p>
          <w:p w14:paraId="23D3858B">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 缺项或内容严重不符的，得 0 分。</w:t>
            </w:r>
          </w:p>
        </w:tc>
      </w:tr>
      <w:tr w14:paraId="2B68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4" w:hRule="atLeast"/>
          <w:jc w:val="center"/>
        </w:trPr>
        <w:tc>
          <w:tcPr>
            <w:tcW w:w="1326" w:type="dxa"/>
            <w:vMerge w:val="continue"/>
            <w:tcBorders>
              <w:left w:val="single" w:color="auto" w:sz="4" w:space="0"/>
              <w:right w:val="single" w:color="auto" w:sz="4" w:space="0"/>
            </w:tcBorders>
            <w:vAlign w:val="center"/>
          </w:tcPr>
          <w:p w14:paraId="089E0757">
            <w:pPr>
              <w:adjustRightInd w:val="0"/>
              <w:spacing w:line="360" w:lineRule="auto"/>
              <w:ind w:left="2" w:hanging="2" w:hangingChars="1"/>
              <w:jc w:val="both"/>
              <w:rPr>
                <w:rFonts w:hint="eastAsia" w:ascii="宋体" w:hAnsi="宋体" w:cs="宋体"/>
                <w:color w:val="auto"/>
                <w:kern w:val="2"/>
                <w:sz w:val="24"/>
                <w:szCs w:val="24"/>
                <w:highlight w:val="none"/>
              </w:rPr>
            </w:pPr>
          </w:p>
        </w:tc>
        <w:tc>
          <w:tcPr>
            <w:tcW w:w="1939" w:type="dxa"/>
            <w:tcBorders>
              <w:top w:val="single" w:color="auto" w:sz="4" w:space="0"/>
              <w:left w:val="single" w:color="auto" w:sz="4" w:space="0"/>
              <w:right w:val="single" w:color="auto" w:sz="4" w:space="0"/>
            </w:tcBorders>
            <w:vAlign w:val="center"/>
          </w:tcPr>
          <w:p w14:paraId="309B4523">
            <w:pPr>
              <w:widowControl w:val="0"/>
              <w:adjustRightInd w:val="0"/>
              <w:snapToGrid w:val="0"/>
              <w:spacing w:line="360" w:lineRule="auto"/>
              <w:jc w:val="center"/>
              <w:rPr>
                <w:rFonts w:hint="default" w:ascii="宋体" w:hAnsi="宋体" w:eastAsia="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7、拟投入的设施设备（5分）</w:t>
            </w:r>
          </w:p>
        </w:tc>
        <w:tc>
          <w:tcPr>
            <w:tcW w:w="6276" w:type="dxa"/>
            <w:tcBorders>
              <w:top w:val="single" w:color="auto" w:sz="4" w:space="0"/>
              <w:left w:val="nil"/>
              <w:right w:val="single" w:color="auto" w:sz="4" w:space="0"/>
            </w:tcBorders>
            <w:vAlign w:val="center"/>
          </w:tcPr>
          <w:p w14:paraId="203CD577">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供应商需说明拟为本项目投入的软硬件设施、专业软件、地质测绘与勘查设备、专业数据库资源等，并阐述其与压覆矿评估工作需求的适配性与保障作用： </w:t>
            </w:r>
          </w:p>
          <w:p w14:paraId="47B79DB1">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① 内容详实，分析深入，针对性强，完全满足采购 </w:t>
            </w:r>
          </w:p>
          <w:p w14:paraId="286D21FE">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需求的，得 5 分； </w:t>
            </w:r>
          </w:p>
          <w:p w14:paraId="15DBC688">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 内容完整，针对性较强，可满足采购需求的，得3 分； </w:t>
            </w:r>
          </w:p>
          <w:p w14:paraId="12694EA0">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③ 内容基本完整，但针对性一般的，得 1 分； </w:t>
            </w:r>
          </w:p>
          <w:p w14:paraId="099B8DC3">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 缺项或内容严重不符的，得 0 分。</w:t>
            </w:r>
          </w:p>
        </w:tc>
      </w:tr>
      <w:tr w14:paraId="2FF8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4" w:hRule="atLeast"/>
          <w:jc w:val="center"/>
        </w:trPr>
        <w:tc>
          <w:tcPr>
            <w:tcW w:w="1326" w:type="dxa"/>
            <w:vMerge w:val="continue"/>
            <w:tcBorders>
              <w:left w:val="single" w:color="auto" w:sz="4" w:space="0"/>
              <w:right w:val="single" w:color="auto" w:sz="4" w:space="0"/>
            </w:tcBorders>
            <w:vAlign w:val="center"/>
          </w:tcPr>
          <w:p w14:paraId="5D778F79">
            <w:pPr>
              <w:adjustRightInd w:val="0"/>
              <w:spacing w:line="360" w:lineRule="auto"/>
              <w:ind w:left="2" w:hanging="2" w:hangingChars="1"/>
              <w:jc w:val="both"/>
              <w:rPr>
                <w:rFonts w:hint="eastAsia" w:ascii="宋体" w:hAnsi="宋体" w:cs="宋体"/>
                <w:color w:val="auto"/>
                <w:kern w:val="2"/>
                <w:sz w:val="24"/>
                <w:szCs w:val="24"/>
                <w:highlight w:val="none"/>
              </w:rPr>
            </w:pPr>
          </w:p>
        </w:tc>
        <w:tc>
          <w:tcPr>
            <w:tcW w:w="1939" w:type="dxa"/>
            <w:tcBorders>
              <w:top w:val="single" w:color="auto" w:sz="4" w:space="0"/>
              <w:left w:val="single" w:color="auto" w:sz="4" w:space="0"/>
              <w:right w:val="single" w:color="auto" w:sz="4" w:space="0"/>
            </w:tcBorders>
            <w:vAlign w:val="center"/>
          </w:tcPr>
          <w:p w14:paraId="1169CCDF">
            <w:pPr>
              <w:widowControl w:val="0"/>
              <w:adjustRightInd w:val="0"/>
              <w:snapToGrid w:val="0"/>
              <w:spacing w:line="360" w:lineRule="auto"/>
              <w:jc w:val="center"/>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8、风险管控措施</w:t>
            </w:r>
          </w:p>
          <w:p w14:paraId="1BDA079A">
            <w:pPr>
              <w:widowControl w:val="0"/>
              <w:adjustRightInd w:val="0"/>
              <w:snapToGrid w:val="0"/>
              <w:spacing w:line="360" w:lineRule="auto"/>
              <w:jc w:val="center"/>
              <w:rPr>
                <w:rFonts w:hint="default"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（5分）</w:t>
            </w:r>
          </w:p>
        </w:tc>
        <w:tc>
          <w:tcPr>
            <w:tcW w:w="6276" w:type="dxa"/>
            <w:tcBorders>
              <w:top w:val="single" w:color="auto" w:sz="4" w:space="0"/>
              <w:left w:val="nil"/>
              <w:right w:val="single" w:color="auto" w:sz="4" w:space="0"/>
            </w:tcBorders>
            <w:vAlign w:val="center"/>
          </w:tcPr>
          <w:p w14:paraId="6D67E044">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针对资料缺失或不准风险、与矿业权人协调风险、 评估结论不确定性风险、政策合规风险、廉政风险等方面的管控措施： </w:t>
            </w:r>
          </w:p>
          <w:p w14:paraId="3F5885E0">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 内容详实，分析深入，针对性强，完全满足采购需求的，得5分；  </w:t>
            </w:r>
          </w:p>
          <w:p w14:paraId="716CEA70">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 内容完整，针对性较强，可满足采购需求的，得3 分； </w:t>
            </w:r>
          </w:p>
          <w:p w14:paraId="00E6EF6F">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③ 内容基本完整，但针对性一般的，得 1 分； </w:t>
            </w:r>
          </w:p>
          <w:p w14:paraId="2DF8F7FD">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 缺项或内容严重不符的，得 0 分。</w:t>
            </w:r>
          </w:p>
        </w:tc>
      </w:tr>
      <w:tr w14:paraId="37DF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4" w:hRule="atLeast"/>
          <w:jc w:val="center"/>
        </w:trPr>
        <w:tc>
          <w:tcPr>
            <w:tcW w:w="1326" w:type="dxa"/>
            <w:vMerge w:val="continue"/>
            <w:tcBorders>
              <w:left w:val="single" w:color="auto" w:sz="4" w:space="0"/>
              <w:right w:val="single" w:color="auto" w:sz="4" w:space="0"/>
            </w:tcBorders>
            <w:vAlign w:val="center"/>
          </w:tcPr>
          <w:p w14:paraId="19852A6B">
            <w:pPr>
              <w:adjustRightInd w:val="0"/>
              <w:spacing w:line="360" w:lineRule="auto"/>
              <w:ind w:left="2" w:hanging="2" w:hangingChars="1"/>
              <w:jc w:val="both"/>
              <w:rPr>
                <w:rFonts w:hint="eastAsia" w:ascii="宋体" w:hAnsi="宋体" w:cs="宋体"/>
                <w:color w:val="auto"/>
                <w:kern w:val="2"/>
                <w:sz w:val="24"/>
                <w:szCs w:val="24"/>
                <w:highlight w:val="none"/>
              </w:rPr>
            </w:pPr>
          </w:p>
        </w:tc>
        <w:tc>
          <w:tcPr>
            <w:tcW w:w="1939" w:type="dxa"/>
            <w:tcBorders>
              <w:top w:val="single" w:color="auto" w:sz="4" w:space="0"/>
              <w:left w:val="single" w:color="auto" w:sz="4" w:space="0"/>
              <w:right w:val="single" w:color="auto" w:sz="4" w:space="0"/>
            </w:tcBorders>
            <w:vAlign w:val="center"/>
          </w:tcPr>
          <w:p w14:paraId="1D2A9375">
            <w:pPr>
              <w:widowControl w:val="0"/>
              <w:adjustRightInd w:val="0"/>
              <w:snapToGrid w:val="0"/>
              <w:spacing w:line="360" w:lineRule="auto"/>
              <w:jc w:val="center"/>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9、保密及廉洁工作的措施、措施和方法</w:t>
            </w:r>
          </w:p>
          <w:p w14:paraId="21CA8CD1">
            <w:pPr>
              <w:widowControl w:val="0"/>
              <w:adjustRightInd w:val="0"/>
              <w:snapToGrid w:val="0"/>
              <w:spacing w:line="360" w:lineRule="auto"/>
              <w:jc w:val="center"/>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（5 分）</w:t>
            </w:r>
          </w:p>
          <w:p w14:paraId="64E11BDC">
            <w:pPr>
              <w:widowControl w:val="0"/>
              <w:adjustRightInd w:val="0"/>
              <w:snapToGrid w:val="0"/>
              <w:spacing w:line="360" w:lineRule="auto"/>
              <w:jc w:val="center"/>
              <w:rPr>
                <w:rFonts w:hint="default" w:ascii="宋体" w:hAnsi="宋体" w:eastAsia="宋体" w:cs="宋体"/>
                <w:bCs/>
                <w:color w:val="auto"/>
                <w:kern w:val="2"/>
                <w:sz w:val="24"/>
                <w:szCs w:val="24"/>
                <w:highlight w:val="none"/>
                <w:lang w:val="en-US" w:eastAsia="zh-CN"/>
              </w:rPr>
            </w:pPr>
          </w:p>
        </w:tc>
        <w:tc>
          <w:tcPr>
            <w:tcW w:w="6276" w:type="dxa"/>
            <w:tcBorders>
              <w:top w:val="single" w:color="auto" w:sz="4" w:space="0"/>
              <w:left w:val="nil"/>
              <w:right w:val="single" w:color="auto" w:sz="4" w:space="0"/>
            </w:tcBorders>
            <w:vAlign w:val="center"/>
          </w:tcPr>
          <w:p w14:paraId="7573A1A7">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针对项目信息、涉密地质资料、矿业权数据等的保密制度，以及项目人员廉洁自律的制度与措施： </w:t>
            </w:r>
          </w:p>
          <w:p w14:paraId="3FBB5E66">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 内容详实，分析深入，针对性强，完全满足采购需求的，得5分； </w:t>
            </w:r>
          </w:p>
          <w:p w14:paraId="77DF42F4">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 内容完整，针对性较强，可满足采购需求的，得3分； </w:t>
            </w:r>
          </w:p>
          <w:p w14:paraId="41152870">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③ 内容基本完整，但针对性一般的，得 1 分； </w:t>
            </w:r>
          </w:p>
          <w:p w14:paraId="1CBFABE2">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 缺项或内容严重不符的，得 0 分。</w:t>
            </w:r>
          </w:p>
        </w:tc>
      </w:tr>
      <w:tr w14:paraId="54D0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jc w:val="center"/>
        </w:trPr>
        <w:tc>
          <w:tcPr>
            <w:tcW w:w="1326" w:type="dxa"/>
            <w:vMerge w:val="continue"/>
            <w:tcBorders>
              <w:left w:val="single" w:color="auto" w:sz="4" w:space="0"/>
              <w:right w:val="single" w:color="auto" w:sz="4" w:space="0"/>
            </w:tcBorders>
            <w:vAlign w:val="center"/>
          </w:tcPr>
          <w:p w14:paraId="71F195C0">
            <w:pPr>
              <w:adjustRightInd w:val="0"/>
              <w:spacing w:line="360" w:lineRule="auto"/>
              <w:ind w:left="2" w:hanging="2" w:hangingChars="1"/>
              <w:jc w:val="both"/>
              <w:rPr>
                <w:rFonts w:hint="eastAsia" w:ascii="宋体" w:hAnsi="宋体" w:cs="宋体"/>
                <w:color w:val="auto"/>
                <w:kern w:val="2"/>
                <w:sz w:val="24"/>
                <w:szCs w:val="24"/>
                <w:highlight w:val="none"/>
              </w:rPr>
            </w:pPr>
          </w:p>
        </w:tc>
        <w:tc>
          <w:tcPr>
            <w:tcW w:w="1939" w:type="dxa"/>
            <w:tcBorders>
              <w:top w:val="single" w:color="auto" w:sz="4" w:space="0"/>
              <w:left w:val="single" w:color="auto" w:sz="4" w:space="0"/>
              <w:right w:val="single" w:color="auto" w:sz="4" w:space="0"/>
            </w:tcBorders>
            <w:shd w:val="clear" w:color="auto" w:fill="auto"/>
            <w:vAlign w:val="center"/>
          </w:tcPr>
          <w:p w14:paraId="5E3C3BE2">
            <w:pPr>
              <w:widowControl w:val="0"/>
              <w:adjustRightInd w:val="0"/>
              <w:snapToGrid w:val="0"/>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10.项目档案管 </w:t>
            </w:r>
          </w:p>
          <w:p w14:paraId="4D9106FF">
            <w:pPr>
              <w:widowControl w:val="0"/>
              <w:adjustRightInd w:val="0"/>
              <w:snapToGrid w:val="0"/>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理的工作内容、 </w:t>
            </w:r>
          </w:p>
          <w:p w14:paraId="42B72F0B">
            <w:pPr>
              <w:widowControl w:val="0"/>
              <w:adjustRightInd w:val="0"/>
              <w:snapToGrid w:val="0"/>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标准、措施和方 </w:t>
            </w:r>
          </w:p>
          <w:p w14:paraId="1CA561AF">
            <w:pPr>
              <w:widowControl w:val="0"/>
              <w:adjustRightInd w:val="0"/>
              <w:snapToGrid w:val="0"/>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法（5 分）</w:t>
            </w:r>
          </w:p>
          <w:p w14:paraId="7F27E1A0">
            <w:pPr>
              <w:widowControl w:val="0"/>
              <w:adjustRightInd w:val="0"/>
              <w:snapToGrid w:val="0"/>
              <w:spacing w:line="360" w:lineRule="auto"/>
              <w:jc w:val="center"/>
              <w:rPr>
                <w:rFonts w:hint="eastAsia" w:ascii="宋体" w:hAnsi="宋体" w:eastAsia="宋体" w:cs="宋体"/>
                <w:color w:val="auto"/>
                <w:sz w:val="24"/>
                <w:szCs w:val="24"/>
                <w:highlight w:val="none"/>
                <w:lang w:val="en-US" w:eastAsia="zh-CN" w:bidi="ar-SA"/>
              </w:rPr>
            </w:pPr>
          </w:p>
        </w:tc>
        <w:tc>
          <w:tcPr>
            <w:tcW w:w="6276" w:type="dxa"/>
            <w:tcBorders>
              <w:top w:val="single" w:color="auto" w:sz="4" w:space="0"/>
              <w:left w:val="nil"/>
              <w:right w:val="single" w:color="auto" w:sz="4" w:space="0"/>
            </w:tcBorders>
            <w:shd w:val="clear" w:color="auto" w:fill="auto"/>
            <w:vAlign w:val="center"/>
          </w:tcPr>
          <w:p w14:paraId="4492FCCB">
            <w:pPr>
              <w:numPr>
                <w:ilvl w:val="0"/>
                <w:numId w:val="0"/>
              </w:numPr>
              <w:bidi w:val="0"/>
              <w:spacing w:line="360" w:lineRule="auto"/>
              <w:ind w:left="0" w:leftChars="0" w:firstLine="0" w:firstLineChars="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针对收集的基础资料、调查记录、计算过程、报告各版本、评审意见（如有）、主管部门复函等全部档案的管理方案： </w:t>
            </w:r>
          </w:p>
          <w:p w14:paraId="470542A9">
            <w:pPr>
              <w:numPr>
                <w:ilvl w:val="0"/>
                <w:numId w:val="0"/>
              </w:numPr>
              <w:bidi w:val="0"/>
              <w:spacing w:line="360" w:lineRule="auto"/>
              <w:ind w:left="0" w:leftChars="0" w:firstLine="0" w:firstLineChars="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① 内容详实，分析深入，针对性强，完全满足采购需求的，得5分； </w:t>
            </w:r>
          </w:p>
          <w:p w14:paraId="6536EFE2">
            <w:pPr>
              <w:numPr>
                <w:ilvl w:val="0"/>
                <w:numId w:val="0"/>
              </w:numPr>
              <w:bidi w:val="0"/>
              <w:spacing w:line="360" w:lineRule="auto"/>
              <w:ind w:left="0" w:leftChars="0" w:firstLine="0" w:firstLineChars="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② 内容完整，针对性较强，可满足采购需求的，得3分； </w:t>
            </w:r>
          </w:p>
          <w:p w14:paraId="17D154EC">
            <w:pPr>
              <w:numPr>
                <w:ilvl w:val="0"/>
                <w:numId w:val="0"/>
              </w:numPr>
              <w:bidi w:val="0"/>
              <w:spacing w:line="360" w:lineRule="auto"/>
              <w:ind w:left="0" w:leftChars="0" w:firstLine="0" w:firstLineChars="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③ 内容基本完整，但针对性一般的，得1分； </w:t>
            </w:r>
          </w:p>
          <w:p w14:paraId="5F0FB1CB">
            <w:pPr>
              <w:numPr>
                <w:ilvl w:val="0"/>
                <w:numId w:val="0"/>
              </w:numPr>
              <w:bidi w:val="0"/>
              <w:spacing w:line="360" w:lineRule="auto"/>
              <w:ind w:left="0" w:leftChars="0" w:firstLine="0" w:firstLineChars="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④ 缺项或内容严重不符的，得0分。</w:t>
            </w:r>
          </w:p>
        </w:tc>
      </w:tr>
      <w:tr w14:paraId="62D6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6" w:type="dxa"/>
            <w:vMerge w:val="restart"/>
            <w:tcBorders>
              <w:left w:val="single" w:color="auto" w:sz="4" w:space="0"/>
              <w:right w:val="single" w:color="auto" w:sz="4" w:space="0"/>
            </w:tcBorders>
            <w:vAlign w:val="center"/>
          </w:tcPr>
          <w:p w14:paraId="53420CFA">
            <w:pPr>
              <w:adjustRightInd w:val="0"/>
              <w:spacing w:line="360" w:lineRule="auto"/>
              <w:ind w:left="2" w:hanging="2" w:hangingChars="1"/>
              <w:jc w:val="center"/>
              <w:rPr>
                <w:rFonts w:hint="eastAsia" w:ascii="宋体" w:hAnsi="宋体" w:cs="宋体"/>
                <w:color w:val="auto"/>
                <w:kern w:val="2"/>
                <w:sz w:val="24"/>
                <w:szCs w:val="24"/>
                <w:highlight w:val="none"/>
              </w:rPr>
            </w:pPr>
            <w:r>
              <w:rPr>
                <w:rFonts w:hint="eastAsia" w:ascii="宋体" w:hAnsi="宋体" w:cs="宋体"/>
                <w:bCs/>
                <w:color w:val="auto"/>
                <w:kern w:val="2"/>
                <w:sz w:val="24"/>
                <w:szCs w:val="24"/>
                <w:highlight w:val="none"/>
              </w:rPr>
              <w:t>综合部分（</w:t>
            </w:r>
            <w:r>
              <w:rPr>
                <w:rFonts w:hint="eastAsia" w:ascii="宋体" w:hAnsi="宋体" w:cs="宋体"/>
                <w:bCs/>
                <w:color w:val="auto"/>
                <w:kern w:val="2"/>
                <w:sz w:val="24"/>
                <w:szCs w:val="24"/>
                <w:highlight w:val="none"/>
                <w:lang w:val="en-US" w:eastAsia="zh-CN"/>
              </w:rPr>
              <w:t>25</w:t>
            </w:r>
            <w:r>
              <w:rPr>
                <w:rFonts w:hint="eastAsia" w:ascii="宋体" w:hAnsi="宋体" w:cs="宋体"/>
                <w:bCs/>
                <w:color w:val="auto"/>
                <w:kern w:val="2"/>
                <w:sz w:val="24"/>
                <w:szCs w:val="24"/>
                <w:highlight w:val="none"/>
              </w:rPr>
              <w:t>分）</w:t>
            </w:r>
          </w:p>
        </w:tc>
        <w:tc>
          <w:tcPr>
            <w:tcW w:w="1939" w:type="dxa"/>
            <w:tcBorders>
              <w:top w:val="single" w:color="auto" w:sz="4" w:space="0"/>
              <w:left w:val="single" w:color="auto" w:sz="4" w:space="0"/>
              <w:right w:val="single" w:color="auto" w:sz="4" w:space="0"/>
            </w:tcBorders>
            <w:vAlign w:val="center"/>
          </w:tcPr>
          <w:p w14:paraId="27F8ACF6">
            <w:pPr>
              <w:widowControl w:val="0"/>
              <w:adjustRightInd w:val="0"/>
              <w:snapToGrid w:val="0"/>
              <w:spacing w:line="360" w:lineRule="auto"/>
              <w:jc w:val="center"/>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企业业绩</w:t>
            </w:r>
          </w:p>
          <w:p w14:paraId="0A10208D">
            <w:pPr>
              <w:widowControl w:val="0"/>
              <w:adjustRightInd w:val="0"/>
              <w:snapToGrid w:val="0"/>
              <w:spacing w:line="360" w:lineRule="auto"/>
              <w:jc w:val="center"/>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w:t>
            </w:r>
            <w:r>
              <w:rPr>
                <w:rFonts w:hint="eastAsia" w:ascii="宋体" w:hAnsi="宋体" w:cs="宋体"/>
                <w:bCs/>
                <w:color w:val="auto"/>
                <w:kern w:val="2"/>
                <w:sz w:val="24"/>
                <w:szCs w:val="24"/>
                <w:highlight w:val="none"/>
                <w:lang w:val="en-US" w:eastAsia="zh-CN"/>
              </w:rPr>
              <w:t>10</w:t>
            </w:r>
            <w:r>
              <w:rPr>
                <w:rFonts w:hint="eastAsia" w:ascii="宋体" w:hAnsi="宋体" w:cs="宋体"/>
                <w:bCs/>
                <w:color w:val="auto"/>
                <w:kern w:val="2"/>
                <w:sz w:val="24"/>
                <w:szCs w:val="24"/>
                <w:highlight w:val="none"/>
              </w:rPr>
              <w:t>分）</w:t>
            </w:r>
          </w:p>
        </w:tc>
        <w:tc>
          <w:tcPr>
            <w:tcW w:w="6276" w:type="dxa"/>
            <w:tcBorders>
              <w:top w:val="single" w:color="auto" w:sz="4" w:space="0"/>
              <w:left w:val="nil"/>
              <w:right w:val="single" w:color="auto" w:sz="4" w:space="0"/>
            </w:tcBorders>
            <w:vAlign w:val="center"/>
          </w:tcPr>
          <w:p w14:paraId="29ED2628">
            <w:pPr>
              <w:widowControl w:val="0"/>
              <w:adjustRightInd w:val="0"/>
              <w:snapToGrid w:val="0"/>
              <w:spacing w:line="360" w:lineRule="auto"/>
              <w:jc w:val="both"/>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202</w:t>
            </w:r>
            <w:r>
              <w:rPr>
                <w:rFonts w:hint="eastAsia" w:ascii="宋体" w:hAnsi="宋体" w:cs="宋体"/>
                <w:bCs/>
                <w:color w:val="auto"/>
                <w:kern w:val="2"/>
                <w:sz w:val="24"/>
                <w:szCs w:val="24"/>
                <w:highlight w:val="none"/>
                <w:lang w:val="en-US" w:eastAsia="zh-CN"/>
              </w:rPr>
              <w:t>3</w:t>
            </w:r>
            <w:r>
              <w:rPr>
                <w:rFonts w:hint="eastAsia" w:ascii="宋体" w:hAnsi="宋体" w:cs="宋体"/>
                <w:bCs/>
                <w:color w:val="auto"/>
                <w:kern w:val="2"/>
                <w:sz w:val="24"/>
                <w:szCs w:val="24"/>
                <w:highlight w:val="none"/>
              </w:rPr>
              <w:t>年1月1日以来，供应商具有类似项目业绩的</w:t>
            </w:r>
            <w:r>
              <w:rPr>
                <w:rFonts w:hint="eastAsia" w:ascii="宋体" w:hAnsi="宋体" w:cs="宋体"/>
                <w:bCs/>
                <w:color w:val="auto"/>
                <w:kern w:val="2"/>
                <w:sz w:val="24"/>
                <w:szCs w:val="24"/>
                <w:highlight w:val="none"/>
                <w:lang w:eastAsia="zh-CN"/>
              </w:rPr>
              <w:t>（</w:t>
            </w:r>
            <w:r>
              <w:rPr>
                <w:rFonts w:hint="eastAsia" w:ascii="宋体" w:hAnsi="宋体" w:cs="宋体"/>
                <w:bCs/>
                <w:color w:val="auto"/>
                <w:kern w:val="2"/>
                <w:sz w:val="24"/>
                <w:szCs w:val="24"/>
                <w:highlight w:val="none"/>
              </w:rPr>
              <w:t>以合同为准)，每提供一项得</w:t>
            </w:r>
            <w:r>
              <w:rPr>
                <w:rFonts w:hint="eastAsia" w:ascii="宋体" w:hAnsi="宋体" w:cs="宋体"/>
                <w:bCs/>
                <w:color w:val="auto"/>
                <w:kern w:val="2"/>
                <w:sz w:val="24"/>
                <w:szCs w:val="24"/>
                <w:highlight w:val="none"/>
                <w:lang w:val="en-US" w:eastAsia="zh-CN"/>
              </w:rPr>
              <w:t>2</w:t>
            </w:r>
            <w:r>
              <w:rPr>
                <w:rFonts w:hint="eastAsia" w:ascii="宋体" w:hAnsi="宋体" w:cs="宋体"/>
                <w:bCs/>
                <w:color w:val="auto"/>
                <w:kern w:val="2"/>
                <w:sz w:val="24"/>
                <w:szCs w:val="24"/>
                <w:highlight w:val="none"/>
              </w:rPr>
              <w:t>分，最高</w:t>
            </w:r>
            <w:r>
              <w:rPr>
                <w:rFonts w:hint="eastAsia" w:ascii="宋体" w:hAnsi="宋体" w:cs="宋体"/>
                <w:bCs/>
                <w:color w:val="auto"/>
                <w:kern w:val="2"/>
                <w:sz w:val="24"/>
                <w:szCs w:val="24"/>
                <w:highlight w:val="none"/>
                <w:lang w:val="en-US" w:eastAsia="zh-CN"/>
              </w:rPr>
              <w:t>得10</w:t>
            </w:r>
            <w:r>
              <w:rPr>
                <w:rFonts w:hint="eastAsia" w:ascii="宋体" w:hAnsi="宋体" w:cs="宋体"/>
                <w:bCs/>
                <w:color w:val="auto"/>
                <w:kern w:val="2"/>
                <w:sz w:val="24"/>
                <w:szCs w:val="24"/>
                <w:highlight w:val="none"/>
              </w:rPr>
              <w:t>分。</w:t>
            </w:r>
            <w:bookmarkStart w:id="154" w:name="_GoBack"/>
            <w:bookmarkEnd w:id="154"/>
          </w:p>
          <w:p w14:paraId="2BF4A126">
            <w:pPr>
              <w:widowControl w:val="0"/>
              <w:adjustRightInd w:val="0"/>
              <w:snapToGrid w:val="0"/>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cs="宋体"/>
                <w:bCs/>
                <w:color w:val="auto"/>
                <w:kern w:val="2"/>
                <w:sz w:val="24"/>
                <w:szCs w:val="24"/>
                <w:highlight w:val="none"/>
                <w:lang w:eastAsia="zh-CN"/>
              </w:rPr>
              <w:t>（业绩</w:t>
            </w:r>
            <w:r>
              <w:rPr>
                <w:rFonts w:hint="eastAsia" w:ascii="宋体" w:hAnsi="宋体" w:cs="宋体"/>
                <w:bCs/>
                <w:color w:val="auto"/>
                <w:kern w:val="2"/>
                <w:sz w:val="24"/>
                <w:szCs w:val="24"/>
                <w:highlight w:val="none"/>
              </w:rPr>
              <w:t>须提供合同原件扫描件，否则不得分</w:t>
            </w:r>
            <w:r>
              <w:rPr>
                <w:rFonts w:hint="eastAsia" w:ascii="宋体" w:hAnsi="宋体" w:cs="宋体"/>
                <w:bCs/>
                <w:color w:val="auto"/>
                <w:kern w:val="2"/>
                <w:sz w:val="24"/>
                <w:szCs w:val="24"/>
                <w:highlight w:val="none"/>
                <w:lang w:eastAsia="zh-CN"/>
              </w:rPr>
              <w:t>）</w:t>
            </w:r>
          </w:p>
        </w:tc>
      </w:tr>
      <w:tr w14:paraId="5972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26" w:type="dxa"/>
            <w:vMerge w:val="continue"/>
            <w:tcBorders>
              <w:left w:val="single" w:color="auto" w:sz="4" w:space="0"/>
              <w:right w:val="single" w:color="auto" w:sz="4" w:space="0"/>
            </w:tcBorders>
            <w:vAlign w:val="center"/>
          </w:tcPr>
          <w:p w14:paraId="0D1590F5">
            <w:pPr>
              <w:adjustRightInd w:val="0"/>
              <w:spacing w:line="360" w:lineRule="auto"/>
              <w:ind w:left="2" w:hanging="2" w:hangingChars="1"/>
              <w:jc w:val="both"/>
              <w:rPr>
                <w:rFonts w:hint="eastAsia" w:ascii="宋体" w:hAnsi="宋体" w:cs="宋体"/>
                <w:color w:val="auto"/>
                <w:kern w:val="2"/>
                <w:sz w:val="24"/>
                <w:szCs w:val="24"/>
                <w:highlight w:val="none"/>
              </w:rPr>
            </w:pPr>
          </w:p>
        </w:tc>
        <w:tc>
          <w:tcPr>
            <w:tcW w:w="1939" w:type="dxa"/>
            <w:tcBorders>
              <w:top w:val="single" w:color="auto" w:sz="4" w:space="0"/>
              <w:left w:val="single" w:color="auto" w:sz="4" w:space="0"/>
              <w:right w:val="single" w:color="auto" w:sz="4" w:space="0"/>
            </w:tcBorders>
            <w:shd w:val="clear" w:color="auto" w:fill="auto"/>
            <w:vAlign w:val="center"/>
          </w:tcPr>
          <w:p w14:paraId="43D730EA">
            <w:pPr>
              <w:widowControl w:val="0"/>
              <w:adjustRightInd w:val="0"/>
              <w:snapToGrid w:val="0"/>
              <w:spacing w:line="360" w:lineRule="auto"/>
              <w:jc w:val="center"/>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服务承诺</w:t>
            </w:r>
          </w:p>
          <w:p w14:paraId="201B1358">
            <w:pPr>
              <w:widowControl w:val="0"/>
              <w:adjustRightInd w:val="0"/>
              <w:snapToGrid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rPr>
              <w:t>（</w:t>
            </w:r>
            <w:r>
              <w:rPr>
                <w:rFonts w:hint="eastAsia" w:ascii="宋体" w:hAnsi="宋体" w:cs="宋体"/>
                <w:bCs/>
                <w:color w:val="auto"/>
                <w:kern w:val="2"/>
                <w:sz w:val="24"/>
                <w:szCs w:val="24"/>
                <w:highlight w:val="none"/>
                <w:lang w:val="en-US" w:eastAsia="zh-CN"/>
              </w:rPr>
              <w:t>10</w:t>
            </w:r>
            <w:r>
              <w:rPr>
                <w:rFonts w:hint="eastAsia" w:ascii="宋体" w:hAnsi="宋体" w:cs="宋体"/>
                <w:bCs/>
                <w:color w:val="auto"/>
                <w:kern w:val="2"/>
                <w:sz w:val="24"/>
                <w:szCs w:val="24"/>
                <w:highlight w:val="none"/>
              </w:rPr>
              <w:t>分）</w:t>
            </w:r>
          </w:p>
        </w:tc>
        <w:tc>
          <w:tcPr>
            <w:tcW w:w="6276" w:type="dxa"/>
            <w:tcBorders>
              <w:top w:val="single" w:color="auto" w:sz="4" w:space="0"/>
              <w:left w:val="nil"/>
              <w:right w:val="single" w:color="auto" w:sz="4" w:space="0"/>
            </w:tcBorders>
            <w:shd w:val="clear" w:color="auto" w:fill="auto"/>
            <w:vAlign w:val="center"/>
          </w:tcPr>
          <w:p w14:paraId="22AB40C2">
            <w:pPr>
              <w:widowControl w:val="0"/>
              <w:numPr>
                <w:ilvl w:val="0"/>
                <w:numId w:val="0"/>
              </w:numPr>
              <w:adjustRightInd w:val="0"/>
              <w:snapToGrid w:val="0"/>
              <w:spacing w:line="360" w:lineRule="auto"/>
              <w:ind w:left="0" w:leftChars="0"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全过程服务与配合承诺（</w:t>
            </w:r>
            <w:r>
              <w:rPr>
                <w:rFonts w:hint="eastAsia" w:ascii="宋体" w:hAnsi="宋体" w:cs="宋体"/>
                <w:b/>
                <w:bCs w:val="0"/>
                <w:color w:val="auto"/>
                <w:kern w:val="2"/>
                <w:sz w:val="24"/>
                <w:szCs w:val="24"/>
                <w:highlight w:val="none"/>
                <w:lang w:val="en-US" w:eastAsia="zh-CN" w:bidi="ar-SA"/>
              </w:rPr>
              <w:t>5</w:t>
            </w:r>
            <w:r>
              <w:rPr>
                <w:rFonts w:hint="eastAsia" w:ascii="宋体" w:hAnsi="宋体" w:eastAsia="宋体" w:cs="宋体"/>
                <w:b/>
                <w:bCs w:val="0"/>
                <w:color w:val="auto"/>
                <w:kern w:val="2"/>
                <w:sz w:val="24"/>
                <w:szCs w:val="24"/>
                <w:highlight w:val="none"/>
                <w:lang w:val="en-US" w:eastAsia="zh-CN" w:bidi="ar-SA"/>
              </w:rPr>
              <w:t>分）</w:t>
            </w:r>
            <w:r>
              <w:rPr>
                <w:rFonts w:hint="eastAsia" w:ascii="宋体" w:hAnsi="宋体" w:eastAsia="宋体" w:cs="宋体"/>
                <w:bCs/>
                <w:color w:val="auto"/>
                <w:kern w:val="2"/>
                <w:sz w:val="24"/>
                <w:szCs w:val="24"/>
                <w:highlight w:val="none"/>
                <w:lang w:val="en-US" w:eastAsia="zh-CN" w:bidi="ar-SA"/>
              </w:rPr>
              <w:t xml:space="preserve"> </w:t>
            </w:r>
          </w:p>
          <w:p w14:paraId="74F6E62F">
            <w:pPr>
              <w:widowControl w:val="0"/>
              <w:numPr>
                <w:ilvl w:val="0"/>
                <w:numId w:val="0"/>
              </w:numPr>
              <w:adjustRightInd w:val="0"/>
              <w:snapToGrid w:val="0"/>
              <w:spacing w:line="360" w:lineRule="auto"/>
              <w:ind w:left="0" w:leftChars="0"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①承诺内容完善，积极主动配合采购人工作，有具体服务及排忧解难措施，服从安排，能按时保质完成服务的，得</w:t>
            </w:r>
            <w:r>
              <w:rPr>
                <w:rFonts w:hint="eastAsia" w:ascii="宋体" w:hAnsi="宋体" w:cs="宋体"/>
                <w:bCs/>
                <w:color w:val="auto"/>
                <w:kern w:val="2"/>
                <w:sz w:val="24"/>
                <w:szCs w:val="24"/>
                <w:highlight w:val="none"/>
                <w:lang w:val="en-US" w:eastAsia="zh-CN" w:bidi="ar-SA"/>
              </w:rPr>
              <w:t>5</w:t>
            </w:r>
            <w:r>
              <w:rPr>
                <w:rFonts w:hint="eastAsia" w:ascii="宋体" w:hAnsi="宋体" w:eastAsia="宋体" w:cs="宋体"/>
                <w:bCs/>
                <w:color w:val="auto"/>
                <w:kern w:val="2"/>
                <w:sz w:val="24"/>
                <w:szCs w:val="24"/>
                <w:highlight w:val="none"/>
                <w:lang w:val="en-US" w:eastAsia="zh-CN" w:bidi="ar-SA"/>
              </w:rPr>
              <w:t xml:space="preserve"> 分； </w:t>
            </w:r>
          </w:p>
          <w:p w14:paraId="52182252">
            <w:pPr>
              <w:widowControl w:val="0"/>
              <w:numPr>
                <w:ilvl w:val="0"/>
                <w:numId w:val="0"/>
              </w:numPr>
              <w:adjustRightInd w:val="0"/>
              <w:snapToGrid w:val="0"/>
              <w:spacing w:line="360" w:lineRule="auto"/>
              <w:ind w:left="0" w:leftChars="0"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②承诺内容相对完善，能配合采购人工作，服从安排，能解决一般问题的，得</w:t>
            </w:r>
            <w:r>
              <w:rPr>
                <w:rFonts w:hint="eastAsia" w:ascii="宋体" w:hAnsi="宋体" w:cs="宋体"/>
                <w:bCs/>
                <w:color w:val="auto"/>
                <w:kern w:val="2"/>
                <w:sz w:val="24"/>
                <w:szCs w:val="24"/>
                <w:highlight w:val="none"/>
                <w:lang w:val="en-US" w:eastAsia="zh-CN" w:bidi="ar-SA"/>
              </w:rPr>
              <w:t>3</w:t>
            </w:r>
            <w:r>
              <w:rPr>
                <w:rFonts w:hint="eastAsia" w:ascii="宋体" w:hAnsi="宋体" w:eastAsia="宋体" w:cs="宋体"/>
                <w:bCs/>
                <w:color w:val="auto"/>
                <w:kern w:val="2"/>
                <w:sz w:val="24"/>
                <w:szCs w:val="24"/>
                <w:highlight w:val="none"/>
                <w:lang w:val="en-US" w:eastAsia="zh-CN" w:bidi="ar-SA"/>
              </w:rPr>
              <w:t xml:space="preserve">分； </w:t>
            </w:r>
          </w:p>
          <w:p w14:paraId="18EF7999">
            <w:pPr>
              <w:widowControl w:val="0"/>
              <w:numPr>
                <w:ilvl w:val="0"/>
                <w:numId w:val="0"/>
              </w:numPr>
              <w:adjustRightInd w:val="0"/>
              <w:snapToGrid w:val="0"/>
              <w:spacing w:line="360" w:lineRule="auto"/>
              <w:ind w:left="0" w:leftChars="0"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③ 承诺内容基本完善，能够配合工作的，得1分； </w:t>
            </w:r>
          </w:p>
          <w:p w14:paraId="7DFEAABF">
            <w:pPr>
              <w:widowControl w:val="0"/>
              <w:numPr>
                <w:ilvl w:val="0"/>
                <w:numId w:val="0"/>
              </w:numPr>
              <w:adjustRightInd w:val="0"/>
              <w:snapToGrid w:val="0"/>
              <w:spacing w:line="360" w:lineRule="auto"/>
              <w:ind w:left="0" w:leftChars="0"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④缺项或无承诺的，得0分。</w:t>
            </w:r>
          </w:p>
          <w:p w14:paraId="49CB0F2E">
            <w:pPr>
              <w:widowControl w:val="0"/>
              <w:numPr>
                <w:ilvl w:val="0"/>
                <w:numId w:val="0"/>
              </w:numPr>
              <w:adjustRightInd w:val="0"/>
              <w:snapToGrid w:val="0"/>
              <w:spacing w:line="360" w:lineRule="auto"/>
              <w:ind w:left="0" w:leftChars="0" w:firstLine="0" w:firstLineChars="0"/>
              <w:jc w:val="both"/>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项目团队投入与保障承诺（</w:t>
            </w:r>
            <w:r>
              <w:rPr>
                <w:rFonts w:hint="eastAsia" w:ascii="宋体" w:hAnsi="宋体" w:cs="宋体"/>
                <w:b/>
                <w:bCs w:val="0"/>
                <w:color w:val="auto"/>
                <w:kern w:val="2"/>
                <w:sz w:val="24"/>
                <w:szCs w:val="24"/>
                <w:highlight w:val="none"/>
                <w:lang w:val="en-US" w:eastAsia="zh-CN" w:bidi="ar-SA"/>
              </w:rPr>
              <w:t>5</w:t>
            </w:r>
            <w:r>
              <w:rPr>
                <w:rFonts w:hint="eastAsia" w:ascii="宋体" w:hAnsi="宋体" w:eastAsia="宋体" w:cs="宋体"/>
                <w:b/>
                <w:bCs w:val="0"/>
                <w:color w:val="auto"/>
                <w:kern w:val="2"/>
                <w:sz w:val="24"/>
                <w:szCs w:val="24"/>
                <w:highlight w:val="none"/>
                <w:lang w:val="en-US" w:eastAsia="zh-CN" w:bidi="ar-SA"/>
              </w:rPr>
              <w:t xml:space="preserve">分） </w:t>
            </w:r>
          </w:p>
          <w:p w14:paraId="60687765">
            <w:pPr>
              <w:widowControl w:val="0"/>
              <w:numPr>
                <w:ilvl w:val="0"/>
                <w:numId w:val="0"/>
              </w:numPr>
              <w:adjustRightInd w:val="0"/>
              <w:snapToGrid w:val="0"/>
              <w:spacing w:line="360" w:lineRule="auto"/>
              <w:ind w:left="0" w:leftChars="0"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① 承诺项目负责人及关键人员按需到场服务，提供合法有效、责任明确的书面保障承诺，对人员更换 、技术措施落实及落实不到位的处理均有具体、可行方案的，得</w:t>
            </w:r>
            <w:r>
              <w:rPr>
                <w:rFonts w:hint="eastAsia" w:ascii="宋体" w:hAnsi="宋体" w:cs="宋体"/>
                <w:bCs/>
                <w:color w:val="auto"/>
                <w:kern w:val="2"/>
                <w:sz w:val="24"/>
                <w:szCs w:val="24"/>
                <w:highlight w:val="none"/>
                <w:lang w:val="en-US" w:eastAsia="zh-CN" w:bidi="ar-SA"/>
              </w:rPr>
              <w:t>5</w:t>
            </w:r>
            <w:r>
              <w:rPr>
                <w:rFonts w:hint="eastAsia" w:ascii="宋体" w:hAnsi="宋体" w:eastAsia="宋体" w:cs="宋体"/>
                <w:bCs/>
                <w:color w:val="auto"/>
                <w:kern w:val="2"/>
                <w:sz w:val="24"/>
                <w:szCs w:val="24"/>
                <w:highlight w:val="none"/>
                <w:lang w:val="en-US" w:eastAsia="zh-CN" w:bidi="ar-SA"/>
              </w:rPr>
              <w:t xml:space="preserve">分； </w:t>
            </w:r>
          </w:p>
          <w:p w14:paraId="2E4951F3">
            <w:pPr>
              <w:widowControl w:val="0"/>
              <w:numPr>
                <w:ilvl w:val="0"/>
                <w:numId w:val="0"/>
              </w:numPr>
              <w:adjustRightInd w:val="0"/>
              <w:snapToGrid w:val="0"/>
              <w:spacing w:line="360" w:lineRule="auto"/>
              <w:ind w:left="0" w:leftChars="0"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②承诺基本涵盖人员到场及履职要求，但处理机制和保障措施较为简单的，得</w:t>
            </w:r>
            <w:r>
              <w:rPr>
                <w:rFonts w:hint="eastAsia" w:ascii="宋体" w:hAnsi="宋体" w:cs="宋体"/>
                <w:bCs/>
                <w:color w:val="auto"/>
                <w:kern w:val="2"/>
                <w:sz w:val="24"/>
                <w:szCs w:val="24"/>
                <w:highlight w:val="none"/>
                <w:lang w:val="en-US" w:eastAsia="zh-CN" w:bidi="ar-SA"/>
              </w:rPr>
              <w:t>3</w:t>
            </w:r>
            <w:r>
              <w:rPr>
                <w:rFonts w:hint="eastAsia" w:ascii="宋体" w:hAnsi="宋体" w:eastAsia="宋体" w:cs="宋体"/>
                <w:bCs/>
                <w:color w:val="auto"/>
                <w:kern w:val="2"/>
                <w:sz w:val="24"/>
                <w:szCs w:val="24"/>
                <w:highlight w:val="none"/>
                <w:lang w:val="en-US" w:eastAsia="zh-CN" w:bidi="ar-SA"/>
              </w:rPr>
              <w:t xml:space="preserve">分； </w:t>
            </w:r>
          </w:p>
          <w:p w14:paraId="4DB357F7">
            <w:pPr>
              <w:widowControl w:val="0"/>
              <w:numPr>
                <w:ilvl w:val="0"/>
                <w:numId w:val="0"/>
              </w:numPr>
              <w:adjustRightInd w:val="0"/>
              <w:snapToGrid w:val="0"/>
              <w:spacing w:line="360" w:lineRule="auto"/>
              <w:ind w:left="0" w:leftChars="0"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③承诺内容笼统，未明确具体措施或处理机制的， 得1分； </w:t>
            </w:r>
          </w:p>
          <w:p w14:paraId="12366366">
            <w:pPr>
              <w:widowControl w:val="0"/>
              <w:numPr>
                <w:ilvl w:val="0"/>
                <w:numId w:val="0"/>
              </w:numPr>
              <w:adjustRightInd w:val="0"/>
              <w:snapToGrid w:val="0"/>
              <w:spacing w:line="360" w:lineRule="auto"/>
              <w:ind w:left="0" w:leftChars="0"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④ 缺项或无承诺的，得0分。</w:t>
            </w:r>
          </w:p>
        </w:tc>
      </w:tr>
      <w:tr w14:paraId="72FB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6" w:type="dxa"/>
            <w:vMerge w:val="continue"/>
            <w:tcBorders>
              <w:left w:val="single" w:color="auto" w:sz="4" w:space="0"/>
              <w:right w:val="single" w:color="auto" w:sz="4" w:space="0"/>
            </w:tcBorders>
            <w:vAlign w:val="center"/>
          </w:tcPr>
          <w:p w14:paraId="18D737C5">
            <w:pPr>
              <w:adjustRightInd w:val="0"/>
              <w:spacing w:line="360" w:lineRule="auto"/>
              <w:ind w:left="2" w:hanging="2" w:hangingChars="1"/>
              <w:jc w:val="both"/>
              <w:rPr>
                <w:rFonts w:hint="eastAsia" w:ascii="宋体" w:hAnsi="宋体" w:cs="宋体"/>
                <w:color w:val="auto"/>
                <w:kern w:val="2"/>
                <w:sz w:val="24"/>
                <w:szCs w:val="24"/>
                <w:highlight w:val="none"/>
              </w:rPr>
            </w:pPr>
          </w:p>
        </w:tc>
        <w:tc>
          <w:tcPr>
            <w:tcW w:w="1939" w:type="dxa"/>
            <w:tcBorders>
              <w:top w:val="single" w:color="auto" w:sz="4" w:space="0"/>
              <w:left w:val="single" w:color="auto" w:sz="4" w:space="0"/>
              <w:right w:val="single" w:color="auto" w:sz="4" w:space="0"/>
            </w:tcBorders>
            <w:vAlign w:val="center"/>
          </w:tcPr>
          <w:p w14:paraId="708CC63F">
            <w:pPr>
              <w:widowControl w:val="0"/>
              <w:adjustRightInd w:val="0"/>
              <w:snapToGrid w:val="0"/>
              <w:spacing w:line="360" w:lineRule="auto"/>
              <w:jc w:val="center"/>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项目团队实力</w:t>
            </w:r>
          </w:p>
          <w:p w14:paraId="3C3A18A0">
            <w:pPr>
              <w:widowControl w:val="0"/>
              <w:adjustRightInd w:val="0"/>
              <w:snapToGrid w:val="0"/>
              <w:spacing w:line="360" w:lineRule="auto"/>
              <w:jc w:val="center"/>
              <w:rPr>
                <w:rFonts w:hint="default" w:ascii="宋体" w:hAnsi="宋体" w:eastAsia="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（5分）</w:t>
            </w:r>
          </w:p>
        </w:tc>
        <w:tc>
          <w:tcPr>
            <w:tcW w:w="6276" w:type="dxa"/>
            <w:tcBorders>
              <w:top w:val="single" w:color="auto" w:sz="4" w:space="0"/>
              <w:left w:val="nil"/>
              <w:right w:val="single" w:color="auto" w:sz="4" w:space="0"/>
            </w:tcBorders>
            <w:vAlign w:val="center"/>
          </w:tcPr>
          <w:p w14:paraId="541E7C8C">
            <w:pPr>
              <w:widowControl w:val="0"/>
              <w:numPr>
                <w:ilvl w:val="0"/>
                <w:numId w:val="0"/>
              </w:numPr>
              <w:adjustRightInd w:val="0"/>
              <w:snapToGrid w:val="0"/>
              <w:spacing w:line="360" w:lineRule="auto"/>
              <w:ind w:left="0" w:leftChars="0" w:firstLine="0" w:firstLineChars="0"/>
              <w:jc w:val="both"/>
              <w:rPr>
                <w:rFonts w:hint="eastAsia" w:ascii="宋体" w:hAnsi="宋体" w:cs="宋体"/>
                <w:bCs/>
                <w:color w:val="auto"/>
                <w:kern w:val="2"/>
                <w:sz w:val="24"/>
                <w:szCs w:val="24"/>
                <w:highlight w:val="none"/>
                <w:lang w:eastAsia="zh-CN"/>
              </w:rPr>
            </w:pPr>
            <w:r>
              <w:rPr>
                <w:rFonts w:hint="eastAsia" w:ascii="宋体" w:hAnsi="宋体" w:cs="宋体"/>
                <w:bCs/>
                <w:color w:val="auto"/>
                <w:kern w:val="2"/>
                <w:sz w:val="24"/>
                <w:szCs w:val="24"/>
                <w:highlight w:val="none"/>
                <w:lang w:val="en-US" w:eastAsia="zh-CN"/>
              </w:rPr>
              <w:t xml:space="preserve">拟派的项目组成员（除项目负责人以外），具有地质水工环、 区域地质、岩土工程勘察、地质测量等相关专业中级及以上职称的，每具有一个证书得1分，最多得5分。 </w:t>
            </w:r>
          </w:p>
          <w:p w14:paraId="4CA50369">
            <w:pPr>
              <w:widowControl w:val="0"/>
              <w:numPr>
                <w:ilvl w:val="0"/>
                <w:numId w:val="0"/>
              </w:numPr>
              <w:adjustRightInd w:val="0"/>
              <w:snapToGrid w:val="0"/>
              <w:spacing w:line="360" w:lineRule="auto"/>
              <w:ind w:left="0" w:leftChars="0" w:firstLine="0" w:firstLineChars="0"/>
              <w:jc w:val="both"/>
              <w:rPr>
                <w:rFonts w:hint="eastAsia" w:ascii="宋体" w:hAnsi="宋体" w:cs="宋体"/>
                <w:bCs/>
                <w:color w:val="auto"/>
                <w:kern w:val="2"/>
                <w:sz w:val="24"/>
                <w:szCs w:val="24"/>
                <w:highlight w:val="none"/>
                <w:lang w:eastAsia="zh-CN"/>
              </w:rPr>
            </w:pPr>
            <w:r>
              <w:rPr>
                <w:rFonts w:hint="eastAsia" w:ascii="宋体" w:hAnsi="宋体" w:cs="宋体"/>
                <w:bCs/>
                <w:color w:val="auto"/>
                <w:kern w:val="2"/>
                <w:sz w:val="24"/>
                <w:szCs w:val="24"/>
                <w:highlight w:val="none"/>
                <w:lang w:val="en-US" w:eastAsia="zh-CN"/>
              </w:rPr>
              <w:t>注：以上人员需提供职称证书扫描件，劳动合同或2026年 1月份以来任意一个月的社保证明。</w:t>
            </w:r>
          </w:p>
        </w:tc>
      </w:tr>
      <w:tr w14:paraId="5366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1" w:type="dxa"/>
            <w:gridSpan w:val="3"/>
            <w:tcBorders>
              <w:left w:val="single" w:color="auto" w:sz="4" w:space="0"/>
              <w:right w:val="single" w:color="auto" w:sz="4" w:space="0"/>
            </w:tcBorders>
            <w:vAlign w:val="center"/>
          </w:tcPr>
          <w:p w14:paraId="27E50473">
            <w:pPr>
              <w:widowControl w:val="0"/>
              <w:adjustRightInd w:val="0"/>
              <w:snapToGrid w:val="0"/>
              <w:spacing w:line="360" w:lineRule="auto"/>
              <w:jc w:val="both"/>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注：评审中资格审查、评审打分以响应文件中原件扫描件为准且必须内容齐全、真实有效、清晰可辨。响应性文件的内容真实性由供应商自行承担。</w:t>
            </w:r>
          </w:p>
          <w:p w14:paraId="7DAA1274">
            <w:pPr>
              <w:widowControl w:val="0"/>
              <w:adjustRightInd w:val="0"/>
              <w:snapToGrid w:val="0"/>
              <w:spacing w:line="360" w:lineRule="auto"/>
              <w:jc w:val="both"/>
              <w:rPr>
                <w:rFonts w:hint="eastAsia" w:ascii="宋体" w:hAnsi="宋体" w:cs="宋体"/>
                <w:bCs/>
                <w:color w:val="auto"/>
                <w:kern w:val="2"/>
                <w:sz w:val="24"/>
                <w:szCs w:val="24"/>
                <w:highlight w:val="none"/>
                <w:lang w:val="en-US" w:eastAsia="zh-CN"/>
              </w:rPr>
            </w:pPr>
            <w:r>
              <w:rPr>
                <w:rFonts w:hint="eastAsia" w:ascii="宋体" w:hAnsi="宋体" w:cs="宋体"/>
                <w:bCs/>
                <w:color w:val="auto"/>
                <w:sz w:val="24"/>
                <w:szCs w:val="24"/>
                <w:highlight w:val="none"/>
              </w:rPr>
              <w:t>1</w:t>
            </w:r>
            <w:r>
              <w:rPr>
                <w:rFonts w:hint="eastAsia" w:ascii="宋体" w:hAnsi="宋体" w:cs="宋体"/>
                <w:bCs/>
                <w:color w:val="auto"/>
                <w:kern w:val="2"/>
                <w:sz w:val="24"/>
                <w:szCs w:val="24"/>
                <w:highlight w:val="none"/>
                <w:lang w:eastAsia="zh-CN"/>
              </w:rPr>
              <w:t>、</w:t>
            </w:r>
            <w:r>
              <w:rPr>
                <w:rFonts w:hint="eastAsia" w:ascii="宋体" w:hAnsi="宋体" w:cs="宋体"/>
                <w:bCs/>
                <w:color w:val="auto"/>
                <w:kern w:val="2"/>
                <w:sz w:val="24"/>
                <w:szCs w:val="24"/>
                <w:highlight w:val="none"/>
                <w:lang w:val="en-US" w:eastAsia="zh-CN"/>
              </w:rPr>
              <w:t>评审中出现下列情形之一的，评标委员会可以启动异常低价投标（响应）审查程序：</w:t>
            </w:r>
          </w:p>
          <w:p w14:paraId="595CC0DB">
            <w:pPr>
              <w:widowControl w:val="0"/>
              <w:adjustRightInd w:val="0"/>
              <w:snapToGrid w:val="0"/>
              <w:spacing w:line="360" w:lineRule="auto"/>
              <w:jc w:val="both"/>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1.投标（响应）报价低于全部通过符合性审查供应商投标（响应）报价平均值 50%的，即投标（响应）报价＜全部通过符合性审查供应商投标（响应）报价平均值×50%；</w:t>
            </w:r>
          </w:p>
          <w:p w14:paraId="060190C0">
            <w:pPr>
              <w:widowControl w:val="0"/>
              <w:adjustRightInd w:val="0"/>
              <w:snapToGrid w:val="0"/>
              <w:spacing w:line="360" w:lineRule="auto"/>
              <w:jc w:val="both"/>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2.投标（响应）报价低于通过符合性审查且报价次低供应商投标（响应）报价 50%的，即投标（响应）报价＜通过符合性审查且报价次低供应商投标（响应）报价×50%；</w:t>
            </w:r>
          </w:p>
          <w:p w14:paraId="54B36FD0">
            <w:pPr>
              <w:widowControl w:val="0"/>
              <w:adjustRightInd w:val="0"/>
              <w:snapToGrid w:val="0"/>
              <w:spacing w:line="360" w:lineRule="auto"/>
              <w:jc w:val="both"/>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3.投标（响应）报价低于采购项目最高限价 45%的，即投标（响应）报价＜采购项目最高限价×45%；</w:t>
            </w:r>
          </w:p>
          <w:p w14:paraId="4E737230">
            <w:pPr>
              <w:widowControl w:val="0"/>
              <w:adjustRightInd w:val="0"/>
              <w:snapToGrid w:val="0"/>
              <w:spacing w:line="360" w:lineRule="auto"/>
              <w:jc w:val="both"/>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4.评审委员会基于专业判断，认为供应商报价过低，有可能影响产品质量或者不能诚信履约的其他情形。</w:t>
            </w:r>
          </w:p>
          <w:p w14:paraId="3853EC9E">
            <w:pPr>
              <w:widowControl w:val="0"/>
              <w:adjustRightInd w:val="0"/>
              <w:snapToGrid w:val="0"/>
              <w:spacing w:line="360" w:lineRule="auto"/>
              <w:jc w:val="both"/>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hint="eastAsia" w:ascii="宋体" w:hAnsi="宋体" w:cs="宋体"/>
                <w:bCs/>
                <w:color w:val="auto"/>
                <w:kern w:val="2"/>
                <w:sz w:val="24"/>
                <w:szCs w:val="24"/>
                <w:highlight w:val="none"/>
                <w:lang w:val="en-US" w:eastAsia="zh-CN"/>
              </w:rPr>
              <w:t>。</w:t>
            </w:r>
          </w:p>
          <w:p w14:paraId="17E870F8">
            <w:pPr>
              <w:widowControl w:val="0"/>
              <w:adjustRightInd w:val="0"/>
              <w:snapToGrid w:val="0"/>
              <w:spacing w:line="360" w:lineRule="auto"/>
              <w:jc w:val="both"/>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B428E9E">
            <w:pPr>
              <w:adjustRightInd w:val="0"/>
              <w:spacing w:line="360" w:lineRule="auto"/>
              <w:ind w:left="2" w:hanging="2" w:hangingChars="1"/>
              <w:jc w:val="both"/>
              <w:rPr>
                <w:rFonts w:hint="eastAsia" w:ascii="宋体" w:hAnsi="宋体" w:cs="宋体"/>
                <w:color w:val="auto"/>
                <w:sz w:val="24"/>
                <w:szCs w:val="24"/>
                <w:highlight w:val="none"/>
              </w:rPr>
            </w:pPr>
            <w:r>
              <w:rPr>
                <w:rFonts w:hint="eastAsia" w:ascii="宋体" w:hAnsi="宋体" w:cs="宋体"/>
                <w:bCs/>
                <w:color w:val="auto"/>
                <w:kern w:val="2"/>
                <w:sz w:val="24"/>
                <w:szCs w:val="24"/>
                <w:highlight w:val="none"/>
              </w:rPr>
              <w:t>2、评标开始后，不再接受任何补充材料。</w:t>
            </w:r>
          </w:p>
        </w:tc>
      </w:tr>
    </w:tbl>
    <w:p w14:paraId="1A70C484">
      <w:pPr>
        <w:pStyle w:val="12"/>
        <w:spacing w:line="360" w:lineRule="auto"/>
        <w:ind w:left="0" w:leftChars="0" w:firstLine="0" w:firstLineChars="0"/>
        <w:jc w:val="both"/>
        <w:rPr>
          <w:rFonts w:hint="eastAsia" w:ascii="宋体" w:hAnsi="宋体" w:cs="宋体"/>
          <w:b/>
          <w:bCs/>
          <w:color w:val="auto"/>
          <w:sz w:val="24"/>
          <w:szCs w:val="24"/>
          <w:highlight w:val="none"/>
        </w:rPr>
      </w:pPr>
    </w:p>
    <w:p w14:paraId="2A062E2C">
      <w:pPr>
        <w:pStyle w:val="2"/>
        <w:bidi w:val="0"/>
        <w:jc w:val="center"/>
        <w:rPr>
          <w:rFonts w:hint="eastAsia" w:asciiTheme="minorEastAsia" w:hAnsiTheme="minorEastAsia"/>
          <w:b/>
          <w:color w:val="auto"/>
          <w:szCs w:val="36"/>
          <w:highlight w:val="none"/>
        </w:rPr>
      </w:pPr>
      <w:bookmarkStart w:id="99" w:name="_Toc453139656"/>
      <w:bookmarkEnd w:id="99"/>
      <w:bookmarkStart w:id="100" w:name="_Toc12980"/>
      <w:r>
        <w:rPr>
          <w:rFonts w:ascii="宋体" w:hAnsi="宋体" w:cs="宋体"/>
          <w:b/>
          <w:color w:val="auto"/>
          <w:kern w:val="2"/>
          <w:szCs w:val="28"/>
          <w:highlight w:val="none"/>
        </w:rPr>
        <w:br w:type="page"/>
      </w:r>
      <w:bookmarkEnd w:id="100"/>
      <w:bookmarkStart w:id="101" w:name="_Toc8685"/>
      <w:bookmarkStart w:id="102" w:name="_Toc25646"/>
      <w:bookmarkStart w:id="103" w:name="_Toc50"/>
      <w:bookmarkStart w:id="104" w:name="_Toc17112"/>
      <w:r>
        <w:rPr>
          <w:rFonts w:hint="eastAsia"/>
          <w:color w:val="auto"/>
          <w:sz w:val="36"/>
          <w:szCs w:val="36"/>
          <w:highlight w:val="none"/>
        </w:rPr>
        <w:t>第六章</w:t>
      </w:r>
      <w:r>
        <w:rPr>
          <w:rFonts w:hint="eastAsia"/>
          <w:color w:val="auto"/>
          <w:sz w:val="36"/>
          <w:szCs w:val="36"/>
          <w:highlight w:val="none"/>
          <w:lang w:val="en-US" w:eastAsia="zh-CN"/>
        </w:rPr>
        <w:t xml:space="preserve">  </w:t>
      </w:r>
      <w:r>
        <w:rPr>
          <w:rFonts w:hint="eastAsia"/>
          <w:color w:val="auto"/>
          <w:sz w:val="36"/>
          <w:szCs w:val="36"/>
          <w:highlight w:val="none"/>
        </w:rPr>
        <w:t>响应文件格式</w:t>
      </w:r>
      <w:bookmarkEnd w:id="101"/>
      <w:bookmarkEnd w:id="102"/>
      <w:bookmarkEnd w:id="103"/>
      <w:bookmarkEnd w:id="104"/>
    </w:p>
    <w:p w14:paraId="4A262247">
      <w:pPr>
        <w:jc w:val="center"/>
        <w:rPr>
          <w:rFonts w:hint="eastAsia" w:cs="宋体" w:asciiTheme="minorEastAsia" w:hAnsiTheme="minorEastAsia"/>
          <w:b/>
          <w:color w:val="auto"/>
          <w:sz w:val="28"/>
          <w:szCs w:val="28"/>
          <w:highlight w:val="none"/>
        </w:rPr>
      </w:pPr>
    </w:p>
    <w:p w14:paraId="33FDE4E5">
      <w:pPr>
        <w:ind w:firstLine="480"/>
        <w:rPr>
          <w:rFonts w:ascii="Calibri" w:hAnsi="Calibri"/>
          <w:color w:val="auto"/>
          <w:highlight w:val="none"/>
        </w:rPr>
      </w:pPr>
    </w:p>
    <w:p w14:paraId="2E42FCA2">
      <w:pPr>
        <w:jc w:val="center"/>
        <w:rPr>
          <w:rFonts w:hint="eastAsia" w:cs="宋体" w:asciiTheme="minorEastAsia" w:hAnsiTheme="minorEastAsia"/>
          <w:b/>
          <w:color w:val="auto"/>
          <w:sz w:val="28"/>
          <w:szCs w:val="28"/>
          <w:highlight w:val="none"/>
          <w:u w:val="single"/>
        </w:rPr>
      </w:pPr>
    </w:p>
    <w:p w14:paraId="5AE2ABB7">
      <w:pPr>
        <w:jc w:val="center"/>
        <w:rPr>
          <w:rFonts w:hint="eastAsia" w:cs="宋体" w:asciiTheme="minorEastAsia" w:hAnsiTheme="minorEastAsia" w:eastAsiaTheme="minorEastAsia"/>
          <w:b/>
          <w:color w:val="auto"/>
          <w:sz w:val="44"/>
          <w:szCs w:val="44"/>
          <w:highlight w:val="none"/>
          <w:lang w:eastAsia="zh-CN"/>
        </w:rPr>
      </w:pPr>
      <w:r>
        <w:rPr>
          <w:rFonts w:hint="eastAsia" w:cs="宋体" w:asciiTheme="minorEastAsia" w:hAnsiTheme="minorEastAsia" w:eastAsiaTheme="minorEastAsia"/>
          <w:b/>
          <w:bCs/>
          <w:color w:val="auto"/>
          <w:sz w:val="44"/>
          <w:szCs w:val="44"/>
          <w:highlight w:val="none"/>
          <w:lang w:eastAsia="zh-CN"/>
        </w:rPr>
        <w:t>渑池县公路局S243线渑池白浪至渑陕界段改建工程压覆矿产资源报告编制项目</w:t>
      </w:r>
    </w:p>
    <w:p w14:paraId="44E275A7">
      <w:pPr>
        <w:jc w:val="center"/>
        <w:rPr>
          <w:rFonts w:hint="eastAsia" w:cs="宋体" w:asciiTheme="minorEastAsia" w:hAnsiTheme="minorEastAsia"/>
          <w:b/>
          <w:color w:val="auto"/>
          <w:sz w:val="28"/>
          <w:szCs w:val="28"/>
          <w:highlight w:val="none"/>
        </w:rPr>
      </w:pPr>
    </w:p>
    <w:p w14:paraId="3EC87045">
      <w:pPr>
        <w:jc w:val="center"/>
        <w:rPr>
          <w:rFonts w:hint="eastAsia" w:asciiTheme="minorEastAsia" w:hAnsiTheme="minorEastAsia"/>
          <w:b/>
          <w:bCs/>
          <w:color w:val="auto"/>
          <w:sz w:val="72"/>
          <w:szCs w:val="72"/>
          <w:highlight w:val="none"/>
        </w:rPr>
      </w:pPr>
    </w:p>
    <w:p w14:paraId="2A87D06C">
      <w:pPr>
        <w:jc w:val="center"/>
        <w:rPr>
          <w:rFonts w:hint="eastAsia" w:asciiTheme="minorEastAsia" w:hAnsiTheme="minorEastAsia"/>
          <w:color w:val="auto"/>
          <w:highlight w:val="none"/>
        </w:rPr>
      </w:pPr>
      <w:r>
        <w:rPr>
          <w:rFonts w:hint="eastAsia" w:asciiTheme="minorEastAsia" w:hAnsiTheme="minorEastAsia"/>
          <w:b/>
          <w:bCs/>
          <w:color w:val="auto"/>
          <w:sz w:val="72"/>
          <w:szCs w:val="72"/>
          <w:highlight w:val="none"/>
        </w:rPr>
        <w:t>响 应 文 件</w:t>
      </w:r>
      <w:bookmarkStart w:id="105" w:name="_Toc171073207"/>
      <w:bookmarkEnd w:id="105"/>
      <w:bookmarkStart w:id="106" w:name="_Toc171073042"/>
      <w:bookmarkEnd w:id="106"/>
      <w:bookmarkStart w:id="107" w:name="_Toc223432387"/>
      <w:bookmarkEnd w:id="107"/>
      <w:bookmarkStart w:id="108" w:name="_Toc169921407"/>
      <w:bookmarkEnd w:id="108"/>
    </w:p>
    <w:p w14:paraId="37539268">
      <w:pPr>
        <w:jc w:val="center"/>
        <w:rPr>
          <w:rFonts w:hint="eastAsia" w:asciiTheme="minorEastAsia" w:hAnsiTheme="minorEastAsia"/>
          <w:color w:val="auto"/>
          <w:highlight w:val="none"/>
        </w:rPr>
      </w:pPr>
    </w:p>
    <w:p w14:paraId="1C246B16">
      <w:pPr>
        <w:jc w:val="center"/>
        <w:rPr>
          <w:rFonts w:hint="default" w:eastAsia="宋体" w:asciiTheme="minorEastAsia" w:hAnsiTheme="minorEastAsia"/>
          <w:color w:val="auto"/>
          <w:sz w:val="32"/>
          <w:szCs w:val="32"/>
          <w:highlight w:val="none"/>
          <w:lang w:val="en-US" w:eastAsia="zh-CN"/>
        </w:rPr>
      </w:pPr>
      <w:r>
        <w:rPr>
          <w:rFonts w:hint="eastAsia" w:asciiTheme="minorEastAsia" w:hAnsiTheme="minorEastAsia"/>
          <w:color w:val="auto"/>
          <w:sz w:val="32"/>
          <w:szCs w:val="32"/>
          <w:highlight w:val="none"/>
          <w:lang w:val="en-US" w:eastAsia="zh-CN"/>
        </w:rPr>
        <w:t>项目编号：</w:t>
      </w:r>
    </w:p>
    <w:p w14:paraId="3C2CF386">
      <w:pPr>
        <w:jc w:val="center"/>
        <w:rPr>
          <w:rFonts w:hint="eastAsia" w:asciiTheme="minorEastAsia" w:hAnsiTheme="minorEastAsia"/>
          <w:color w:val="auto"/>
          <w:highlight w:val="none"/>
        </w:rPr>
      </w:pPr>
    </w:p>
    <w:p w14:paraId="23872EED">
      <w:pPr>
        <w:spacing w:line="660" w:lineRule="auto"/>
        <w:rPr>
          <w:rFonts w:hint="eastAsia" w:asciiTheme="minorEastAsia" w:hAnsiTheme="minorEastAsia"/>
          <w:color w:val="auto"/>
          <w:sz w:val="27"/>
          <w:szCs w:val="27"/>
          <w:highlight w:val="none"/>
        </w:rPr>
      </w:pPr>
    </w:p>
    <w:p w14:paraId="14200C5F">
      <w:pPr>
        <w:spacing w:line="480" w:lineRule="auto"/>
        <w:ind w:firstLine="1090"/>
        <w:rPr>
          <w:rFonts w:hint="eastAsia" w:asciiTheme="minorEastAsia" w:hAnsiTheme="minorEastAsia"/>
          <w:color w:val="auto"/>
          <w:sz w:val="28"/>
          <w:szCs w:val="28"/>
          <w:highlight w:val="none"/>
        </w:rPr>
      </w:pPr>
    </w:p>
    <w:p w14:paraId="2C875CEC">
      <w:pPr>
        <w:spacing w:line="480" w:lineRule="auto"/>
        <w:ind w:firstLine="1090"/>
        <w:rPr>
          <w:rFonts w:hint="eastAsia" w:asciiTheme="minorEastAsia" w:hAnsiTheme="minorEastAsia"/>
          <w:color w:val="auto"/>
          <w:sz w:val="28"/>
          <w:szCs w:val="28"/>
          <w:highlight w:val="none"/>
        </w:rPr>
      </w:pPr>
    </w:p>
    <w:p w14:paraId="60049D5A">
      <w:pPr>
        <w:spacing w:line="480" w:lineRule="auto"/>
        <w:ind w:firstLine="1090"/>
        <w:rPr>
          <w:rFonts w:hint="eastAsia" w:asciiTheme="minorEastAsia" w:hAnsiTheme="minorEastAsia"/>
          <w:color w:val="auto"/>
          <w:sz w:val="28"/>
          <w:szCs w:val="28"/>
          <w:highlight w:val="none"/>
        </w:rPr>
      </w:pPr>
    </w:p>
    <w:p w14:paraId="2C157ACF">
      <w:pPr>
        <w:jc w:val="center"/>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供应商名称：（签章）</w:t>
      </w:r>
    </w:p>
    <w:p w14:paraId="4F152D5E">
      <w:pPr>
        <w:jc w:val="center"/>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    法定代表人：（</w:t>
      </w:r>
      <w:r>
        <w:rPr>
          <w:rFonts w:hint="eastAsia" w:asciiTheme="minorEastAsia" w:hAnsiTheme="minorEastAsia"/>
          <w:bCs/>
          <w:color w:val="auto"/>
          <w:sz w:val="28"/>
          <w:szCs w:val="28"/>
          <w:highlight w:val="none"/>
        </w:rPr>
        <w:t>电子签章</w:t>
      </w:r>
      <w:r>
        <w:rPr>
          <w:rFonts w:hint="eastAsia" w:asciiTheme="minorEastAsia" w:hAnsiTheme="minorEastAsia"/>
          <w:color w:val="auto"/>
          <w:sz w:val="28"/>
          <w:szCs w:val="28"/>
          <w:highlight w:val="none"/>
        </w:rPr>
        <w:t>）</w:t>
      </w:r>
    </w:p>
    <w:p w14:paraId="7A7A44A3">
      <w:pPr>
        <w:spacing w:line="360" w:lineRule="auto"/>
        <w:jc w:val="center"/>
        <w:rPr>
          <w:rFonts w:hint="eastAsia" w:asciiTheme="minorEastAsia" w:hAnsiTheme="minorEastAsia"/>
          <w:b/>
          <w:color w:val="auto"/>
          <w:sz w:val="28"/>
          <w:szCs w:val="28"/>
          <w:highlight w:val="none"/>
        </w:rPr>
      </w:pPr>
      <w:r>
        <w:rPr>
          <w:rFonts w:hint="eastAsia" w:asciiTheme="minorEastAsia" w:hAnsiTheme="minorEastAsia"/>
          <w:color w:val="auto"/>
          <w:sz w:val="28"/>
          <w:szCs w:val="28"/>
          <w:highlight w:val="none"/>
          <w:lang w:val="en-US" w:eastAsia="zh-CN"/>
        </w:rPr>
        <w:t xml:space="preserve"> </w:t>
      </w:r>
      <w:r>
        <w:rPr>
          <w:rFonts w:hint="eastAsia" w:asciiTheme="minorEastAsia" w:hAnsiTheme="minorEastAsia"/>
          <w:color w:val="auto"/>
          <w:sz w:val="28"/>
          <w:szCs w:val="28"/>
          <w:highlight w:val="none"/>
        </w:rPr>
        <w:t>日期：   年   月   日</w:t>
      </w:r>
    </w:p>
    <w:p w14:paraId="3FA82B15">
      <w:pPr>
        <w:spacing w:line="480" w:lineRule="auto"/>
        <w:ind w:firstLine="480"/>
        <w:jc w:val="center"/>
        <w:rPr>
          <w:rFonts w:hint="eastAsia" w:asciiTheme="minorEastAsia" w:hAnsiTheme="minorEastAsia"/>
          <w:b/>
          <w:color w:val="auto"/>
          <w:sz w:val="28"/>
          <w:szCs w:val="28"/>
          <w:highlight w:val="none"/>
        </w:rPr>
      </w:pPr>
    </w:p>
    <w:p w14:paraId="3189A6DC">
      <w:pPr>
        <w:ind w:firstLine="480"/>
        <w:rPr>
          <w:rFonts w:ascii="Calibri" w:hAnsi="Calibri"/>
          <w:color w:val="auto"/>
          <w:highlight w:val="none"/>
        </w:rPr>
      </w:pPr>
    </w:p>
    <w:p w14:paraId="7FF62AA6">
      <w:pPr>
        <w:rPr>
          <w:rFonts w:hint="eastAsia" w:asciiTheme="minorEastAsia" w:hAnsiTheme="minorEastAsia"/>
          <w:b/>
          <w:color w:val="auto"/>
          <w:sz w:val="28"/>
          <w:szCs w:val="28"/>
          <w:highlight w:val="none"/>
        </w:rPr>
      </w:pPr>
    </w:p>
    <w:p w14:paraId="34691285">
      <w:pPr>
        <w:shd w:val="clear" w:color="auto" w:fill="FFFFFF"/>
        <w:tabs>
          <w:tab w:val="right" w:pos="6077"/>
        </w:tabs>
        <w:autoSpaceDE w:val="0"/>
        <w:autoSpaceDN w:val="0"/>
        <w:spacing w:line="360" w:lineRule="auto"/>
        <w:jc w:val="center"/>
        <w:rPr>
          <w:rFonts w:hint="eastAsia" w:ascii="宋体" w:hAnsi="宋体" w:cs="宋体"/>
          <w:color w:val="auto"/>
          <w:sz w:val="36"/>
          <w:szCs w:val="36"/>
          <w:highlight w:val="none"/>
        </w:rPr>
      </w:pPr>
      <w:bookmarkStart w:id="109" w:name="_Toc23593"/>
      <w:bookmarkStart w:id="110" w:name="_Toc11379"/>
    </w:p>
    <w:p w14:paraId="21BC3E6C">
      <w:pPr>
        <w:shd w:val="clear" w:color="auto" w:fill="FFFFFF"/>
        <w:tabs>
          <w:tab w:val="right" w:pos="6077"/>
        </w:tabs>
        <w:autoSpaceDE w:val="0"/>
        <w:autoSpaceDN w:val="0"/>
        <w:spacing w:line="360" w:lineRule="auto"/>
        <w:jc w:val="center"/>
        <w:rPr>
          <w:rFonts w:ascii="宋体" w:cs="宋体"/>
          <w:color w:val="auto"/>
          <w:sz w:val="36"/>
          <w:szCs w:val="36"/>
          <w:highlight w:val="none"/>
        </w:rPr>
      </w:pPr>
      <w:r>
        <w:rPr>
          <w:rFonts w:hint="eastAsia" w:ascii="宋体" w:hAnsi="宋体" w:cs="宋体"/>
          <w:color w:val="auto"/>
          <w:sz w:val="36"/>
          <w:szCs w:val="36"/>
          <w:highlight w:val="none"/>
        </w:rPr>
        <w:t>目</w:t>
      </w:r>
      <w:r>
        <w:rPr>
          <w:rFonts w:hint="eastAsia" w:ascii="宋体" w:hAnsi="宋体" w:cs="宋体"/>
          <w:color w:val="auto"/>
          <w:sz w:val="36"/>
          <w:szCs w:val="36"/>
          <w:highlight w:val="none"/>
          <w:lang w:val="en-US" w:eastAsia="zh-CN"/>
        </w:rPr>
        <w:t xml:space="preserve"> </w:t>
      </w:r>
      <w:r>
        <w:rPr>
          <w:rFonts w:hint="eastAsia" w:ascii="宋体" w:hAnsi="宋体" w:cs="宋体"/>
          <w:color w:val="auto"/>
          <w:sz w:val="36"/>
          <w:szCs w:val="36"/>
          <w:highlight w:val="none"/>
        </w:rPr>
        <w:t>录</w:t>
      </w:r>
    </w:p>
    <w:p w14:paraId="77C01221">
      <w:pPr>
        <w:numPr>
          <w:ilvl w:val="2"/>
          <w:numId w:val="0"/>
        </w:numPr>
        <w:wordWrap w:val="0"/>
        <w:topLinePunct/>
        <w:spacing w:line="500" w:lineRule="exact"/>
        <w:ind w:left="-140" w:leftChars="0" w:firstLine="56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法定代表人身份证明书</w:t>
      </w:r>
    </w:p>
    <w:p w14:paraId="53F5939B">
      <w:pPr>
        <w:numPr>
          <w:ilvl w:val="2"/>
          <w:numId w:val="0"/>
        </w:numPr>
        <w:wordWrap w:val="0"/>
        <w:topLinePunct/>
        <w:spacing w:line="500" w:lineRule="exact"/>
        <w:ind w:left="-140" w:leftChars="0" w:firstLine="56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磋商函</w:t>
      </w:r>
    </w:p>
    <w:p w14:paraId="7B3D4E06">
      <w:pPr>
        <w:numPr>
          <w:ilvl w:val="2"/>
          <w:numId w:val="0"/>
        </w:numPr>
        <w:wordWrap w:val="0"/>
        <w:topLinePunct/>
        <w:spacing w:line="500" w:lineRule="exact"/>
        <w:ind w:left="-140" w:leftChars="0" w:firstLine="56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、磋商函附录</w:t>
      </w:r>
    </w:p>
    <w:p w14:paraId="42103BF9">
      <w:pPr>
        <w:numPr>
          <w:ilvl w:val="2"/>
          <w:numId w:val="0"/>
        </w:numPr>
        <w:wordWrap w:val="0"/>
        <w:topLinePunct/>
        <w:spacing w:line="500" w:lineRule="exact"/>
        <w:ind w:left="-140" w:leftChars="0" w:firstLine="56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、响应供应商基本情况表</w:t>
      </w:r>
    </w:p>
    <w:p w14:paraId="6A73B809">
      <w:pPr>
        <w:numPr>
          <w:ilvl w:val="2"/>
          <w:numId w:val="0"/>
        </w:numPr>
        <w:wordWrap w:val="0"/>
        <w:topLinePunct/>
        <w:spacing w:line="500" w:lineRule="exact"/>
        <w:ind w:left="-140" w:leftChars="0" w:firstLine="56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供应商做过的类似项目业绩</w:t>
      </w:r>
    </w:p>
    <w:p w14:paraId="01145C24">
      <w:pPr>
        <w:numPr>
          <w:ilvl w:val="2"/>
          <w:numId w:val="0"/>
        </w:numPr>
        <w:wordWrap w:val="0"/>
        <w:topLinePunct/>
        <w:spacing w:line="500" w:lineRule="exact"/>
        <w:ind w:left="-140" w:leftChars="0" w:firstLine="56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六、拟投入本项目主要人员情况汇总表</w:t>
      </w:r>
    </w:p>
    <w:p w14:paraId="25EC20EC">
      <w:pPr>
        <w:numPr>
          <w:ilvl w:val="2"/>
          <w:numId w:val="0"/>
        </w:numPr>
        <w:wordWrap w:val="0"/>
        <w:topLinePunct/>
        <w:spacing w:line="500" w:lineRule="exact"/>
        <w:ind w:left="-140" w:leftChars="0" w:firstLine="56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七、技术部分</w:t>
      </w:r>
    </w:p>
    <w:p w14:paraId="2EFC6C32">
      <w:pPr>
        <w:numPr>
          <w:ilvl w:val="2"/>
          <w:numId w:val="0"/>
        </w:numPr>
        <w:wordWrap w:val="0"/>
        <w:topLinePunct/>
        <w:spacing w:line="500" w:lineRule="exact"/>
        <w:ind w:left="-140" w:leftChars="0" w:firstLine="56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八、投标供应商资格声明函</w:t>
      </w:r>
    </w:p>
    <w:p w14:paraId="6445D952">
      <w:pPr>
        <w:numPr>
          <w:ilvl w:val="2"/>
          <w:numId w:val="0"/>
        </w:numPr>
        <w:wordWrap w:val="0"/>
        <w:topLinePunct/>
        <w:spacing w:line="500" w:lineRule="exact"/>
        <w:ind w:left="-140" w:leftChars="0" w:firstLine="56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九、资格要求证明文件</w:t>
      </w:r>
    </w:p>
    <w:p w14:paraId="2CF5E724">
      <w:pPr>
        <w:numPr>
          <w:ilvl w:val="2"/>
          <w:numId w:val="0"/>
        </w:numPr>
        <w:wordWrap w:val="0"/>
        <w:topLinePunct/>
        <w:spacing w:line="500" w:lineRule="exact"/>
        <w:ind w:left="-140" w:leftChars="0" w:firstLine="560" w:firstLineChars="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十、其他资料</w:t>
      </w:r>
    </w:p>
    <w:p w14:paraId="68FBB2FC">
      <w:pPr>
        <w:shd w:val="clear" w:color="auto" w:fill="FFFFFF"/>
        <w:autoSpaceDE w:val="0"/>
        <w:autoSpaceDN w:val="0"/>
        <w:spacing w:line="360" w:lineRule="auto"/>
        <w:ind w:right="600" w:firstLine="200"/>
        <w:rPr>
          <w:rFonts w:hint="eastAsia" w:ascii="宋体" w:hAnsi="宋体" w:cs="宋体"/>
          <w:bCs/>
          <w:color w:val="auto"/>
          <w:sz w:val="24"/>
          <w:highlight w:val="none"/>
        </w:rPr>
      </w:pPr>
    </w:p>
    <w:p w14:paraId="3D816B34">
      <w:pPr>
        <w:rPr>
          <w:rFonts w:hint="eastAsia" w:asciiTheme="minorEastAsia" w:hAnsiTheme="minorEastAsia"/>
          <w:b/>
          <w:color w:val="auto"/>
          <w:sz w:val="28"/>
          <w:szCs w:val="28"/>
          <w:highlight w:val="none"/>
        </w:rPr>
      </w:pPr>
    </w:p>
    <w:p w14:paraId="150EA103">
      <w:pPr>
        <w:rPr>
          <w:rFonts w:hint="eastAsia" w:asciiTheme="minorEastAsia" w:hAnsiTheme="minorEastAsia"/>
          <w:b/>
          <w:color w:val="auto"/>
          <w:sz w:val="28"/>
          <w:szCs w:val="28"/>
          <w:highlight w:val="none"/>
        </w:rPr>
      </w:pPr>
      <w:r>
        <w:rPr>
          <w:rFonts w:hint="eastAsia" w:asciiTheme="minorEastAsia" w:hAnsiTheme="minorEastAsia"/>
          <w:b/>
          <w:color w:val="auto"/>
          <w:sz w:val="28"/>
          <w:szCs w:val="28"/>
          <w:highlight w:val="none"/>
        </w:rPr>
        <w:br w:type="page"/>
      </w:r>
    </w:p>
    <w:p w14:paraId="21CF2FFF">
      <w:pPr>
        <w:spacing w:line="480" w:lineRule="auto"/>
        <w:ind w:firstLine="480"/>
        <w:jc w:val="center"/>
        <w:outlineLvl w:val="1"/>
        <w:rPr>
          <w:rFonts w:hint="eastAsia" w:asciiTheme="minorEastAsia" w:hAnsiTheme="minorEastAsia"/>
          <w:b/>
          <w:color w:val="auto"/>
          <w:sz w:val="28"/>
          <w:szCs w:val="28"/>
          <w:highlight w:val="none"/>
        </w:rPr>
      </w:pPr>
      <w:r>
        <w:rPr>
          <w:rFonts w:hint="eastAsia" w:asciiTheme="minorEastAsia" w:hAnsiTheme="minorEastAsia"/>
          <w:b/>
          <w:color w:val="auto"/>
          <w:sz w:val="28"/>
          <w:szCs w:val="28"/>
          <w:highlight w:val="none"/>
        </w:rPr>
        <w:t>一、法定代表人身份证明书</w:t>
      </w:r>
      <w:bookmarkEnd w:id="109"/>
      <w:bookmarkEnd w:id="110"/>
    </w:p>
    <w:p w14:paraId="24710FB2">
      <w:pPr>
        <w:spacing w:line="480" w:lineRule="auto"/>
        <w:ind w:firstLine="612"/>
        <w:rPr>
          <w:rFonts w:hint="eastAsia" w:ascii="宋体" w:hAnsi="宋体"/>
          <w:color w:val="auto"/>
          <w:sz w:val="24"/>
          <w:highlight w:val="none"/>
        </w:rPr>
      </w:pPr>
    </w:p>
    <w:p w14:paraId="2073F323">
      <w:pPr>
        <w:spacing w:line="480" w:lineRule="auto"/>
        <w:ind w:firstLine="612"/>
        <w:rPr>
          <w:rFonts w:hint="eastAsia" w:ascii="宋体" w:hAnsi="宋体"/>
          <w:color w:val="auto"/>
          <w:sz w:val="24"/>
          <w:highlight w:val="none"/>
        </w:rPr>
      </w:pPr>
      <w:r>
        <w:rPr>
          <w:rFonts w:hint="eastAsia" w:ascii="宋体" w:hAnsi="宋体"/>
          <w:color w:val="auto"/>
          <w:sz w:val="24"/>
          <w:highlight w:val="none"/>
        </w:rPr>
        <w:t>单位名称：</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p>
    <w:p w14:paraId="1B434688">
      <w:pPr>
        <w:spacing w:line="480" w:lineRule="auto"/>
        <w:ind w:firstLine="610"/>
        <w:rPr>
          <w:rFonts w:hint="eastAsia" w:ascii="宋体" w:hAnsi="宋体"/>
          <w:color w:val="auto"/>
          <w:sz w:val="24"/>
          <w:highlight w:val="none"/>
          <w:u w:val="single"/>
        </w:rPr>
      </w:pPr>
      <w:r>
        <w:rPr>
          <w:rFonts w:hint="eastAsia" w:ascii="宋体" w:hAnsi="宋体"/>
          <w:color w:val="auto"/>
          <w:sz w:val="24"/>
          <w:highlight w:val="none"/>
        </w:rPr>
        <w:t>单位性质：</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p>
    <w:p w14:paraId="7EF58773">
      <w:pPr>
        <w:spacing w:line="480" w:lineRule="auto"/>
        <w:ind w:firstLine="610"/>
        <w:rPr>
          <w:rFonts w:hint="eastAsia" w:ascii="宋体" w:hAnsi="宋体"/>
          <w:color w:val="auto"/>
          <w:sz w:val="24"/>
          <w:highlight w:val="none"/>
          <w:u w:val="single"/>
        </w:rPr>
      </w:pPr>
      <w:r>
        <w:rPr>
          <w:rFonts w:hint="eastAsia" w:ascii="宋体" w:hAnsi="宋体"/>
          <w:color w:val="auto"/>
          <w:sz w:val="24"/>
          <w:highlight w:val="none"/>
        </w:rPr>
        <w:t>地    址：</w:t>
      </w:r>
      <w:r>
        <w:rPr>
          <w:rFonts w:ascii="宋体" w:hAnsi="宋体"/>
          <w:color w:val="auto"/>
          <w:sz w:val="24"/>
          <w:highlight w:val="none"/>
          <w:u w:val="single"/>
        </w:rPr>
        <w:tab/>
      </w:r>
      <w:r>
        <w:rPr>
          <w:rFonts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2C5A41E3">
      <w:pPr>
        <w:spacing w:line="480" w:lineRule="auto"/>
        <w:ind w:firstLine="610"/>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p>
    <w:p w14:paraId="1D9E65BA">
      <w:pPr>
        <w:spacing w:line="480" w:lineRule="auto"/>
        <w:ind w:firstLine="610"/>
        <w:rPr>
          <w:rFonts w:hint="eastAsia" w:ascii="宋体" w:hAnsi="宋体"/>
          <w:color w:val="auto"/>
          <w:sz w:val="24"/>
          <w:highlight w:val="none"/>
          <w:u w:val="single"/>
        </w:rPr>
      </w:pPr>
      <w:r>
        <w:rPr>
          <w:rFonts w:hint="eastAsia" w:ascii="宋体" w:hAnsi="宋体"/>
          <w:color w:val="auto"/>
          <w:sz w:val="24"/>
          <w:highlight w:val="none"/>
        </w:rPr>
        <w:t>经营期限：</w:t>
      </w:r>
      <w:r>
        <w:rPr>
          <w:rFonts w:ascii="宋体" w:hAnsi="宋体"/>
          <w:color w:val="auto"/>
          <w:sz w:val="24"/>
          <w:highlight w:val="none"/>
          <w:u w:val="single"/>
        </w:rPr>
        <w:tab/>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ab/>
      </w:r>
    </w:p>
    <w:p w14:paraId="60B15641">
      <w:pPr>
        <w:spacing w:line="480" w:lineRule="auto"/>
        <w:ind w:firstLine="610"/>
        <w:rPr>
          <w:rFonts w:hint="default" w:ascii="宋体" w:hAnsi="宋体" w:eastAsia="宋体"/>
          <w:color w:val="auto"/>
          <w:sz w:val="24"/>
          <w:highlight w:val="none"/>
          <w:u w:val="single"/>
          <w:lang w:val="en-US" w:eastAsia="zh-CN"/>
        </w:rPr>
      </w:pPr>
      <w:r>
        <w:rPr>
          <w:rFonts w:hint="eastAsia" w:ascii="宋体" w:hAnsi="宋体"/>
          <w:color w:val="auto"/>
          <w:sz w:val="24"/>
          <w:highlight w:val="none"/>
        </w:rPr>
        <w:t>姓    名：</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性别：</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年龄：</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职务：</w:t>
      </w:r>
      <w:r>
        <w:rPr>
          <w:rFonts w:ascii="宋体" w:hAnsi="宋体"/>
          <w:color w:val="auto"/>
          <w:sz w:val="24"/>
          <w:highlight w:val="none"/>
          <w:u w:val="single"/>
        </w:rPr>
        <w:tab/>
      </w:r>
      <w:r>
        <w:rPr>
          <w:rFonts w:hint="eastAsia" w:ascii="宋体" w:hAnsi="宋体"/>
          <w:color w:val="auto"/>
          <w:sz w:val="24"/>
          <w:highlight w:val="none"/>
          <w:u w:val="single"/>
          <w:lang w:val="en-US" w:eastAsia="zh-CN"/>
        </w:rPr>
        <w:t xml:space="preserve">           </w:t>
      </w:r>
    </w:p>
    <w:p w14:paraId="0E46D29C">
      <w:pPr>
        <w:spacing w:line="480" w:lineRule="auto"/>
        <w:ind w:firstLine="61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（供应商名称）         </w:t>
      </w:r>
      <w:r>
        <w:rPr>
          <w:rFonts w:hint="eastAsia" w:ascii="宋体" w:hAnsi="宋体"/>
          <w:color w:val="auto"/>
          <w:sz w:val="24"/>
          <w:highlight w:val="none"/>
        </w:rPr>
        <w:t>的法定代表人。</w:t>
      </w:r>
    </w:p>
    <w:p w14:paraId="4E0A59BA">
      <w:pPr>
        <w:spacing w:line="480" w:lineRule="auto"/>
        <w:rPr>
          <w:rFonts w:hint="eastAsia" w:ascii="宋体" w:hAnsi="宋体"/>
          <w:color w:val="auto"/>
          <w:sz w:val="24"/>
          <w:highlight w:val="none"/>
        </w:rPr>
      </w:pPr>
    </w:p>
    <w:p w14:paraId="7E21111A">
      <w:pPr>
        <w:spacing w:line="480" w:lineRule="auto"/>
        <w:ind w:firstLine="1320" w:firstLineChars="550"/>
        <w:rPr>
          <w:rFonts w:hint="eastAsia" w:ascii="宋体" w:hAnsi="宋体"/>
          <w:color w:val="auto"/>
          <w:sz w:val="24"/>
          <w:highlight w:val="none"/>
        </w:rPr>
      </w:pPr>
      <w:r>
        <w:rPr>
          <w:rFonts w:hint="eastAsia" w:ascii="宋体" w:hAnsi="宋体"/>
          <w:color w:val="auto"/>
          <w:sz w:val="24"/>
          <w:highlight w:val="none"/>
        </w:rPr>
        <w:t>特此证明</w:t>
      </w:r>
    </w:p>
    <w:p w14:paraId="559A1F29">
      <w:pPr>
        <w:tabs>
          <w:tab w:val="left" w:pos="720"/>
          <w:tab w:val="left" w:pos="900"/>
        </w:tabs>
        <w:spacing w:line="480" w:lineRule="auto"/>
        <w:ind w:firstLine="5040" w:firstLineChars="2100"/>
        <w:rPr>
          <w:rFonts w:hint="eastAsia" w:ascii="宋体" w:hAnsi="宋体"/>
          <w:color w:val="auto"/>
          <w:sz w:val="24"/>
          <w:highlight w:val="none"/>
        </w:rPr>
      </w:pPr>
    </w:p>
    <w:p w14:paraId="79374624">
      <w:pPr>
        <w:spacing w:line="440" w:lineRule="exact"/>
        <w:jc w:val="right"/>
        <w:rPr>
          <w:rFonts w:hint="eastAsia" w:ascii="宋体" w:hAnsi="宋体"/>
          <w:color w:val="auto"/>
          <w:sz w:val="24"/>
          <w:szCs w:val="24"/>
          <w:highlight w:val="none"/>
        </w:rPr>
      </w:pPr>
      <w:r>
        <w:rPr>
          <w:rFonts w:hint="eastAsia" w:ascii="宋体" w:hAnsi="宋体"/>
          <w:color w:val="auto"/>
          <w:sz w:val="24"/>
          <w:szCs w:val="24"/>
          <w:highlight w:val="none"/>
        </w:rPr>
        <w:t>供应商名称：（签章）</w:t>
      </w:r>
    </w:p>
    <w:p w14:paraId="636092B1">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                                                            日期：   </w:t>
      </w:r>
      <w:r>
        <w:rPr>
          <w:rFonts w:hint="eastAsia" w:ascii="宋体" w:hAnsi="宋体"/>
          <w:color w:val="auto"/>
          <w:sz w:val="24"/>
          <w:szCs w:val="24"/>
          <w:highlight w:val="none"/>
        </w:rPr>
        <w:t>年  月  日</w:t>
      </w:r>
    </w:p>
    <w:tbl>
      <w:tblPr>
        <w:tblStyle w:val="13"/>
        <w:tblW w:w="8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8"/>
      </w:tblGrid>
      <w:tr w14:paraId="5D7C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jc w:val="center"/>
        </w:trPr>
        <w:tc>
          <w:tcPr>
            <w:tcW w:w="8488" w:type="dxa"/>
            <w:tcBorders>
              <w:top w:val="single" w:color="auto" w:sz="4" w:space="0"/>
              <w:left w:val="single" w:color="auto" w:sz="4" w:space="0"/>
              <w:bottom w:val="single" w:color="auto" w:sz="4" w:space="0"/>
              <w:right w:val="single" w:color="auto" w:sz="4" w:space="0"/>
            </w:tcBorders>
            <w:vAlign w:val="center"/>
          </w:tcPr>
          <w:p w14:paraId="0AE86E7D">
            <w:pPr>
              <w:spacing w:line="480" w:lineRule="exact"/>
              <w:jc w:val="center"/>
              <w:rPr>
                <w:rFonts w:hint="eastAsia" w:ascii="宋体" w:hAnsi="宋体"/>
                <w:color w:val="auto"/>
                <w:sz w:val="28"/>
                <w:szCs w:val="28"/>
                <w:highlight w:val="none"/>
              </w:rPr>
            </w:pPr>
            <w:r>
              <w:rPr>
                <w:rFonts w:hint="eastAsia" w:ascii="宋体" w:hAnsi="宋体"/>
                <w:color w:val="auto"/>
                <w:sz w:val="28"/>
                <w:szCs w:val="28"/>
                <w:highlight w:val="none"/>
              </w:rPr>
              <w:t>法定代表人身份证扫描件</w:t>
            </w:r>
          </w:p>
          <w:p w14:paraId="11E37141">
            <w:pPr>
              <w:spacing w:line="480" w:lineRule="exact"/>
              <w:jc w:val="center"/>
              <w:rPr>
                <w:rFonts w:hint="eastAsia" w:ascii="宋体" w:hAnsi="宋体"/>
                <w:color w:val="auto"/>
                <w:szCs w:val="21"/>
                <w:highlight w:val="none"/>
              </w:rPr>
            </w:pPr>
            <w:r>
              <w:rPr>
                <w:rFonts w:hint="eastAsia" w:ascii="宋体" w:hAnsi="宋体"/>
                <w:color w:val="auto"/>
                <w:sz w:val="22"/>
                <w:szCs w:val="24"/>
                <w:highlight w:val="none"/>
              </w:rPr>
              <w:t>证件（正、反面）</w:t>
            </w:r>
          </w:p>
        </w:tc>
      </w:tr>
    </w:tbl>
    <w:p w14:paraId="0A999A11">
      <w:pPr>
        <w:spacing w:line="480" w:lineRule="auto"/>
        <w:rPr>
          <w:rFonts w:hint="eastAsia" w:cs="Courier New" w:asciiTheme="minorEastAsia" w:hAnsiTheme="minorEastAsia"/>
          <w:color w:val="auto"/>
          <w:sz w:val="24"/>
          <w:szCs w:val="24"/>
          <w:highlight w:val="none"/>
        </w:rPr>
      </w:pPr>
    </w:p>
    <w:p w14:paraId="41B83D7E">
      <w:pPr>
        <w:spacing w:line="480" w:lineRule="auto"/>
        <w:ind w:firstLine="480"/>
        <w:jc w:val="center"/>
        <w:rPr>
          <w:rFonts w:hint="eastAsia" w:asciiTheme="minorEastAsia" w:hAnsiTheme="minorEastAsia"/>
          <w:b/>
          <w:color w:val="auto"/>
          <w:sz w:val="28"/>
          <w:szCs w:val="28"/>
          <w:highlight w:val="none"/>
        </w:rPr>
      </w:pPr>
    </w:p>
    <w:p w14:paraId="541BD0E8">
      <w:pPr>
        <w:rPr>
          <w:rFonts w:hint="eastAsia" w:asciiTheme="minorEastAsia" w:hAnsiTheme="minorEastAsia"/>
          <w:b/>
          <w:color w:val="auto"/>
          <w:sz w:val="28"/>
          <w:szCs w:val="28"/>
          <w:highlight w:val="none"/>
        </w:rPr>
      </w:pPr>
    </w:p>
    <w:p w14:paraId="79AC32F9">
      <w:pPr>
        <w:jc w:val="center"/>
        <w:outlineLvl w:val="1"/>
        <w:rPr>
          <w:rFonts w:hint="eastAsia" w:asciiTheme="minorEastAsia" w:hAnsiTheme="minorEastAsia"/>
          <w:b/>
          <w:color w:val="auto"/>
          <w:sz w:val="32"/>
          <w:szCs w:val="32"/>
          <w:highlight w:val="none"/>
        </w:rPr>
      </w:pPr>
      <w:bookmarkStart w:id="111" w:name="_Toc1480"/>
      <w:bookmarkStart w:id="112" w:name="_Toc21022"/>
      <w:bookmarkStart w:id="113" w:name="_Toc438305223"/>
      <w:r>
        <w:rPr>
          <w:rFonts w:hint="eastAsia" w:cs="宋体" w:asciiTheme="minorEastAsia" w:hAnsiTheme="minorEastAsia"/>
          <w:b/>
          <w:color w:val="auto"/>
          <w:sz w:val="28"/>
          <w:szCs w:val="28"/>
          <w:highlight w:val="none"/>
          <w:lang w:val="en-US" w:eastAsia="zh-CN"/>
        </w:rPr>
        <w:t>二</w:t>
      </w:r>
      <w:r>
        <w:rPr>
          <w:rFonts w:hint="eastAsia" w:cs="宋体" w:asciiTheme="minorEastAsia" w:hAnsiTheme="minorEastAsia"/>
          <w:b/>
          <w:color w:val="auto"/>
          <w:sz w:val="28"/>
          <w:szCs w:val="28"/>
          <w:highlight w:val="none"/>
        </w:rPr>
        <w:t>、磋商函</w:t>
      </w:r>
      <w:bookmarkEnd w:id="111"/>
      <w:bookmarkEnd w:id="112"/>
    </w:p>
    <w:p w14:paraId="5E2C80F4">
      <w:pPr>
        <w:spacing w:line="480" w:lineRule="auto"/>
        <w:rPr>
          <w:rFonts w:hint="eastAsia" w:asciiTheme="minorEastAsia" w:hAnsiTheme="minorEastAsia"/>
          <w:color w:val="auto"/>
          <w:sz w:val="24"/>
          <w:szCs w:val="24"/>
          <w:highlight w:val="none"/>
        </w:rPr>
      </w:pPr>
      <w:bookmarkStart w:id="114" w:name="OLE_LINK11"/>
      <w:bookmarkEnd w:id="114"/>
      <w:bookmarkStart w:id="115" w:name="OLE_LINK7"/>
      <w:r>
        <w:rPr>
          <w:rFonts w:hint="eastAsia" w:asciiTheme="minorEastAsia" w:hAnsiTheme="minorEastAsia"/>
          <w:color w:val="auto"/>
          <w:spacing w:val="46"/>
          <w:sz w:val="24"/>
          <w:szCs w:val="24"/>
          <w:highlight w:val="none"/>
        </w:rPr>
        <w:t>致</w:t>
      </w:r>
      <w:bookmarkEnd w:id="115"/>
      <w:r>
        <w:rPr>
          <w:rFonts w:hint="eastAsia" w:asciiTheme="minorEastAsia" w:hAnsiTheme="minorEastAsia"/>
          <w:color w:val="auto"/>
          <w:spacing w:val="46"/>
          <w:sz w:val="24"/>
          <w:szCs w:val="24"/>
          <w:highlight w:val="none"/>
          <w:u w:val="single"/>
        </w:rPr>
        <w:t xml:space="preserve"> （采购人名称） </w:t>
      </w:r>
      <w:r>
        <w:rPr>
          <w:rFonts w:hint="eastAsia" w:asciiTheme="minorEastAsia" w:hAnsiTheme="minorEastAsia"/>
          <w:color w:val="auto"/>
          <w:spacing w:val="46"/>
          <w:sz w:val="24"/>
          <w:szCs w:val="24"/>
          <w:highlight w:val="none"/>
        </w:rPr>
        <w:t>：</w:t>
      </w:r>
    </w:p>
    <w:p w14:paraId="6C5BEC47">
      <w:pPr>
        <w:tabs>
          <w:tab w:val="left" w:pos="7560"/>
        </w:tabs>
        <w:spacing w:line="480" w:lineRule="exact"/>
        <w:ind w:firstLine="480" w:firstLineChars="200"/>
        <w:rPr>
          <w:rFonts w:hint="eastAsia" w:asciiTheme="minorEastAsia" w:hAnsiTheme="minorEastAsia"/>
          <w:color w:val="auto"/>
          <w:sz w:val="24"/>
          <w:szCs w:val="24"/>
          <w:highlight w:val="none"/>
          <w:u w:val="single"/>
        </w:rPr>
      </w:pPr>
      <w:r>
        <w:rPr>
          <w:rFonts w:hint="eastAsia" w:asciiTheme="minorEastAsia" w:hAnsiTheme="minorEastAsia"/>
          <w:color w:val="auto"/>
          <w:sz w:val="24"/>
          <w:szCs w:val="24"/>
          <w:highlight w:val="none"/>
        </w:rPr>
        <w:t>根据已收到贵方的</w:t>
      </w:r>
      <w:r>
        <w:rPr>
          <w:rFonts w:hint="eastAsia" w:asciiTheme="minorEastAsia" w:hAnsiTheme="minorEastAsia"/>
          <w:color w:val="auto"/>
          <w:sz w:val="24"/>
          <w:szCs w:val="24"/>
          <w:highlight w:val="none"/>
          <w:u w:val="single"/>
        </w:rPr>
        <w:t xml:space="preserve">              （项目名称）</w:t>
      </w:r>
      <w:r>
        <w:rPr>
          <w:rFonts w:hint="eastAsia" w:asciiTheme="minorEastAsia" w:hAnsiTheme="minorEastAsia"/>
          <w:color w:val="auto"/>
          <w:sz w:val="24"/>
          <w:szCs w:val="24"/>
          <w:highlight w:val="none"/>
        </w:rPr>
        <w:t>竞争性磋商文件，遵照有关规定和研究上述竞争性磋商文件的内容后，我愿以竞争性磋商报价：大写：</w:t>
      </w:r>
      <w:r>
        <w:rPr>
          <w:rFonts w:hint="eastAsia" w:asciiTheme="minorEastAsia" w:hAnsiTheme="minorEastAsia"/>
          <w:color w:val="auto"/>
          <w:sz w:val="24"/>
          <w:szCs w:val="24"/>
          <w:highlight w:val="none"/>
          <w:u w:val="single"/>
        </w:rPr>
        <w:t xml:space="preserve">         </w:t>
      </w:r>
      <w:r>
        <w:rPr>
          <w:rFonts w:hint="eastAsia" w:asciiTheme="minorEastAsia" w:hAnsiTheme="minorEastAsia"/>
          <w:color w:val="auto"/>
          <w:sz w:val="24"/>
          <w:szCs w:val="24"/>
          <w:highlight w:val="none"/>
        </w:rPr>
        <w:t>，（小写：</w:t>
      </w:r>
      <w:r>
        <w:rPr>
          <w:rFonts w:hint="eastAsia" w:asciiTheme="minorEastAsia" w:hAnsiTheme="minorEastAsia"/>
          <w:color w:val="auto"/>
          <w:sz w:val="24"/>
          <w:szCs w:val="24"/>
          <w:highlight w:val="none"/>
          <w:u w:val="single"/>
        </w:rPr>
        <w:t xml:space="preserve">        </w:t>
      </w:r>
      <w:r>
        <w:rPr>
          <w:rFonts w:hint="eastAsia" w:asciiTheme="minorEastAsia" w:hAnsiTheme="minorEastAsia"/>
          <w:color w:val="auto"/>
          <w:sz w:val="24"/>
          <w:szCs w:val="24"/>
          <w:highlight w:val="none"/>
        </w:rPr>
        <w:t>元）的磋商报价承包该项目，并同意如下条款：</w:t>
      </w:r>
    </w:p>
    <w:p w14:paraId="1D843F41">
      <w:pPr>
        <w:spacing w:line="540" w:lineRule="exact"/>
        <w:ind w:firstLine="480" w:firstLineChars="200"/>
        <w:rPr>
          <w:rFonts w:hint="eastAsia" w:asciiTheme="minorEastAsia" w:hAnsiTheme="minorEastAsia"/>
          <w:color w:val="auto"/>
          <w:sz w:val="24"/>
          <w:szCs w:val="24"/>
          <w:highlight w:val="none"/>
        </w:rPr>
      </w:pPr>
      <w:r>
        <w:rPr>
          <w:rFonts w:asciiTheme="minorEastAsia" w:hAnsiTheme="minorEastAsia"/>
          <w:color w:val="auto"/>
          <w:sz w:val="24"/>
          <w:szCs w:val="24"/>
          <w:highlight w:val="none"/>
        </w:rPr>
        <w:t>1</w:t>
      </w:r>
      <w:r>
        <w:rPr>
          <w:rFonts w:hint="eastAsia" w:asciiTheme="minorEastAsia" w:hAnsiTheme="minorEastAsia"/>
          <w:color w:val="auto"/>
          <w:sz w:val="24"/>
          <w:szCs w:val="24"/>
          <w:highlight w:val="none"/>
        </w:rPr>
        <w:t>、我方已详细审核并确认全部磋商文件，包括修改文件（如有时）及有关附件。</w:t>
      </w:r>
    </w:p>
    <w:p w14:paraId="757B63F9">
      <w:pPr>
        <w:spacing w:line="540" w:lineRule="exact"/>
        <w:ind w:firstLine="480" w:firstLineChars="200"/>
        <w:rPr>
          <w:rFonts w:hint="eastAsia" w:asciiTheme="minorEastAsia" w:hAnsiTheme="minorEastAsia"/>
          <w:color w:val="auto"/>
          <w:sz w:val="24"/>
          <w:szCs w:val="24"/>
          <w:highlight w:val="none"/>
        </w:rPr>
      </w:pPr>
      <w:r>
        <w:rPr>
          <w:rFonts w:asciiTheme="minorEastAsia" w:hAnsiTheme="minorEastAsia"/>
          <w:color w:val="auto"/>
          <w:sz w:val="24"/>
          <w:szCs w:val="24"/>
          <w:highlight w:val="none"/>
        </w:rPr>
        <w:t>2</w:t>
      </w:r>
      <w:r>
        <w:rPr>
          <w:rFonts w:hint="eastAsia" w:asciiTheme="minorEastAsia" w:hAnsiTheme="minorEastAsia"/>
          <w:color w:val="auto"/>
          <w:sz w:val="24"/>
          <w:szCs w:val="24"/>
          <w:highlight w:val="none"/>
        </w:rPr>
        <w:t>、一旦我方</w:t>
      </w:r>
      <w:r>
        <w:rPr>
          <w:rFonts w:hint="eastAsia" w:asciiTheme="minorEastAsia" w:hAnsiTheme="minorEastAsia"/>
          <w:color w:val="auto"/>
          <w:sz w:val="24"/>
          <w:szCs w:val="24"/>
          <w:highlight w:val="none"/>
          <w:lang w:eastAsia="zh-CN"/>
        </w:rPr>
        <w:t>成交</w:t>
      </w:r>
      <w:r>
        <w:rPr>
          <w:rFonts w:hint="eastAsia" w:asciiTheme="minorEastAsia" w:hAnsiTheme="minorEastAsia"/>
          <w:color w:val="auto"/>
          <w:sz w:val="24"/>
          <w:szCs w:val="24"/>
          <w:highlight w:val="none"/>
        </w:rPr>
        <w:t>，我方将组建本项目的项目管理机构，保证按文件规定的在服务期限提供相应的服务。</w:t>
      </w:r>
    </w:p>
    <w:p w14:paraId="19B72C9D">
      <w:pPr>
        <w:spacing w:line="540" w:lineRule="exact"/>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3、除非另外达成协议并生效，你方的成交通知和本磋商响应文件将成为约束双方的合同文件的组成部分。</w:t>
      </w:r>
    </w:p>
    <w:p w14:paraId="23373EE8">
      <w:pPr>
        <w:spacing w:line="540" w:lineRule="exact"/>
        <w:ind w:firstLine="480" w:firstLineChars="200"/>
        <w:rPr>
          <w:rFonts w:hint="eastAsia" w:asciiTheme="minorEastAsia" w:hAnsiTheme="minorEastAsia"/>
          <w:color w:val="auto"/>
          <w:sz w:val="24"/>
          <w:szCs w:val="24"/>
          <w:highlight w:val="none"/>
          <w:u w:val="single"/>
        </w:rPr>
      </w:pPr>
      <w:r>
        <w:rPr>
          <w:rFonts w:hint="eastAsia" w:asciiTheme="minorEastAsia" w:hAnsiTheme="minorEastAsia"/>
          <w:color w:val="auto"/>
          <w:sz w:val="24"/>
          <w:szCs w:val="24"/>
          <w:highlight w:val="none"/>
        </w:rPr>
        <w:t>4、其他补充说明：</w:t>
      </w:r>
      <w:r>
        <w:rPr>
          <w:rFonts w:hint="eastAsia" w:asciiTheme="minorEastAsia" w:hAnsiTheme="minorEastAsia"/>
          <w:color w:val="auto"/>
          <w:sz w:val="24"/>
          <w:szCs w:val="24"/>
          <w:highlight w:val="none"/>
          <w:u w:val="single"/>
        </w:rPr>
        <w:t>（补充说明事项）</w:t>
      </w:r>
    </w:p>
    <w:p w14:paraId="197502C8">
      <w:pPr>
        <w:spacing w:line="540" w:lineRule="exact"/>
        <w:rPr>
          <w:rFonts w:hint="eastAsia" w:asciiTheme="minorEastAsia" w:hAnsiTheme="minorEastAsia"/>
          <w:color w:val="auto"/>
          <w:sz w:val="24"/>
          <w:szCs w:val="24"/>
          <w:highlight w:val="none"/>
        </w:rPr>
      </w:pPr>
    </w:p>
    <w:p w14:paraId="38F8647C">
      <w:pPr>
        <w:spacing w:line="480" w:lineRule="auto"/>
        <w:ind w:firstLine="480"/>
        <w:rPr>
          <w:rFonts w:hint="eastAsia" w:asciiTheme="minorEastAsia" w:hAnsiTheme="minorEastAsia"/>
          <w:color w:val="auto"/>
          <w:spacing w:val="46"/>
          <w:sz w:val="24"/>
          <w:szCs w:val="24"/>
          <w:highlight w:val="none"/>
        </w:rPr>
      </w:pPr>
    </w:p>
    <w:p w14:paraId="6EABD884">
      <w:pPr>
        <w:spacing w:line="440" w:lineRule="exact"/>
        <w:ind w:firstLine="2400" w:firstLineChars="1000"/>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供应商名称：（签章）</w:t>
      </w:r>
    </w:p>
    <w:p w14:paraId="79670078">
      <w:pPr>
        <w:spacing w:line="360" w:lineRule="auto"/>
        <w:ind w:firstLine="2400" w:firstLineChars="1000"/>
        <w:jc w:val="right"/>
        <w:rPr>
          <w:rFonts w:hint="eastAsia" w:ascii="宋体" w:hAnsi="宋体"/>
          <w:color w:val="auto"/>
          <w:sz w:val="24"/>
          <w:highlight w:val="none"/>
        </w:rPr>
      </w:pPr>
      <w:r>
        <w:rPr>
          <w:rFonts w:hint="eastAsia" w:ascii="宋体" w:hAnsi="宋体"/>
          <w:color w:val="auto"/>
          <w:sz w:val="24"/>
          <w:highlight w:val="none"/>
        </w:rPr>
        <w:t>法定代表人：（电子签章）</w:t>
      </w:r>
    </w:p>
    <w:p w14:paraId="5794BDF9">
      <w:pPr>
        <w:spacing w:line="480" w:lineRule="auto"/>
        <w:jc w:val="right"/>
        <w:rPr>
          <w:rFonts w:hint="eastAsia" w:asciiTheme="minorEastAsia" w:hAnsiTheme="minorEastAsia"/>
          <w:color w:val="auto"/>
          <w:sz w:val="24"/>
          <w:szCs w:val="24"/>
          <w:highlight w:val="none"/>
        </w:rPr>
      </w:pPr>
      <w:r>
        <w:rPr>
          <w:rFonts w:hint="eastAsia" w:asciiTheme="minorEastAsia" w:hAnsiTheme="minorEastAsia"/>
          <w:color w:val="auto"/>
          <w:spacing w:val="46"/>
          <w:sz w:val="24"/>
          <w:szCs w:val="24"/>
          <w:highlight w:val="none"/>
        </w:rPr>
        <w:t xml:space="preserve">日 期： 年 月 日 </w:t>
      </w:r>
    </w:p>
    <w:p w14:paraId="0048E5CF">
      <w:pPr>
        <w:spacing w:line="480" w:lineRule="auto"/>
        <w:ind w:firstLine="1100" w:firstLineChars="550"/>
        <w:jc w:val="center"/>
        <w:rPr>
          <w:rFonts w:hint="eastAsia" w:cs="Courier New" w:asciiTheme="minorEastAsia" w:hAnsiTheme="minorEastAsia"/>
          <w:bCs/>
          <w:color w:val="auto"/>
          <w:szCs w:val="21"/>
          <w:highlight w:val="none"/>
        </w:rPr>
      </w:pPr>
    </w:p>
    <w:p w14:paraId="2C3297CE">
      <w:pPr>
        <w:rPr>
          <w:rFonts w:hint="eastAsia" w:cs="宋体" w:asciiTheme="minorEastAsia" w:hAnsiTheme="minorEastAsia"/>
          <w:b/>
          <w:color w:val="auto"/>
          <w:sz w:val="28"/>
          <w:szCs w:val="28"/>
          <w:highlight w:val="none"/>
          <w:lang w:val="en-US" w:eastAsia="zh-CN"/>
        </w:rPr>
      </w:pPr>
      <w:bookmarkStart w:id="116" w:name="_Toc6496"/>
      <w:bookmarkStart w:id="117" w:name="_Toc26537"/>
      <w:r>
        <w:rPr>
          <w:rFonts w:hint="eastAsia" w:cs="宋体" w:asciiTheme="minorEastAsia" w:hAnsiTheme="minorEastAsia"/>
          <w:b/>
          <w:color w:val="auto"/>
          <w:sz w:val="28"/>
          <w:szCs w:val="28"/>
          <w:highlight w:val="none"/>
          <w:lang w:val="en-US" w:eastAsia="zh-CN"/>
        </w:rPr>
        <w:br w:type="page"/>
      </w:r>
    </w:p>
    <w:p w14:paraId="2682F6A1">
      <w:pPr>
        <w:jc w:val="center"/>
        <w:outlineLvl w:val="1"/>
        <w:rPr>
          <w:rFonts w:hint="eastAsia" w:asciiTheme="minorEastAsia" w:hAnsiTheme="minorEastAsia"/>
          <w:b/>
          <w:color w:val="auto"/>
          <w:sz w:val="28"/>
          <w:highlight w:val="none"/>
        </w:rPr>
      </w:pPr>
      <w:r>
        <w:rPr>
          <w:rFonts w:hint="eastAsia" w:cs="宋体" w:asciiTheme="minorEastAsia" w:hAnsiTheme="minorEastAsia"/>
          <w:b/>
          <w:color w:val="auto"/>
          <w:sz w:val="28"/>
          <w:szCs w:val="28"/>
          <w:highlight w:val="none"/>
          <w:lang w:val="en-US" w:eastAsia="zh-CN"/>
        </w:rPr>
        <w:t>三</w:t>
      </w:r>
      <w:r>
        <w:rPr>
          <w:rFonts w:hint="eastAsia" w:cs="宋体" w:asciiTheme="minorEastAsia" w:hAnsiTheme="minorEastAsia"/>
          <w:b/>
          <w:color w:val="auto"/>
          <w:sz w:val="28"/>
          <w:szCs w:val="28"/>
          <w:highlight w:val="none"/>
        </w:rPr>
        <w:t>、</w:t>
      </w:r>
      <w:bookmarkEnd w:id="113"/>
      <w:r>
        <w:rPr>
          <w:rFonts w:hint="eastAsia" w:asciiTheme="minorEastAsia" w:hAnsiTheme="minorEastAsia"/>
          <w:b/>
          <w:color w:val="auto"/>
          <w:sz w:val="28"/>
          <w:highlight w:val="none"/>
        </w:rPr>
        <w:t>磋商函附录</w:t>
      </w:r>
      <w:bookmarkEnd w:id="116"/>
      <w:bookmarkEnd w:id="117"/>
    </w:p>
    <w:p w14:paraId="093C56FB">
      <w:pPr>
        <w:rPr>
          <w:rFonts w:hint="eastAsia" w:asciiTheme="minorEastAsia" w:hAnsiTheme="minorEastAsia"/>
          <w:b/>
          <w:color w:val="auto"/>
          <w:sz w:val="18"/>
          <w:szCs w:val="18"/>
          <w:highlight w:val="none"/>
        </w:rPr>
      </w:pPr>
    </w:p>
    <w:tbl>
      <w:tblPr>
        <w:tblStyle w:val="13"/>
        <w:tblW w:w="91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02"/>
        <w:gridCol w:w="6660"/>
      </w:tblGrid>
      <w:tr w14:paraId="6F480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2502" w:type="dxa"/>
            <w:tcBorders>
              <w:top w:val="single" w:color="auto" w:sz="12" w:space="0"/>
              <w:left w:val="single" w:color="auto" w:sz="12" w:space="0"/>
              <w:bottom w:val="single" w:color="auto" w:sz="6" w:space="0"/>
              <w:right w:val="single" w:color="auto" w:sz="6" w:space="0"/>
            </w:tcBorders>
            <w:vAlign w:val="center"/>
          </w:tcPr>
          <w:p w14:paraId="6AE1A283">
            <w:pPr>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项目名称</w:t>
            </w:r>
          </w:p>
        </w:tc>
        <w:tc>
          <w:tcPr>
            <w:tcW w:w="6660" w:type="dxa"/>
            <w:tcBorders>
              <w:top w:val="single" w:color="auto" w:sz="12" w:space="0"/>
              <w:left w:val="single" w:color="auto" w:sz="6" w:space="0"/>
              <w:bottom w:val="single" w:color="auto" w:sz="6" w:space="0"/>
              <w:right w:val="single" w:color="auto" w:sz="12" w:space="0"/>
            </w:tcBorders>
            <w:vAlign w:val="center"/>
          </w:tcPr>
          <w:p w14:paraId="0F55F295">
            <w:pPr>
              <w:jc w:val="center"/>
              <w:rPr>
                <w:rFonts w:hint="eastAsia" w:asciiTheme="minorEastAsia" w:hAnsiTheme="minorEastAsia"/>
                <w:color w:val="auto"/>
                <w:sz w:val="24"/>
                <w:szCs w:val="24"/>
                <w:highlight w:val="none"/>
              </w:rPr>
            </w:pPr>
          </w:p>
        </w:tc>
      </w:tr>
      <w:tr w14:paraId="2CD8B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391B5659">
            <w:pPr>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项目编号</w:t>
            </w:r>
          </w:p>
        </w:tc>
        <w:tc>
          <w:tcPr>
            <w:tcW w:w="6660" w:type="dxa"/>
            <w:tcBorders>
              <w:top w:val="single" w:color="auto" w:sz="6" w:space="0"/>
              <w:left w:val="single" w:color="auto" w:sz="6" w:space="0"/>
              <w:bottom w:val="single" w:color="auto" w:sz="6" w:space="0"/>
              <w:right w:val="single" w:color="auto" w:sz="12" w:space="0"/>
            </w:tcBorders>
            <w:vAlign w:val="center"/>
          </w:tcPr>
          <w:p w14:paraId="1225971C">
            <w:pPr>
              <w:jc w:val="center"/>
              <w:rPr>
                <w:rFonts w:hint="eastAsia" w:asciiTheme="minorEastAsia" w:hAnsiTheme="minorEastAsia"/>
                <w:color w:val="auto"/>
                <w:sz w:val="24"/>
                <w:szCs w:val="24"/>
                <w:highlight w:val="none"/>
              </w:rPr>
            </w:pPr>
          </w:p>
        </w:tc>
      </w:tr>
      <w:tr w14:paraId="73EFB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383D1FC3">
            <w:pPr>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供应商名称</w:t>
            </w:r>
          </w:p>
        </w:tc>
        <w:tc>
          <w:tcPr>
            <w:tcW w:w="6660" w:type="dxa"/>
            <w:tcBorders>
              <w:top w:val="single" w:color="auto" w:sz="6" w:space="0"/>
              <w:left w:val="single" w:color="auto" w:sz="6" w:space="0"/>
              <w:bottom w:val="single" w:color="auto" w:sz="6" w:space="0"/>
              <w:right w:val="single" w:color="auto" w:sz="12" w:space="0"/>
            </w:tcBorders>
            <w:vAlign w:val="center"/>
          </w:tcPr>
          <w:p w14:paraId="1BF85754">
            <w:pPr>
              <w:jc w:val="center"/>
              <w:rPr>
                <w:rFonts w:hint="eastAsia" w:asciiTheme="minorEastAsia" w:hAnsiTheme="minorEastAsia"/>
                <w:color w:val="auto"/>
                <w:sz w:val="24"/>
                <w:szCs w:val="24"/>
                <w:highlight w:val="none"/>
              </w:rPr>
            </w:pPr>
          </w:p>
          <w:p w14:paraId="213B030A">
            <w:pPr>
              <w:jc w:val="center"/>
              <w:rPr>
                <w:rFonts w:hint="eastAsia" w:asciiTheme="minorEastAsia" w:hAnsiTheme="minorEastAsia"/>
                <w:color w:val="auto"/>
                <w:sz w:val="24"/>
                <w:szCs w:val="24"/>
                <w:highlight w:val="none"/>
              </w:rPr>
            </w:pPr>
          </w:p>
          <w:p w14:paraId="6FF06215">
            <w:pPr>
              <w:jc w:val="center"/>
              <w:rPr>
                <w:rFonts w:hint="eastAsia" w:asciiTheme="minorEastAsia" w:hAnsiTheme="minorEastAsia"/>
                <w:color w:val="auto"/>
                <w:sz w:val="24"/>
                <w:szCs w:val="24"/>
                <w:highlight w:val="none"/>
              </w:rPr>
            </w:pPr>
          </w:p>
        </w:tc>
      </w:tr>
      <w:tr w14:paraId="64F7C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11003E52">
            <w:pPr>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磋商报价</w:t>
            </w:r>
          </w:p>
          <w:p w14:paraId="7B0965C5">
            <w:pPr>
              <w:jc w:val="center"/>
              <w:rPr>
                <w:rFonts w:hint="eastAsia" w:eastAsia="宋体"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2"/>
                <w:szCs w:val="22"/>
                <w:highlight w:val="none"/>
              </w:rPr>
              <w:t>元</w:t>
            </w:r>
            <w:r>
              <w:rPr>
                <w:rFonts w:hint="eastAsia" w:asciiTheme="minorEastAsia" w:hAnsiTheme="minorEastAsia"/>
                <w:color w:val="auto"/>
                <w:sz w:val="22"/>
                <w:szCs w:val="22"/>
                <w:highlight w:val="none"/>
                <w:lang w:eastAsia="zh-CN"/>
              </w:rPr>
              <w:t>）</w:t>
            </w:r>
          </w:p>
        </w:tc>
        <w:tc>
          <w:tcPr>
            <w:tcW w:w="6660" w:type="dxa"/>
            <w:tcBorders>
              <w:top w:val="single" w:color="auto" w:sz="6" w:space="0"/>
              <w:left w:val="single" w:color="auto" w:sz="6" w:space="0"/>
              <w:bottom w:val="single" w:color="auto" w:sz="6" w:space="0"/>
              <w:right w:val="single" w:color="auto" w:sz="12" w:space="0"/>
            </w:tcBorders>
            <w:vAlign w:val="center"/>
          </w:tcPr>
          <w:p w14:paraId="44428ED9">
            <w:pPr>
              <w:spacing w:line="360" w:lineRule="auto"/>
              <w:rPr>
                <w:rFonts w:hint="eastAsia" w:asciiTheme="minorEastAsia" w:hAnsiTheme="minorEastAsia" w:eastAsiaTheme="minorEastAsia"/>
                <w:color w:val="auto"/>
                <w:sz w:val="24"/>
                <w:szCs w:val="24"/>
                <w:highlight w:val="none"/>
                <w:u w:val="single"/>
              </w:rPr>
            </w:pPr>
            <w:r>
              <w:rPr>
                <w:rFonts w:hint="eastAsia" w:asciiTheme="minorEastAsia" w:hAnsiTheme="minorEastAsia"/>
                <w:color w:val="auto"/>
                <w:sz w:val="24"/>
                <w:szCs w:val="24"/>
                <w:highlight w:val="none"/>
              </w:rPr>
              <w:t>大写：</w:t>
            </w:r>
            <w:r>
              <w:rPr>
                <w:rFonts w:hint="eastAsia" w:asciiTheme="minorEastAsia" w:hAnsiTheme="minorEastAsia"/>
                <w:color w:val="auto"/>
                <w:sz w:val="24"/>
                <w:szCs w:val="24"/>
                <w:highlight w:val="none"/>
                <w:u w:val="single"/>
              </w:rPr>
              <w:t xml:space="preserve">           </w:t>
            </w:r>
          </w:p>
          <w:p w14:paraId="486EFD4A">
            <w:pPr>
              <w:spacing w:line="360" w:lineRule="auto"/>
              <w:rPr>
                <w:rFonts w:hint="eastAsia" w:asciiTheme="minorEastAsia" w:hAnsiTheme="minorEastAsia"/>
                <w:color w:val="auto"/>
                <w:sz w:val="24"/>
                <w:szCs w:val="24"/>
                <w:highlight w:val="none"/>
                <w:u w:val="single"/>
              </w:rPr>
            </w:pPr>
            <w:r>
              <w:rPr>
                <w:rFonts w:hint="eastAsia" w:asciiTheme="minorEastAsia" w:hAnsiTheme="minorEastAsia"/>
                <w:color w:val="auto"/>
                <w:sz w:val="24"/>
                <w:szCs w:val="24"/>
                <w:highlight w:val="none"/>
              </w:rPr>
              <w:t>小写：</w:t>
            </w:r>
            <w:r>
              <w:rPr>
                <w:rFonts w:hint="eastAsia" w:asciiTheme="minorEastAsia" w:hAnsiTheme="minorEastAsia"/>
                <w:color w:val="auto"/>
                <w:sz w:val="22"/>
                <w:szCs w:val="22"/>
                <w:highlight w:val="none"/>
                <w:u w:val="single"/>
              </w:rPr>
              <w:t xml:space="preserve">   </w:t>
            </w:r>
            <w:r>
              <w:rPr>
                <w:rFonts w:hint="eastAsia" w:asciiTheme="minorEastAsia" w:hAnsiTheme="minorEastAsia"/>
                <w:color w:val="auto"/>
                <w:sz w:val="22"/>
                <w:szCs w:val="22"/>
                <w:highlight w:val="none"/>
                <w:u w:val="single"/>
                <w:lang w:val="en-US" w:eastAsia="zh-CN"/>
              </w:rPr>
              <w:t xml:space="preserve">    </w:t>
            </w:r>
            <w:r>
              <w:rPr>
                <w:rFonts w:hint="eastAsia" w:asciiTheme="minorEastAsia" w:hAnsiTheme="minorEastAsia"/>
                <w:color w:val="auto"/>
                <w:sz w:val="22"/>
                <w:szCs w:val="22"/>
                <w:highlight w:val="none"/>
                <w:u w:val="single"/>
              </w:rPr>
              <w:t xml:space="preserve">     </w:t>
            </w:r>
          </w:p>
        </w:tc>
      </w:tr>
      <w:tr w14:paraId="6D1C0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118B355A">
            <w:pPr>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服务期限</w:t>
            </w:r>
          </w:p>
        </w:tc>
        <w:tc>
          <w:tcPr>
            <w:tcW w:w="6660" w:type="dxa"/>
            <w:tcBorders>
              <w:top w:val="single" w:color="auto" w:sz="6" w:space="0"/>
              <w:left w:val="single" w:color="auto" w:sz="6" w:space="0"/>
              <w:bottom w:val="single" w:color="auto" w:sz="6" w:space="0"/>
              <w:right w:val="single" w:color="auto" w:sz="12" w:space="0"/>
            </w:tcBorders>
            <w:vAlign w:val="center"/>
          </w:tcPr>
          <w:p w14:paraId="248A6A48">
            <w:pPr>
              <w:rPr>
                <w:rFonts w:hint="eastAsia" w:asciiTheme="minorEastAsia" w:hAnsiTheme="minorEastAsia"/>
                <w:color w:val="auto"/>
                <w:sz w:val="24"/>
                <w:szCs w:val="24"/>
                <w:highlight w:val="none"/>
              </w:rPr>
            </w:pPr>
          </w:p>
        </w:tc>
      </w:tr>
      <w:tr w14:paraId="2298E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669AD67A">
            <w:pPr>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服务要求</w:t>
            </w:r>
          </w:p>
        </w:tc>
        <w:tc>
          <w:tcPr>
            <w:tcW w:w="6660" w:type="dxa"/>
            <w:tcBorders>
              <w:top w:val="single" w:color="auto" w:sz="6" w:space="0"/>
              <w:left w:val="single" w:color="auto" w:sz="6" w:space="0"/>
              <w:bottom w:val="single" w:color="auto" w:sz="6" w:space="0"/>
              <w:right w:val="single" w:color="auto" w:sz="12" w:space="0"/>
            </w:tcBorders>
            <w:vAlign w:val="center"/>
          </w:tcPr>
          <w:p w14:paraId="5D22FEE1">
            <w:pPr>
              <w:rPr>
                <w:rFonts w:hint="eastAsia" w:asciiTheme="minorEastAsia" w:hAnsiTheme="minorEastAsia"/>
                <w:color w:val="auto"/>
                <w:sz w:val="24"/>
                <w:szCs w:val="24"/>
                <w:highlight w:val="none"/>
              </w:rPr>
            </w:pPr>
          </w:p>
        </w:tc>
      </w:tr>
      <w:tr w14:paraId="6D334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50011FF8">
            <w:pPr>
              <w:jc w:val="center"/>
              <w:rPr>
                <w:rFonts w:hint="eastAsia" w:asciiTheme="minorEastAsia" w:hAnsiTheme="minorEastAsia"/>
                <w:color w:val="auto"/>
                <w:sz w:val="24"/>
                <w:szCs w:val="24"/>
                <w:highlight w:val="none"/>
              </w:rPr>
            </w:pPr>
            <w:r>
              <w:rPr>
                <w:rFonts w:hint="eastAsia" w:ascii="宋体" w:hAnsi="宋体" w:cs="宋体"/>
                <w:color w:val="auto"/>
                <w:sz w:val="24"/>
                <w:szCs w:val="24"/>
                <w:highlight w:val="none"/>
              </w:rPr>
              <w:t>服务地点</w:t>
            </w:r>
          </w:p>
        </w:tc>
        <w:tc>
          <w:tcPr>
            <w:tcW w:w="6660" w:type="dxa"/>
            <w:tcBorders>
              <w:top w:val="single" w:color="auto" w:sz="6" w:space="0"/>
              <w:left w:val="single" w:color="auto" w:sz="6" w:space="0"/>
              <w:bottom w:val="single" w:color="auto" w:sz="6" w:space="0"/>
              <w:right w:val="single" w:color="auto" w:sz="12" w:space="0"/>
            </w:tcBorders>
            <w:vAlign w:val="center"/>
          </w:tcPr>
          <w:p w14:paraId="2A1285AC">
            <w:pPr>
              <w:rPr>
                <w:rFonts w:hint="eastAsia" w:asciiTheme="minorEastAsia" w:hAnsiTheme="minorEastAsia"/>
                <w:color w:val="auto"/>
                <w:sz w:val="24"/>
                <w:szCs w:val="24"/>
                <w:highlight w:val="none"/>
              </w:rPr>
            </w:pPr>
          </w:p>
        </w:tc>
      </w:tr>
      <w:tr w14:paraId="4136B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5E11693C">
            <w:pPr>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磋商有效期</w:t>
            </w:r>
          </w:p>
        </w:tc>
        <w:tc>
          <w:tcPr>
            <w:tcW w:w="6660" w:type="dxa"/>
            <w:tcBorders>
              <w:top w:val="single" w:color="auto" w:sz="6" w:space="0"/>
              <w:left w:val="single" w:color="auto" w:sz="6" w:space="0"/>
              <w:bottom w:val="single" w:color="auto" w:sz="6" w:space="0"/>
              <w:right w:val="single" w:color="auto" w:sz="12" w:space="0"/>
            </w:tcBorders>
            <w:vAlign w:val="center"/>
          </w:tcPr>
          <w:p w14:paraId="5CFF1789">
            <w:pPr>
              <w:rPr>
                <w:rFonts w:hint="eastAsia" w:asciiTheme="minorEastAsia" w:hAnsiTheme="minorEastAsia"/>
                <w:color w:val="auto"/>
                <w:sz w:val="24"/>
                <w:szCs w:val="24"/>
                <w:highlight w:val="none"/>
              </w:rPr>
            </w:pPr>
          </w:p>
        </w:tc>
      </w:tr>
      <w:tr w14:paraId="77F53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2CDA8F91">
            <w:pPr>
              <w:jc w:val="center"/>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项目联系人及联系方式</w:t>
            </w:r>
          </w:p>
        </w:tc>
        <w:tc>
          <w:tcPr>
            <w:tcW w:w="6660" w:type="dxa"/>
            <w:tcBorders>
              <w:top w:val="single" w:color="auto" w:sz="6" w:space="0"/>
              <w:left w:val="single" w:color="auto" w:sz="6" w:space="0"/>
              <w:bottom w:val="single" w:color="auto" w:sz="6" w:space="0"/>
              <w:right w:val="single" w:color="auto" w:sz="12" w:space="0"/>
            </w:tcBorders>
            <w:vAlign w:val="center"/>
          </w:tcPr>
          <w:p w14:paraId="4627E205">
            <w:pPr>
              <w:rPr>
                <w:rFonts w:hint="eastAsia" w:asciiTheme="minorEastAsia" w:hAnsiTheme="minorEastAsia"/>
                <w:color w:val="auto"/>
                <w:sz w:val="24"/>
                <w:szCs w:val="24"/>
                <w:highlight w:val="none"/>
              </w:rPr>
            </w:pPr>
          </w:p>
        </w:tc>
      </w:tr>
      <w:tr w14:paraId="1B0D0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502" w:type="dxa"/>
            <w:tcBorders>
              <w:top w:val="single" w:color="auto" w:sz="6" w:space="0"/>
              <w:left w:val="single" w:color="auto" w:sz="12" w:space="0"/>
              <w:bottom w:val="single" w:color="auto" w:sz="12" w:space="0"/>
              <w:right w:val="single" w:color="auto" w:sz="6" w:space="0"/>
            </w:tcBorders>
            <w:vAlign w:val="center"/>
          </w:tcPr>
          <w:p w14:paraId="6BE8BE9A">
            <w:pPr>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备注</w:t>
            </w:r>
          </w:p>
        </w:tc>
        <w:tc>
          <w:tcPr>
            <w:tcW w:w="6660" w:type="dxa"/>
            <w:tcBorders>
              <w:top w:val="single" w:color="auto" w:sz="6" w:space="0"/>
              <w:left w:val="single" w:color="auto" w:sz="6" w:space="0"/>
              <w:bottom w:val="single" w:color="auto" w:sz="12" w:space="0"/>
              <w:right w:val="single" w:color="auto" w:sz="12" w:space="0"/>
            </w:tcBorders>
            <w:vAlign w:val="center"/>
          </w:tcPr>
          <w:p w14:paraId="5AE4FB93">
            <w:pPr>
              <w:jc w:val="center"/>
              <w:rPr>
                <w:rFonts w:hint="eastAsia" w:asciiTheme="minorEastAsia" w:hAnsiTheme="minorEastAsia"/>
                <w:color w:val="auto"/>
                <w:sz w:val="24"/>
                <w:szCs w:val="24"/>
                <w:highlight w:val="none"/>
              </w:rPr>
            </w:pPr>
          </w:p>
          <w:p w14:paraId="1D942A52">
            <w:pPr>
              <w:jc w:val="both"/>
              <w:rPr>
                <w:rFonts w:hint="eastAsia" w:asciiTheme="minorEastAsia" w:hAnsiTheme="minorEastAsia"/>
                <w:color w:val="auto"/>
                <w:sz w:val="24"/>
                <w:szCs w:val="24"/>
                <w:highlight w:val="none"/>
              </w:rPr>
            </w:pPr>
          </w:p>
          <w:p w14:paraId="58283F30">
            <w:pPr>
              <w:rPr>
                <w:rFonts w:hint="eastAsia" w:asciiTheme="minorEastAsia" w:hAnsiTheme="minorEastAsia"/>
                <w:color w:val="auto"/>
                <w:sz w:val="24"/>
                <w:szCs w:val="24"/>
                <w:highlight w:val="none"/>
              </w:rPr>
            </w:pPr>
          </w:p>
        </w:tc>
      </w:tr>
    </w:tbl>
    <w:p w14:paraId="5D99035F">
      <w:pPr>
        <w:spacing w:line="360" w:lineRule="auto"/>
        <w:ind w:firstLine="420" w:firstLineChars="150"/>
        <w:jc w:val="right"/>
        <w:rPr>
          <w:rFonts w:hint="eastAsia" w:asciiTheme="minorEastAsia" w:hAnsiTheme="minorEastAsia"/>
          <w:color w:val="auto"/>
          <w:sz w:val="28"/>
          <w:szCs w:val="28"/>
          <w:highlight w:val="none"/>
        </w:rPr>
      </w:pPr>
    </w:p>
    <w:p w14:paraId="1D53CD57">
      <w:pPr>
        <w:spacing w:line="440" w:lineRule="exact"/>
        <w:ind w:firstLine="2400" w:firstLineChars="1000"/>
        <w:jc w:val="center"/>
        <w:rPr>
          <w:rFonts w:hint="eastAsia" w:ascii="宋体" w:hAnsi="宋体"/>
          <w:color w:val="auto"/>
          <w:sz w:val="24"/>
          <w:szCs w:val="24"/>
          <w:highlight w:val="none"/>
        </w:rPr>
      </w:pPr>
      <w:bookmarkStart w:id="118" w:name="_Toc10093"/>
      <w:bookmarkStart w:id="119" w:name="_Toc50564917"/>
      <w:bookmarkStart w:id="120" w:name="_Toc25552"/>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供应商名称：（签章）</w:t>
      </w:r>
    </w:p>
    <w:p w14:paraId="78AD0FFF">
      <w:pPr>
        <w:spacing w:line="360" w:lineRule="auto"/>
        <w:ind w:firstLine="2400" w:firstLineChars="1000"/>
        <w:jc w:val="right"/>
        <w:rPr>
          <w:rFonts w:hint="eastAsia" w:ascii="宋体" w:hAnsi="宋体"/>
          <w:color w:val="auto"/>
          <w:sz w:val="24"/>
          <w:highlight w:val="none"/>
        </w:rPr>
      </w:pPr>
      <w:r>
        <w:rPr>
          <w:rFonts w:hint="eastAsia" w:ascii="宋体" w:hAnsi="宋体"/>
          <w:color w:val="auto"/>
          <w:sz w:val="24"/>
          <w:highlight w:val="none"/>
        </w:rPr>
        <w:t>法定代表人：（电子签章）</w:t>
      </w:r>
    </w:p>
    <w:p w14:paraId="3CD89E9D">
      <w:pPr>
        <w:spacing w:line="480" w:lineRule="auto"/>
        <w:jc w:val="right"/>
        <w:rPr>
          <w:rFonts w:hint="eastAsia" w:asciiTheme="minorEastAsia" w:hAnsiTheme="minorEastAsia"/>
          <w:color w:val="auto"/>
          <w:sz w:val="24"/>
          <w:szCs w:val="24"/>
          <w:highlight w:val="none"/>
        </w:rPr>
      </w:pPr>
      <w:r>
        <w:rPr>
          <w:rFonts w:hint="eastAsia" w:asciiTheme="minorEastAsia" w:hAnsiTheme="minorEastAsia"/>
          <w:color w:val="auto"/>
          <w:spacing w:val="46"/>
          <w:sz w:val="24"/>
          <w:szCs w:val="24"/>
          <w:highlight w:val="none"/>
        </w:rPr>
        <w:t xml:space="preserve">日 期： 年 月 日 </w:t>
      </w:r>
    </w:p>
    <w:p w14:paraId="04E6340E">
      <w:pPr>
        <w:spacing w:line="360" w:lineRule="auto"/>
        <w:ind w:firstLine="422" w:firstLineChars="150"/>
        <w:jc w:val="right"/>
        <w:rPr>
          <w:rFonts w:hint="eastAsia" w:cs="宋体" w:asciiTheme="minorEastAsia" w:hAnsiTheme="minorEastAsia"/>
          <w:b/>
          <w:color w:val="auto"/>
          <w:sz w:val="28"/>
          <w:szCs w:val="28"/>
          <w:highlight w:val="none"/>
        </w:rPr>
      </w:pPr>
      <w:r>
        <w:rPr>
          <w:rFonts w:hint="eastAsia" w:cs="宋体" w:asciiTheme="minorEastAsia" w:hAnsiTheme="minorEastAsia"/>
          <w:b/>
          <w:color w:val="auto"/>
          <w:sz w:val="28"/>
          <w:szCs w:val="28"/>
          <w:highlight w:val="none"/>
        </w:rPr>
        <w:br w:type="page"/>
      </w:r>
    </w:p>
    <w:p w14:paraId="0E67B5BC">
      <w:pPr>
        <w:jc w:val="center"/>
        <w:outlineLvl w:val="1"/>
        <w:rPr>
          <w:rFonts w:hint="eastAsia" w:cs="宋体" w:asciiTheme="minorEastAsia" w:hAnsiTheme="minorEastAsia"/>
          <w:b/>
          <w:color w:val="auto"/>
          <w:sz w:val="28"/>
          <w:szCs w:val="28"/>
          <w:highlight w:val="none"/>
        </w:rPr>
      </w:pPr>
      <w:bookmarkStart w:id="121" w:name="_Toc21241"/>
      <w:bookmarkStart w:id="122" w:name="_Toc24313"/>
      <w:r>
        <w:rPr>
          <w:rFonts w:hint="eastAsia" w:cs="宋体" w:asciiTheme="minorEastAsia" w:hAnsiTheme="minorEastAsia"/>
          <w:b/>
          <w:color w:val="auto"/>
          <w:sz w:val="28"/>
          <w:szCs w:val="28"/>
          <w:highlight w:val="none"/>
          <w:lang w:val="en-US" w:eastAsia="zh-CN"/>
        </w:rPr>
        <w:t>四</w:t>
      </w:r>
      <w:r>
        <w:rPr>
          <w:rFonts w:hint="eastAsia" w:cs="宋体" w:asciiTheme="minorEastAsia" w:hAnsiTheme="minorEastAsia"/>
          <w:b/>
          <w:color w:val="auto"/>
          <w:sz w:val="28"/>
          <w:szCs w:val="28"/>
          <w:highlight w:val="none"/>
        </w:rPr>
        <w:t>、</w:t>
      </w:r>
      <w:r>
        <w:rPr>
          <w:rFonts w:cs="宋体" w:asciiTheme="minorEastAsia" w:hAnsiTheme="minorEastAsia"/>
          <w:b/>
          <w:color w:val="auto"/>
          <w:sz w:val="28"/>
          <w:szCs w:val="28"/>
          <w:highlight w:val="none"/>
        </w:rPr>
        <w:t>响应供应商基本情况表</w:t>
      </w:r>
      <w:bookmarkEnd w:id="118"/>
      <w:bookmarkEnd w:id="119"/>
      <w:bookmarkEnd w:id="121"/>
      <w:bookmarkEnd w:id="122"/>
    </w:p>
    <w:tbl>
      <w:tblPr>
        <w:tblStyle w:val="13"/>
        <w:tblW w:w="9259" w:type="dxa"/>
        <w:tblInd w:w="108" w:type="dxa"/>
        <w:tblLayout w:type="fixed"/>
        <w:tblCellMar>
          <w:top w:w="0" w:type="dxa"/>
          <w:left w:w="108" w:type="dxa"/>
          <w:bottom w:w="0" w:type="dxa"/>
          <w:right w:w="108" w:type="dxa"/>
        </w:tblCellMar>
      </w:tblPr>
      <w:tblGrid>
        <w:gridCol w:w="1923"/>
        <w:gridCol w:w="1046"/>
        <w:gridCol w:w="1552"/>
        <w:gridCol w:w="1416"/>
        <w:gridCol w:w="1217"/>
        <w:gridCol w:w="2105"/>
      </w:tblGrid>
      <w:tr w14:paraId="4A65CC67">
        <w:tblPrEx>
          <w:tblCellMar>
            <w:top w:w="0" w:type="dxa"/>
            <w:left w:w="108" w:type="dxa"/>
            <w:bottom w:w="0" w:type="dxa"/>
            <w:right w:w="108" w:type="dxa"/>
          </w:tblCellMar>
        </w:tblPrEx>
        <w:trPr>
          <w:trHeight w:val="728"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3BB3AD10">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供应商名称</w:t>
            </w:r>
          </w:p>
        </w:tc>
        <w:tc>
          <w:tcPr>
            <w:tcW w:w="7336" w:type="dxa"/>
            <w:gridSpan w:val="5"/>
            <w:tcBorders>
              <w:top w:val="single" w:color="000000" w:sz="4" w:space="0"/>
              <w:left w:val="single" w:color="000000" w:sz="4" w:space="0"/>
              <w:bottom w:val="single" w:color="000000" w:sz="4" w:space="0"/>
              <w:right w:val="single" w:color="000000" w:sz="4" w:space="0"/>
            </w:tcBorders>
            <w:noWrap/>
            <w:vAlign w:val="center"/>
          </w:tcPr>
          <w:p w14:paraId="77030864">
            <w:pPr>
              <w:jc w:val="center"/>
              <w:rPr>
                <w:rFonts w:hint="eastAsia" w:ascii="宋体" w:hAnsi="宋体" w:cs="楷体"/>
                <w:color w:val="auto"/>
                <w:kern w:val="1"/>
                <w:sz w:val="24"/>
                <w:szCs w:val="24"/>
                <w:highlight w:val="none"/>
              </w:rPr>
            </w:pPr>
          </w:p>
        </w:tc>
      </w:tr>
      <w:tr w14:paraId="63F7F646">
        <w:tblPrEx>
          <w:tblCellMar>
            <w:top w:w="0" w:type="dxa"/>
            <w:left w:w="108" w:type="dxa"/>
            <w:bottom w:w="0" w:type="dxa"/>
            <w:right w:w="108" w:type="dxa"/>
          </w:tblCellMar>
        </w:tblPrEx>
        <w:trPr>
          <w:trHeight w:val="568"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3E5F70CC">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注册地址</w:t>
            </w:r>
          </w:p>
        </w:tc>
        <w:tc>
          <w:tcPr>
            <w:tcW w:w="4014" w:type="dxa"/>
            <w:gridSpan w:val="3"/>
            <w:tcBorders>
              <w:top w:val="single" w:color="000000" w:sz="4" w:space="0"/>
              <w:left w:val="single" w:color="000000" w:sz="4" w:space="0"/>
              <w:bottom w:val="single" w:color="000000" w:sz="4" w:space="0"/>
              <w:right w:val="single" w:color="000000" w:sz="4" w:space="0"/>
            </w:tcBorders>
            <w:noWrap/>
            <w:vAlign w:val="center"/>
          </w:tcPr>
          <w:p w14:paraId="6E7712BB">
            <w:pPr>
              <w:jc w:val="center"/>
              <w:rPr>
                <w:rFonts w:hint="eastAsia" w:ascii="宋体" w:hAnsi="宋体" w:cs="楷体"/>
                <w:color w:val="auto"/>
                <w:kern w:val="1"/>
                <w:sz w:val="24"/>
                <w:szCs w:val="24"/>
                <w:highlight w:val="none"/>
              </w:rPr>
            </w:pP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9167ADB">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邮政编码</w:t>
            </w:r>
          </w:p>
        </w:tc>
        <w:tc>
          <w:tcPr>
            <w:tcW w:w="2105" w:type="dxa"/>
            <w:tcBorders>
              <w:top w:val="single" w:color="000000" w:sz="4" w:space="0"/>
              <w:left w:val="single" w:color="000000" w:sz="4" w:space="0"/>
              <w:bottom w:val="single" w:color="000000" w:sz="4" w:space="0"/>
              <w:right w:val="single" w:color="000000" w:sz="4" w:space="0"/>
            </w:tcBorders>
            <w:noWrap/>
            <w:vAlign w:val="center"/>
          </w:tcPr>
          <w:p w14:paraId="1E740531">
            <w:pPr>
              <w:jc w:val="center"/>
              <w:rPr>
                <w:rFonts w:hint="eastAsia" w:ascii="宋体" w:hAnsi="宋体" w:cs="楷体"/>
                <w:color w:val="auto"/>
                <w:kern w:val="1"/>
                <w:sz w:val="24"/>
                <w:szCs w:val="24"/>
                <w:highlight w:val="none"/>
              </w:rPr>
            </w:pPr>
          </w:p>
        </w:tc>
      </w:tr>
      <w:tr w14:paraId="2C04B0C7">
        <w:tblPrEx>
          <w:tblCellMar>
            <w:top w:w="0" w:type="dxa"/>
            <w:left w:w="108" w:type="dxa"/>
            <w:bottom w:w="0" w:type="dxa"/>
            <w:right w:w="108" w:type="dxa"/>
          </w:tblCellMar>
        </w:tblPrEx>
        <w:trPr>
          <w:trHeight w:val="713" w:hRule="atLeast"/>
        </w:trPr>
        <w:tc>
          <w:tcPr>
            <w:tcW w:w="1923" w:type="dxa"/>
            <w:vMerge w:val="restart"/>
            <w:tcBorders>
              <w:top w:val="single" w:color="000000" w:sz="4" w:space="0"/>
              <w:left w:val="single" w:color="000000" w:sz="4" w:space="0"/>
              <w:bottom w:val="single" w:color="000000" w:sz="4" w:space="0"/>
              <w:right w:val="single" w:color="000000" w:sz="4" w:space="0"/>
            </w:tcBorders>
            <w:noWrap/>
            <w:vAlign w:val="center"/>
          </w:tcPr>
          <w:p w14:paraId="3AAFD497">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联系方式</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067B73AF">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联系人</w:t>
            </w:r>
          </w:p>
        </w:tc>
        <w:tc>
          <w:tcPr>
            <w:tcW w:w="2968" w:type="dxa"/>
            <w:gridSpan w:val="2"/>
            <w:tcBorders>
              <w:top w:val="single" w:color="000000" w:sz="4" w:space="0"/>
              <w:left w:val="single" w:color="000000" w:sz="4" w:space="0"/>
              <w:bottom w:val="single" w:color="000000" w:sz="4" w:space="0"/>
              <w:right w:val="single" w:color="000000" w:sz="4" w:space="0"/>
            </w:tcBorders>
            <w:noWrap/>
            <w:vAlign w:val="center"/>
          </w:tcPr>
          <w:p w14:paraId="4911B759">
            <w:pPr>
              <w:jc w:val="center"/>
              <w:rPr>
                <w:rFonts w:hint="eastAsia" w:ascii="宋体" w:hAnsi="宋体" w:cs="楷体"/>
                <w:color w:val="auto"/>
                <w:kern w:val="1"/>
                <w:sz w:val="24"/>
                <w:szCs w:val="24"/>
                <w:highlight w:val="none"/>
              </w:rPr>
            </w:pP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7B3A2B4">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电话</w:t>
            </w:r>
          </w:p>
        </w:tc>
        <w:tc>
          <w:tcPr>
            <w:tcW w:w="2105" w:type="dxa"/>
            <w:tcBorders>
              <w:top w:val="single" w:color="000000" w:sz="4" w:space="0"/>
              <w:left w:val="single" w:color="000000" w:sz="4" w:space="0"/>
              <w:bottom w:val="single" w:color="000000" w:sz="4" w:space="0"/>
              <w:right w:val="single" w:color="000000" w:sz="4" w:space="0"/>
            </w:tcBorders>
            <w:noWrap/>
            <w:vAlign w:val="center"/>
          </w:tcPr>
          <w:p w14:paraId="5175B745">
            <w:pPr>
              <w:jc w:val="center"/>
              <w:rPr>
                <w:rFonts w:hint="eastAsia" w:ascii="宋体" w:hAnsi="宋体" w:cs="楷体"/>
                <w:color w:val="auto"/>
                <w:kern w:val="1"/>
                <w:sz w:val="24"/>
                <w:szCs w:val="24"/>
                <w:highlight w:val="none"/>
              </w:rPr>
            </w:pPr>
          </w:p>
        </w:tc>
      </w:tr>
      <w:tr w14:paraId="33C11BF1">
        <w:tblPrEx>
          <w:tblCellMar>
            <w:top w:w="0" w:type="dxa"/>
            <w:left w:w="108" w:type="dxa"/>
            <w:bottom w:w="0" w:type="dxa"/>
            <w:right w:w="108" w:type="dxa"/>
          </w:tblCellMar>
        </w:tblPrEx>
        <w:trPr>
          <w:trHeight w:val="729" w:hRule="atLeast"/>
        </w:trPr>
        <w:tc>
          <w:tcPr>
            <w:tcW w:w="1923" w:type="dxa"/>
            <w:vMerge w:val="continue"/>
            <w:tcBorders>
              <w:top w:val="single" w:color="000000" w:sz="4" w:space="0"/>
              <w:left w:val="single" w:color="000000" w:sz="4" w:space="0"/>
              <w:bottom w:val="single" w:color="000000" w:sz="4" w:space="0"/>
              <w:right w:val="single" w:color="000000" w:sz="4" w:space="0"/>
            </w:tcBorders>
            <w:noWrap/>
            <w:vAlign w:val="center"/>
          </w:tcPr>
          <w:p w14:paraId="4AFE8C8C">
            <w:pPr>
              <w:rPr>
                <w:rFonts w:hint="eastAsia" w:ascii="宋体" w:hAnsi="宋体" w:cs="楷体"/>
                <w:color w:val="auto"/>
                <w:kern w:val="1"/>
                <w:sz w:val="24"/>
                <w:szCs w:val="24"/>
                <w:highlight w:val="none"/>
              </w:rPr>
            </w:pP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2262B0ED">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传真</w:t>
            </w:r>
          </w:p>
        </w:tc>
        <w:tc>
          <w:tcPr>
            <w:tcW w:w="2968" w:type="dxa"/>
            <w:gridSpan w:val="2"/>
            <w:tcBorders>
              <w:top w:val="single" w:color="000000" w:sz="4" w:space="0"/>
              <w:left w:val="single" w:color="000000" w:sz="4" w:space="0"/>
              <w:bottom w:val="single" w:color="000000" w:sz="4" w:space="0"/>
              <w:right w:val="single" w:color="000000" w:sz="4" w:space="0"/>
            </w:tcBorders>
            <w:noWrap/>
            <w:vAlign w:val="center"/>
          </w:tcPr>
          <w:p w14:paraId="3F2A3450">
            <w:pPr>
              <w:jc w:val="center"/>
              <w:rPr>
                <w:rFonts w:hint="eastAsia" w:ascii="宋体" w:hAnsi="宋体" w:cs="楷体"/>
                <w:color w:val="auto"/>
                <w:kern w:val="1"/>
                <w:sz w:val="24"/>
                <w:szCs w:val="24"/>
                <w:highlight w:val="none"/>
              </w:rPr>
            </w:pP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125AE17">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邮箱</w:t>
            </w:r>
          </w:p>
        </w:tc>
        <w:tc>
          <w:tcPr>
            <w:tcW w:w="2105" w:type="dxa"/>
            <w:tcBorders>
              <w:top w:val="single" w:color="000000" w:sz="4" w:space="0"/>
              <w:left w:val="single" w:color="000000" w:sz="4" w:space="0"/>
              <w:bottom w:val="single" w:color="000000" w:sz="4" w:space="0"/>
              <w:right w:val="single" w:color="000000" w:sz="4" w:space="0"/>
            </w:tcBorders>
            <w:noWrap/>
            <w:vAlign w:val="center"/>
          </w:tcPr>
          <w:p w14:paraId="2D9477B5">
            <w:pPr>
              <w:jc w:val="center"/>
              <w:rPr>
                <w:rFonts w:hint="eastAsia" w:ascii="宋体" w:hAnsi="宋体" w:cs="楷体"/>
                <w:color w:val="auto"/>
                <w:kern w:val="1"/>
                <w:sz w:val="24"/>
                <w:szCs w:val="24"/>
                <w:highlight w:val="none"/>
              </w:rPr>
            </w:pPr>
          </w:p>
        </w:tc>
      </w:tr>
      <w:tr w14:paraId="0A41C425">
        <w:tblPrEx>
          <w:tblCellMar>
            <w:top w:w="0" w:type="dxa"/>
            <w:left w:w="108" w:type="dxa"/>
            <w:bottom w:w="0" w:type="dxa"/>
            <w:right w:w="108" w:type="dxa"/>
          </w:tblCellMar>
        </w:tblPrEx>
        <w:trPr>
          <w:trHeight w:val="714"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37849E65">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法定代表人</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75BD4980">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姓名</w:t>
            </w:r>
          </w:p>
        </w:tc>
        <w:tc>
          <w:tcPr>
            <w:tcW w:w="2968" w:type="dxa"/>
            <w:gridSpan w:val="2"/>
            <w:tcBorders>
              <w:top w:val="single" w:color="000000" w:sz="4" w:space="0"/>
              <w:left w:val="single" w:color="000000" w:sz="4" w:space="0"/>
              <w:bottom w:val="single" w:color="000000" w:sz="4" w:space="0"/>
              <w:right w:val="single" w:color="000000" w:sz="4" w:space="0"/>
            </w:tcBorders>
            <w:noWrap/>
            <w:vAlign w:val="center"/>
          </w:tcPr>
          <w:p w14:paraId="64DF2A2C">
            <w:pPr>
              <w:jc w:val="center"/>
              <w:rPr>
                <w:rFonts w:hint="eastAsia" w:ascii="宋体" w:hAnsi="宋体" w:cs="楷体"/>
                <w:color w:val="auto"/>
                <w:kern w:val="1"/>
                <w:sz w:val="24"/>
                <w:szCs w:val="24"/>
                <w:highlight w:val="none"/>
              </w:rPr>
            </w:pP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061C49B">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电话</w:t>
            </w:r>
          </w:p>
        </w:tc>
        <w:tc>
          <w:tcPr>
            <w:tcW w:w="2105" w:type="dxa"/>
            <w:tcBorders>
              <w:top w:val="single" w:color="000000" w:sz="4" w:space="0"/>
              <w:left w:val="single" w:color="000000" w:sz="4" w:space="0"/>
              <w:bottom w:val="single" w:color="000000" w:sz="4" w:space="0"/>
              <w:right w:val="single" w:color="000000" w:sz="4" w:space="0"/>
            </w:tcBorders>
            <w:noWrap/>
            <w:vAlign w:val="center"/>
          </w:tcPr>
          <w:p w14:paraId="6B572C0C">
            <w:pPr>
              <w:jc w:val="center"/>
              <w:rPr>
                <w:rFonts w:hint="eastAsia" w:ascii="宋体" w:hAnsi="宋体" w:cs="楷体"/>
                <w:color w:val="auto"/>
                <w:kern w:val="1"/>
                <w:sz w:val="24"/>
                <w:szCs w:val="24"/>
                <w:highlight w:val="none"/>
              </w:rPr>
            </w:pPr>
          </w:p>
        </w:tc>
      </w:tr>
      <w:tr w14:paraId="2D80DA5D">
        <w:tblPrEx>
          <w:tblCellMar>
            <w:top w:w="0" w:type="dxa"/>
            <w:left w:w="108" w:type="dxa"/>
            <w:bottom w:w="0" w:type="dxa"/>
            <w:right w:w="108" w:type="dxa"/>
          </w:tblCellMar>
        </w:tblPrEx>
        <w:trPr>
          <w:trHeight w:val="728"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5E40E5D8">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成立时间</w:t>
            </w:r>
          </w:p>
        </w:tc>
        <w:tc>
          <w:tcPr>
            <w:tcW w:w="2598" w:type="dxa"/>
            <w:gridSpan w:val="2"/>
            <w:tcBorders>
              <w:top w:val="single" w:color="000000" w:sz="4" w:space="0"/>
              <w:left w:val="single" w:color="000000" w:sz="4" w:space="0"/>
              <w:bottom w:val="single" w:color="000000" w:sz="4" w:space="0"/>
              <w:right w:val="single" w:color="000000" w:sz="4" w:space="0"/>
            </w:tcBorders>
            <w:noWrap/>
            <w:vAlign w:val="center"/>
          </w:tcPr>
          <w:p w14:paraId="7ABE7AB0">
            <w:pPr>
              <w:jc w:val="center"/>
              <w:rPr>
                <w:rFonts w:hint="eastAsia" w:ascii="宋体" w:hAnsi="宋体" w:cs="楷体"/>
                <w:color w:val="auto"/>
                <w:kern w:val="1"/>
                <w:sz w:val="24"/>
                <w:szCs w:val="24"/>
                <w:highlight w:val="none"/>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875AF5D">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员工总人数</w:t>
            </w:r>
          </w:p>
        </w:tc>
        <w:tc>
          <w:tcPr>
            <w:tcW w:w="3322" w:type="dxa"/>
            <w:gridSpan w:val="2"/>
            <w:tcBorders>
              <w:top w:val="single" w:color="000000" w:sz="4" w:space="0"/>
              <w:left w:val="single" w:color="000000" w:sz="4" w:space="0"/>
              <w:bottom w:val="single" w:color="000000" w:sz="4" w:space="0"/>
              <w:right w:val="single" w:color="000000" w:sz="4" w:space="0"/>
            </w:tcBorders>
            <w:noWrap/>
            <w:vAlign w:val="center"/>
          </w:tcPr>
          <w:p w14:paraId="277F09DD">
            <w:pPr>
              <w:jc w:val="center"/>
              <w:rPr>
                <w:rFonts w:hint="eastAsia" w:ascii="宋体" w:hAnsi="宋体" w:cs="楷体"/>
                <w:color w:val="auto"/>
                <w:kern w:val="1"/>
                <w:sz w:val="24"/>
                <w:szCs w:val="24"/>
                <w:highlight w:val="none"/>
              </w:rPr>
            </w:pPr>
          </w:p>
        </w:tc>
      </w:tr>
      <w:tr w14:paraId="76BD1902">
        <w:tblPrEx>
          <w:tblCellMar>
            <w:top w:w="0" w:type="dxa"/>
            <w:left w:w="108" w:type="dxa"/>
            <w:bottom w:w="0" w:type="dxa"/>
            <w:right w:w="108" w:type="dxa"/>
          </w:tblCellMar>
        </w:tblPrEx>
        <w:trPr>
          <w:trHeight w:val="903"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7B7670FF">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统一社会信用代码</w:t>
            </w:r>
          </w:p>
        </w:tc>
        <w:tc>
          <w:tcPr>
            <w:tcW w:w="7336" w:type="dxa"/>
            <w:gridSpan w:val="5"/>
            <w:tcBorders>
              <w:top w:val="single" w:color="000000" w:sz="4" w:space="0"/>
              <w:left w:val="single" w:color="000000" w:sz="4" w:space="0"/>
              <w:bottom w:val="single" w:color="000000" w:sz="4" w:space="0"/>
              <w:right w:val="single" w:color="000000" w:sz="4" w:space="0"/>
            </w:tcBorders>
            <w:noWrap/>
            <w:vAlign w:val="center"/>
          </w:tcPr>
          <w:p w14:paraId="2368637B">
            <w:pPr>
              <w:jc w:val="center"/>
              <w:rPr>
                <w:rFonts w:hint="eastAsia" w:ascii="宋体" w:hAnsi="宋体" w:cs="楷体"/>
                <w:color w:val="auto"/>
                <w:kern w:val="1"/>
                <w:sz w:val="24"/>
                <w:szCs w:val="24"/>
                <w:highlight w:val="none"/>
              </w:rPr>
            </w:pPr>
          </w:p>
        </w:tc>
      </w:tr>
      <w:tr w14:paraId="1AF7D627">
        <w:tblPrEx>
          <w:tblCellMar>
            <w:top w:w="0" w:type="dxa"/>
            <w:left w:w="108" w:type="dxa"/>
            <w:bottom w:w="0" w:type="dxa"/>
            <w:right w:w="108" w:type="dxa"/>
          </w:tblCellMar>
        </w:tblPrEx>
        <w:trPr>
          <w:trHeight w:val="743"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4F754BD3">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注册资金</w:t>
            </w:r>
          </w:p>
        </w:tc>
        <w:tc>
          <w:tcPr>
            <w:tcW w:w="7336" w:type="dxa"/>
            <w:gridSpan w:val="5"/>
            <w:tcBorders>
              <w:top w:val="single" w:color="000000" w:sz="4" w:space="0"/>
              <w:left w:val="single" w:color="000000" w:sz="4" w:space="0"/>
              <w:bottom w:val="single" w:color="000000" w:sz="4" w:space="0"/>
              <w:right w:val="single" w:color="000000" w:sz="4" w:space="0"/>
            </w:tcBorders>
            <w:noWrap/>
            <w:vAlign w:val="center"/>
          </w:tcPr>
          <w:p w14:paraId="2A33A96F">
            <w:pPr>
              <w:jc w:val="center"/>
              <w:rPr>
                <w:rFonts w:hint="eastAsia" w:ascii="宋体" w:hAnsi="宋体" w:cs="楷体"/>
                <w:color w:val="auto"/>
                <w:kern w:val="1"/>
                <w:sz w:val="24"/>
                <w:szCs w:val="24"/>
                <w:highlight w:val="none"/>
              </w:rPr>
            </w:pPr>
          </w:p>
        </w:tc>
      </w:tr>
      <w:tr w14:paraId="0005E125">
        <w:tblPrEx>
          <w:tblCellMar>
            <w:top w:w="0" w:type="dxa"/>
            <w:left w:w="108" w:type="dxa"/>
            <w:bottom w:w="0" w:type="dxa"/>
            <w:right w:w="108" w:type="dxa"/>
          </w:tblCellMar>
        </w:tblPrEx>
        <w:trPr>
          <w:trHeight w:val="903"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30DF4CF1">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开户银行</w:t>
            </w:r>
          </w:p>
        </w:tc>
        <w:tc>
          <w:tcPr>
            <w:tcW w:w="7336" w:type="dxa"/>
            <w:gridSpan w:val="5"/>
            <w:tcBorders>
              <w:top w:val="single" w:color="000000" w:sz="4" w:space="0"/>
              <w:left w:val="single" w:color="000000" w:sz="4" w:space="0"/>
              <w:bottom w:val="single" w:color="000000" w:sz="4" w:space="0"/>
              <w:right w:val="single" w:color="000000" w:sz="4" w:space="0"/>
            </w:tcBorders>
            <w:noWrap/>
            <w:vAlign w:val="center"/>
          </w:tcPr>
          <w:p w14:paraId="3C2F5CBF">
            <w:pPr>
              <w:jc w:val="center"/>
              <w:rPr>
                <w:rFonts w:hint="eastAsia" w:ascii="宋体" w:hAnsi="宋体" w:cs="楷体"/>
                <w:color w:val="auto"/>
                <w:kern w:val="1"/>
                <w:sz w:val="24"/>
                <w:szCs w:val="24"/>
                <w:highlight w:val="none"/>
              </w:rPr>
            </w:pPr>
          </w:p>
        </w:tc>
      </w:tr>
      <w:tr w14:paraId="090176C3">
        <w:tblPrEx>
          <w:tblCellMar>
            <w:top w:w="0" w:type="dxa"/>
            <w:left w:w="108" w:type="dxa"/>
            <w:bottom w:w="0" w:type="dxa"/>
            <w:right w:w="108" w:type="dxa"/>
          </w:tblCellMar>
        </w:tblPrEx>
        <w:trPr>
          <w:trHeight w:val="729"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7C9B0AD3">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账号</w:t>
            </w:r>
          </w:p>
        </w:tc>
        <w:tc>
          <w:tcPr>
            <w:tcW w:w="7336" w:type="dxa"/>
            <w:gridSpan w:val="5"/>
            <w:tcBorders>
              <w:top w:val="single" w:color="000000" w:sz="4" w:space="0"/>
              <w:left w:val="single" w:color="000000" w:sz="4" w:space="0"/>
              <w:bottom w:val="single" w:color="000000" w:sz="4" w:space="0"/>
              <w:right w:val="single" w:color="000000" w:sz="4" w:space="0"/>
            </w:tcBorders>
            <w:noWrap/>
            <w:vAlign w:val="center"/>
          </w:tcPr>
          <w:p w14:paraId="131ADF9E">
            <w:pPr>
              <w:jc w:val="center"/>
              <w:rPr>
                <w:rFonts w:hint="eastAsia" w:ascii="宋体" w:hAnsi="宋体" w:cs="楷体"/>
                <w:color w:val="auto"/>
                <w:kern w:val="1"/>
                <w:sz w:val="24"/>
                <w:szCs w:val="24"/>
                <w:highlight w:val="none"/>
              </w:rPr>
            </w:pPr>
          </w:p>
        </w:tc>
      </w:tr>
      <w:tr w14:paraId="29FA2213">
        <w:tblPrEx>
          <w:tblCellMar>
            <w:top w:w="0" w:type="dxa"/>
            <w:left w:w="108" w:type="dxa"/>
            <w:bottom w:w="0" w:type="dxa"/>
            <w:right w:w="108" w:type="dxa"/>
          </w:tblCellMar>
        </w:tblPrEx>
        <w:trPr>
          <w:trHeight w:val="1891"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1835B976">
            <w:pPr>
              <w:spacing w:line="420" w:lineRule="auto"/>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经营范围</w:t>
            </w:r>
          </w:p>
        </w:tc>
        <w:tc>
          <w:tcPr>
            <w:tcW w:w="7336" w:type="dxa"/>
            <w:gridSpan w:val="5"/>
            <w:tcBorders>
              <w:top w:val="single" w:color="000000" w:sz="4" w:space="0"/>
              <w:left w:val="single" w:color="000000" w:sz="4" w:space="0"/>
              <w:bottom w:val="single" w:color="000000" w:sz="4" w:space="0"/>
              <w:right w:val="single" w:color="000000" w:sz="4" w:space="0"/>
            </w:tcBorders>
            <w:noWrap/>
            <w:vAlign w:val="center"/>
          </w:tcPr>
          <w:p w14:paraId="60189432">
            <w:pPr>
              <w:spacing w:line="420" w:lineRule="auto"/>
              <w:ind w:firstLine="480"/>
              <w:jc w:val="center"/>
              <w:rPr>
                <w:rFonts w:hint="eastAsia" w:ascii="宋体" w:hAnsi="宋体" w:cs="楷体"/>
                <w:color w:val="auto"/>
                <w:kern w:val="1"/>
                <w:sz w:val="24"/>
                <w:szCs w:val="24"/>
                <w:highlight w:val="none"/>
              </w:rPr>
            </w:pPr>
          </w:p>
        </w:tc>
      </w:tr>
    </w:tbl>
    <w:p w14:paraId="53D79C66">
      <w:pPr>
        <w:jc w:val="center"/>
        <w:outlineLvl w:val="1"/>
        <w:rPr>
          <w:rFonts w:hint="eastAsia" w:ascii="宋体" w:hAnsi="宋体" w:eastAsia="宋体" w:cs="宋体"/>
          <w:color w:val="auto"/>
          <w:sz w:val="24"/>
          <w:szCs w:val="24"/>
          <w:highlight w:val="none"/>
          <w:lang w:val="en-US" w:eastAsia="zh-CN"/>
        </w:rPr>
      </w:pPr>
      <w:r>
        <w:rPr>
          <w:rFonts w:cs="宋体" w:asciiTheme="minorEastAsia" w:hAnsiTheme="minorEastAsia"/>
          <w:color w:val="auto"/>
          <w:sz w:val="28"/>
          <w:szCs w:val="28"/>
          <w:highlight w:val="none"/>
        </w:rPr>
        <w:br w:type="page"/>
      </w:r>
      <w:r>
        <w:rPr>
          <w:rFonts w:hint="eastAsia" w:cs="宋体" w:asciiTheme="minorEastAsia" w:hAnsiTheme="minorEastAsia"/>
          <w:color w:val="auto"/>
          <w:sz w:val="28"/>
          <w:szCs w:val="28"/>
          <w:highlight w:val="none"/>
          <w:lang w:val="en-US" w:eastAsia="zh-CN"/>
        </w:rPr>
        <w:t>五</w:t>
      </w:r>
      <w:r>
        <w:rPr>
          <w:rFonts w:hint="eastAsia" w:cs="宋体" w:asciiTheme="minorEastAsia" w:hAnsiTheme="minorEastAsia"/>
          <w:b/>
          <w:color w:val="auto"/>
          <w:sz w:val="28"/>
          <w:szCs w:val="28"/>
          <w:highlight w:val="none"/>
          <w:lang w:val="en-US" w:eastAsia="zh-CN"/>
        </w:rPr>
        <w:t>、供应商做过的类似项目业绩</w:t>
      </w:r>
    </w:p>
    <w:tbl>
      <w:tblPr>
        <w:tblStyle w:val="13"/>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644"/>
        <w:gridCol w:w="2361"/>
        <w:gridCol w:w="1905"/>
        <w:gridCol w:w="1903"/>
      </w:tblGrid>
      <w:tr w14:paraId="28A7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09" w:type="dxa"/>
            <w:noWrap/>
            <w:vAlign w:val="center"/>
          </w:tcPr>
          <w:p w14:paraId="39E8F032">
            <w:pPr>
              <w:spacing w:line="360" w:lineRule="auto"/>
              <w:jc w:val="center"/>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序号</w:t>
            </w:r>
          </w:p>
        </w:tc>
        <w:tc>
          <w:tcPr>
            <w:tcW w:w="1644" w:type="dxa"/>
            <w:noWrap/>
            <w:vAlign w:val="center"/>
          </w:tcPr>
          <w:p w14:paraId="750E9D21">
            <w:pPr>
              <w:spacing w:line="360" w:lineRule="auto"/>
              <w:jc w:val="center"/>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项目名称</w:t>
            </w:r>
          </w:p>
        </w:tc>
        <w:tc>
          <w:tcPr>
            <w:tcW w:w="2361" w:type="dxa"/>
            <w:noWrap/>
            <w:vAlign w:val="center"/>
          </w:tcPr>
          <w:p w14:paraId="47E636D6">
            <w:pPr>
              <w:spacing w:line="360" w:lineRule="auto"/>
              <w:jc w:val="center"/>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采购单位名称</w:t>
            </w:r>
          </w:p>
        </w:tc>
        <w:tc>
          <w:tcPr>
            <w:tcW w:w="1905" w:type="dxa"/>
            <w:noWrap/>
            <w:vAlign w:val="center"/>
          </w:tcPr>
          <w:p w14:paraId="66D6F686">
            <w:pPr>
              <w:spacing w:line="360" w:lineRule="auto"/>
              <w:jc w:val="center"/>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合同金额（元）</w:t>
            </w:r>
          </w:p>
        </w:tc>
        <w:tc>
          <w:tcPr>
            <w:tcW w:w="1903" w:type="dxa"/>
            <w:noWrap/>
            <w:vAlign w:val="center"/>
          </w:tcPr>
          <w:p w14:paraId="19A8A272">
            <w:pPr>
              <w:spacing w:line="360" w:lineRule="auto"/>
              <w:jc w:val="center"/>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合同签订时间</w:t>
            </w:r>
          </w:p>
        </w:tc>
      </w:tr>
      <w:tr w14:paraId="4BDE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09" w:type="dxa"/>
            <w:noWrap/>
            <w:vAlign w:val="center"/>
          </w:tcPr>
          <w:p w14:paraId="3CDA7283">
            <w:pPr>
              <w:spacing w:line="360" w:lineRule="auto"/>
              <w:jc w:val="center"/>
              <w:rPr>
                <w:rFonts w:hint="eastAsia" w:ascii="宋体" w:hAnsi="宋体"/>
                <w:b/>
                <w:bCs/>
                <w:color w:val="auto"/>
                <w:highlight w:val="none"/>
              </w:rPr>
            </w:pPr>
          </w:p>
        </w:tc>
        <w:tc>
          <w:tcPr>
            <w:tcW w:w="1644" w:type="dxa"/>
            <w:noWrap/>
            <w:vAlign w:val="center"/>
          </w:tcPr>
          <w:p w14:paraId="2367E68E">
            <w:pPr>
              <w:spacing w:line="360" w:lineRule="auto"/>
              <w:jc w:val="center"/>
              <w:rPr>
                <w:rFonts w:hint="eastAsia" w:ascii="宋体" w:hAnsi="宋体"/>
                <w:bCs/>
                <w:color w:val="auto"/>
                <w:highlight w:val="none"/>
              </w:rPr>
            </w:pPr>
          </w:p>
        </w:tc>
        <w:tc>
          <w:tcPr>
            <w:tcW w:w="2361" w:type="dxa"/>
            <w:noWrap/>
            <w:vAlign w:val="center"/>
          </w:tcPr>
          <w:p w14:paraId="6DA27E09">
            <w:pPr>
              <w:spacing w:line="360" w:lineRule="auto"/>
              <w:jc w:val="center"/>
              <w:rPr>
                <w:rFonts w:hint="eastAsia" w:ascii="宋体" w:hAnsi="宋体"/>
                <w:b/>
                <w:bCs/>
                <w:color w:val="auto"/>
                <w:highlight w:val="none"/>
              </w:rPr>
            </w:pPr>
          </w:p>
        </w:tc>
        <w:tc>
          <w:tcPr>
            <w:tcW w:w="1905" w:type="dxa"/>
            <w:noWrap/>
            <w:vAlign w:val="center"/>
          </w:tcPr>
          <w:p w14:paraId="0C30F326">
            <w:pPr>
              <w:spacing w:line="360" w:lineRule="auto"/>
              <w:jc w:val="center"/>
              <w:rPr>
                <w:rFonts w:hint="eastAsia" w:ascii="宋体" w:hAnsi="宋体"/>
                <w:b/>
                <w:bCs/>
                <w:color w:val="auto"/>
                <w:highlight w:val="none"/>
              </w:rPr>
            </w:pPr>
          </w:p>
        </w:tc>
        <w:tc>
          <w:tcPr>
            <w:tcW w:w="1903" w:type="dxa"/>
            <w:noWrap/>
            <w:vAlign w:val="center"/>
          </w:tcPr>
          <w:p w14:paraId="1FCCEA32">
            <w:pPr>
              <w:spacing w:line="360" w:lineRule="auto"/>
              <w:jc w:val="center"/>
              <w:rPr>
                <w:rFonts w:hint="eastAsia" w:ascii="宋体" w:hAnsi="宋体"/>
                <w:b/>
                <w:bCs/>
                <w:color w:val="auto"/>
                <w:highlight w:val="none"/>
              </w:rPr>
            </w:pPr>
          </w:p>
        </w:tc>
      </w:tr>
      <w:tr w14:paraId="7825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809" w:type="dxa"/>
            <w:noWrap/>
            <w:vAlign w:val="center"/>
          </w:tcPr>
          <w:p w14:paraId="2EFADD6B">
            <w:pPr>
              <w:spacing w:line="360" w:lineRule="auto"/>
              <w:jc w:val="center"/>
              <w:rPr>
                <w:rFonts w:hint="eastAsia" w:ascii="宋体" w:hAnsi="宋体"/>
                <w:b/>
                <w:bCs/>
                <w:color w:val="auto"/>
                <w:highlight w:val="none"/>
              </w:rPr>
            </w:pPr>
          </w:p>
        </w:tc>
        <w:tc>
          <w:tcPr>
            <w:tcW w:w="1644" w:type="dxa"/>
            <w:noWrap/>
            <w:vAlign w:val="center"/>
          </w:tcPr>
          <w:p w14:paraId="690D0CEA">
            <w:pPr>
              <w:spacing w:line="360" w:lineRule="auto"/>
              <w:jc w:val="center"/>
              <w:rPr>
                <w:rFonts w:hint="eastAsia" w:ascii="宋体" w:hAnsi="宋体"/>
                <w:b/>
                <w:bCs/>
                <w:color w:val="auto"/>
                <w:highlight w:val="none"/>
              </w:rPr>
            </w:pPr>
          </w:p>
        </w:tc>
        <w:tc>
          <w:tcPr>
            <w:tcW w:w="2361" w:type="dxa"/>
            <w:noWrap/>
            <w:vAlign w:val="center"/>
          </w:tcPr>
          <w:p w14:paraId="6E3173A0">
            <w:pPr>
              <w:spacing w:line="360" w:lineRule="auto"/>
              <w:jc w:val="center"/>
              <w:rPr>
                <w:rFonts w:hint="eastAsia" w:ascii="宋体" w:hAnsi="宋体"/>
                <w:b/>
                <w:bCs/>
                <w:color w:val="auto"/>
                <w:highlight w:val="none"/>
              </w:rPr>
            </w:pPr>
          </w:p>
        </w:tc>
        <w:tc>
          <w:tcPr>
            <w:tcW w:w="1905" w:type="dxa"/>
            <w:noWrap/>
            <w:vAlign w:val="center"/>
          </w:tcPr>
          <w:p w14:paraId="075A2DE4">
            <w:pPr>
              <w:spacing w:line="360" w:lineRule="auto"/>
              <w:jc w:val="center"/>
              <w:rPr>
                <w:rFonts w:hint="eastAsia" w:ascii="宋体" w:hAnsi="宋体"/>
                <w:b/>
                <w:bCs/>
                <w:color w:val="auto"/>
                <w:highlight w:val="none"/>
              </w:rPr>
            </w:pPr>
          </w:p>
        </w:tc>
        <w:tc>
          <w:tcPr>
            <w:tcW w:w="1903" w:type="dxa"/>
            <w:noWrap/>
            <w:vAlign w:val="center"/>
          </w:tcPr>
          <w:p w14:paraId="564AF493">
            <w:pPr>
              <w:spacing w:line="360" w:lineRule="auto"/>
              <w:jc w:val="center"/>
              <w:rPr>
                <w:rFonts w:hint="eastAsia" w:ascii="宋体" w:hAnsi="宋体"/>
                <w:b/>
                <w:bCs/>
                <w:color w:val="auto"/>
                <w:highlight w:val="none"/>
              </w:rPr>
            </w:pPr>
          </w:p>
        </w:tc>
      </w:tr>
      <w:tr w14:paraId="175A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09" w:type="dxa"/>
            <w:noWrap/>
            <w:vAlign w:val="center"/>
          </w:tcPr>
          <w:p w14:paraId="1C153C89">
            <w:pPr>
              <w:spacing w:line="360" w:lineRule="auto"/>
              <w:jc w:val="center"/>
              <w:rPr>
                <w:rFonts w:hint="eastAsia" w:ascii="宋体" w:hAnsi="宋体"/>
                <w:b/>
                <w:bCs/>
                <w:color w:val="auto"/>
                <w:highlight w:val="none"/>
              </w:rPr>
            </w:pPr>
          </w:p>
        </w:tc>
        <w:tc>
          <w:tcPr>
            <w:tcW w:w="1644" w:type="dxa"/>
            <w:noWrap/>
            <w:vAlign w:val="center"/>
          </w:tcPr>
          <w:p w14:paraId="75C01388">
            <w:pPr>
              <w:spacing w:line="360" w:lineRule="auto"/>
              <w:jc w:val="center"/>
              <w:rPr>
                <w:rFonts w:hint="eastAsia" w:ascii="宋体" w:hAnsi="宋体"/>
                <w:b/>
                <w:bCs/>
                <w:color w:val="auto"/>
                <w:highlight w:val="none"/>
              </w:rPr>
            </w:pPr>
          </w:p>
        </w:tc>
        <w:tc>
          <w:tcPr>
            <w:tcW w:w="2361" w:type="dxa"/>
            <w:noWrap/>
            <w:vAlign w:val="center"/>
          </w:tcPr>
          <w:p w14:paraId="0FFB5E6E">
            <w:pPr>
              <w:spacing w:line="360" w:lineRule="auto"/>
              <w:jc w:val="center"/>
              <w:rPr>
                <w:rFonts w:hint="eastAsia" w:ascii="宋体" w:hAnsi="宋体"/>
                <w:b/>
                <w:bCs/>
                <w:color w:val="auto"/>
                <w:highlight w:val="none"/>
              </w:rPr>
            </w:pPr>
          </w:p>
        </w:tc>
        <w:tc>
          <w:tcPr>
            <w:tcW w:w="1905" w:type="dxa"/>
            <w:noWrap/>
            <w:vAlign w:val="center"/>
          </w:tcPr>
          <w:p w14:paraId="224483C7">
            <w:pPr>
              <w:spacing w:line="360" w:lineRule="auto"/>
              <w:jc w:val="center"/>
              <w:rPr>
                <w:rFonts w:hint="eastAsia" w:ascii="宋体" w:hAnsi="宋体"/>
                <w:b/>
                <w:bCs/>
                <w:color w:val="auto"/>
                <w:highlight w:val="none"/>
              </w:rPr>
            </w:pPr>
          </w:p>
        </w:tc>
        <w:tc>
          <w:tcPr>
            <w:tcW w:w="1903" w:type="dxa"/>
            <w:noWrap/>
            <w:vAlign w:val="center"/>
          </w:tcPr>
          <w:p w14:paraId="5B1A6583">
            <w:pPr>
              <w:spacing w:line="360" w:lineRule="auto"/>
              <w:jc w:val="center"/>
              <w:rPr>
                <w:rFonts w:hint="eastAsia" w:ascii="宋体" w:hAnsi="宋体"/>
                <w:b/>
                <w:bCs/>
                <w:color w:val="auto"/>
                <w:highlight w:val="none"/>
              </w:rPr>
            </w:pPr>
          </w:p>
        </w:tc>
      </w:tr>
      <w:tr w14:paraId="63C1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809" w:type="dxa"/>
            <w:noWrap/>
            <w:vAlign w:val="center"/>
          </w:tcPr>
          <w:p w14:paraId="134DE148">
            <w:pPr>
              <w:spacing w:line="360" w:lineRule="auto"/>
              <w:jc w:val="center"/>
              <w:rPr>
                <w:rFonts w:hint="eastAsia" w:ascii="宋体" w:hAnsi="宋体"/>
                <w:b/>
                <w:bCs/>
                <w:color w:val="auto"/>
                <w:highlight w:val="none"/>
              </w:rPr>
            </w:pPr>
          </w:p>
        </w:tc>
        <w:tc>
          <w:tcPr>
            <w:tcW w:w="1644" w:type="dxa"/>
            <w:noWrap/>
            <w:vAlign w:val="center"/>
          </w:tcPr>
          <w:p w14:paraId="2DC84D71">
            <w:pPr>
              <w:spacing w:line="360" w:lineRule="auto"/>
              <w:jc w:val="center"/>
              <w:rPr>
                <w:rFonts w:hint="eastAsia" w:ascii="宋体" w:hAnsi="宋体"/>
                <w:b/>
                <w:bCs/>
                <w:color w:val="auto"/>
                <w:highlight w:val="none"/>
              </w:rPr>
            </w:pPr>
          </w:p>
        </w:tc>
        <w:tc>
          <w:tcPr>
            <w:tcW w:w="2361" w:type="dxa"/>
            <w:noWrap/>
            <w:vAlign w:val="center"/>
          </w:tcPr>
          <w:p w14:paraId="65568492">
            <w:pPr>
              <w:spacing w:line="360" w:lineRule="auto"/>
              <w:jc w:val="center"/>
              <w:rPr>
                <w:rFonts w:hint="eastAsia" w:ascii="宋体" w:hAnsi="宋体"/>
                <w:b/>
                <w:bCs/>
                <w:color w:val="auto"/>
                <w:highlight w:val="none"/>
              </w:rPr>
            </w:pPr>
          </w:p>
        </w:tc>
        <w:tc>
          <w:tcPr>
            <w:tcW w:w="1905" w:type="dxa"/>
            <w:noWrap/>
            <w:vAlign w:val="center"/>
          </w:tcPr>
          <w:p w14:paraId="40D38665">
            <w:pPr>
              <w:spacing w:line="360" w:lineRule="auto"/>
              <w:jc w:val="center"/>
              <w:rPr>
                <w:rFonts w:hint="eastAsia" w:ascii="宋体" w:hAnsi="宋体"/>
                <w:b/>
                <w:bCs/>
                <w:color w:val="auto"/>
                <w:highlight w:val="none"/>
              </w:rPr>
            </w:pPr>
          </w:p>
        </w:tc>
        <w:tc>
          <w:tcPr>
            <w:tcW w:w="1903" w:type="dxa"/>
            <w:noWrap/>
            <w:vAlign w:val="center"/>
          </w:tcPr>
          <w:p w14:paraId="4F9CC87B">
            <w:pPr>
              <w:spacing w:line="360" w:lineRule="auto"/>
              <w:jc w:val="center"/>
              <w:rPr>
                <w:rFonts w:hint="eastAsia" w:ascii="宋体" w:hAnsi="宋体"/>
                <w:b/>
                <w:bCs/>
                <w:color w:val="auto"/>
                <w:highlight w:val="none"/>
              </w:rPr>
            </w:pPr>
          </w:p>
        </w:tc>
      </w:tr>
      <w:tr w14:paraId="12F3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09" w:type="dxa"/>
            <w:noWrap/>
            <w:vAlign w:val="center"/>
          </w:tcPr>
          <w:p w14:paraId="40F361D3">
            <w:pPr>
              <w:spacing w:line="360" w:lineRule="auto"/>
              <w:jc w:val="center"/>
              <w:rPr>
                <w:rFonts w:hint="eastAsia" w:ascii="宋体" w:hAnsi="宋体"/>
                <w:b/>
                <w:bCs/>
                <w:color w:val="auto"/>
                <w:highlight w:val="none"/>
              </w:rPr>
            </w:pPr>
          </w:p>
        </w:tc>
        <w:tc>
          <w:tcPr>
            <w:tcW w:w="1644" w:type="dxa"/>
            <w:noWrap/>
            <w:vAlign w:val="center"/>
          </w:tcPr>
          <w:p w14:paraId="53FCAD66">
            <w:pPr>
              <w:spacing w:line="360" w:lineRule="auto"/>
              <w:jc w:val="center"/>
              <w:rPr>
                <w:rFonts w:hint="eastAsia" w:ascii="宋体" w:hAnsi="宋体"/>
                <w:b/>
                <w:bCs/>
                <w:color w:val="auto"/>
                <w:highlight w:val="none"/>
              </w:rPr>
            </w:pPr>
          </w:p>
        </w:tc>
        <w:tc>
          <w:tcPr>
            <w:tcW w:w="2361" w:type="dxa"/>
            <w:noWrap/>
            <w:vAlign w:val="center"/>
          </w:tcPr>
          <w:p w14:paraId="518F50B6">
            <w:pPr>
              <w:spacing w:line="360" w:lineRule="auto"/>
              <w:jc w:val="center"/>
              <w:rPr>
                <w:rFonts w:hint="eastAsia" w:ascii="宋体" w:hAnsi="宋体"/>
                <w:b/>
                <w:bCs/>
                <w:color w:val="auto"/>
                <w:highlight w:val="none"/>
              </w:rPr>
            </w:pPr>
          </w:p>
        </w:tc>
        <w:tc>
          <w:tcPr>
            <w:tcW w:w="1905" w:type="dxa"/>
            <w:noWrap/>
            <w:vAlign w:val="center"/>
          </w:tcPr>
          <w:p w14:paraId="7F827758">
            <w:pPr>
              <w:spacing w:line="360" w:lineRule="auto"/>
              <w:jc w:val="center"/>
              <w:rPr>
                <w:rFonts w:hint="eastAsia" w:ascii="宋体" w:hAnsi="宋体"/>
                <w:b/>
                <w:bCs/>
                <w:color w:val="auto"/>
                <w:highlight w:val="none"/>
              </w:rPr>
            </w:pPr>
          </w:p>
        </w:tc>
        <w:tc>
          <w:tcPr>
            <w:tcW w:w="1903" w:type="dxa"/>
            <w:noWrap/>
            <w:vAlign w:val="center"/>
          </w:tcPr>
          <w:p w14:paraId="070F0B79">
            <w:pPr>
              <w:spacing w:line="360" w:lineRule="auto"/>
              <w:jc w:val="center"/>
              <w:rPr>
                <w:rFonts w:hint="eastAsia" w:ascii="宋体" w:hAnsi="宋体"/>
                <w:b/>
                <w:bCs/>
                <w:color w:val="auto"/>
                <w:highlight w:val="none"/>
              </w:rPr>
            </w:pPr>
          </w:p>
        </w:tc>
      </w:tr>
      <w:tr w14:paraId="620E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6E18B84A">
            <w:pPr>
              <w:spacing w:line="360" w:lineRule="auto"/>
              <w:jc w:val="center"/>
              <w:rPr>
                <w:rFonts w:hint="eastAsia" w:ascii="宋体" w:hAnsi="宋体"/>
                <w:b/>
                <w:bCs/>
                <w:color w:val="auto"/>
                <w:highlight w:val="none"/>
              </w:rPr>
            </w:pPr>
          </w:p>
        </w:tc>
        <w:tc>
          <w:tcPr>
            <w:tcW w:w="1644" w:type="dxa"/>
            <w:noWrap/>
            <w:vAlign w:val="center"/>
          </w:tcPr>
          <w:p w14:paraId="4562CEA4">
            <w:pPr>
              <w:spacing w:line="360" w:lineRule="auto"/>
              <w:jc w:val="center"/>
              <w:rPr>
                <w:rFonts w:hint="eastAsia" w:ascii="宋体" w:hAnsi="宋体"/>
                <w:bCs/>
                <w:color w:val="auto"/>
                <w:highlight w:val="none"/>
              </w:rPr>
            </w:pPr>
          </w:p>
        </w:tc>
        <w:tc>
          <w:tcPr>
            <w:tcW w:w="2361" w:type="dxa"/>
            <w:noWrap/>
            <w:vAlign w:val="center"/>
          </w:tcPr>
          <w:p w14:paraId="629D7307">
            <w:pPr>
              <w:spacing w:line="360" w:lineRule="auto"/>
              <w:jc w:val="center"/>
              <w:rPr>
                <w:rFonts w:hint="eastAsia" w:ascii="宋体" w:hAnsi="宋体"/>
                <w:b/>
                <w:bCs/>
                <w:color w:val="auto"/>
                <w:highlight w:val="none"/>
              </w:rPr>
            </w:pPr>
          </w:p>
        </w:tc>
        <w:tc>
          <w:tcPr>
            <w:tcW w:w="1905" w:type="dxa"/>
            <w:noWrap/>
            <w:vAlign w:val="center"/>
          </w:tcPr>
          <w:p w14:paraId="31BD478E">
            <w:pPr>
              <w:spacing w:line="360" w:lineRule="auto"/>
              <w:jc w:val="center"/>
              <w:rPr>
                <w:rFonts w:hint="eastAsia" w:ascii="宋体" w:hAnsi="宋体"/>
                <w:b/>
                <w:bCs/>
                <w:color w:val="auto"/>
                <w:highlight w:val="none"/>
              </w:rPr>
            </w:pPr>
          </w:p>
        </w:tc>
        <w:tc>
          <w:tcPr>
            <w:tcW w:w="1903" w:type="dxa"/>
            <w:noWrap/>
            <w:vAlign w:val="center"/>
          </w:tcPr>
          <w:p w14:paraId="1E659855">
            <w:pPr>
              <w:spacing w:line="360" w:lineRule="auto"/>
              <w:jc w:val="center"/>
              <w:rPr>
                <w:rFonts w:hint="eastAsia" w:ascii="宋体" w:hAnsi="宋体"/>
                <w:b/>
                <w:bCs/>
                <w:color w:val="auto"/>
                <w:highlight w:val="none"/>
              </w:rPr>
            </w:pPr>
          </w:p>
        </w:tc>
      </w:tr>
      <w:tr w14:paraId="6C15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687D0DE3">
            <w:pPr>
              <w:spacing w:line="360" w:lineRule="auto"/>
              <w:jc w:val="center"/>
              <w:rPr>
                <w:rFonts w:hint="eastAsia" w:ascii="宋体" w:hAnsi="宋体"/>
                <w:b/>
                <w:bCs/>
                <w:color w:val="auto"/>
                <w:highlight w:val="none"/>
              </w:rPr>
            </w:pPr>
          </w:p>
        </w:tc>
        <w:tc>
          <w:tcPr>
            <w:tcW w:w="1644" w:type="dxa"/>
            <w:noWrap/>
            <w:vAlign w:val="center"/>
          </w:tcPr>
          <w:p w14:paraId="208AA6F7">
            <w:pPr>
              <w:spacing w:line="360" w:lineRule="auto"/>
              <w:jc w:val="center"/>
              <w:rPr>
                <w:rFonts w:hint="eastAsia" w:ascii="宋体" w:hAnsi="宋体"/>
                <w:bCs/>
                <w:color w:val="auto"/>
                <w:highlight w:val="none"/>
              </w:rPr>
            </w:pPr>
          </w:p>
        </w:tc>
        <w:tc>
          <w:tcPr>
            <w:tcW w:w="2361" w:type="dxa"/>
            <w:noWrap/>
            <w:vAlign w:val="center"/>
          </w:tcPr>
          <w:p w14:paraId="3E6A2280">
            <w:pPr>
              <w:spacing w:line="360" w:lineRule="auto"/>
              <w:jc w:val="center"/>
              <w:rPr>
                <w:rFonts w:hint="eastAsia" w:ascii="宋体" w:hAnsi="宋体"/>
                <w:b/>
                <w:bCs/>
                <w:color w:val="auto"/>
                <w:highlight w:val="none"/>
              </w:rPr>
            </w:pPr>
          </w:p>
        </w:tc>
        <w:tc>
          <w:tcPr>
            <w:tcW w:w="1905" w:type="dxa"/>
            <w:noWrap/>
            <w:vAlign w:val="center"/>
          </w:tcPr>
          <w:p w14:paraId="2B5003FC">
            <w:pPr>
              <w:spacing w:line="360" w:lineRule="auto"/>
              <w:jc w:val="center"/>
              <w:rPr>
                <w:rFonts w:hint="eastAsia" w:ascii="宋体" w:hAnsi="宋体"/>
                <w:b/>
                <w:bCs/>
                <w:color w:val="auto"/>
                <w:highlight w:val="none"/>
              </w:rPr>
            </w:pPr>
          </w:p>
        </w:tc>
        <w:tc>
          <w:tcPr>
            <w:tcW w:w="1903" w:type="dxa"/>
            <w:noWrap/>
            <w:vAlign w:val="center"/>
          </w:tcPr>
          <w:p w14:paraId="579C37B1">
            <w:pPr>
              <w:spacing w:line="360" w:lineRule="auto"/>
              <w:jc w:val="center"/>
              <w:rPr>
                <w:rFonts w:hint="eastAsia" w:ascii="宋体" w:hAnsi="宋体"/>
                <w:b/>
                <w:bCs/>
                <w:color w:val="auto"/>
                <w:highlight w:val="none"/>
              </w:rPr>
            </w:pPr>
          </w:p>
        </w:tc>
      </w:tr>
      <w:tr w14:paraId="5BEC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76387D87">
            <w:pPr>
              <w:spacing w:line="360" w:lineRule="auto"/>
              <w:jc w:val="center"/>
              <w:rPr>
                <w:rFonts w:hint="eastAsia" w:ascii="宋体" w:hAnsi="宋体"/>
                <w:b/>
                <w:bCs/>
                <w:color w:val="auto"/>
                <w:highlight w:val="none"/>
              </w:rPr>
            </w:pPr>
          </w:p>
        </w:tc>
        <w:tc>
          <w:tcPr>
            <w:tcW w:w="1644" w:type="dxa"/>
            <w:noWrap/>
            <w:vAlign w:val="center"/>
          </w:tcPr>
          <w:p w14:paraId="70349E53">
            <w:pPr>
              <w:spacing w:line="360" w:lineRule="auto"/>
              <w:jc w:val="center"/>
              <w:rPr>
                <w:rFonts w:hint="eastAsia" w:ascii="宋体" w:hAnsi="宋体"/>
                <w:bCs/>
                <w:color w:val="auto"/>
                <w:highlight w:val="none"/>
              </w:rPr>
            </w:pPr>
          </w:p>
        </w:tc>
        <w:tc>
          <w:tcPr>
            <w:tcW w:w="2361" w:type="dxa"/>
            <w:noWrap/>
            <w:vAlign w:val="center"/>
          </w:tcPr>
          <w:p w14:paraId="5B67B2DF">
            <w:pPr>
              <w:spacing w:line="360" w:lineRule="auto"/>
              <w:jc w:val="center"/>
              <w:rPr>
                <w:rFonts w:hint="eastAsia" w:ascii="宋体" w:hAnsi="宋体"/>
                <w:b/>
                <w:bCs/>
                <w:color w:val="auto"/>
                <w:highlight w:val="none"/>
              </w:rPr>
            </w:pPr>
          </w:p>
        </w:tc>
        <w:tc>
          <w:tcPr>
            <w:tcW w:w="1905" w:type="dxa"/>
            <w:noWrap/>
            <w:vAlign w:val="center"/>
          </w:tcPr>
          <w:p w14:paraId="10476773">
            <w:pPr>
              <w:spacing w:line="360" w:lineRule="auto"/>
              <w:jc w:val="center"/>
              <w:rPr>
                <w:rFonts w:hint="eastAsia" w:ascii="宋体" w:hAnsi="宋体"/>
                <w:b/>
                <w:bCs/>
                <w:color w:val="auto"/>
                <w:highlight w:val="none"/>
              </w:rPr>
            </w:pPr>
          </w:p>
        </w:tc>
        <w:tc>
          <w:tcPr>
            <w:tcW w:w="1903" w:type="dxa"/>
            <w:noWrap/>
            <w:vAlign w:val="center"/>
          </w:tcPr>
          <w:p w14:paraId="737AD3AF">
            <w:pPr>
              <w:spacing w:line="360" w:lineRule="auto"/>
              <w:jc w:val="center"/>
              <w:rPr>
                <w:rFonts w:hint="eastAsia" w:ascii="宋体" w:hAnsi="宋体"/>
                <w:b/>
                <w:bCs/>
                <w:color w:val="auto"/>
                <w:highlight w:val="none"/>
              </w:rPr>
            </w:pPr>
          </w:p>
        </w:tc>
      </w:tr>
      <w:tr w14:paraId="1F99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1EBB90CA">
            <w:pPr>
              <w:spacing w:line="360" w:lineRule="auto"/>
              <w:jc w:val="center"/>
              <w:rPr>
                <w:rFonts w:hint="eastAsia" w:ascii="宋体" w:hAnsi="宋体"/>
                <w:b/>
                <w:bCs/>
                <w:color w:val="auto"/>
                <w:highlight w:val="none"/>
              </w:rPr>
            </w:pPr>
          </w:p>
        </w:tc>
        <w:tc>
          <w:tcPr>
            <w:tcW w:w="1644" w:type="dxa"/>
            <w:noWrap/>
            <w:vAlign w:val="center"/>
          </w:tcPr>
          <w:p w14:paraId="1CAE523A">
            <w:pPr>
              <w:spacing w:line="360" w:lineRule="auto"/>
              <w:jc w:val="center"/>
              <w:rPr>
                <w:rFonts w:hint="eastAsia" w:ascii="宋体" w:hAnsi="宋体"/>
                <w:bCs/>
                <w:color w:val="auto"/>
                <w:highlight w:val="none"/>
              </w:rPr>
            </w:pPr>
          </w:p>
        </w:tc>
        <w:tc>
          <w:tcPr>
            <w:tcW w:w="2361" w:type="dxa"/>
            <w:noWrap/>
            <w:vAlign w:val="center"/>
          </w:tcPr>
          <w:p w14:paraId="0FF7776F">
            <w:pPr>
              <w:spacing w:line="360" w:lineRule="auto"/>
              <w:jc w:val="center"/>
              <w:rPr>
                <w:rFonts w:hint="eastAsia" w:ascii="宋体" w:hAnsi="宋体"/>
                <w:b/>
                <w:bCs/>
                <w:color w:val="auto"/>
                <w:highlight w:val="none"/>
              </w:rPr>
            </w:pPr>
          </w:p>
        </w:tc>
        <w:tc>
          <w:tcPr>
            <w:tcW w:w="1905" w:type="dxa"/>
            <w:noWrap/>
            <w:vAlign w:val="center"/>
          </w:tcPr>
          <w:p w14:paraId="4D5F7AD7">
            <w:pPr>
              <w:spacing w:line="360" w:lineRule="auto"/>
              <w:jc w:val="center"/>
              <w:rPr>
                <w:rFonts w:hint="eastAsia" w:ascii="宋体" w:hAnsi="宋体"/>
                <w:b/>
                <w:bCs/>
                <w:color w:val="auto"/>
                <w:highlight w:val="none"/>
              </w:rPr>
            </w:pPr>
          </w:p>
        </w:tc>
        <w:tc>
          <w:tcPr>
            <w:tcW w:w="1903" w:type="dxa"/>
            <w:noWrap/>
            <w:vAlign w:val="center"/>
          </w:tcPr>
          <w:p w14:paraId="32670249">
            <w:pPr>
              <w:spacing w:line="360" w:lineRule="auto"/>
              <w:jc w:val="center"/>
              <w:rPr>
                <w:rFonts w:hint="eastAsia" w:ascii="宋体" w:hAnsi="宋体"/>
                <w:b/>
                <w:bCs/>
                <w:color w:val="auto"/>
                <w:highlight w:val="none"/>
              </w:rPr>
            </w:pPr>
          </w:p>
        </w:tc>
      </w:tr>
      <w:tr w14:paraId="0C46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39FA76D7">
            <w:pPr>
              <w:spacing w:line="360" w:lineRule="auto"/>
              <w:jc w:val="center"/>
              <w:rPr>
                <w:rFonts w:hint="eastAsia" w:ascii="宋体" w:hAnsi="宋体"/>
                <w:b/>
                <w:bCs/>
                <w:color w:val="auto"/>
                <w:highlight w:val="none"/>
              </w:rPr>
            </w:pPr>
          </w:p>
        </w:tc>
        <w:tc>
          <w:tcPr>
            <w:tcW w:w="1644" w:type="dxa"/>
            <w:noWrap/>
            <w:vAlign w:val="center"/>
          </w:tcPr>
          <w:p w14:paraId="58ADE3F4">
            <w:pPr>
              <w:spacing w:line="360" w:lineRule="auto"/>
              <w:jc w:val="center"/>
              <w:rPr>
                <w:rFonts w:hint="eastAsia" w:ascii="宋体" w:hAnsi="宋体"/>
                <w:bCs/>
                <w:color w:val="auto"/>
                <w:highlight w:val="none"/>
              </w:rPr>
            </w:pPr>
          </w:p>
        </w:tc>
        <w:tc>
          <w:tcPr>
            <w:tcW w:w="2361" w:type="dxa"/>
            <w:noWrap/>
            <w:vAlign w:val="center"/>
          </w:tcPr>
          <w:p w14:paraId="0498F63C">
            <w:pPr>
              <w:spacing w:line="360" w:lineRule="auto"/>
              <w:jc w:val="center"/>
              <w:rPr>
                <w:rFonts w:hint="eastAsia" w:ascii="宋体" w:hAnsi="宋体"/>
                <w:b/>
                <w:bCs/>
                <w:color w:val="auto"/>
                <w:highlight w:val="none"/>
              </w:rPr>
            </w:pPr>
          </w:p>
        </w:tc>
        <w:tc>
          <w:tcPr>
            <w:tcW w:w="1905" w:type="dxa"/>
            <w:noWrap/>
            <w:vAlign w:val="center"/>
          </w:tcPr>
          <w:p w14:paraId="21E692FF">
            <w:pPr>
              <w:spacing w:line="360" w:lineRule="auto"/>
              <w:jc w:val="center"/>
              <w:rPr>
                <w:rFonts w:hint="eastAsia" w:ascii="宋体" w:hAnsi="宋体"/>
                <w:b/>
                <w:bCs/>
                <w:color w:val="auto"/>
                <w:highlight w:val="none"/>
              </w:rPr>
            </w:pPr>
          </w:p>
        </w:tc>
        <w:tc>
          <w:tcPr>
            <w:tcW w:w="1903" w:type="dxa"/>
            <w:noWrap/>
            <w:vAlign w:val="center"/>
          </w:tcPr>
          <w:p w14:paraId="03EF7FF0">
            <w:pPr>
              <w:spacing w:line="360" w:lineRule="auto"/>
              <w:jc w:val="center"/>
              <w:rPr>
                <w:rFonts w:hint="eastAsia" w:ascii="宋体" w:hAnsi="宋体"/>
                <w:b/>
                <w:bCs/>
                <w:color w:val="auto"/>
                <w:highlight w:val="none"/>
              </w:rPr>
            </w:pPr>
          </w:p>
        </w:tc>
      </w:tr>
      <w:tr w14:paraId="701F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73BFF7CD">
            <w:pPr>
              <w:spacing w:line="360" w:lineRule="auto"/>
              <w:jc w:val="center"/>
              <w:rPr>
                <w:rFonts w:hint="eastAsia" w:ascii="宋体" w:hAnsi="宋体"/>
                <w:b/>
                <w:bCs/>
                <w:color w:val="auto"/>
                <w:highlight w:val="none"/>
              </w:rPr>
            </w:pPr>
          </w:p>
        </w:tc>
        <w:tc>
          <w:tcPr>
            <w:tcW w:w="1644" w:type="dxa"/>
            <w:noWrap/>
            <w:vAlign w:val="center"/>
          </w:tcPr>
          <w:p w14:paraId="26925674">
            <w:pPr>
              <w:spacing w:line="360" w:lineRule="auto"/>
              <w:jc w:val="center"/>
              <w:rPr>
                <w:rFonts w:hint="eastAsia" w:ascii="宋体" w:hAnsi="宋体"/>
                <w:bCs/>
                <w:color w:val="auto"/>
                <w:highlight w:val="none"/>
              </w:rPr>
            </w:pPr>
          </w:p>
        </w:tc>
        <w:tc>
          <w:tcPr>
            <w:tcW w:w="2361" w:type="dxa"/>
            <w:noWrap/>
            <w:vAlign w:val="center"/>
          </w:tcPr>
          <w:p w14:paraId="78D3904D">
            <w:pPr>
              <w:spacing w:line="360" w:lineRule="auto"/>
              <w:jc w:val="center"/>
              <w:rPr>
                <w:rFonts w:hint="eastAsia" w:ascii="宋体" w:hAnsi="宋体"/>
                <w:b/>
                <w:bCs/>
                <w:color w:val="auto"/>
                <w:highlight w:val="none"/>
              </w:rPr>
            </w:pPr>
          </w:p>
        </w:tc>
        <w:tc>
          <w:tcPr>
            <w:tcW w:w="1905" w:type="dxa"/>
            <w:noWrap/>
            <w:vAlign w:val="center"/>
          </w:tcPr>
          <w:p w14:paraId="65AB6DAF">
            <w:pPr>
              <w:spacing w:line="360" w:lineRule="auto"/>
              <w:jc w:val="center"/>
              <w:rPr>
                <w:rFonts w:hint="eastAsia" w:ascii="宋体" w:hAnsi="宋体"/>
                <w:b/>
                <w:bCs/>
                <w:color w:val="auto"/>
                <w:highlight w:val="none"/>
              </w:rPr>
            </w:pPr>
          </w:p>
        </w:tc>
        <w:tc>
          <w:tcPr>
            <w:tcW w:w="1903" w:type="dxa"/>
            <w:noWrap/>
            <w:vAlign w:val="center"/>
          </w:tcPr>
          <w:p w14:paraId="15818A97">
            <w:pPr>
              <w:spacing w:line="360" w:lineRule="auto"/>
              <w:jc w:val="center"/>
              <w:rPr>
                <w:rFonts w:hint="eastAsia" w:ascii="宋体" w:hAnsi="宋体"/>
                <w:b/>
                <w:bCs/>
                <w:color w:val="auto"/>
                <w:highlight w:val="none"/>
              </w:rPr>
            </w:pPr>
          </w:p>
        </w:tc>
      </w:tr>
    </w:tbl>
    <w:p w14:paraId="2FCEBC70">
      <w:pPr>
        <w:widowControl w:val="0"/>
        <w:adjustRightInd w:val="0"/>
        <w:snapToGrid w:val="0"/>
        <w:spacing w:line="360" w:lineRule="auto"/>
        <w:jc w:val="both"/>
        <w:rPr>
          <w:rFonts w:ascii="Calibri" w:hAnsi="Calibri"/>
          <w:color w:val="auto"/>
          <w:sz w:val="24"/>
          <w:szCs w:val="28"/>
          <w:highlight w:val="none"/>
        </w:rPr>
      </w:pPr>
      <w:r>
        <w:rPr>
          <w:rFonts w:hint="eastAsia" w:ascii="Calibri" w:hAnsi="Calibri"/>
          <w:color w:val="auto"/>
          <w:sz w:val="24"/>
          <w:szCs w:val="28"/>
          <w:highlight w:val="none"/>
        </w:rPr>
        <w:t>注：</w:t>
      </w:r>
      <w:r>
        <w:rPr>
          <w:rFonts w:hint="eastAsia" w:ascii="宋体" w:hAnsi="宋体" w:cs="宋体"/>
          <w:bCs/>
          <w:color w:val="auto"/>
          <w:kern w:val="2"/>
          <w:sz w:val="24"/>
          <w:szCs w:val="24"/>
          <w:highlight w:val="none"/>
        </w:rPr>
        <w:t>202</w:t>
      </w:r>
      <w:r>
        <w:rPr>
          <w:rFonts w:hint="eastAsia" w:ascii="宋体" w:hAnsi="宋体" w:cs="宋体"/>
          <w:bCs/>
          <w:color w:val="auto"/>
          <w:kern w:val="2"/>
          <w:sz w:val="24"/>
          <w:szCs w:val="24"/>
          <w:highlight w:val="none"/>
          <w:lang w:val="en-US" w:eastAsia="zh-CN"/>
        </w:rPr>
        <w:t>3</w:t>
      </w:r>
      <w:r>
        <w:rPr>
          <w:rFonts w:hint="eastAsia" w:ascii="宋体" w:hAnsi="宋体" w:cs="宋体"/>
          <w:bCs/>
          <w:color w:val="auto"/>
          <w:kern w:val="2"/>
          <w:sz w:val="24"/>
          <w:szCs w:val="24"/>
          <w:highlight w:val="none"/>
        </w:rPr>
        <w:t>年1月1日以来，供应商具有类似项目业绩的</w:t>
      </w:r>
      <w:r>
        <w:rPr>
          <w:rFonts w:hint="eastAsia" w:ascii="宋体" w:hAnsi="宋体" w:cs="宋体"/>
          <w:bCs/>
          <w:color w:val="auto"/>
          <w:kern w:val="2"/>
          <w:sz w:val="24"/>
          <w:szCs w:val="24"/>
          <w:highlight w:val="none"/>
          <w:lang w:eastAsia="zh-CN"/>
        </w:rPr>
        <w:t>（</w:t>
      </w:r>
      <w:r>
        <w:rPr>
          <w:rFonts w:hint="eastAsia" w:ascii="宋体" w:hAnsi="宋体" w:cs="宋体"/>
          <w:bCs/>
          <w:color w:val="auto"/>
          <w:kern w:val="2"/>
          <w:sz w:val="24"/>
          <w:szCs w:val="24"/>
          <w:highlight w:val="none"/>
        </w:rPr>
        <w:t>以合同为准)，须提供合同原件扫描件</w:t>
      </w:r>
      <w:r>
        <w:rPr>
          <w:rFonts w:hint="eastAsia" w:ascii="Calibri" w:hAnsi="Calibri"/>
          <w:color w:val="auto"/>
          <w:sz w:val="24"/>
          <w:szCs w:val="28"/>
          <w:highlight w:val="none"/>
        </w:rPr>
        <w:t>。</w:t>
      </w:r>
    </w:p>
    <w:p w14:paraId="291FE95C">
      <w:pPr>
        <w:spacing w:line="460" w:lineRule="atLeast"/>
        <w:jc w:val="center"/>
        <w:rPr>
          <w:rFonts w:hint="eastAsia" w:cs="宋体" w:asciiTheme="minorEastAsia" w:hAnsiTheme="minorEastAsia"/>
          <w:color w:val="auto"/>
          <w:sz w:val="32"/>
          <w:szCs w:val="32"/>
          <w:highlight w:val="none"/>
        </w:rPr>
      </w:pPr>
    </w:p>
    <w:p w14:paraId="48483A06">
      <w:pPr>
        <w:jc w:val="center"/>
        <w:outlineLvl w:val="1"/>
        <w:rPr>
          <w:rFonts w:hint="eastAsia" w:cs="宋体" w:asciiTheme="minorEastAsia" w:hAnsiTheme="minorEastAsia"/>
          <w:b/>
          <w:color w:val="auto"/>
          <w:sz w:val="28"/>
          <w:szCs w:val="28"/>
          <w:highlight w:val="none"/>
        </w:rPr>
      </w:pPr>
      <w:r>
        <w:rPr>
          <w:rFonts w:cs="宋体" w:asciiTheme="minorEastAsia" w:hAnsiTheme="minorEastAsia"/>
          <w:color w:val="auto"/>
          <w:sz w:val="28"/>
          <w:szCs w:val="28"/>
          <w:highlight w:val="none"/>
        </w:rPr>
        <w:br w:type="page"/>
      </w:r>
      <w:bookmarkStart w:id="123" w:name="_Toc29071"/>
      <w:bookmarkStart w:id="124" w:name="_Toc392"/>
      <w:bookmarkStart w:id="125" w:name="_Toc20950"/>
      <w:bookmarkStart w:id="126" w:name="_Toc50564919"/>
      <w:r>
        <w:rPr>
          <w:rFonts w:hint="eastAsia" w:cs="宋体" w:asciiTheme="minorEastAsia" w:hAnsiTheme="minorEastAsia"/>
          <w:color w:val="auto"/>
          <w:sz w:val="28"/>
          <w:szCs w:val="28"/>
          <w:highlight w:val="none"/>
          <w:lang w:val="en-US" w:eastAsia="zh-CN"/>
        </w:rPr>
        <w:t>六</w:t>
      </w:r>
      <w:r>
        <w:rPr>
          <w:rFonts w:hint="eastAsia" w:cs="宋体" w:asciiTheme="minorEastAsia" w:hAnsiTheme="minorEastAsia"/>
          <w:b/>
          <w:color w:val="auto"/>
          <w:sz w:val="28"/>
          <w:szCs w:val="28"/>
          <w:highlight w:val="none"/>
          <w:lang w:val="en-US" w:eastAsia="zh-CN"/>
        </w:rPr>
        <w:t>、拟投入本项目主要人员情况汇总表</w:t>
      </w:r>
      <w:bookmarkEnd w:id="123"/>
      <w:bookmarkEnd w:id="124"/>
      <w:bookmarkEnd w:id="125"/>
      <w:bookmarkEnd w:id="126"/>
    </w:p>
    <w:p w14:paraId="15E6DC96">
      <w:pPr>
        <w:rPr>
          <w:rFonts w:hint="eastAsia" w:ascii="宋体" w:hAnsi="宋体" w:cs="宋体"/>
          <w:color w:val="auto"/>
          <w:sz w:val="24"/>
          <w:szCs w:val="24"/>
          <w:highlight w:val="none"/>
        </w:rPr>
      </w:pPr>
    </w:p>
    <w:tbl>
      <w:tblPr>
        <w:tblStyle w:val="13"/>
        <w:tblW w:w="4007" w:type="pct"/>
        <w:jc w:val="center"/>
        <w:tblLayout w:type="autofit"/>
        <w:tblCellMar>
          <w:top w:w="0" w:type="dxa"/>
          <w:left w:w="0" w:type="dxa"/>
          <w:bottom w:w="0" w:type="dxa"/>
          <w:right w:w="0" w:type="dxa"/>
        </w:tblCellMar>
      </w:tblPr>
      <w:tblGrid>
        <w:gridCol w:w="719"/>
        <w:gridCol w:w="1873"/>
        <w:gridCol w:w="1470"/>
        <w:gridCol w:w="912"/>
        <w:gridCol w:w="1437"/>
        <w:gridCol w:w="1403"/>
      </w:tblGrid>
      <w:tr w14:paraId="1572DC69">
        <w:tblPrEx>
          <w:tblCellMar>
            <w:top w:w="0" w:type="dxa"/>
            <w:left w:w="0" w:type="dxa"/>
            <w:bottom w:w="0" w:type="dxa"/>
            <w:right w:w="0" w:type="dxa"/>
          </w:tblCellMar>
        </w:tblPrEx>
        <w:trPr>
          <w:trHeight w:val="890" w:hRule="exact"/>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376DD98E">
            <w:pPr>
              <w:autoSpaceDE w:val="0"/>
              <w:autoSpaceDN w:val="0"/>
              <w:adjustRightInd w:val="0"/>
              <w:spacing w:line="360" w:lineRule="auto"/>
              <w:jc w:val="center"/>
              <w:rPr>
                <w:rFonts w:hint="eastAsia" w:ascii="宋体" w:hAnsi="宋体" w:eastAsia="宋体" w:cs="宋体"/>
                <w:color w:val="auto"/>
                <w:kern w:val="0"/>
                <w:sz w:val="24"/>
                <w:szCs w:val="24"/>
                <w:highlight w:val="none"/>
              </w:rPr>
            </w:pPr>
            <w:bookmarkStart w:id="127" w:name="_Toc18390"/>
            <w:bookmarkEnd w:id="127"/>
            <w:bookmarkStart w:id="128" w:name="_Toc1638"/>
            <w:bookmarkEnd w:id="128"/>
            <w:bookmarkStart w:id="129" w:name="_Toc16809"/>
            <w:bookmarkEnd w:id="129"/>
            <w:bookmarkStart w:id="130" w:name="_Toc214173938"/>
            <w:bookmarkEnd w:id="130"/>
            <w:r>
              <w:rPr>
                <w:rFonts w:hint="eastAsia" w:ascii="宋体" w:hAnsi="宋体" w:eastAsia="宋体" w:cs="宋体"/>
                <w:color w:val="auto"/>
                <w:kern w:val="0"/>
                <w:sz w:val="24"/>
                <w:szCs w:val="24"/>
                <w:highlight w:val="none"/>
              </w:rPr>
              <w:t>序号</w:t>
            </w:r>
          </w:p>
        </w:tc>
        <w:tc>
          <w:tcPr>
            <w:tcW w:w="1198" w:type="pct"/>
            <w:tcBorders>
              <w:top w:val="single" w:color="000000" w:sz="4" w:space="0"/>
              <w:left w:val="single" w:color="000000" w:sz="4" w:space="0"/>
              <w:bottom w:val="single" w:color="000000" w:sz="4" w:space="0"/>
              <w:right w:val="single" w:color="000000" w:sz="4" w:space="0"/>
            </w:tcBorders>
            <w:vAlign w:val="center"/>
          </w:tcPr>
          <w:p w14:paraId="2494977D">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拟在本项目中担任的职务</w:t>
            </w:r>
          </w:p>
        </w:tc>
        <w:tc>
          <w:tcPr>
            <w:tcW w:w="940" w:type="pct"/>
            <w:tcBorders>
              <w:top w:val="single" w:color="000000" w:sz="4" w:space="0"/>
              <w:left w:val="single" w:color="000000" w:sz="4" w:space="0"/>
              <w:bottom w:val="single" w:color="000000" w:sz="4" w:space="0"/>
              <w:right w:val="single" w:color="000000" w:sz="4" w:space="0"/>
            </w:tcBorders>
            <w:vAlign w:val="center"/>
          </w:tcPr>
          <w:p w14:paraId="15EE77C6">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583" w:type="pct"/>
            <w:tcBorders>
              <w:top w:val="single" w:color="000000" w:sz="4" w:space="0"/>
              <w:left w:val="single" w:color="000000" w:sz="4" w:space="0"/>
              <w:bottom w:val="single" w:color="000000" w:sz="4" w:space="0"/>
              <w:right w:val="single" w:color="000000" w:sz="4" w:space="0"/>
            </w:tcBorders>
            <w:vAlign w:val="center"/>
          </w:tcPr>
          <w:p w14:paraId="13F9A7E5">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年龄</w:t>
            </w:r>
          </w:p>
        </w:tc>
        <w:tc>
          <w:tcPr>
            <w:tcW w:w="919" w:type="pct"/>
            <w:tcBorders>
              <w:top w:val="single" w:color="000000" w:sz="4" w:space="0"/>
              <w:left w:val="single" w:color="000000" w:sz="4" w:space="0"/>
              <w:bottom w:val="single" w:color="000000" w:sz="4" w:space="0"/>
              <w:right w:val="single" w:color="000000" w:sz="4" w:space="0"/>
            </w:tcBorders>
            <w:vAlign w:val="center"/>
          </w:tcPr>
          <w:p w14:paraId="58B11E2F">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工作年限</w:t>
            </w:r>
          </w:p>
        </w:tc>
        <w:tc>
          <w:tcPr>
            <w:tcW w:w="897" w:type="pct"/>
            <w:tcBorders>
              <w:top w:val="single" w:color="000000" w:sz="4" w:space="0"/>
              <w:left w:val="single" w:color="000000" w:sz="4" w:space="0"/>
              <w:bottom w:val="single" w:color="000000" w:sz="4" w:space="0"/>
              <w:right w:val="single" w:color="000000" w:sz="4" w:space="0"/>
            </w:tcBorders>
            <w:vAlign w:val="center"/>
          </w:tcPr>
          <w:p w14:paraId="5BFCBF93">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24AB72BF">
        <w:tblPrEx>
          <w:tblCellMar>
            <w:top w:w="0" w:type="dxa"/>
            <w:left w:w="0" w:type="dxa"/>
            <w:bottom w:w="0" w:type="dxa"/>
            <w:right w:w="0" w:type="dxa"/>
          </w:tblCellMar>
        </w:tblPrEx>
        <w:trPr>
          <w:trHeight w:val="578" w:hRule="exact"/>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5EAA6A76">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198" w:type="pct"/>
            <w:tcBorders>
              <w:top w:val="single" w:color="000000" w:sz="4" w:space="0"/>
              <w:left w:val="single" w:color="000000" w:sz="4" w:space="0"/>
              <w:bottom w:val="single" w:color="000000" w:sz="4" w:space="0"/>
              <w:right w:val="single" w:color="000000" w:sz="4" w:space="0"/>
            </w:tcBorders>
            <w:vAlign w:val="center"/>
          </w:tcPr>
          <w:p w14:paraId="17D1233A">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98DFB1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83" w:type="pct"/>
            <w:tcBorders>
              <w:top w:val="single" w:color="000000" w:sz="4" w:space="0"/>
              <w:left w:val="single" w:color="000000" w:sz="4" w:space="0"/>
              <w:bottom w:val="single" w:color="000000" w:sz="4" w:space="0"/>
              <w:right w:val="single" w:color="000000" w:sz="4" w:space="0"/>
            </w:tcBorders>
            <w:vAlign w:val="center"/>
          </w:tcPr>
          <w:p w14:paraId="442B9C80">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539B0AE5">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3EE2D14D">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01B80F9A">
        <w:tblPrEx>
          <w:tblCellMar>
            <w:top w:w="0" w:type="dxa"/>
            <w:left w:w="0" w:type="dxa"/>
            <w:bottom w:w="0" w:type="dxa"/>
            <w:right w:w="0" w:type="dxa"/>
          </w:tblCellMar>
        </w:tblPrEx>
        <w:trPr>
          <w:trHeight w:val="599" w:hRule="exact"/>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06E0630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198" w:type="pct"/>
            <w:tcBorders>
              <w:top w:val="single" w:color="000000" w:sz="4" w:space="0"/>
              <w:left w:val="single" w:color="000000" w:sz="4" w:space="0"/>
              <w:bottom w:val="single" w:color="000000" w:sz="4" w:space="0"/>
              <w:right w:val="single" w:color="000000" w:sz="4" w:space="0"/>
            </w:tcBorders>
            <w:vAlign w:val="center"/>
          </w:tcPr>
          <w:p w14:paraId="7DD2C776">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57DD373C">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83" w:type="pct"/>
            <w:tcBorders>
              <w:top w:val="single" w:color="000000" w:sz="4" w:space="0"/>
              <w:left w:val="single" w:color="000000" w:sz="4" w:space="0"/>
              <w:bottom w:val="single" w:color="000000" w:sz="4" w:space="0"/>
              <w:right w:val="single" w:color="000000" w:sz="4" w:space="0"/>
            </w:tcBorders>
            <w:vAlign w:val="center"/>
          </w:tcPr>
          <w:p w14:paraId="15C9494D">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4D231BE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70C005C1">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50D4021D">
        <w:tblPrEx>
          <w:tblCellMar>
            <w:top w:w="0" w:type="dxa"/>
            <w:left w:w="0" w:type="dxa"/>
            <w:bottom w:w="0" w:type="dxa"/>
            <w:right w:w="0" w:type="dxa"/>
          </w:tblCellMar>
        </w:tblPrEx>
        <w:trPr>
          <w:trHeight w:val="527" w:hRule="exact"/>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1C97B53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198" w:type="pct"/>
            <w:tcBorders>
              <w:top w:val="single" w:color="000000" w:sz="4" w:space="0"/>
              <w:left w:val="single" w:color="000000" w:sz="4" w:space="0"/>
              <w:bottom w:val="single" w:color="000000" w:sz="4" w:space="0"/>
              <w:right w:val="single" w:color="000000" w:sz="4" w:space="0"/>
            </w:tcBorders>
            <w:vAlign w:val="center"/>
          </w:tcPr>
          <w:p w14:paraId="56EAB23D">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CA299CD">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83" w:type="pct"/>
            <w:tcBorders>
              <w:top w:val="single" w:color="000000" w:sz="4" w:space="0"/>
              <w:left w:val="single" w:color="000000" w:sz="4" w:space="0"/>
              <w:bottom w:val="single" w:color="000000" w:sz="4" w:space="0"/>
              <w:right w:val="single" w:color="000000" w:sz="4" w:space="0"/>
            </w:tcBorders>
            <w:vAlign w:val="center"/>
          </w:tcPr>
          <w:p w14:paraId="707FA54C">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3444569C">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59D19056">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2A56279E">
        <w:tblPrEx>
          <w:tblCellMar>
            <w:top w:w="0" w:type="dxa"/>
            <w:left w:w="0" w:type="dxa"/>
            <w:bottom w:w="0" w:type="dxa"/>
            <w:right w:w="0" w:type="dxa"/>
          </w:tblCellMar>
        </w:tblPrEx>
        <w:trPr>
          <w:trHeight w:val="593" w:hRule="exact"/>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3FF436EB">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198" w:type="pct"/>
            <w:tcBorders>
              <w:top w:val="single" w:color="000000" w:sz="4" w:space="0"/>
              <w:left w:val="single" w:color="000000" w:sz="4" w:space="0"/>
              <w:bottom w:val="single" w:color="000000" w:sz="4" w:space="0"/>
              <w:right w:val="single" w:color="000000" w:sz="4" w:space="0"/>
            </w:tcBorders>
            <w:vAlign w:val="center"/>
          </w:tcPr>
          <w:p w14:paraId="2B19516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916B078">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83" w:type="pct"/>
            <w:tcBorders>
              <w:top w:val="single" w:color="000000" w:sz="4" w:space="0"/>
              <w:left w:val="single" w:color="000000" w:sz="4" w:space="0"/>
              <w:bottom w:val="single" w:color="000000" w:sz="4" w:space="0"/>
              <w:right w:val="single" w:color="000000" w:sz="4" w:space="0"/>
            </w:tcBorders>
            <w:vAlign w:val="center"/>
          </w:tcPr>
          <w:p w14:paraId="76EA7E97">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22629E40">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7094884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1BB11F42">
        <w:tblPrEx>
          <w:tblCellMar>
            <w:top w:w="0" w:type="dxa"/>
            <w:left w:w="0" w:type="dxa"/>
            <w:bottom w:w="0" w:type="dxa"/>
            <w:right w:w="0" w:type="dxa"/>
          </w:tblCellMar>
        </w:tblPrEx>
        <w:trPr>
          <w:trHeight w:val="548" w:hRule="exact"/>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75CD8238">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198" w:type="pct"/>
            <w:tcBorders>
              <w:top w:val="single" w:color="000000" w:sz="4" w:space="0"/>
              <w:left w:val="single" w:color="000000" w:sz="4" w:space="0"/>
              <w:bottom w:val="single" w:color="000000" w:sz="4" w:space="0"/>
              <w:right w:val="single" w:color="000000" w:sz="4" w:space="0"/>
            </w:tcBorders>
            <w:vAlign w:val="center"/>
          </w:tcPr>
          <w:p w14:paraId="2B9513B2">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267F695">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83" w:type="pct"/>
            <w:tcBorders>
              <w:top w:val="single" w:color="000000" w:sz="4" w:space="0"/>
              <w:left w:val="single" w:color="000000" w:sz="4" w:space="0"/>
              <w:bottom w:val="single" w:color="000000" w:sz="4" w:space="0"/>
              <w:right w:val="single" w:color="000000" w:sz="4" w:space="0"/>
            </w:tcBorders>
            <w:vAlign w:val="center"/>
          </w:tcPr>
          <w:p w14:paraId="5669E64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74586C20">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108A0A4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0D7B0343">
        <w:tblPrEx>
          <w:tblCellMar>
            <w:top w:w="0" w:type="dxa"/>
            <w:left w:w="0" w:type="dxa"/>
            <w:bottom w:w="0" w:type="dxa"/>
            <w:right w:w="0" w:type="dxa"/>
          </w:tblCellMar>
        </w:tblPrEx>
        <w:trPr>
          <w:trHeight w:val="593" w:hRule="exact"/>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7550E2F9">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198" w:type="pct"/>
            <w:tcBorders>
              <w:top w:val="single" w:color="000000" w:sz="4" w:space="0"/>
              <w:left w:val="single" w:color="000000" w:sz="4" w:space="0"/>
              <w:bottom w:val="single" w:color="000000" w:sz="4" w:space="0"/>
              <w:right w:val="single" w:color="000000" w:sz="4" w:space="0"/>
            </w:tcBorders>
            <w:vAlign w:val="center"/>
          </w:tcPr>
          <w:p w14:paraId="49E58D85">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90B48FC">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83" w:type="pct"/>
            <w:tcBorders>
              <w:top w:val="single" w:color="000000" w:sz="4" w:space="0"/>
              <w:left w:val="single" w:color="000000" w:sz="4" w:space="0"/>
              <w:bottom w:val="single" w:color="000000" w:sz="4" w:space="0"/>
              <w:right w:val="single" w:color="000000" w:sz="4" w:space="0"/>
            </w:tcBorders>
            <w:vAlign w:val="center"/>
          </w:tcPr>
          <w:p w14:paraId="49A4586B">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4F0E9639">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5F0D9056">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7D7769A9">
        <w:tblPrEx>
          <w:tblCellMar>
            <w:top w:w="0" w:type="dxa"/>
            <w:left w:w="0" w:type="dxa"/>
            <w:bottom w:w="0" w:type="dxa"/>
            <w:right w:w="0" w:type="dxa"/>
          </w:tblCellMar>
        </w:tblPrEx>
        <w:trPr>
          <w:trHeight w:val="564" w:hRule="exact"/>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476A9458">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198" w:type="pct"/>
            <w:tcBorders>
              <w:top w:val="single" w:color="000000" w:sz="4" w:space="0"/>
              <w:left w:val="single" w:color="000000" w:sz="4" w:space="0"/>
              <w:bottom w:val="single" w:color="000000" w:sz="4" w:space="0"/>
              <w:right w:val="single" w:color="000000" w:sz="4" w:space="0"/>
            </w:tcBorders>
            <w:vAlign w:val="center"/>
          </w:tcPr>
          <w:p w14:paraId="12A73B3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6F72A81">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83" w:type="pct"/>
            <w:tcBorders>
              <w:top w:val="single" w:color="000000" w:sz="4" w:space="0"/>
              <w:left w:val="single" w:color="000000" w:sz="4" w:space="0"/>
              <w:bottom w:val="single" w:color="000000" w:sz="4" w:space="0"/>
              <w:right w:val="single" w:color="000000" w:sz="4" w:space="0"/>
            </w:tcBorders>
            <w:vAlign w:val="center"/>
          </w:tcPr>
          <w:p w14:paraId="3264B14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7AD5CE9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689C9732">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0FE4ADDC">
        <w:tblPrEx>
          <w:tblCellMar>
            <w:top w:w="0" w:type="dxa"/>
            <w:left w:w="0" w:type="dxa"/>
            <w:bottom w:w="0" w:type="dxa"/>
            <w:right w:w="0" w:type="dxa"/>
          </w:tblCellMar>
        </w:tblPrEx>
        <w:trPr>
          <w:trHeight w:val="542" w:hRule="exact"/>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3D9AF77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198" w:type="pct"/>
            <w:tcBorders>
              <w:top w:val="single" w:color="000000" w:sz="4" w:space="0"/>
              <w:left w:val="single" w:color="000000" w:sz="4" w:space="0"/>
              <w:bottom w:val="single" w:color="000000" w:sz="4" w:space="0"/>
              <w:right w:val="single" w:color="000000" w:sz="4" w:space="0"/>
            </w:tcBorders>
            <w:vAlign w:val="center"/>
          </w:tcPr>
          <w:p w14:paraId="1A7EC197">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F518677">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83" w:type="pct"/>
            <w:tcBorders>
              <w:top w:val="single" w:color="000000" w:sz="4" w:space="0"/>
              <w:left w:val="single" w:color="000000" w:sz="4" w:space="0"/>
              <w:bottom w:val="single" w:color="000000" w:sz="4" w:space="0"/>
              <w:right w:val="single" w:color="000000" w:sz="4" w:space="0"/>
            </w:tcBorders>
            <w:vAlign w:val="center"/>
          </w:tcPr>
          <w:p w14:paraId="13DF8880">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121839C8">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01431A91">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78299C46">
        <w:tblPrEx>
          <w:tblCellMar>
            <w:top w:w="0" w:type="dxa"/>
            <w:left w:w="0" w:type="dxa"/>
            <w:bottom w:w="0" w:type="dxa"/>
            <w:right w:w="0" w:type="dxa"/>
          </w:tblCellMar>
        </w:tblPrEx>
        <w:trPr>
          <w:trHeight w:val="572" w:hRule="exact"/>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65F04198">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198" w:type="pct"/>
            <w:tcBorders>
              <w:top w:val="single" w:color="000000" w:sz="4" w:space="0"/>
              <w:left w:val="single" w:color="000000" w:sz="4" w:space="0"/>
              <w:bottom w:val="single" w:color="000000" w:sz="4" w:space="0"/>
              <w:right w:val="single" w:color="000000" w:sz="4" w:space="0"/>
            </w:tcBorders>
            <w:vAlign w:val="center"/>
          </w:tcPr>
          <w:p w14:paraId="14EB5F21">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2EC27782">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83" w:type="pct"/>
            <w:tcBorders>
              <w:top w:val="single" w:color="000000" w:sz="4" w:space="0"/>
              <w:left w:val="single" w:color="000000" w:sz="4" w:space="0"/>
              <w:bottom w:val="single" w:color="000000" w:sz="4" w:space="0"/>
              <w:right w:val="single" w:color="000000" w:sz="4" w:space="0"/>
            </w:tcBorders>
            <w:vAlign w:val="center"/>
          </w:tcPr>
          <w:p w14:paraId="3D814942">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68B6C6D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7047F84B">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79E43581">
        <w:tblPrEx>
          <w:tblCellMar>
            <w:top w:w="0" w:type="dxa"/>
            <w:left w:w="0" w:type="dxa"/>
            <w:bottom w:w="0" w:type="dxa"/>
            <w:right w:w="0" w:type="dxa"/>
          </w:tblCellMar>
        </w:tblPrEx>
        <w:trPr>
          <w:trHeight w:val="642" w:hRule="exact"/>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699723AB">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198" w:type="pct"/>
            <w:tcBorders>
              <w:top w:val="single" w:color="000000" w:sz="4" w:space="0"/>
              <w:left w:val="single" w:color="000000" w:sz="4" w:space="0"/>
              <w:bottom w:val="single" w:color="000000" w:sz="4" w:space="0"/>
              <w:right w:val="single" w:color="000000" w:sz="4" w:space="0"/>
            </w:tcBorders>
            <w:vAlign w:val="center"/>
          </w:tcPr>
          <w:p w14:paraId="7843C87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55F0B4E">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83" w:type="pct"/>
            <w:tcBorders>
              <w:top w:val="single" w:color="000000" w:sz="4" w:space="0"/>
              <w:left w:val="single" w:color="000000" w:sz="4" w:space="0"/>
              <w:bottom w:val="single" w:color="000000" w:sz="4" w:space="0"/>
              <w:right w:val="single" w:color="000000" w:sz="4" w:space="0"/>
            </w:tcBorders>
            <w:vAlign w:val="center"/>
          </w:tcPr>
          <w:p w14:paraId="25754905">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40D8B06C">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43AFBEBB">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bl>
    <w:p w14:paraId="31B313BA">
      <w:pPr>
        <w:spacing w:line="520" w:lineRule="atLeast"/>
        <w:ind w:firstLine="480" w:firstLineChars="200"/>
        <w:jc w:val="both"/>
        <w:rPr>
          <w:rFonts w:hint="eastAsia" w:cs="宋体" w:asciiTheme="minorEastAsia" w:hAnsiTheme="minorEastAsia"/>
          <w:b/>
          <w:color w:val="auto"/>
          <w:sz w:val="28"/>
          <w:szCs w:val="28"/>
          <w:highlight w:val="none"/>
        </w:rPr>
      </w:pPr>
      <w:r>
        <w:rPr>
          <w:rFonts w:hint="eastAsia" w:cs="宋体" w:asciiTheme="minorEastAsia" w:hAnsiTheme="minorEastAsia"/>
          <w:color w:val="auto"/>
          <w:sz w:val="24"/>
          <w:szCs w:val="24"/>
          <w:highlight w:val="none"/>
        </w:rPr>
        <w:t>注：须提供人员身份证扫描件并加盖供应商电子章。</w:t>
      </w:r>
      <w:r>
        <w:rPr>
          <w:rFonts w:cs="宋体" w:asciiTheme="minorEastAsia" w:hAnsiTheme="minorEastAsia"/>
          <w:color w:val="auto"/>
          <w:sz w:val="28"/>
          <w:szCs w:val="28"/>
          <w:highlight w:val="none"/>
        </w:rPr>
        <w:br w:type="page"/>
      </w:r>
    </w:p>
    <w:bookmarkEnd w:id="120"/>
    <w:p w14:paraId="3E08855C">
      <w:pPr>
        <w:jc w:val="center"/>
        <w:outlineLvl w:val="1"/>
        <w:rPr>
          <w:rFonts w:hint="eastAsia" w:cs="宋体" w:asciiTheme="minorEastAsia" w:hAnsiTheme="minorEastAsia"/>
          <w:b/>
          <w:color w:val="auto"/>
          <w:sz w:val="28"/>
          <w:szCs w:val="28"/>
          <w:highlight w:val="none"/>
        </w:rPr>
      </w:pPr>
      <w:bookmarkStart w:id="131" w:name="_Toc50564921"/>
      <w:bookmarkStart w:id="132" w:name="_Toc24533"/>
      <w:bookmarkStart w:id="133" w:name="_Toc23006"/>
      <w:bookmarkStart w:id="134" w:name="_Toc14118"/>
      <w:r>
        <w:rPr>
          <w:rFonts w:hint="eastAsia" w:cs="宋体" w:asciiTheme="minorEastAsia" w:hAnsiTheme="minorEastAsia"/>
          <w:b/>
          <w:color w:val="auto"/>
          <w:sz w:val="28"/>
          <w:szCs w:val="28"/>
          <w:highlight w:val="none"/>
          <w:lang w:val="en-US" w:eastAsia="zh-CN"/>
        </w:rPr>
        <w:t>七</w:t>
      </w:r>
      <w:r>
        <w:rPr>
          <w:rFonts w:hint="eastAsia" w:cs="宋体" w:asciiTheme="minorEastAsia" w:hAnsiTheme="minorEastAsia"/>
          <w:b/>
          <w:color w:val="auto"/>
          <w:sz w:val="28"/>
          <w:szCs w:val="28"/>
          <w:highlight w:val="none"/>
        </w:rPr>
        <w:t>、</w:t>
      </w:r>
      <w:bookmarkEnd w:id="131"/>
      <w:bookmarkEnd w:id="132"/>
      <w:r>
        <w:rPr>
          <w:rFonts w:hint="eastAsia" w:cs="宋体" w:asciiTheme="minorEastAsia" w:hAnsiTheme="minorEastAsia"/>
          <w:b/>
          <w:color w:val="auto"/>
          <w:sz w:val="28"/>
          <w:szCs w:val="28"/>
          <w:highlight w:val="none"/>
        </w:rPr>
        <w:t>技术部分</w:t>
      </w:r>
      <w:bookmarkEnd w:id="133"/>
      <w:bookmarkEnd w:id="134"/>
    </w:p>
    <w:p w14:paraId="67F0FC80">
      <w:pPr>
        <w:autoSpaceDE w:val="0"/>
        <w:autoSpaceDN w:val="0"/>
        <w:adjustRightInd w:val="0"/>
        <w:spacing w:before="32" w:line="360" w:lineRule="auto"/>
        <w:ind w:right="-57"/>
        <w:jc w:val="center"/>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此项格式自拟，内容应包括但不限制于评分办法提到的内容</w:t>
      </w:r>
    </w:p>
    <w:p w14:paraId="2313B1CA">
      <w:pPr>
        <w:widowControl w:val="0"/>
        <w:autoSpaceDE w:val="0"/>
        <w:autoSpaceDN w:val="0"/>
        <w:adjustRightInd w:val="0"/>
        <w:spacing w:line="360" w:lineRule="auto"/>
        <w:jc w:val="center"/>
        <w:rPr>
          <w:rFonts w:hint="eastAsia" w:ascii="宋体" w:hAnsi="宋体" w:cs="宋体"/>
          <w:color w:val="auto"/>
          <w:spacing w:val="10"/>
          <w:sz w:val="28"/>
          <w:szCs w:val="28"/>
          <w:highlight w:val="none"/>
        </w:rPr>
      </w:pPr>
    </w:p>
    <w:p w14:paraId="45984C74">
      <w:pPr>
        <w:widowControl w:val="0"/>
        <w:autoSpaceDE w:val="0"/>
        <w:autoSpaceDN w:val="0"/>
        <w:adjustRightInd w:val="0"/>
        <w:spacing w:line="360" w:lineRule="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7EB9CF36">
      <w:pPr>
        <w:widowControl w:val="0"/>
        <w:autoSpaceDE w:val="0"/>
        <w:autoSpaceDN w:val="0"/>
        <w:adjustRightInd w:val="0"/>
        <w:spacing w:line="360" w:lineRule="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394F38FD">
      <w:pPr>
        <w:widowControl w:val="0"/>
        <w:autoSpaceDE w:val="0"/>
        <w:autoSpaceDN w:val="0"/>
        <w:adjustRightInd w:val="0"/>
        <w:spacing w:line="360" w:lineRule="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2F4A0AD1">
      <w:pPr>
        <w:widowControl w:val="0"/>
        <w:autoSpaceDE w:val="0"/>
        <w:autoSpaceDN w:val="0"/>
        <w:adjustRightInd w:val="0"/>
        <w:spacing w:line="360" w:lineRule="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468DC3A6">
      <w:pPr>
        <w:widowControl w:val="0"/>
        <w:autoSpaceDE w:val="0"/>
        <w:autoSpaceDN w:val="0"/>
        <w:adjustRightInd w:val="0"/>
        <w:spacing w:line="360" w:lineRule="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47979B55">
      <w:pPr>
        <w:widowControl w:val="0"/>
        <w:autoSpaceDE w:val="0"/>
        <w:autoSpaceDN w:val="0"/>
        <w:adjustRightInd w:val="0"/>
        <w:spacing w:line="360" w:lineRule="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1E2EF887">
      <w:pPr>
        <w:widowControl w:val="0"/>
        <w:autoSpaceDE w:val="0"/>
        <w:autoSpaceDN w:val="0"/>
        <w:adjustRightInd w:val="0"/>
        <w:spacing w:line="360" w:lineRule="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0B01150F">
      <w:pPr>
        <w:widowControl w:val="0"/>
        <w:autoSpaceDE w:val="0"/>
        <w:autoSpaceDN w:val="0"/>
        <w:adjustRightInd w:val="0"/>
        <w:spacing w:line="360" w:lineRule="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5CC81025">
      <w:pPr>
        <w:widowControl w:val="0"/>
        <w:autoSpaceDE w:val="0"/>
        <w:autoSpaceDN w:val="0"/>
        <w:adjustRightInd w:val="0"/>
        <w:spacing w:line="360" w:lineRule="auto"/>
        <w:jc w:val="right"/>
        <w:rPr>
          <w:rFonts w:hint="eastAsia" w:ascii="宋体" w:hAnsi="宋体" w:cs="宋体"/>
          <w:color w:val="auto"/>
          <w:spacing w:val="10"/>
          <w:sz w:val="24"/>
          <w:szCs w:val="24"/>
          <w:highlight w:val="none"/>
        </w:rPr>
      </w:pPr>
      <w:r>
        <w:rPr>
          <w:rFonts w:hint="eastAsia" w:ascii="宋体" w:hAnsi="宋体" w:cs="宋体"/>
          <w:color w:val="auto"/>
          <w:spacing w:val="10"/>
          <w:sz w:val="24"/>
          <w:szCs w:val="24"/>
          <w:highlight w:val="none"/>
        </w:rPr>
        <w:t xml:space="preserve"> </w:t>
      </w:r>
      <w:r>
        <w:rPr>
          <w:rFonts w:hint="eastAsia" w:ascii="宋体" w:hAnsi="宋体" w:cs="宋体"/>
          <w:color w:val="auto"/>
          <w:spacing w:val="10"/>
          <w:sz w:val="24"/>
          <w:szCs w:val="24"/>
          <w:highlight w:val="none"/>
          <w:lang w:val="en-US" w:eastAsia="zh-CN"/>
        </w:rPr>
        <w:t xml:space="preserve">                         </w:t>
      </w:r>
    </w:p>
    <w:p w14:paraId="16CD59DE">
      <w:pPr>
        <w:widowControl w:val="0"/>
        <w:jc w:val="center"/>
        <w:rPr>
          <w:rFonts w:hint="eastAsia" w:ascii="宋体" w:hAnsi="宋体" w:cs="宋体"/>
          <w:b/>
          <w:color w:val="auto"/>
          <w:kern w:val="2"/>
          <w:sz w:val="28"/>
          <w:szCs w:val="28"/>
          <w:highlight w:val="none"/>
        </w:rPr>
      </w:pPr>
      <w:r>
        <w:rPr>
          <w:rFonts w:hint="eastAsia" w:ascii="宋体" w:hAnsi="宋体" w:cs="宋体"/>
          <w:color w:val="auto"/>
          <w:spacing w:val="10"/>
          <w:sz w:val="28"/>
          <w:szCs w:val="28"/>
          <w:highlight w:val="none"/>
        </w:rPr>
        <w:br w:type="page"/>
      </w:r>
      <w:bookmarkStart w:id="135" w:name="_Toc269219207"/>
      <w:bookmarkEnd w:id="135"/>
      <w:bookmarkStart w:id="136" w:name="_Toc12530"/>
      <w:bookmarkStart w:id="137" w:name="_Toc461977437"/>
    </w:p>
    <w:bookmarkEnd w:id="136"/>
    <w:bookmarkEnd w:id="137"/>
    <w:p w14:paraId="4D678AAD">
      <w:pPr>
        <w:jc w:val="center"/>
        <w:outlineLvl w:val="1"/>
        <w:rPr>
          <w:rFonts w:hint="eastAsia" w:cs="宋体" w:asciiTheme="minorEastAsia" w:hAnsiTheme="minorEastAsia"/>
          <w:b/>
          <w:color w:val="auto"/>
          <w:sz w:val="28"/>
          <w:szCs w:val="28"/>
          <w:highlight w:val="none"/>
        </w:rPr>
      </w:pPr>
      <w:bookmarkStart w:id="138" w:name="_Toc9193"/>
      <w:bookmarkStart w:id="139" w:name="_Toc11816"/>
      <w:r>
        <w:rPr>
          <w:rFonts w:hint="eastAsia" w:cs="宋体" w:asciiTheme="minorEastAsia" w:hAnsiTheme="minorEastAsia"/>
          <w:b/>
          <w:color w:val="auto"/>
          <w:sz w:val="28"/>
          <w:szCs w:val="28"/>
          <w:highlight w:val="none"/>
          <w:lang w:val="en-US" w:eastAsia="zh-CN"/>
        </w:rPr>
        <w:t>八</w:t>
      </w:r>
      <w:r>
        <w:rPr>
          <w:rFonts w:hint="eastAsia" w:cs="宋体" w:asciiTheme="minorEastAsia" w:hAnsiTheme="minorEastAsia"/>
          <w:b/>
          <w:color w:val="auto"/>
          <w:sz w:val="28"/>
          <w:szCs w:val="28"/>
          <w:highlight w:val="none"/>
        </w:rPr>
        <w:t>、资格要求证明文件</w:t>
      </w:r>
      <w:bookmarkEnd w:id="138"/>
      <w:bookmarkEnd w:id="139"/>
    </w:p>
    <w:p w14:paraId="183FDF06">
      <w:pPr>
        <w:widowControl w:val="0"/>
        <w:spacing w:line="360" w:lineRule="auto"/>
        <w:ind w:firstLine="480" w:firstLineChars="200"/>
        <w:jc w:val="both"/>
        <w:rPr>
          <w:rFonts w:hint="eastAsia" w:ascii="宋体" w:hAnsi="宋体" w:cs="宋体"/>
          <w:bCs/>
          <w:color w:val="auto"/>
          <w:sz w:val="24"/>
          <w:szCs w:val="24"/>
          <w:highlight w:val="none"/>
        </w:rPr>
      </w:pPr>
    </w:p>
    <w:p w14:paraId="1949694A">
      <w:pPr>
        <w:widowControl w:val="0"/>
        <w:spacing w:line="360" w:lineRule="auto"/>
        <w:jc w:val="center"/>
        <w:rPr>
          <w:rFonts w:hint="eastAsia" w:ascii="宋体" w:hAnsi="宋体" w:cs="宋体"/>
          <w:color w:val="auto"/>
          <w:sz w:val="28"/>
          <w:szCs w:val="28"/>
          <w:highlight w:val="none"/>
        </w:rPr>
      </w:pPr>
      <w:r>
        <w:rPr>
          <w:rFonts w:hint="eastAsia" w:ascii="宋体" w:hAnsi="宋体" w:cs="宋体"/>
          <w:color w:val="auto"/>
          <w:kern w:val="2"/>
          <w:sz w:val="28"/>
          <w:szCs w:val="28"/>
          <w:highlight w:val="none"/>
        </w:rPr>
        <w:t xml:space="preserve"> </w:t>
      </w:r>
    </w:p>
    <w:p w14:paraId="3058F13C">
      <w:pPr>
        <w:widowControl w:val="0"/>
        <w:spacing w:line="360" w:lineRule="auto"/>
        <w:jc w:val="center"/>
        <w:rPr>
          <w:rFonts w:hint="eastAsia" w:ascii="宋体" w:hAnsi="宋体" w:cs="宋体"/>
          <w:color w:val="auto"/>
          <w:sz w:val="28"/>
          <w:szCs w:val="28"/>
          <w:highlight w:val="none"/>
        </w:rPr>
      </w:pPr>
      <w:r>
        <w:rPr>
          <w:rFonts w:hint="eastAsia" w:ascii="宋体" w:hAnsi="宋体" w:cs="宋体"/>
          <w:color w:val="auto"/>
          <w:kern w:val="2"/>
          <w:sz w:val="28"/>
          <w:szCs w:val="28"/>
          <w:highlight w:val="none"/>
        </w:rPr>
        <w:t xml:space="preserve"> </w:t>
      </w:r>
    </w:p>
    <w:p w14:paraId="5F2B4ADC">
      <w:pPr>
        <w:widowControl w:val="0"/>
        <w:jc w:val="center"/>
        <w:rPr>
          <w:rFonts w:hint="eastAsia" w:ascii="宋体" w:hAnsi="宋体" w:cs="宋体"/>
          <w:color w:val="auto"/>
          <w:sz w:val="28"/>
          <w:szCs w:val="28"/>
          <w:highlight w:val="none"/>
        </w:rPr>
      </w:pPr>
      <w:bookmarkStart w:id="140" w:name="_Toc30508"/>
      <w:r>
        <w:rPr>
          <w:rFonts w:ascii="宋体" w:hAnsi="宋体" w:cs="宋体"/>
          <w:b/>
          <w:color w:val="auto"/>
          <w:kern w:val="2"/>
          <w:sz w:val="28"/>
          <w:szCs w:val="28"/>
          <w:highlight w:val="none"/>
        </w:rPr>
        <w:br w:type="page"/>
      </w:r>
      <w:bookmarkEnd w:id="140"/>
    </w:p>
    <w:p w14:paraId="1AE3BF61">
      <w:pPr>
        <w:widowControl w:val="0"/>
        <w:spacing w:line="360" w:lineRule="auto"/>
        <w:jc w:val="center"/>
        <w:outlineLvl w:val="1"/>
        <w:rPr>
          <w:rFonts w:hint="eastAsia" w:ascii="宋体" w:hAnsi="宋体" w:cs="宋体"/>
          <w:b/>
          <w:color w:val="auto"/>
          <w:sz w:val="28"/>
          <w:szCs w:val="28"/>
          <w:highlight w:val="none"/>
        </w:rPr>
      </w:pPr>
      <w:bookmarkStart w:id="141" w:name="_Toc16788"/>
      <w:bookmarkStart w:id="142" w:name="_Toc14784"/>
      <w:r>
        <w:rPr>
          <w:rFonts w:hint="eastAsia" w:ascii="宋体" w:hAnsi="宋体" w:cs="宋体"/>
          <w:b/>
          <w:color w:val="auto"/>
          <w:kern w:val="2"/>
          <w:sz w:val="28"/>
          <w:szCs w:val="28"/>
          <w:highlight w:val="none"/>
          <w:lang w:val="en-US" w:eastAsia="zh-CN"/>
        </w:rPr>
        <w:t>九</w:t>
      </w:r>
      <w:r>
        <w:rPr>
          <w:rFonts w:hint="eastAsia" w:ascii="宋体" w:hAnsi="宋体" w:cs="宋体"/>
          <w:b/>
          <w:color w:val="auto"/>
          <w:kern w:val="2"/>
          <w:sz w:val="28"/>
          <w:szCs w:val="28"/>
          <w:highlight w:val="none"/>
        </w:rPr>
        <w:t>、其他资料</w:t>
      </w:r>
      <w:bookmarkEnd w:id="141"/>
      <w:bookmarkEnd w:id="142"/>
    </w:p>
    <w:p w14:paraId="2E319D78">
      <w:pPr>
        <w:widowControl w:val="0"/>
        <w:spacing w:line="360" w:lineRule="auto"/>
        <w:jc w:val="center"/>
        <w:rPr>
          <w:rFonts w:hint="eastAsia" w:ascii="宋体" w:hAnsi="宋体" w:cs="宋体"/>
          <w:b/>
          <w:color w:val="auto"/>
          <w:sz w:val="28"/>
          <w:szCs w:val="28"/>
          <w:highlight w:val="none"/>
        </w:rPr>
      </w:pPr>
      <w:r>
        <w:rPr>
          <w:rFonts w:hint="eastAsia" w:ascii="宋体" w:hAnsi="宋体" w:cs="宋体"/>
          <w:b/>
          <w:color w:val="auto"/>
          <w:kern w:val="2"/>
          <w:sz w:val="28"/>
          <w:szCs w:val="28"/>
          <w:highlight w:val="none"/>
        </w:rPr>
        <w:t xml:space="preserve"> </w:t>
      </w:r>
      <w:bookmarkStart w:id="143" w:name="_Toc461977439"/>
      <w:bookmarkEnd w:id="143"/>
    </w:p>
    <w:p w14:paraId="4072C508">
      <w:pPr>
        <w:widowControl w:val="0"/>
        <w:spacing w:line="360" w:lineRule="auto"/>
        <w:ind w:firstLine="480" w:firstLineChars="20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评分办法中的其他资料及供应商认为应附的其他资料并逐页签章</w:t>
      </w:r>
    </w:p>
    <w:p w14:paraId="0DFDA5D7">
      <w:pPr>
        <w:widowControl w:val="0"/>
        <w:jc w:val="both"/>
        <w:rPr>
          <w:rFonts w:hint="eastAsia" w:ascii="宋体" w:hAnsi="宋体" w:cs="宋体"/>
          <w:color w:val="auto"/>
          <w:sz w:val="28"/>
          <w:szCs w:val="28"/>
          <w:highlight w:val="none"/>
        </w:rPr>
      </w:pPr>
    </w:p>
    <w:p w14:paraId="01A11709">
      <w:pPr>
        <w:spacing w:line="480" w:lineRule="auto"/>
        <w:jc w:val="both"/>
        <w:rPr>
          <w:rFonts w:hint="eastAsia" w:ascii="宋体" w:hAnsi="宋体" w:eastAsia="宋体" w:cs="宋体"/>
          <w:b/>
          <w:bCs/>
          <w:color w:val="auto"/>
          <w:sz w:val="32"/>
          <w:szCs w:val="32"/>
          <w:highlight w:val="none"/>
          <w:lang w:val="en-US" w:eastAsia="zh-CN"/>
        </w:rPr>
      </w:pPr>
    </w:p>
    <w:p w14:paraId="1BFD5E3B">
      <w:pPr>
        <w:spacing w:line="480" w:lineRule="auto"/>
        <w:jc w:val="both"/>
        <w:rPr>
          <w:rFonts w:hint="eastAsia" w:ascii="宋体" w:hAnsi="宋体" w:cs="宋体"/>
          <w:b/>
          <w:bCs/>
          <w:color w:val="auto"/>
          <w:sz w:val="32"/>
          <w:szCs w:val="32"/>
          <w:highlight w:val="none"/>
        </w:rPr>
      </w:pPr>
    </w:p>
    <w:p w14:paraId="6214CC7B">
      <w:pPr>
        <w:spacing w:line="480" w:lineRule="auto"/>
        <w:jc w:val="both"/>
        <w:rPr>
          <w:rFonts w:hint="eastAsia" w:ascii="宋体" w:hAnsi="宋体" w:cs="宋体"/>
          <w:b/>
          <w:bCs/>
          <w:color w:val="auto"/>
          <w:sz w:val="32"/>
          <w:szCs w:val="32"/>
          <w:highlight w:val="none"/>
        </w:rPr>
      </w:pPr>
    </w:p>
    <w:p w14:paraId="52F5883A">
      <w:pPr>
        <w:spacing w:line="480" w:lineRule="auto"/>
        <w:jc w:val="both"/>
        <w:rPr>
          <w:rFonts w:hint="eastAsia" w:ascii="宋体" w:hAnsi="宋体" w:cs="宋体"/>
          <w:b/>
          <w:bCs/>
          <w:color w:val="auto"/>
          <w:sz w:val="32"/>
          <w:szCs w:val="32"/>
          <w:highlight w:val="none"/>
        </w:rPr>
      </w:pPr>
    </w:p>
    <w:p w14:paraId="3077ECB1">
      <w:pPr>
        <w:spacing w:line="480" w:lineRule="auto"/>
        <w:jc w:val="both"/>
        <w:rPr>
          <w:rFonts w:hint="eastAsia" w:ascii="宋体" w:hAnsi="宋体" w:cs="宋体"/>
          <w:b/>
          <w:bCs/>
          <w:color w:val="auto"/>
          <w:sz w:val="32"/>
          <w:szCs w:val="32"/>
          <w:highlight w:val="none"/>
        </w:rPr>
      </w:pPr>
    </w:p>
    <w:p w14:paraId="03C0110E">
      <w:pPr>
        <w:spacing w:line="480" w:lineRule="auto"/>
        <w:jc w:val="both"/>
        <w:rPr>
          <w:rFonts w:hint="eastAsia" w:ascii="宋体" w:hAnsi="宋体" w:cs="宋体"/>
          <w:b/>
          <w:bCs/>
          <w:color w:val="auto"/>
          <w:sz w:val="32"/>
          <w:szCs w:val="32"/>
          <w:highlight w:val="none"/>
        </w:rPr>
      </w:pPr>
    </w:p>
    <w:p w14:paraId="7A5AF5E3">
      <w:pPr>
        <w:spacing w:line="480" w:lineRule="auto"/>
        <w:jc w:val="both"/>
        <w:rPr>
          <w:rFonts w:hint="eastAsia" w:ascii="宋体" w:hAnsi="宋体" w:cs="宋体"/>
          <w:b/>
          <w:bCs/>
          <w:color w:val="auto"/>
          <w:sz w:val="32"/>
          <w:szCs w:val="32"/>
          <w:highlight w:val="none"/>
        </w:rPr>
      </w:pPr>
    </w:p>
    <w:p w14:paraId="0E980153">
      <w:pPr>
        <w:spacing w:line="480" w:lineRule="auto"/>
        <w:jc w:val="both"/>
        <w:rPr>
          <w:rFonts w:hint="eastAsia" w:ascii="宋体" w:hAnsi="宋体" w:cs="宋体"/>
          <w:b/>
          <w:bCs/>
          <w:color w:val="auto"/>
          <w:sz w:val="32"/>
          <w:szCs w:val="32"/>
          <w:highlight w:val="none"/>
        </w:rPr>
      </w:pPr>
    </w:p>
    <w:p w14:paraId="78778A5E">
      <w:pPr>
        <w:spacing w:line="480" w:lineRule="auto"/>
        <w:jc w:val="both"/>
        <w:rPr>
          <w:rFonts w:hint="eastAsia" w:ascii="宋体" w:hAnsi="宋体" w:cs="宋体"/>
          <w:b/>
          <w:bCs/>
          <w:color w:val="auto"/>
          <w:sz w:val="32"/>
          <w:szCs w:val="32"/>
          <w:highlight w:val="none"/>
        </w:rPr>
      </w:pPr>
    </w:p>
    <w:p w14:paraId="1D04215A">
      <w:pPr>
        <w:spacing w:line="480" w:lineRule="auto"/>
        <w:jc w:val="both"/>
        <w:rPr>
          <w:rFonts w:hint="eastAsia" w:ascii="宋体" w:hAnsi="宋体" w:cs="宋体"/>
          <w:b/>
          <w:bCs/>
          <w:color w:val="auto"/>
          <w:sz w:val="32"/>
          <w:szCs w:val="32"/>
          <w:highlight w:val="none"/>
        </w:rPr>
      </w:pPr>
    </w:p>
    <w:p w14:paraId="42802E12">
      <w:pPr>
        <w:spacing w:line="480" w:lineRule="auto"/>
        <w:jc w:val="both"/>
        <w:rPr>
          <w:rFonts w:hint="eastAsia" w:ascii="宋体" w:hAnsi="宋体" w:cs="宋体"/>
          <w:b/>
          <w:bCs/>
          <w:color w:val="auto"/>
          <w:sz w:val="32"/>
          <w:szCs w:val="32"/>
          <w:highlight w:val="none"/>
        </w:rPr>
      </w:pPr>
    </w:p>
    <w:p w14:paraId="4A74411B">
      <w:pPr>
        <w:spacing w:line="480" w:lineRule="auto"/>
        <w:jc w:val="both"/>
        <w:rPr>
          <w:rFonts w:hint="eastAsia" w:ascii="宋体" w:hAnsi="宋体" w:cs="宋体"/>
          <w:b/>
          <w:bCs/>
          <w:color w:val="auto"/>
          <w:sz w:val="32"/>
          <w:szCs w:val="32"/>
          <w:highlight w:val="none"/>
        </w:rPr>
      </w:pPr>
    </w:p>
    <w:p w14:paraId="68F2771B">
      <w:pPr>
        <w:spacing w:line="480" w:lineRule="auto"/>
        <w:jc w:val="both"/>
        <w:rPr>
          <w:rFonts w:hint="eastAsia" w:ascii="宋体" w:hAnsi="宋体" w:cs="宋体"/>
          <w:b/>
          <w:bCs/>
          <w:color w:val="auto"/>
          <w:sz w:val="32"/>
          <w:szCs w:val="32"/>
          <w:highlight w:val="none"/>
        </w:rPr>
      </w:pPr>
    </w:p>
    <w:p w14:paraId="38D03FE5">
      <w:pPr>
        <w:spacing w:line="480" w:lineRule="auto"/>
        <w:jc w:val="both"/>
        <w:rPr>
          <w:rFonts w:hint="eastAsia" w:ascii="宋体" w:hAnsi="宋体" w:cs="宋体"/>
          <w:b/>
          <w:bCs/>
          <w:color w:val="auto"/>
          <w:sz w:val="32"/>
          <w:szCs w:val="32"/>
          <w:highlight w:val="none"/>
        </w:rPr>
      </w:pPr>
    </w:p>
    <w:p w14:paraId="282FFC0D">
      <w:pPr>
        <w:spacing w:line="480" w:lineRule="auto"/>
        <w:jc w:val="both"/>
        <w:rPr>
          <w:rFonts w:hint="eastAsia" w:ascii="宋体" w:hAnsi="宋体" w:cs="宋体"/>
          <w:b/>
          <w:bCs/>
          <w:color w:val="auto"/>
          <w:sz w:val="32"/>
          <w:szCs w:val="32"/>
          <w:highlight w:val="none"/>
        </w:rPr>
      </w:pPr>
    </w:p>
    <w:p w14:paraId="53E5399E">
      <w:pPr>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1BE03366">
      <w:pPr>
        <w:rPr>
          <w:rFonts w:hint="eastAsia" w:ascii="宋体" w:hAnsi="宋体"/>
          <w:b/>
          <w:bCs/>
          <w:color w:val="auto"/>
          <w:sz w:val="24"/>
          <w:szCs w:val="24"/>
          <w:highlight w:val="none"/>
        </w:rPr>
      </w:pPr>
      <w:r>
        <w:rPr>
          <w:rFonts w:hint="eastAsia" w:ascii="宋体" w:hAnsi="宋体"/>
          <w:b/>
          <w:bCs/>
          <w:color w:val="auto"/>
          <w:sz w:val="24"/>
          <w:szCs w:val="24"/>
          <w:highlight w:val="none"/>
        </w:rPr>
        <w:t>附件</w:t>
      </w:r>
    </w:p>
    <w:p w14:paraId="03209119">
      <w:pPr>
        <w:spacing w:line="360" w:lineRule="auto"/>
        <w:jc w:val="center"/>
        <w:outlineLvl w:val="1"/>
        <w:rPr>
          <w:rFonts w:hint="eastAsia" w:ascii="宋体" w:hAnsi="宋体" w:cs="宋体"/>
          <w:b/>
          <w:bCs/>
          <w:color w:val="auto"/>
          <w:sz w:val="32"/>
          <w:szCs w:val="32"/>
          <w:highlight w:val="none"/>
        </w:rPr>
      </w:pPr>
      <w:bookmarkStart w:id="144" w:name="_Toc28407"/>
      <w:bookmarkStart w:id="145" w:name="_Toc15511"/>
      <w:r>
        <w:rPr>
          <w:rFonts w:hint="eastAsia" w:ascii="宋体" w:hAnsi="宋体" w:cs="宋体"/>
          <w:b/>
          <w:bCs/>
          <w:color w:val="auto"/>
          <w:sz w:val="32"/>
          <w:szCs w:val="32"/>
          <w:highlight w:val="none"/>
        </w:rPr>
        <w:t>中小企业声明函（服务）（如有）</w:t>
      </w:r>
      <w:bookmarkEnd w:id="144"/>
      <w:bookmarkEnd w:id="145"/>
    </w:p>
    <w:p w14:paraId="136B12AC">
      <w:pPr>
        <w:spacing w:line="360" w:lineRule="auto"/>
        <w:rPr>
          <w:rFonts w:hint="eastAsia" w:ascii="宋体" w:hAnsi="宋体" w:cs="宋体"/>
          <w:color w:val="auto"/>
          <w:sz w:val="28"/>
          <w:szCs w:val="28"/>
          <w:highlight w:val="none"/>
          <w:u w:val="single"/>
        </w:rPr>
      </w:pPr>
    </w:p>
    <w:p w14:paraId="0DB818DF">
      <w:pPr>
        <w:spacing w:line="600" w:lineRule="exact"/>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本公司郑重声明，根据《政府采购促进中小企业发展管理办法》（财库</w:t>
      </w:r>
      <w:r>
        <w:rPr>
          <w:rFonts w:hint="eastAsia" w:ascii="宋体" w:hAnsi="宋体" w:cs="宋体"/>
          <w:color w:val="auto"/>
          <w:sz w:val="24"/>
          <w:szCs w:val="24"/>
          <w:highlight w:val="none"/>
        </w:rPr>
        <w:t>(</w:t>
      </w:r>
      <w:r>
        <w:rPr>
          <w:rFonts w:ascii="宋体" w:hAnsi="宋体" w:cs="宋体"/>
          <w:color w:val="auto"/>
          <w:sz w:val="24"/>
          <w:szCs w:val="24"/>
          <w:highlight w:val="none"/>
        </w:rPr>
        <w:t>2020</w:t>
      </w:r>
      <w:r>
        <w:rPr>
          <w:rFonts w:hint="eastAsia" w:ascii="宋体" w:hAnsi="宋体" w:cs="宋体"/>
          <w:color w:val="auto"/>
          <w:sz w:val="24"/>
          <w:szCs w:val="24"/>
          <w:highlight w:val="none"/>
        </w:rPr>
        <w:t>)</w:t>
      </w:r>
      <w:r>
        <w:rPr>
          <w:rFonts w:ascii="宋体" w:hAnsi="宋体" w:cs="宋体"/>
          <w:color w:val="auto"/>
          <w:sz w:val="24"/>
          <w:szCs w:val="24"/>
          <w:highlight w:val="none"/>
        </w:rPr>
        <w:t>46号）的规定，本公司参加</w:t>
      </w:r>
      <w:r>
        <w:rPr>
          <w:rFonts w:ascii="宋体" w:hAnsi="宋体" w:cs="宋体"/>
          <w:color w:val="auto"/>
          <w:sz w:val="24"/>
          <w:szCs w:val="24"/>
          <w:highlight w:val="none"/>
          <w:u w:val="single"/>
        </w:rPr>
        <w:t>（单位名称）</w:t>
      </w:r>
      <w:r>
        <w:rPr>
          <w:rFonts w:ascii="宋体" w:hAnsi="宋体" w:cs="宋体"/>
          <w:color w:val="auto"/>
          <w:sz w:val="24"/>
          <w:szCs w:val="24"/>
          <w:highlight w:val="none"/>
        </w:rPr>
        <w:t>的</w:t>
      </w:r>
      <w:r>
        <w:rPr>
          <w:rFonts w:ascii="宋体" w:hAnsi="宋体" w:cs="宋体"/>
          <w:color w:val="auto"/>
          <w:sz w:val="24"/>
          <w:szCs w:val="24"/>
          <w:highlight w:val="none"/>
          <w:u w:val="single"/>
        </w:rPr>
        <w:t>（项目名称）</w:t>
      </w:r>
      <w:r>
        <w:rPr>
          <w:rFonts w:ascii="宋体" w:hAnsi="宋体" w:cs="宋体"/>
          <w:color w:val="auto"/>
          <w:sz w:val="24"/>
          <w:szCs w:val="24"/>
          <w:highlight w:val="none"/>
        </w:rPr>
        <w:t>采购</w:t>
      </w:r>
      <w:r>
        <w:rPr>
          <w:rFonts w:hint="eastAsia" w:ascii="宋体" w:hAnsi="宋体" w:cs="宋体"/>
          <w:color w:val="auto"/>
          <w:sz w:val="24"/>
          <w:szCs w:val="24"/>
          <w:highlight w:val="none"/>
        </w:rPr>
        <w:t>活动</w:t>
      </w:r>
      <w:r>
        <w:rPr>
          <w:rFonts w:ascii="宋体" w:hAnsi="宋体" w:cs="宋体"/>
          <w:color w:val="auto"/>
          <w:sz w:val="24"/>
          <w:szCs w:val="24"/>
          <w:highlight w:val="none"/>
        </w:rPr>
        <w:t>，服务全部由符合政策要求的中小企业承接</w:t>
      </w:r>
      <w:r>
        <w:rPr>
          <w:rFonts w:hint="eastAsia" w:ascii="宋体" w:hAnsi="宋体" w:cs="宋体"/>
          <w:color w:val="auto"/>
          <w:sz w:val="24"/>
          <w:szCs w:val="24"/>
          <w:highlight w:val="none"/>
        </w:rPr>
        <w:t>。</w:t>
      </w:r>
      <w:r>
        <w:rPr>
          <w:rFonts w:ascii="宋体" w:hAnsi="宋体" w:cs="宋体"/>
          <w:color w:val="auto"/>
          <w:sz w:val="24"/>
          <w:szCs w:val="24"/>
          <w:highlight w:val="none"/>
        </w:rPr>
        <w:t>相关企业的具体情况如下</w:t>
      </w:r>
      <w:r>
        <w:rPr>
          <w:rFonts w:hint="eastAsia" w:ascii="宋体" w:hAnsi="宋体" w:cs="宋体"/>
          <w:color w:val="auto"/>
          <w:sz w:val="24"/>
          <w:szCs w:val="24"/>
          <w:highlight w:val="none"/>
        </w:rPr>
        <w:t>：</w:t>
      </w:r>
    </w:p>
    <w:p w14:paraId="6A9ED8F5">
      <w:pPr>
        <w:spacing w:line="6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（采购文件中明确的所属行业）</w:t>
      </w:r>
      <w:r>
        <w:rPr>
          <w:rFonts w:hint="eastAsia" w:ascii="宋体" w:hAnsi="宋体" w:cs="宋体"/>
          <w:color w:val="auto"/>
          <w:sz w:val="24"/>
          <w:szCs w:val="24"/>
          <w:highlight w:val="none"/>
        </w:rPr>
        <w:t>；承接企业为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（中型企业、小型企业、微型企业）</w:t>
      </w:r>
      <w:r>
        <w:rPr>
          <w:rFonts w:hint="eastAsia" w:ascii="宋体" w:hAnsi="宋体" w:cs="宋体"/>
          <w:color w:val="auto"/>
          <w:sz w:val="24"/>
          <w:szCs w:val="24"/>
          <w:highlight w:val="none"/>
        </w:rPr>
        <w:t>；</w:t>
      </w:r>
    </w:p>
    <w:p w14:paraId="6AF626D0">
      <w:pPr>
        <w:spacing w:line="6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003BE46A">
      <w:pPr>
        <w:spacing w:line="6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14B66AE3">
      <w:pPr>
        <w:spacing w:line="600" w:lineRule="exact"/>
        <w:ind w:right="560" w:firstLine="480" w:firstLineChars="200"/>
        <w:rPr>
          <w:rFonts w:hint="eastAsia" w:ascii="宋体" w:hAnsi="宋体" w:cs="宋体"/>
          <w:color w:val="auto"/>
          <w:sz w:val="24"/>
          <w:szCs w:val="24"/>
          <w:highlight w:val="none"/>
        </w:rPr>
      </w:pPr>
    </w:p>
    <w:p w14:paraId="352F38AB">
      <w:pPr>
        <w:spacing w:line="600" w:lineRule="exact"/>
        <w:ind w:right="560" w:firstLine="480" w:firstLineChars="200"/>
        <w:rPr>
          <w:rFonts w:hint="eastAsia" w:ascii="宋体" w:hAnsi="宋体" w:cs="宋体"/>
          <w:color w:val="auto"/>
          <w:sz w:val="24"/>
          <w:szCs w:val="24"/>
          <w:highlight w:val="none"/>
        </w:rPr>
      </w:pPr>
    </w:p>
    <w:p w14:paraId="76CF7304">
      <w:pPr>
        <w:spacing w:line="440" w:lineRule="exact"/>
        <w:ind w:firstLine="2400" w:firstLineChars="1000"/>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供应商名称：（签章）</w:t>
      </w:r>
    </w:p>
    <w:p w14:paraId="1458F907">
      <w:pPr>
        <w:spacing w:line="360" w:lineRule="auto"/>
        <w:ind w:right="560" w:firstLine="664" w:firstLineChars="200"/>
        <w:jc w:val="right"/>
        <w:rPr>
          <w:rFonts w:hint="eastAsia" w:ascii="宋体" w:hAnsi="宋体" w:cs="宋体"/>
          <w:color w:val="auto"/>
          <w:sz w:val="24"/>
          <w:szCs w:val="24"/>
          <w:highlight w:val="none"/>
        </w:rPr>
      </w:pPr>
      <w:r>
        <w:rPr>
          <w:rFonts w:hint="eastAsia" w:asciiTheme="minorEastAsia" w:hAnsiTheme="minorEastAsia"/>
          <w:color w:val="auto"/>
          <w:spacing w:val="46"/>
          <w:sz w:val="24"/>
          <w:szCs w:val="24"/>
          <w:highlight w:val="none"/>
        </w:rPr>
        <w:t>日 期： 年 月 日</w:t>
      </w:r>
    </w:p>
    <w:p w14:paraId="5E21D367">
      <w:pPr>
        <w:spacing w:line="360" w:lineRule="auto"/>
        <w:ind w:right="560" w:firstLine="480" w:firstLineChars="200"/>
        <w:rPr>
          <w:rFonts w:hint="eastAsia" w:ascii="宋体" w:hAnsi="宋体" w:cs="宋体"/>
          <w:color w:val="auto"/>
          <w:sz w:val="24"/>
          <w:szCs w:val="24"/>
          <w:highlight w:val="none"/>
        </w:rPr>
      </w:pPr>
    </w:p>
    <w:p w14:paraId="52B7F2A7">
      <w:pPr>
        <w:spacing w:line="360" w:lineRule="auto"/>
        <w:ind w:right="56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注：从业人员、营业收入、资产总额填报上一年度数据，无上一年度数据的新成立企业可不填报。</w:t>
      </w:r>
    </w:p>
    <w:p w14:paraId="75E4E182">
      <w:pPr>
        <w:spacing w:line="360" w:lineRule="auto"/>
        <w:ind w:right="560" w:firstLine="400" w:firstLineChars="200"/>
        <w:rPr>
          <w:rFonts w:hint="eastAsia" w:ascii="宋体" w:hAnsi="宋体" w:cs="宋体"/>
          <w:color w:val="auto"/>
          <w:szCs w:val="28"/>
          <w:highlight w:val="none"/>
        </w:rPr>
      </w:pPr>
    </w:p>
    <w:p w14:paraId="68AC2731">
      <w:pPr>
        <w:spacing w:line="360" w:lineRule="auto"/>
        <w:ind w:right="560" w:firstLine="400" w:firstLineChars="200"/>
        <w:rPr>
          <w:rFonts w:hint="eastAsia" w:ascii="宋体" w:hAnsi="宋体" w:cs="宋体"/>
          <w:color w:val="auto"/>
          <w:szCs w:val="28"/>
          <w:highlight w:val="none"/>
        </w:rPr>
      </w:pPr>
    </w:p>
    <w:p w14:paraId="2F688374">
      <w:pPr>
        <w:rPr>
          <w:rFonts w:hint="eastAsia" w:ascii="宋体" w:hAnsi="宋体"/>
          <w:b/>
          <w:color w:val="auto"/>
          <w:sz w:val="30"/>
          <w:szCs w:val="24"/>
          <w:highlight w:val="none"/>
        </w:rPr>
      </w:pPr>
      <w:bookmarkStart w:id="146" w:name="_Toc23336"/>
      <w:bookmarkStart w:id="147" w:name="OLE_LINK13"/>
      <w:bookmarkStart w:id="148" w:name="OLE_LINK14"/>
      <w:r>
        <w:rPr>
          <w:rFonts w:hint="eastAsia" w:ascii="宋体" w:hAnsi="宋体"/>
          <w:b/>
          <w:color w:val="auto"/>
          <w:sz w:val="30"/>
          <w:szCs w:val="24"/>
          <w:highlight w:val="none"/>
        </w:rPr>
        <w:br w:type="page"/>
      </w:r>
    </w:p>
    <w:p w14:paraId="5787CE42">
      <w:pPr>
        <w:keepNext/>
        <w:keepLines/>
        <w:tabs>
          <w:tab w:val="left" w:pos="840"/>
        </w:tabs>
        <w:spacing w:before="260" w:after="260" w:line="412" w:lineRule="auto"/>
        <w:ind w:left="420"/>
        <w:jc w:val="center"/>
        <w:outlineLvl w:val="1"/>
        <w:rPr>
          <w:rFonts w:hint="eastAsia" w:ascii="宋体" w:hAnsi="宋体"/>
          <w:b/>
          <w:color w:val="auto"/>
          <w:sz w:val="30"/>
          <w:szCs w:val="24"/>
          <w:highlight w:val="none"/>
        </w:rPr>
      </w:pPr>
      <w:bookmarkStart w:id="149" w:name="_Toc30415"/>
      <w:bookmarkStart w:id="150" w:name="_Toc25642"/>
      <w:r>
        <w:rPr>
          <w:rFonts w:hint="eastAsia" w:ascii="宋体" w:hAnsi="宋体"/>
          <w:b/>
          <w:color w:val="auto"/>
          <w:sz w:val="30"/>
          <w:szCs w:val="24"/>
          <w:highlight w:val="none"/>
        </w:rPr>
        <w:t>残疾人福利性单位声明函</w:t>
      </w:r>
      <w:r>
        <w:rPr>
          <w:rFonts w:hint="eastAsia" w:ascii="宋体" w:hAnsi="宋体" w:cs="微软雅黑"/>
          <w:b/>
          <w:color w:val="auto"/>
          <w:sz w:val="30"/>
          <w:szCs w:val="21"/>
          <w:highlight w:val="none"/>
        </w:rPr>
        <w:t>（如有）</w:t>
      </w:r>
      <w:bookmarkEnd w:id="146"/>
      <w:bookmarkEnd w:id="149"/>
      <w:bookmarkEnd w:id="150"/>
    </w:p>
    <w:bookmarkEnd w:id="147"/>
    <w:bookmarkEnd w:id="148"/>
    <w:p w14:paraId="1000A102">
      <w:pPr>
        <w:spacing w:line="360" w:lineRule="auto"/>
        <w:rPr>
          <w:rFonts w:hint="eastAsia" w:ascii="宋体" w:hAnsi="宋体" w:cs="宋体"/>
          <w:b/>
          <w:color w:val="auto"/>
          <w:spacing w:val="6"/>
          <w:szCs w:val="21"/>
          <w:highlight w:val="none"/>
        </w:rPr>
      </w:pPr>
    </w:p>
    <w:p w14:paraId="032D73D7">
      <w:pPr>
        <w:spacing w:line="360" w:lineRule="auto"/>
        <w:ind w:firstLine="504" w:firstLineChars="200"/>
        <w:rPr>
          <w:rFonts w:hint="eastAsia" w:ascii="宋体" w:hAnsi="宋体" w:cs="宋体"/>
          <w:color w:val="auto"/>
          <w:spacing w:val="6"/>
          <w:sz w:val="24"/>
          <w:szCs w:val="24"/>
          <w:highlight w:val="none"/>
        </w:rPr>
      </w:pPr>
      <w:r>
        <w:rPr>
          <w:rFonts w:hint="eastAsia" w:ascii="宋体" w:hAnsi="宋体" w:cs="宋体"/>
          <w:color w:val="auto"/>
          <w:spacing w:val="6"/>
          <w:sz w:val="24"/>
          <w:szCs w:val="24"/>
          <w:highlight w:val="none"/>
        </w:rPr>
        <w:t>本单位郑重声明，根据《财政部民政部中国残疾人联合会关于促进残疾人就业政府采购政策的通知》（财库</w:t>
      </w:r>
      <w:r>
        <w:rPr>
          <w:rFonts w:hint="eastAsia" w:ascii="宋体" w:hAnsi="宋体" w:cs="宋体"/>
          <w:color w:val="auto"/>
          <w:sz w:val="24"/>
          <w:szCs w:val="24"/>
          <w:highlight w:val="none"/>
        </w:rPr>
        <w:t>〔2017〕 141</w:t>
      </w:r>
      <w:r>
        <w:rPr>
          <w:rFonts w:hint="eastAsia" w:ascii="宋体" w:hAnsi="宋体" w:cs="宋体"/>
          <w:color w:val="auto"/>
          <w:spacing w:val="6"/>
          <w:sz w:val="24"/>
          <w:szCs w:val="24"/>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1C1B5BB">
      <w:pPr>
        <w:spacing w:line="360" w:lineRule="auto"/>
        <w:ind w:firstLine="504" w:firstLineChars="200"/>
        <w:rPr>
          <w:rFonts w:hint="eastAsia" w:ascii="宋体" w:hAnsi="宋体" w:cs="宋体"/>
          <w:color w:val="auto"/>
          <w:spacing w:val="6"/>
          <w:sz w:val="24"/>
          <w:szCs w:val="24"/>
          <w:highlight w:val="none"/>
        </w:rPr>
      </w:pPr>
      <w:r>
        <w:rPr>
          <w:rFonts w:hint="eastAsia" w:ascii="宋体" w:hAnsi="宋体" w:cs="宋体"/>
          <w:color w:val="auto"/>
          <w:spacing w:val="6"/>
          <w:sz w:val="24"/>
          <w:szCs w:val="24"/>
          <w:highlight w:val="none"/>
        </w:rPr>
        <w:t>本单位对上述声明的真实性负责。如有虚假，将依法承担相应责任。</w:t>
      </w:r>
    </w:p>
    <w:p w14:paraId="7F658A5E">
      <w:pPr>
        <w:spacing w:line="360" w:lineRule="auto"/>
        <w:ind w:firstLine="504" w:firstLineChars="200"/>
        <w:rPr>
          <w:rFonts w:hint="eastAsia" w:ascii="宋体" w:hAnsi="宋体" w:cs="宋体"/>
          <w:color w:val="auto"/>
          <w:spacing w:val="6"/>
          <w:sz w:val="24"/>
          <w:szCs w:val="24"/>
          <w:highlight w:val="none"/>
        </w:rPr>
      </w:pPr>
    </w:p>
    <w:p w14:paraId="757A3B44">
      <w:pPr>
        <w:spacing w:line="360" w:lineRule="auto"/>
        <w:ind w:firstLine="504" w:firstLineChars="200"/>
        <w:rPr>
          <w:rFonts w:hint="eastAsia" w:ascii="宋体" w:hAnsi="宋体" w:cs="宋体"/>
          <w:color w:val="auto"/>
          <w:spacing w:val="6"/>
          <w:sz w:val="24"/>
          <w:szCs w:val="24"/>
          <w:highlight w:val="none"/>
        </w:rPr>
      </w:pPr>
    </w:p>
    <w:p w14:paraId="485780EC">
      <w:pPr>
        <w:spacing w:line="440" w:lineRule="exact"/>
        <w:ind w:firstLine="2400" w:firstLineChars="1000"/>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供应商名称：（签章）</w:t>
      </w:r>
    </w:p>
    <w:p w14:paraId="6EB683A8">
      <w:pPr>
        <w:tabs>
          <w:tab w:val="left" w:pos="4860"/>
        </w:tabs>
        <w:spacing w:line="360" w:lineRule="auto"/>
        <w:ind w:right="1560" w:firstLine="664" w:firstLineChars="200"/>
        <w:jc w:val="right"/>
        <w:rPr>
          <w:rFonts w:hint="eastAsia" w:ascii="宋体" w:hAnsi="宋体" w:cs="宋体"/>
          <w:color w:val="auto"/>
          <w:spacing w:val="6"/>
          <w:sz w:val="24"/>
          <w:szCs w:val="24"/>
          <w:highlight w:val="none"/>
        </w:rPr>
      </w:pPr>
      <w:r>
        <w:rPr>
          <w:rFonts w:hint="eastAsia" w:asciiTheme="minorEastAsia" w:hAnsiTheme="minorEastAsia"/>
          <w:color w:val="auto"/>
          <w:spacing w:val="46"/>
          <w:sz w:val="24"/>
          <w:szCs w:val="24"/>
          <w:highlight w:val="none"/>
        </w:rPr>
        <w:t>日 期： 年 月 日</w:t>
      </w:r>
    </w:p>
    <w:p w14:paraId="28129821">
      <w:pPr>
        <w:spacing w:line="360" w:lineRule="auto"/>
        <w:rPr>
          <w:rFonts w:hint="eastAsia" w:ascii="宋体" w:hAnsi="宋体" w:cs="宋体"/>
          <w:b/>
          <w:color w:val="auto"/>
          <w:sz w:val="24"/>
          <w:szCs w:val="24"/>
          <w:highlight w:val="none"/>
        </w:rPr>
      </w:pPr>
    </w:p>
    <w:p w14:paraId="6C62E33B">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（提醒：如果</w:t>
      </w:r>
      <w:r>
        <w:rPr>
          <w:rFonts w:hint="eastAsia" w:ascii="宋体" w:hAnsi="宋体" w:cs="宋体"/>
          <w:b/>
          <w:color w:val="auto"/>
          <w:sz w:val="24"/>
          <w:szCs w:val="24"/>
          <w:highlight w:val="none"/>
          <w:lang w:val="en-US" w:eastAsia="zh-CN"/>
        </w:rPr>
        <w:t>供应商</w:t>
      </w:r>
      <w:r>
        <w:rPr>
          <w:rFonts w:hint="eastAsia" w:ascii="宋体" w:hAnsi="宋体" w:cs="宋体"/>
          <w:b/>
          <w:color w:val="auto"/>
          <w:spacing w:val="10"/>
          <w:sz w:val="24"/>
          <w:szCs w:val="24"/>
          <w:highlight w:val="none"/>
        </w:rPr>
        <w:t>不是残疾人福利性单位</w:t>
      </w:r>
      <w:r>
        <w:rPr>
          <w:rFonts w:hint="eastAsia" w:ascii="宋体" w:hAnsi="宋体" w:cs="宋体"/>
          <w:b/>
          <w:color w:val="auto"/>
          <w:sz w:val="24"/>
          <w:szCs w:val="24"/>
          <w:highlight w:val="none"/>
        </w:rPr>
        <w:t>，则不需要提供《残疾人福利性单位声明函</w:t>
      </w:r>
    </w:p>
    <w:p w14:paraId="28B445F2">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w:t>
      </w:r>
    </w:p>
    <w:p w14:paraId="4C2C866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《财政部民政部中国残疾人联合会关于促进残疾人就业政府采购政策的通知》（财库（2017〔141〕号）的规定：</w:t>
      </w:r>
    </w:p>
    <w:p w14:paraId="632D2F2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 享受政府采购支持政策的残疾人福利性单位应当同时满足以下条件：</w:t>
      </w:r>
    </w:p>
    <w:p w14:paraId="5776D02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（1）安置的残疾人占本单位在职职工人数的比例不低于25%（含25%），并且安置的残疾人人数不少于10人（含10人）；</w:t>
      </w:r>
    </w:p>
    <w:p w14:paraId="041CFC2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（2）依法与安置的每位残疾人签订了一年以上（含一年）的劳动合同或服务协议；</w:t>
      </w:r>
    </w:p>
    <w:p w14:paraId="6701572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（3）为安置的每位残疾人按月足额缴纳了基本养老保险、基本医疗保险、失业保险、工伤保险和生育保险等社会保险费；</w:t>
      </w:r>
    </w:p>
    <w:p w14:paraId="397952D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（4）通过银行等金融机构向安置的每位残疾人，按月支付了不低于单位所在区县适用的经省级人民政府批准的月最低工资标准的工资；</w:t>
      </w:r>
    </w:p>
    <w:p w14:paraId="7E6C4D4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1BDEC0EB">
      <w:pPr>
        <w:spacing w:line="360"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 xml:space="preserve">2. </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人为残疾人福利性单位的，采购人或者其委托的采购代理机构应当随中标、成交结果同时公告其《残疾人福利性单位声明函》，接受社会监督。</w:t>
      </w:r>
    </w:p>
    <w:p w14:paraId="4B9BBC88">
      <w:pPr>
        <w:keepNext/>
        <w:keepLines/>
        <w:tabs>
          <w:tab w:val="left" w:pos="840"/>
        </w:tabs>
        <w:spacing w:before="260" w:after="260" w:line="412" w:lineRule="auto"/>
        <w:ind w:left="420"/>
        <w:jc w:val="center"/>
        <w:outlineLvl w:val="1"/>
        <w:rPr>
          <w:rFonts w:hint="eastAsia" w:ascii="宋体" w:hAnsi="宋体"/>
          <w:b/>
          <w:color w:val="auto"/>
          <w:sz w:val="30"/>
          <w:szCs w:val="24"/>
          <w:highlight w:val="none"/>
          <w:lang w:val="en-GB"/>
        </w:rPr>
      </w:pPr>
      <w:bookmarkStart w:id="151" w:name="_Toc9629"/>
      <w:bookmarkStart w:id="152" w:name="_Toc15900"/>
      <w:bookmarkStart w:id="153" w:name="_Toc6772"/>
      <w:r>
        <w:rPr>
          <w:rFonts w:hint="eastAsia" w:ascii="宋体" w:hAnsi="宋体"/>
          <w:b/>
          <w:color w:val="auto"/>
          <w:sz w:val="30"/>
          <w:szCs w:val="24"/>
          <w:highlight w:val="none"/>
          <w:lang w:val="en-GB"/>
        </w:rPr>
        <w:t>监狱企业证明材料</w:t>
      </w:r>
      <w:r>
        <w:rPr>
          <w:rFonts w:hint="eastAsia" w:ascii="宋体" w:hAnsi="宋体" w:cs="微软雅黑"/>
          <w:b/>
          <w:color w:val="auto"/>
          <w:sz w:val="30"/>
          <w:szCs w:val="21"/>
          <w:highlight w:val="none"/>
        </w:rPr>
        <w:t>（如有）</w:t>
      </w:r>
      <w:bookmarkEnd w:id="151"/>
      <w:bookmarkEnd w:id="152"/>
      <w:bookmarkEnd w:id="153"/>
    </w:p>
    <w:p w14:paraId="309C79FC">
      <w:pPr>
        <w:rPr>
          <w:color w:val="auto"/>
          <w:highlight w:val="none"/>
          <w:lang w:val="en-GB"/>
        </w:rPr>
      </w:pPr>
    </w:p>
    <w:p w14:paraId="7E008472">
      <w:pPr>
        <w:spacing w:line="360" w:lineRule="auto"/>
        <w:ind w:firstLine="480" w:firstLineChars="200"/>
        <w:rPr>
          <w:color w:val="auto"/>
          <w:sz w:val="24"/>
          <w:szCs w:val="24"/>
          <w:highlight w:val="none"/>
          <w:lang w:val="en-GB"/>
        </w:rPr>
      </w:pPr>
      <w:r>
        <w:rPr>
          <w:rFonts w:hint="eastAsia" w:asciiTheme="minorHAnsi"/>
          <w:color w:val="auto"/>
          <w:sz w:val="24"/>
          <w:szCs w:val="24"/>
          <w:highlight w:val="none"/>
          <w:lang w:val="en-GB"/>
        </w:rPr>
        <w:t>监狱企业参加政府采购活动时，应当提供由省级以上监狱管理局、戒毒管理局（含新疆生产建设兵团）出具的属于监狱企业的证明文件。</w:t>
      </w:r>
    </w:p>
    <w:p w14:paraId="74E609B0">
      <w:pPr>
        <w:spacing w:line="360" w:lineRule="auto"/>
        <w:rPr>
          <w:color w:val="auto"/>
          <w:sz w:val="24"/>
          <w:szCs w:val="24"/>
          <w:highlight w:val="none"/>
          <w:lang w:val="en-GB"/>
        </w:rPr>
      </w:pPr>
    </w:p>
    <w:p w14:paraId="380EA3F1">
      <w:pPr>
        <w:spacing w:line="360" w:lineRule="auto"/>
        <w:rPr>
          <w:color w:val="auto"/>
          <w:sz w:val="24"/>
          <w:szCs w:val="24"/>
          <w:highlight w:val="none"/>
          <w:lang w:val="en-GB"/>
        </w:rPr>
      </w:pPr>
    </w:p>
    <w:p w14:paraId="24B429E5">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（提醒：如果</w:t>
      </w:r>
      <w:r>
        <w:rPr>
          <w:rFonts w:hint="eastAsia" w:ascii="宋体" w:hAnsi="宋体" w:cs="宋体"/>
          <w:b/>
          <w:color w:val="auto"/>
          <w:sz w:val="24"/>
          <w:szCs w:val="24"/>
          <w:highlight w:val="none"/>
          <w:lang w:val="en-US" w:eastAsia="zh-CN"/>
        </w:rPr>
        <w:t>供应商</w:t>
      </w:r>
      <w:r>
        <w:rPr>
          <w:rFonts w:hint="eastAsia" w:ascii="宋体" w:hAnsi="宋体" w:cs="宋体"/>
          <w:b/>
          <w:color w:val="auto"/>
          <w:spacing w:val="10"/>
          <w:sz w:val="24"/>
          <w:szCs w:val="24"/>
          <w:highlight w:val="none"/>
        </w:rPr>
        <w:t>不是</w:t>
      </w:r>
      <w:r>
        <w:rPr>
          <w:rFonts w:hint="eastAsia" w:ascii="宋体" w:hAnsi="宋体"/>
          <w:b/>
          <w:bCs/>
          <w:color w:val="auto"/>
          <w:sz w:val="24"/>
          <w:szCs w:val="24"/>
          <w:highlight w:val="none"/>
          <w:lang w:val="en-GB"/>
        </w:rPr>
        <w:t>监狱企业</w:t>
      </w:r>
      <w:r>
        <w:rPr>
          <w:rFonts w:hint="eastAsia" w:ascii="宋体" w:hAnsi="宋体" w:cs="宋体"/>
          <w:b/>
          <w:color w:val="auto"/>
          <w:sz w:val="24"/>
          <w:szCs w:val="24"/>
          <w:highlight w:val="none"/>
        </w:rPr>
        <w:t>，则不需要提供</w:t>
      </w:r>
      <w:r>
        <w:rPr>
          <w:rFonts w:hint="eastAsia" w:ascii="宋体" w:hAnsi="宋体" w:cs="宋体"/>
          <w:b/>
          <w:color w:val="auto"/>
          <w:sz w:val="24"/>
          <w:szCs w:val="24"/>
          <w:highlight w:val="none"/>
          <w:lang w:val="en-GB"/>
        </w:rPr>
        <w:t>监狱企业证明材料</w:t>
      </w:r>
      <w:r>
        <w:rPr>
          <w:rFonts w:hint="eastAsia" w:ascii="宋体" w:hAnsi="宋体" w:cs="宋体"/>
          <w:b/>
          <w:color w:val="auto"/>
          <w:sz w:val="24"/>
          <w:szCs w:val="24"/>
          <w:highlight w:val="none"/>
        </w:rPr>
        <w:t>）</w:t>
      </w:r>
    </w:p>
    <w:p w14:paraId="2EB80BC3">
      <w:pPr>
        <w:widowControl w:val="0"/>
        <w:jc w:val="both"/>
        <w:rPr>
          <w:rFonts w:hint="eastAsia" w:ascii="宋体" w:hAnsi="宋体" w:cs="宋体"/>
          <w:color w:val="auto"/>
          <w:sz w:val="28"/>
          <w:szCs w:val="28"/>
          <w:highlight w:val="none"/>
        </w:rPr>
      </w:pPr>
    </w:p>
    <w:p w14:paraId="65A7FBF3">
      <w:pPr>
        <w:widowControl w:val="0"/>
        <w:jc w:val="center"/>
        <w:rPr>
          <w:rFonts w:hint="eastAsia" w:ascii="宋体" w:hAnsi="宋体"/>
          <w:color w:val="auto"/>
          <w:sz w:val="24"/>
          <w:szCs w:val="24"/>
          <w:highlight w:val="none"/>
        </w:rPr>
      </w:pPr>
    </w:p>
    <w:p w14:paraId="78797762">
      <w:pPr>
        <w:widowControl w:val="0"/>
        <w:jc w:val="both"/>
        <w:rPr>
          <w:rFonts w:hint="eastAsia" w:ascii="宋体" w:hAnsi="宋体"/>
          <w:color w:val="auto"/>
          <w:sz w:val="24"/>
          <w:szCs w:val="24"/>
          <w:highlight w:val="none"/>
        </w:rPr>
      </w:pPr>
    </w:p>
    <w:p w14:paraId="66E5F032">
      <w:pPr>
        <w:widowControl w:val="0"/>
        <w:jc w:val="both"/>
        <w:rPr>
          <w:rFonts w:hint="eastAsia" w:ascii="宋体" w:hAnsi="宋体"/>
          <w:color w:val="auto"/>
          <w:sz w:val="24"/>
          <w:szCs w:val="24"/>
          <w:highlight w:val="none"/>
        </w:rPr>
      </w:pPr>
    </w:p>
    <w:p w14:paraId="1E3CA946">
      <w:pPr>
        <w:widowControl w:val="0"/>
        <w:jc w:val="both"/>
        <w:rPr>
          <w:rFonts w:hint="eastAsia" w:ascii="宋体" w:hAnsi="宋体"/>
          <w:color w:val="auto"/>
          <w:sz w:val="24"/>
          <w:szCs w:val="24"/>
          <w:highlight w:val="none"/>
        </w:rPr>
      </w:pPr>
    </w:p>
    <w:p w14:paraId="1836A69E">
      <w:pPr>
        <w:widowControl w:val="0"/>
        <w:jc w:val="both"/>
        <w:rPr>
          <w:rFonts w:hint="eastAsia" w:ascii="宋体" w:hAnsi="宋体"/>
          <w:color w:val="auto"/>
          <w:sz w:val="24"/>
          <w:szCs w:val="24"/>
          <w:highlight w:val="none"/>
        </w:rPr>
      </w:pPr>
    </w:p>
    <w:p w14:paraId="03A2BA1E">
      <w:pPr>
        <w:widowControl w:val="0"/>
        <w:jc w:val="both"/>
        <w:rPr>
          <w:rFonts w:hint="eastAsia" w:ascii="宋体" w:hAnsi="宋体"/>
          <w:color w:val="auto"/>
          <w:sz w:val="24"/>
          <w:szCs w:val="24"/>
          <w:highlight w:val="none"/>
        </w:rPr>
      </w:pPr>
    </w:p>
    <w:p w14:paraId="14CAC5A7">
      <w:pPr>
        <w:widowControl w:val="0"/>
        <w:jc w:val="both"/>
        <w:rPr>
          <w:rFonts w:hint="eastAsia" w:ascii="宋体" w:hAnsi="宋体"/>
          <w:color w:val="auto"/>
          <w:sz w:val="24"/>
          <w:szCs w:val="24"/>
          <w:highlight w:val="none"/>
        </w:rPr>
      </w:pPr>
    </w:p>
    <w:p w14:paraId="420D4659">
      <w:pPr>
        <w:widowControl w:val="0"/>
        <w:jc w:val="both"/>
        <w:rPr>
          <w:rFonts w:hint="eastAsia" w:ascii="宋体" w:hAnsi="宋体"/>
          <w:color w:val="auto"/>
          <w:sz w:val="24"/>
          <w:szCs w:val="24"/>
          <w:highlight w:val="none"/>
        </w:rPr>
      </w:pPr>
    </w:p>
    <w:p w14:paraId="1250A465">
      <w:pPr>
        <w:widowControl w:val="0"/>
        <w:jc w:val="both"/>
        <w:rPr>
          <w:rFonts w:hint="eastAsia" w:ascii="宋体" w:hAnsi="宋体"/>
          <w:color w:val="auto"/>
          <w:sz w:val="24"/>
          <w:szCs w:val="24"/>
          <w:highlight w:val="none"/>
        </w:rPr>
      </w:pPr>
    </w:p>
    <w:p w14:paraId="3ABF64EC">
      <w:pPr>
        <w:widowControl w:val="0"/>
        <w:jc w:val="both"/>
        <w:rPr>
          <w:rFonts w:hint="eastAsia" w:ascii="宋体" w:hAnsi="宋体"/>
          <w:color w:val="auto"/>
          <w:sz w:val="24"/>
          <w:szCs w:val="24"/>
          <w:highlight w:val="none"/>
        </w:rPr>
      </w:pPr>
    </w:p>
    <w:p w14:paraId="5B8F8E58">
      <w:pPr>
        <w:widowControl w:val="0"/>
        <w:jc w:val="both"/>
        <w:rPr>
          <w:rFonts w:hint="eastAsia" w:ascii="宋体" w:hAnsi="宋体"/>
          <w:color w:val="auto"/>
          <w:sz w:val="24"/>
          <w:szCs w:val="24"/>
          <w:highlight w:val="none"/>
        </w:rPr>
      </w:pPr>
    </w:p>
    <w:p w14:paraId="2D54B34A">
      <w:pPr>
        <w:widowControl w:val="0"/>
        <w:jc w:val="both"/>
        <w:rPr>
          <w:rFonts w:hint="eastAsia" w:ascii="宋体" w:hAnsi="宋体"/>
          <w:color w:val="auto"/>
          <w:sz w:val="24"/>
          <w:szCs w:val="24"/>
          <w:highlight w:val="none"/>
        </w:rPr>
      </w:pPr>
    </w:p>
    <w:p w14:paraId="256EF840">
      <w:pPr>
        <w:widowControl w:val="0"/>
        <w:jc w:val="both"/>
        <w:rPr>
          <w:rFonts w:hint="eastAsia" w:ascii="宋体" w:hAnsi="宋体"/>
          <w:color w:val="auto"/>
          <w:sz w:val="24"/>
          <w:szCs w:val="24"/>
          <w:highlight w:val="none"/>
        </w:rPr>
      </w:pPr>
    </w:p>
    <w:p w14:paraId="2D3664FA">
      <w:pPr>
        <w:widowControl w:val="0"/>
        <w:jc w:val="both"/>
        <w:rPr>
          <w:rFonts w:hint="eastAsia" w:ascii="宋体" w:hAnsi="宋体"/>
          <w:color w:val="auto"/>
          <w:sz w:val="24"/>
          <w:szCs w:val="24"/>
          <w:highlight w:val="none"/>
        </w:rPr>
      </w:pPr>
    </w:p>
    <w:p w14:paraId="1ACC875D">
      <w:pPr>
        <w:widowControl w:val="0"/>
        <w:jc w:val="both"/>
        <w:rPr>
          <w:rFonts w:hint="eastAsia" w:ascii="宋体" w:hAnsi="宋体"/>
          <w:color w:val="auto"/>
          <w:sz w:val="24"/>
          <w:szCs w:val="24"/>
          <w:highlight w:val="none"/>
        </w:rPr>
      </w:pPr>
    </w:p>
    <w:p w14:paraId="3371CBA2">
      <w:pPr>
        <w:widowControl w:val="0"/>
        <w:jc w:val="both"/>
        <w:rPr>
          <w:rFonts w:hint="eastAsia" w:ascii="宋体" w:hAnsi="宋体"/>
          <w:color w:val="auto"/>
          <w:sz w:val="24"/>
          <w:szCs w:val="24"/>
          <w:highlight w:val="none"/>
        </w:rPr>
      </w:pPr>
    </w:p>
    <w:p w14:paraId="2F9DDF51">
      <w:pPr>
        <w:widowControl w:val="0"/>
        <w:jc w:val="both"/>
        <w:rPr>
          <w:rFonts w:hint="eastAsia" w:ascii="宋体" w:hAnsi="宋体"/>
          <w:color w:val="auto"/>
          <w:sz w:val="24"/>
          <w:szCs w:val="24"/>
          <w:highlight w:val="none"/>
        </w:rPr>
      </w:pPr>
    </w:p>
    <w:p w14:paraId="568CFB9E">
      <w:pPr>
        <w:widowControl w:val="0"/>
        <w:jc w:val="both"/>
        <w:rPr>
          <w:rFonts w:hint="eastAsia" w:ascii="宋体" w:hAnsi="宋体"/>
          <w:color w:val="auto"/>
          <w:sz w:val="24"/>
          <w:szCs w:val="24"/>
          <w:highlight w:val="none"/>
        </w:rPr>
      </w:pPr>
    </w:p>
    <w:p w14:paraId="799DCA64">
      <w:pPr>
        <w:widowControl w:val="0"/>
        <w:jc w:val="both"/>
        <w:rPr>
          <w:rFonts w:hint="eastAsia" w:ascii="宋体" w:hAnsi="宋体"/>
          <w:color w:val="auto"/>
          <w:sz w:val="24"/>
          <w:szCs w:val="24"/>
          <w:highlight w:val="none"/>
        </w:rPr>
      </w:pPr>
    </w:p>
    <w:p w14:paraId="356A510B">
      <w:pPr>
        <w:widowControl w:val="0"/>
        <w:jc w:val="both"/>
        <w:rPr>
          <w:rFonts w:hint="eastAsia" w:ascii="宋体" w:hAnsi="宋体"/>
          <w:color w:val="auto"/>
          <w:sz w:val="24"/>
          <w:szCs w:val="24"/>
          <w:highlight w:val="none"/>
        </w:rPr>
      </w:pPr>
    </w:p>
    <w:p w14:paraId="4AB3F06E">
      <w:pPr>
        <w:widowControl w:val="0"/>
        <w:jc w:val="both"/>
        <w:rPr>
          <w:rFonts w:hint="eastAsia" w:ascii="宋体" w:hAnsi="宋体"/>
          <w:color w:val="auto"/>
          <w:sz w:val="24"/>
          <w:szCs w:val="24"/>
          <w:highlight w:val="none"/>
        </w:rPr>
      </w:pPr>
    </w:p>
    <w:p w14:paraId="741B9934">
      <w:pPr>
        <w:widowControl w:val="0"/>
        <w:jc w:val="both"/>
        <w:rPr>
          <w:rFonts w:hint="eastAsia" w:ascii="宋体" w:hAnsi="宋体"/>
          <w:color w:val="auto"/>
          <w:sz w:val="24"/>
          <w:szCs w:val="24"/>
          <w:highlight w:val="none"/>
        </w:rPr>
      </w:pPr>
    </w:p>
    <w:p w14:paraId="61D159A6">
      <w:pPr>
        <w:rPr>
          <w:color w:val="auto"/>
          <w:highlight w:val="none"/>
        </w:rPr>
      </w:pPr>
    </w:p>
    <w:p w14:paraId="4F389EEB">
      <w:pPr>
        <w:rPr>
          <w:color w:val="auto"/>
          <w:highlight w:val="none"/>
        </w:rPr>
      </w:pPr>
    </w:p>
    <w:sectPr>
      <w:pgSz w:w="11906" w:h="16838"/>
      <w:pgMar w:top="1440" w:right="1083" w:bottom="1440" w:left="1083" w:header="851" w:footer="992" w:gutter="0"/>
      <w:pgNumType w:fmt="decimal"/>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222FB">
    <w:pPr>
      <w:pStyle w:val="7"/>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D288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ED288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9CBD9">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598B9">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D296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97D25"/>
    <w:multiLevelType w:val="singleLevel"/>
    <w:tmpl w:val="3E797D25"/>
    <w:lvl w:ilvl="0" w:tentative="0">
      <w:start w:val="3"/>
      <w:numFmt w:val="decimal"/>
      <w:suff w:val="space"/>
      <w:lvlText w:val="%1."/>
      <w:lvlJc w:val="left"/>
    </w:lvl>
  </w:abstractNum>
  <w:abstractNum w:abstractNumId="1">
    <w:nsid w:val="5BC1A608"/>
    <w:multiLevelType w:val="singleLevel"/>
    <w:tmpl w:val="5BC1A608"/>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64B72"/>
    <w:rsid w:val="00D269F6"/>
    <w:rsid w:val="017052C2"/>
    <w:rsid w:val="01DF10B6"/>
    <w:rsid w:val="02AB1615"/>
    <w:rsid w:val="0CC74E7A"/>
    <w:rsid w:val="10650C4A"/>
    <w:rsid w:val="13763F01"/>
    <w:rsid w:val="1459478A"/>
    <w:rsid w:val="17D62347"/>
    <w:rsid w:val="1C9742E9"/>
    <w:rsid w:val="231C4169"/>
    <w:rsid w:val="276670F2"/>
    <w:rsid w:val="28274E2E"/>
    <w:rsid w:val="32517EEB"/>
    <w:rsid w:val="38263C33"/>
    <w:rsid w:val="3B1524FD"/>
    <w:rsid w:val="3B844B55"/>
    <w:rsid w:val="404B38F5"/>
    <w:rsid w:val="45EF307E"/>
    <w:rsid w:val="4A7B692F"/>
    <w:rsid w:val="4B1F3F5B"/>
    <w:rsid w:val="580E7D87"/>
    <w:rsid w:val="5E2953F2"/>
    <w:rsid w:val="5E7B3747"/>
    <w:rsid w:val="5F2F4D3A"/>
    <w:rsid w:val="617C1CB0"/>
    <w:rsid w:val="6498578F"/>
    <w:rsid w:val="66F64B72"/>
    <w:rsid w:val="6E661008"/>
    <w:rsid w:val="70926100"/>
    <w:rsid w:val="71D25B0E"/>
    <w:rsid w:val="72313592"/>
    <w:rsid w:val="790509A1"/>
    <w:rsid w:val="7AC2161E"/>
    <w:rsid w:val="7EC12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rPr>
      <w:rFonts w:ascii="Times New Roman" w:hAnsi="Times New Roman" w:eastAsia="宋体" w:cs="Times New Roman"/>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spacing w:before="240" w:after="60"/>
      <w:outlineLvl w:val="1"/>
    </w:pPr>
    <w:rPr>
      <w:rFonts w:ascii="Arial" w:hAnsi="Arial"/>
      <w:kern w:val="2"/>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adjustRightInd w:val="0"/>
      <w:jc w:val="left"/>
      <w:textAlignment w:val="baseline"/>
    </w:pPr>
    <w:rPr>
      <w:rFonts w:ascii="楷体_GB2312" w:eastAsia="楷体_GB2312"/>
      <w:kern w:val="0"/>
      <w:sz w:val="28"/>
      <w:szCs w:val="20"/>
    </w:rPr>
  </w:style>
  <w:style w:type="paragraph" w:styleId="5">
    <w:name w:val="Body Text Indent"/>
    <w:basedOn w:val="1"/>
    <w:semiHidden/>
    <w:unhideWhenUsed/>
    <w:qFormat/>
    <w:uiPriority w:val="99"/>
    <w:pPr>
      <w:spacing w:after="120"/>
      <w:ind w:left="420" w:leftChars="200"/>
    </w:pPr>
  </w:style>
  <w:style w:type="paragraph" w:styleId="6">
    <w:name w:val="Plain Text"/>
    <w:basedOn w:val="1"/>
    <w:unhideWhenUsed/>
    <w:qFormat/>
    <w:uiPriority w:val="0"/>
    <w:rPr>
      <w:rFonts w:hint="eastAsia" w:ascii="宋体" w:hAnsi="Courier New"/>
      <w:sz w:val="21"/>
      <w:szCs w:val="21"/>
    </w:rPr>
  </w:style>
  <w:style w:type="paragraph" w:styleId="7">
    <w:name w:val="footer"/>
    <w:basedOn w:val="1"/>
    <w:unhideWhenUsed/>
    <w:qFormat/>
    <w:uiPriority w:val="0"/>
    <w:pPr>
      <w:tabs>
        <w:tab w:val="center" w:pos="4153"/>
        <w:tab w:val="right" w:pos="8306"/>
      </w:tabs>
      <w:snapToGrid w:val="0"/>
    </w:pPr>
    <w:rPr>
      <w:kern w:val="2"/>
      <w:sz w:val="18"/>
    </w:rPr>
  </w:style>
  <w:style w:type="paragraph" w:styleId="8">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9">
    <w:name w:val="toc 1"/>
    <w:basedOn w:val="1"/>
    <w:next w:val="1"/>
    <w:qFormat/>
    <w:uiPriority w:val="39"/>
    <w:pPr>
      <w:widowControl w:val="0"/>
      <w:jc w:val="both"/>
    </w:pPr>
    <w:rPr>
      <w:kern w:val="2"/>
      <w:sz w:val="21"/>
      <w:szCs w:val="24"/>
    </w:rPr>
  </w:style>
  <w:style w:type="paragraph" w:styleId="10">
    <w:name w:val="Normal (Web)"/>
    <w:basedOn w:val="1"/>
    <w:qFormat/>
    <w:uiPriority w:val="99"/>
    <w:pPr>
      <w:spacing w:before="100" w:beforeAutospacing="1" w:after="100" w:afterAutospacing="1"/>
    </w:pPr>
    <w:rPr>
      <w:rFonts w:ascii="宋体" w:hAnsi="宋体" w:cs="宋体"/>
      <w:sz w:val="24"/>
    </w:rPr>
  </w:style>
  <w:style w:type="paragraph" w:styleId="11">
    <w:name w:val="Body Text First Indent"/>
    <w:basedOn w:val="4"/>
    <w:qFormat/>
    <w:uiPriority w:val="99"/>
    <w:pPr>
      <w:spacing w:after="120"/>
      <w:ind w:firstLine="420" w:firstLineChars="100"/>
    </w:pPr>
    <w:rPr>
      <w:rFonts w:ascii="Times New Roman" w:hAnsi="Times New Roman" w:cs="Times New Roman"/>
      <w:sz w:val="21"/>
      <w:szCs w:val="21"/>
    </w:rPr>
  </w:style>
  <w:style w:type="paragraph" w:styleId="12">
    <w:name w:val="Body Text First Indent 2"/>
    <w:basedOn w:val="5"/>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FollowedHyperlink"/>
    <w:basedOn w:val="15"/>
    <w:qFormat/>
    <w:uiPriority w:val="0"/>
    <w:rPr>
      <w:color w:val="800080"/>
      <w:u w:val="none"/>
    </w:rPr>
  </w:style>
  <w:style w:type="character" w:styleId="18">
    <w:name w:val="Emphasis"/>
    <w:basedOn w:val="15"/>
    <w:qFormat/>
    <w:uiPriority w:val="0"/>
    <w:rPr>
      <w:b/>
      <w:bCs/>
    </w:rPr>
  </w:style>
  <w:style w:type="character" w:styleId="19">
    <w:name w:val="HTML Definition"/>
    <w:basedOn w:val="15"/>
    <w:qFormat/>
    <w:uiPriority w:val="0"/>
  </w:style>
  <w:style w:type="character" w:styleId="20">
    <w:name w:val="HTML Typewriter"/>
    <w:basedOn w:val="15"/>
    <w:qFormat/>
    <w:uiPriority w:val="0"/>
    <w:rPr>
      <w:rFonts w:hint="default" w:ascii="monospace" w:hAnsi="monospace" w:eastAsia="monospace" w:cs="monospace"/>
      <w:sz w:val="20"/>
    </w:rPr>
  </w:style>
  <w:style w:type="character" w:styleId="21">
    <w:name w:val="HTML Acronym"/>
    <w:basedOn w:val="15"/>
    <w:qFormat/>
    <w:uiPriority w:val="0"/>
  </w:style>
  <w:style w:type="character" w:styleId="22">
    <w:name w:val="HTML Variable"/>
    <w:basedOn w:val="15"/>
    <w:qFormat/>
    <w:uiPriority w:val="0"/>
  </w:style>
  <w:style w:type="character" w:styleId="23">
    <w:name w:val="Hyperlink"/>
    <w:basedOn w:val="15"/>
    <w:qFormat/>
    <w:uiPriority w:val="0"/>
    <w:rPr>
      <w:color w:val="0000FF"/>
      <w:u w:val="none"/>
    </w:rPr>
  </w:style>
  <w:style w:type="character" w:styleId="24">
    <w:name w:val="HTML Code"/>
    <w:basedOn w:val="15"/>
    <w:qFormat/>
    <w:uiPriority w:val="0"/>
    <w:rPr>
      <w:rFonts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hint="default" w:ascii="monospace" w:hAnsi="monospace" w:eastAsia="monospace" w:cs="monospace"/>
      <w:sz w:val="20"/>
    </w:rPr>
  </w:style>
  <w:style w:type="character" w:styleId="27">
    <w:name w:val="HTML Sample"/>
    <w:basedOn w:val="15"/>
    <w:qFormat/>
    <w:uiPriority w:val="0"/>
    <w:rPr>
      <w:rFonts w:hint="default" w:ascii="monospace" w:hAnsi="monospace" w:eastAsia="monospace" w:cs="monospace"/>
    </w:rPr>
  </w:style>
  <w:style w:type="paragraph" w:customStyle="1" w:styleId="28">
    <w:name w:val="文档正文"/>
    <w:basedOn w:val="1"/>
    <w:qFormat/>
    <w:uiPriority w:val="0"/>
    <w:pPr>
      <w:ind w:firstLine="482"/>
    </w:pPr>
  </w:style>
  <w:style w:type="paragraph" w:customStyle="1" w:styleId="29">
    <w:name w:val="Table Text"/>
    <w:basedOn w:val="1"/>
    <w:semiHidden/>
    <w:qFormat/>
    <w:uiPriority w:val="0"/>
    <w:rPr>
      <w:rFonts w:ascii="宋体" w:hAnsi="宋体" w:eastAsia="宋体" w:cs="宋体"/>
      <w:sz w:val="24"/>
      <w:szCs w:val="24"/>
      <w:lang w:val="en-US" w:eastAsia="en-US" w:bidi="ar-SA"/>
    </w:rPr>
  </w:style>
  <w:style w:type="character" w:customStyle="1" w:styleId="30">
    <w:name w:val="hover1"/>
    <w:basedOn w:val="15"/>
    <w:qFormat/>
    <w:uiPriority w:val="0"/>
    <w:rPr>
      <w:color w:val="2590EB"/>
    </w:rPr>
  </w:style>
  <w:style w:type="character" w:customStyle="1" w:styleId="31">
    <w:name w:val="hover2"/>
    <w:basedOn w:val="15"/>
    <w:qFormat/>
    <w:uiPriority w:val="0"/>
    <w:rPr>
      <w:color w:val="2590EB"/>
    </w:rPr>
  </w:style>
  <w:style w:type="character" w:customStyle="1" w:styleId="32">
    <w:name w:val="hover3"/>
    <w:basedOn w:val="15"/>
    <w:qFormat/>
    <w:uiPriority w:val="0"/>
  </w:style>
  <w:style w:type="character" w:customStyle="1" w:styleId="33">
    <w:name w:val="mini-outputtext1"/>
    <w:basedOn w:val="15"/>
    <w:qFormat/>
    <w:uiPriority w:val="0"/>
  </w:style>
  <w:style w:type="character" w:customStyle="1" w:styleId="34">
    <w:name w:val="hover"/>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21216</Words>
  <Characters>22518</Characters>
  <Lines>0</Lines>
  <Paragraphs>0</Paragraphs>
  <TotalTime>7</TotalTime>
  <ScaleCrop>false</ScaleCrop>
  <LinksUpToDate>false</LinksUpToDate>
  <CharactersWithSpaces>23412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2026-04-20T09:10:00Z</dcterms:created>
  <dc:creator>HY</dc:creator>
  <cp:lastModifiedBy>HY</cp:lastModifiedBy>
  <dcterms:modified xsi:type="dcterms:W3CDTF">2026-05-21T06:31:53Z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4514AFD8B10144769556264ABA439A9A_11</vt:lpwstr>
  </property>
  <property fmtid="{D5CDD505-2E9C-101B-9397-08002B2CF9AE}" pid="4" name="KSOTemplateDocerSaveRecord">
    <vt:lpwstr>eyJoZGlkIjoiOWVjNTAyZTJmOTk5YjJjMzg5ZWM5MjdhMWFkZjhkYzQiLCJ1c2VySWQiOiI5MzE5MDc4ODgifQ==</vt:lpwstr>
  </property>
</Properties>
</file>