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826">
      <w:pPr>
        <w:keepNext w:val="0"/>
        <w:keepLines w:val="0"/>
        <w:pageBreakBefore w:val="0"/>
        <w:widowControl w:val="0"/>
        <w:kinsoku/>
        <w:wordWrap w:val="0"/>
        <w:overflowPunct/>
        <w:topLinePunct w:val="0"/>
        <w:autoSpaceDE w:val="0"/>
        <w:autoSpaceDN w:val="0"/>
        <w:bidi w:val="0"/>
        <w:adjustRightInd/>
        <w:snapToGrid/>
        <w:spacing w:before="268" w:line="360" w:lineRule="auto"/>
        <w:jc w:val="center"/>
        <w:textAlignment w:val="auto"/>
        <w:outlineLvl w:val="0"/>
        <w:rPr>
          <w:rFonts w:hint="default"/>
          <w:b/>
          <w:bCs w:val="0"/>
          <w:color w:val="auto"/>
          <w:sz w:val="40"/>
          <w:szCs w:val="40"/>
          <w:lang w:val="en-US" w:eastAsia="zh-CN"/>
        </w:rPr>
      </w:pPr>
      <w:bookmarkStart w:id="0" w:name="_Toc10036"/>
      <w:r>
        <w:rPr>
          <w:rFonts w:hint="eastAsia"/>
          <w:b/>
          <w:bCs w:val="0"/>
          <w:color w:val="auto"/>
          <w:sz w:val="40"/>
          <w:szCs w:val="40"/>
          <w:lang w:val="en-US" w:eastAsia="zh-CN"/>
        </w:rPr>
        <w:t>渑池县公路局省道508(原国道310)渑池黄花至渑陕界段结构性修复工程施工图设计项目</w:t>
      </w:r>
    </w:p>
    <w:p w14:paraId="6C2550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ascii="微软雅黑" w:hAnsi="微软雅黑" w:eastAsia="微软雅黑" w:cs="微软雅黑"/>
          <w:color w:val="3D4B64"/>
          <w:sz w:val="21"/>
          <w:szCs w:val="21"/>
        </w:rPr>
      </w:pPr>
      <w:r>
        <w:rPr>
          <w:rFonts w:hint="eastAsia" w:ascii="宋体" w:hAnsi="宋体" w:eastAsia="宋体" w:cs="宋体"/>
          <w:b/>
          <w:color w:val="auto"/>
          <w:sz w:val="28"/>
          <w:szCs w:val="21"/>
          <w:lang w:val="en-US" w:eastAsia="zh-CN"/>
        </w:rPr>
        <w:t xml:space="preserve"> </w:t>
      </w:r>
      <w:r>
        <w:rPr>
          <w:rFonts w:hint="eastAsia" w:cs="宋体"/>
          <w:b/>
          <w:color w:val="auto"/>
          <w:sz w:val="28"/>
          <w:szCs w:val="21"/>
          <w:lang w:val="en-US" w:eastAsia="zh-CN"/>
        </w:rPr>
        <w:t xml:space="preserve"> </w:t>
      </w:r>
    </w:p>
    <w:p w14:paraId="10AB9B97">
      <w:pPr>
        <w:wordWrap w:val="0"/>
        <w:spacing w:before="268"/>
        <w:outlineLvl w:val="0"/>
        <w:rPr>
          <w:b/>
          <w:color w:val="auto"/>
          <w:sz w:val="72"/>
          <w:szCs w:val="21"/>
        </w:rPr>
      </w:pPr>
    </w:p>
    <w:p w14:paraId="0018EE91">
      <w:pPr>
        <w:wordWrap w:val="0"/>
        <w:spacing w:before="268"/>
        <w:outlineLvl w:val="0"/>
        <w:rPr>
          <w:b/>
          <w:color w:val="auto"/>
          <w:sz w:val="72"/>
          <w:szCs w:val="21"/>
        </w:rPr>
      </w:pPr>
    </w:p>
    <w:p w14:paraId="5205E836">
      <w:pPr>
        <w:wordWrap w:val="0"/>
        <w:spacing w:before="268"/>
        <w:jc w:val="center"/>
        <w:outlineLvl w:val="0"/>
        <w:rPr>
          <w:rFonts w:hint="eastAsia" w:ascii="宋体" w:hAnsi="宋体" w:eastAsia="宋体" w:cs="宋体"/>
          <w:b/>
          <w:color w:val="auto"/>
          <w:sz w:val="28"/>
          <w:szCs w:val="21"/>
          <w:lang w:val="en-US" w:eastAsia="zh-CN"/>
        </w:rPr>
      </w:pPr>
      <w:r>
        <w:rPr>
          <w:b/>
          <w:bCs w:val="0"/>
          <w:color w:val="auto"/>
          <w:sz w:val="60"/>
          <w:szCs w:val="20"/>
        </w:rPr>
        <w:t>竞争性磋商文件</w:t>
      </w:r>
      <w:bookmarkEnd w:id="0"/>
    </w:p>
    <w:p w14:paraId="54189E89">
      <w:pPr>
        <w:pStyle w:val="8"/>
        <w:wordWrap w:val="0"/>
        <w:spacing w:before="6"/>
        <w:ind w:left="0"/>
        <w:jc w:val="center"/>
        <w:rPr>
          <w:rFonts w:hint="eastAsia" w:ascii="宋体" w:hAnsi="宋体" w:eastAsia="宋体" w:cs="宋体"/>
          <w:b/>
          <w:color w:val="auto"/>
          <w:sz w:val="28"/>
          <w:szCs w:val="21"/>
          <w:lang w:val="en-US" w:eastAsia="zh-CN"/>
        </w:rPr>
      </w:pPr>
    </w:p>
    <w:p w14:paraId="652C81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center"/>
        <w:rPr>
          <w:rFonts w:hint="eastAsia" w:cs="宋体"/>
          <w:b/>
          <w:color w:val="auto"/>
          <w:sz w:val="28"/>
          <w:szCs w:val="21"/>
          <w:highlight w:val="none"/>
          <w:lang w:val="en-US" w:eastAsia="zh-CN"/>
        </w:rPr>
      </w:pPr>
      <w:r>
        <w:rPr>
          <w:rFonts w:hint="eastAsia" w:ascii="宋体" w:hAnsi="宋体" w:eastAsia="宋体" w:cs="宋体"/>
          <w:b/>
          <w:color w:val="auto"/>
          <w:sz w:val="28"/>
          <w:szCs w:val="21"/>
          <w:highlight w:val="none"/>
          <w:lang w:val="en-US" w:eastAsia="zh-CN"/>
        </w:rPr>
        <w:t>项目编号：</w:t>
      </w:r>
      <w:r>
        <w:rPr>
          <w:rFonts w:hint="eastAsia" w:cs="宋体"/>
          <w:b/>
          <w:color w:val="auto"/>
          <w:sz w:val="28"/>
          <w:szCs w:val="21"/>
          <w:highlight w:val="none"/>
          <w:lang w:val="en-US" w:eastAsia="zh-CN"/>
        </w:rPr>
        <w:t>渑池竞磋采购-2026-91、</w:t>
      </w:r>
    </w:p>
    <w:p w14:paraId="342730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jc w:val="center"/>
        <w:rPr>
          <w:rFonts w:hint="eastAsia" w:ascii="宋体" w:hAnsi="宋体" w:eastAsia="宋体" w:cs="宋体"/>
          <w:b/>
          <w:color w:val="auto"/>
          <w:sz w:val="28"/>
          <w:szCs w:val="21"/>
          <w:highlight w:val="none"/>
          <w:lang w:val="en-US" w:eastAsia="zh-CN"/>
        </w:rPr>
      </w:pPr>
      <w:r>
        <w:rPr>
          <w:rFonts w:hint="eastAsia" w:cs="宋体"/>
          <w:b/>
          <w:color w:val="auto"/>
          <w:sz w:val="28"/>
          <w:szCs w:val="21"/>
          <w:highlight w:val="none"/>
          <w:lang w:val="en-US" w:eastAsia="zh-CN"/>
        </w:rPr>
        <w:t>MCGZ[2026]137-ZC127</w:t>
      </w:r>
    </w:p>
    <w:p w14:paraId="14B3E9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default" w:ascii="宋体" w:hAnsi="宋体" w:eastAsia="宋体" w:cs="宋体"/>
          <w:b/>
          <w:color w:val="FF0000"/>
          <w:sz w:val="28"/>
          <w:szCs w:val="21"/>
          <w:lang w:val="en-US" w:eastAsia="zh-CN"/>
        </w:rPr>
      </w:pPr>
    </w:p>
    <w:p w14:paraId="6B8DEF19">
      <w:pPr>
        <w:keepNext w:val="0"/>
        <w:keepLines w:val="0"/>
        <w:pageBreakBefore w:val="0"/>
        <w:widowControl w:val="0"/>
        <w:tabs>
          <w:tab w:val="left" w:pos="2090"/>
          <w:tab w:val="left" w:pos="3555"/>
          <w:tab w:val="left" w:pos="9072"/>
        </w:tabs>
        <w:kinsoku/>
        <w:wordWrap w:val="0"/>
        <w:overflowPunct/>
        <w:topLinePunct w:val="0"/>
        <w:autoSpaceDE w:val="0"/>
        <w:autoSpaceDN w:val="0"/>
        <w:bidi w:val="0"/>
        <w:adjustRightInd/>
        <w:snapToGrid/>
        <w:spacing w:line="480" w:lineRule="auto"/>
        <w:ind w:right="612" w:rightChars="0"/>
        <w:jc w:val="center"/>
        <w:textAlignment w:val="auto"/>
        <w:rPr>
          <w:rFonts w:hint="eastAsia" w:ascii="宋体" w:hAnsi="宋体" w:eastAsia="宋体" w:cs="宋体"/>
          <w:b/>
          <w:color w:val="auto"/>
          <w:sz w:val="32"/>
          <w:lang w:eastAsia="zh-CN"/>
        </w:rPr>
      </w:pPr>
    </w:p>
    <w:p w14:paraId="65DB90B2">
      <w:pPr>
        <w:widowControl/>
        <w:shd w:val="clear" w:color="auto" w:fill="FFFFFF"/>
        <w:spacing w:line="390" w:lineRule="atLeast"/>
        <w:jc w:val="center"/>
        <w:rPr>
          <w:rFonts w:hint="eastAsia" w:ascii="微软雅黑" w:cs="微软雅黑"/>
          <w:color w:val="auto"/>
          <w:sz w:val="21"/>
          <w:szCs w:val="21"/>
          <w:lang w:bidi="ar-SA"/>
        </w:rPr>
      </w:pPr>
    </w:p>
    <w:p w14:paraId="0B357025">
      <w:pPr>
        <w:tabs>
          <w:tab w:val="left" w:pos="2090"/>
          <w:tab w:val="left" w:pos="3555"/>
          <w:tab w:val="left" w:pos="9072"/>
        </w:tabs>
        <w:wordWrap w:val="0"/>
        <w:spacing w:line="360" w:lineRule="auto"/>
        <w:ind w:right="610" w:rightChars="0"/>
        <w:jc w:val="both"/>
        <w:rPr>
          <w:b/>
          <w:color w:val="auto"/>
          <w:sz w:val="32"/>
        </w:rPr>
      </w:pPr>
    </w:p>
    <w:p w14:paraId="20A914C2">
      <w:pPr>
        <w:tabs>
          <w:tab w:val="left" w:pos="2090"/>
          <w:tab w:val="left" w:pos="3555"/>
          <w:tab w:val="left" w:pos="9072"/>
        </w:tabs>
        <w:wordWrap w:val="0"/>
        <w:spacing w:line="360" w:lineRule="auto"/>
        <w:ind w:right="610" w:rightChars="0"/>
        <w:jc w:val="both"/>
        <w:rPr>
          <w:b/>
          <w:color w:val="auto"/>
          <w:sz w:val="32"/>
        </w:rPr>
      </w:pPr>
    </w:p>
    <w:p w14:paraId="3CB4E7DD">
      <w:pPr>
        <w:pStyle w:val="3"/>
        <w:outlineLvl w:val="9"/>
        <w:rPr>
          <w:color w:val="auto"/>
        </w:rPr>
      </w:pPr>
    </w:p>
    <w:p w14:paraId="100E6570">
      <w:pPr>
        <w:keepNext w:val="0"/>
        <w:keepLines w:val="0"/>
        <w:pageBreakBefore w:val="0"/>
        <w:widowControl w:val="0"/>
        <w:tabs>
          <w:tab w:val="left" w:pos="2090"/>
          <w:tab w:val="left" w:pos="3555"/>
          <w:tab w:val="left" w:pos="9072"/>
        </w:tabs>
        <w:kinsoku/>
        <w:wordWrap w:val="0"/>
        <w:overflowPunct/>
        <w:topLinePunct w:val="0"/>
        <w:autoSpaceDE w:val="0"/>
        <w:autoSpaceDN w:val="0"/>
        <w:bidi w:val="0"/>
        <w:adjustRightInd/>
        <w:snapToGrid/>
        <w:spacing w:line="480" w:lineRule="auto"/>
        <w:ind w:right="612" w:rightChars="0"/>
        <w:jc w:val="both"/>
        <w:textAlignment w:val="auto"/>
        <w:rPr>
          <w:b/>
          <w:color w:val="auto"/>
          <w:sz w:val="32"/>
        </w:rPr>
      </w:pPr>
    </w:p>
    <w:p w14:paraId="1CB3CCA1">
      <w:pPr>
        <w:keepNext w:val="0"/>
        <w:keepLines w:val="0"/>
        <w:pageBreakBefore w:val="0"/>
        <w:widowControl w:val="0"/>
        <w:tabs>
          <w:tab w:val="left" w:pos="2090"/>
          <w:tab w:val="left" w:pos="3555"/>
          <w:tab w:val="left" w:pos="9072"/>
        </w:tabs>
        <w:kinsoku/>
        <w:wordWrap w:val="0"/>
        <w:overflowPunct/>
        <w:topLinePunct w:val="0"/>
        <w:autoSpaceDE w:val="0"/>
        <w:autoSpaceDN w:val="0"/>
        <w:bidi w:val="0"/>
        <w:adjustRightInd/>
        <w:snapToGrid/>
        <w:spacing w:line="360" w:lineRule="auto"/>
        <w:ind w:right="612" w:rightChars="0"/>
        <w:jc w:val="center"/>
        <w:textAlignment w:val="auto"/>
        <w:outlineLvl w:val="0"/>
        <w:rPr>
          <w:rFonts w:hint="default" w:eastAsia="宋体"/>
          <w:b/>
          <w:color w:val="auto"/>
          <w:sz w:val="32"/>
          <w:lang w:val="en-US" w:eastAsia="zh-CN"/>
        </w:rPr>
      </w:pPr>
      <w:bookmarkStart w:id="1" w:name="_Toc13937"/>
      <w:r>
        <w:rPr>
          <w:b/>
          <w:color w:val="auto"/>
          <w:sz w:val="32"/>
        </w:rPr>
        <w:t>采购人:</w:t>
      </w:r>
      <w:bookmarkEnd w:id="1"/>
      <w:r>
        <w:rPr>
          <w:rFonts w:hint="eastAsia"/>
          <w:b/>
          <w:color w:val="auto"/>
          <w:sz w:val="32"/>
          <w:lang w:val="en-US" w:eastAsia="zh-CN"/>
        </w:rPr>
        <w:t>渑池县公路局</w:t>
      </w:r>
    </w:p>
    <w:p w14:paraId="7282A954">
      <w:pPr>
        <w:keepNext w:val="0"/>
        <w:keepLines w:val="0"/>
        <w:pageBreakBefore w:val="0"/>
        <w:widowControl w:val="0"/>
        <w:tabs>
          <w:tab w:val="left" w:pos="2090"/>
          <w:tab w:val="left" w:pos="3555"/>
          <w:tab w:val="left" w:pos="9072"/>
        </w:tabs>
        <w:kinsoku/>
        <w:wordWrap w:val="0"/>
        <w:overflowPunct/>
        <w:topLinePunct w:val="0"/>
        <w:autoSpaceDE w:val="0"/>
        <w:autoSpaceDN w:val="0"/>
        <w:bidi w:val="0"/>
        <w:adjustRightInd/>
        <w:snapToGrid/>
        <w:spacing w:line="360" w:lineRule="auto"/>
        <w:ind w:right="612" w:rightChars="0"/>
        <w:jc w:val="center"/>
        <w:textAlignment w:val="auto"/>
        <w:outlineLvl w:val="0"/>
        <w:rPr>
          <w:rFonts w:hint="eastAsia"/>
          <w:b/>
          <w:color w:val="auto"/>
          <w:sz w:val="32"/>
          <w:lang w:eastAsia="zh-CN"/>
        </w:rPr>
      </w:pPr>
      <w:r>
        <w:rPr>
          <w:rFonts w:hint="eastAsia"/>
          <w:b/>
          <w:color w:val="auto"/>
          <w:sz w:val="32"/>
          <w:lang w:val="en-US" w:eastAsia="zh-CN"/>
        </w:rPr>
        <w:t xml:space="preserve">  </w:t>
      </w:r>
      <w:bookmarkStart w:id="2" w:name="_Toc29437"/>
      <w:r>
        <w:rPr>
          <w:b/>
          <w:color w:val="auto"/>
          <w:sz w:val="32"/>
        </w:rPr>
        <w:t>代理机构：</w:t>
      </w:r>
      <w:bookmarkEnd w:id="2"/>
      <w:r>
        <w:rPr>
          <w:rFonts w:hint="eastAsia"/>
          <w:b/>
          <w:color w:val="auto"/>
          <w:sz w:val="32"/>
          <w:lang w:eastAsia="zh-CN"/>
        </w:rPr>
        <w:t>河南韶泉工程服务有限公司</w:t>
      </w:r>
    </w:p>
    <w:p w14:paraId="50BAA7F2">
      <w:pPr>
        <w:keepNext w:val="0"/>
        <w:keepLines w:val="0"/>
        <w:pageBreakBefore w:val="0"/>
        <w:widowControl w:val="0"/>
        <w:tabs>
          <w:tab w:val="left" w:pos="2090"/>
          <w:tab w:val="left" w:pos="3555"/>
          <w:tab w:val="left" w:pos="9072"/>
        </w:tabs>
        <w:kinsoku/>
        <w:wordWrap w:val="0"/>
        <w:overflowPunct/>
        <w:topLinePunct w:val="0"/>
        <w:autoSpaceDE w:val="0"/>
        <w:autoSpaceDN w:val="0"/>
        <w:bidi w:val="0"/>
        <w:adjustRightInd/>
        <w:snapToGrid/>
        <w:spacing w:line="360" w:lineRule="auto"/>
        <w:ind w:right="612" w:rightChars="0"/>
        <w:jc w:val="center"/>
        <w:textAlignment w:val="auto"/>
        <w:outlineLvl w:val="0"/>
        <w:rPr>
          <w:rFonts w:hint="eastAsia" w:eastAsia="宋体"/>
          <w:b/>
          <w:color w:val="auto"/>
          <w:sz w:val="32"/>
          <w:lang w:eastAsia="zh-CN"/>
        </w:rPr>
      </w:pPr>
      <w:bookmarkStart w:id="3" w:name="_Toc15102"/>
      <w:r>
        <w:rPr>
          <w:rFonts w:hint="eastAsia"/>
          <w:b/>
          <w:color w:val="auto"/>
          <w:sz w:val="32"/>
          <w:lang w:eastAsia="zh-CN"/>
        </w:rPr>
        <w:t>日</w:t>
      </w:r>
      <w:r>
        <w:rPr>
          <w:b/>
          <w:color w:val="auto"/>
          <w:sz w:val="32"/>
        </w:rPr>
        <w:t>期：</w:t>
      </w:r>
      <w:bookmarkEnd w:id="3"/>
      <w:r>
        <w:rPr>
          <w:rFonts w:hint="eastAsia"/>
          <w:b/>
          <w:color w:val="auto"/>
          <w:sz w:val="32"/>
          <w:lang w:eastAsia="zh-CN"/>
        </w:rPr>
        <w:t>二〇二六年七月</w:t>
      </w:r>
    </w:p>
    <w:p w14:paraId="1C8A2B4B">
      <w:pPr>
        <w:wordWrap w:val="0"/>
        <w:spacing w:line="364" w:lineRule="auto"/>
        <w:jc w:val="center"/>
        <w:rPr>
          <w:color w:val="auto"/>
          <w:sz w:val="32"/>
        </w:rPr>
        <w:sectPr>
          <w:footerReference r:id="rId3" w:type="default"/>
          <w:pgSz w:w="11910" w:h="16840"/>
          <w:pgMar w:top="1440" w:right="1440" w:bottom="1440" w:left="1440" w:header="867" w:footer="867" w:gutter="0"/>
          <w:pgNumType w:fmt="decimal" w:start="1"/>
          <w:cols w:space="720" w:num="1"/>
          <w:docGrid w:linePitch="299" w:charSpace="0"/>
        </w:sectPr>
      </w:pPr>
    </w:p>
    <w:p w14:paraId="4EAB9565">
      <w:pPr>
        <w:spacing w:line="360" w:lineRule="auto"/>
        <w:jc w:val="center"/>
        <w:rPr>
          <w:rFonts w:hint="default" w:ascii="Times New Roman" w:hAnsi="Times New Roman" w:cs="Times New Roman"/>
          <w:sz w:val="28"/>
          <w:szCs w:val="28"/>
          <w:highlight w:val="none"/>
        </w:rPr>
      </w:pPr>
      <w:r>
        <w:rPr>
          <w:rFonts w:hint="default" w:ascii="Times New Roman" w:hAnsi="Times New Roman" w:cs="Times New Roman"/>
          <w:b/>
          <w:sz w:val="36"/>
          <w:szCs w:val="36"/>
          <w:highlight w:val="none"/>
        </w:rPr>
        <w:t>目 录</w:t>
      </w:r>
    </w:p>
    <w:p w14:paraId="2E9A35FE">
      <w:pPr>
        <w:tabs>
          <w:tab w:val="right" w:leader="dot" w:pos="9070"/>
        </w:tabs>
        <w:spacing w:line="480" w:lineRule="auto"/>
        <w:rPr>
          <w:rFonts w:hint="eastAsia" w:ascii="宋体" w:hAnsi="宋体" w:eastAsia="宋体" w:cs="宋体"/>
          <w:b/>
          <w:bCs/>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TOC \o "1-2" \h \z \u </w:instrText>
      </w:r>
      <w:r>
        <w:rPr>
          <w:rFonts w:hint="default" w:ascii="Times New Roman" w:hAnsi="Times New Roman" w:cs="Times New Roman"/>
          <w:sz w:val="28"/>
          <w:szCs w:val="28"/>
          <w:highlight w:val="none"/>
        </w:rPr>
        <w:fldChar w:fldCharType="separate"/>
      </w: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"_Toc3491"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竞争性磋商公告</w:t>
      </w:r>
      <w:r>
        <w:rPr>
          <w:rFonts w:hint="eastAsia" w:ascii="宋体" w:hAnsi="宋体" w:eastAsia="宋体" w:cs="宋体"/>
          <w:b/>
          <w:bCs/>
          <w:sz w:val="28"/>
          <w:szCs w:val="28"/>
          <w:highlight w:val="none"/>
        </w:rPr>
        <w:tab/>
      </w:r>
      <w:r>
        <w:rPr>
          <w:rFonts w:hint="eastAsia" w:cs="宋体"/>
          <w:b/>
          <w:bCs/>
          <w:sz w:val="28"/>
          <w:szCs w:val="28"/>
          <w:highlight w:val="none"/>
          <w:lang w:val="en-US" w:eastAsia="zh-CN"/>
        </w:rPr>
        <w:t>2</w:t>
      </w:r>
      <w:r>
        <w:rPr>
          <w:rFonts w:hint="eastAsia" w:ascii="宋体" w:hAnsi="宋体" w:eastAsia="宋体" w:cs="宋体"/>
          <w:b/>
          <w:bCs/>
          <w:sz w:val="28"/>
          <w:szCs w:val="28"/>
          <w:highlight w:val="none"/>
        </w:rPr>
        <w:fldChar w:fldCharType="end"/>
      </w:r>
    </w:p>
    <w:p w14:paraId="0D59D722">
      <w:pPr>
        <w:tabs>
          <w:tab w:val="right" w:leader="dot" w:pos="9070"/>
        </w:tabs>
        <w:spacing w:line="480" w:lineRule="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"_Toc788"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供应商须知</w:t>
      </w:r>
      <w:r>
        <w:rPr>
          <w:rFonts w:hint="eastAsia" w:ascii="宋体" w:hAnsi="宋体" w:eastAsia="宋体" w:cs="宋体"/>
          <w:b/>
          <w:bCs/>
          <w:sz w:val="28"/>
          <w:szCs w:val="28"/>
          <w:highlight w:val="none"/>
        </w:rPr>
        <w:tab/>
      </w:r>
      <w:r>
        <w:rPr>
          <w:rFonts w:hint="eastAsia" w:cs="宋体"/>
          <w:b/>
          <w:bCs/>
          <w:sz w:val="28"/>
          <w:szCs w:val="28"/>
          <w:highlight w:val="none"/>
          <w:lang w:val="en-US" w:eastAsia="zh-CN"/>
        </w:rPr>
        <w:t>6</w:t>
      </w:r>
      <w:r>
        <w:rPr>
          <w:rFonts w:hint="eastAsia" w:ascii="宋体" w:hAnsi="宋体" w:eastAsia="宋体" w:cs="宋体"/>
          <w:b/>
          <w:bCs/>
          <w:sz w:val="28"/>
          <w:szCs w:val="28"/>
          <w:highlight w:val="none"/>
        </w:rPr>
        <w:fldChar w:fldCharType="end"/>
      </w:r>
    </w:p>
    <w:p w14:paraId="5D4902D4">
      <w:pPr>
        <w:tabs>
          <w:tab w:val="right" w:leader="dot" w:pos="9070"/>
        </w:tabs>
        <w:spacing w:line="480" w:lineRule="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"_Toc12449"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 xml:space="preserve">第三章  </w:t>
      </w:r>
      <w:r>
        <w:rPr>
          <w:rFonts w:hint="eastAsia" w:cs="宋体"/>
          <w:b/>
          <w:bCs/>
          <w:sz w:val="28"/>
          <w:szCs w:val="28"/>
          <w:highlight w:val="none"/>
          <w:lang w:val="en-US" w:eastAsia="zh-CN"/>
        </w:rPr>
        <w:t>服务需求</w:t>
      </w:r>
      <w:r>
        <w:rPr>
          <w:rFonts w:hint="eastAsia" w:ascii="宋体" w:hAnsi="宋体" w:eastAsia="宋体" w:cs="宋体"/>
          <w:b/>
          <w:bCs/>
          <w:sz w:val="28"/>
          <w:szCs w:val="28"/>
          <w:highlight w:val="none"/>
        </w:rPr>
        <w:tab/>
      </w:r>
      <w:r>
        <w:rPr>
          <w:rFonts w:hint="eastAsia" w:cs="宋体"/>
          <w:b/>
          <w:bCs/>
          <w:sz w:val="28"/>
          <w:szCs w:val="28"/>
          <w:highlight w:val="none"/>
          <w:lang w:val="en-US" w:eastAsia="zh-CN"/>
        </w:rPr>
        <w:t>2</w:t>
      </w:r>
      <w:r>
        <w:rPr>
          <w:rFonts w:hint="eastAsia" w:ascii="宋体" w:hAnsi="宋体" w:eastAsia="宋体" w:cs="宋体"/>
          <w:b/>
          <w:bCs/>
          <w:sz w:val="28"/>
          <w:szCs w:val="28"/>
          <w:highlight w:val="none"/>
        </w:rPr>
        <w:fldChar w:fldCharType="end"/>
      </w:r>
      <w:r>
        <w:rPr>
          <w:rFonts w:hint="eastAsia" w:cs="宋体"/>
          <w:b/>
          <w:bCs/>
          <w:sz w:val="28"/>
          <w:szCs w:val="28"/>
          <w:highlight w:val="none"/>
          <w:lang w:val="en-US" w:eastAsia="zh-CN"/>
        </w:rPr>
        <w:t>5</w:t>
      </w:r>
    </w:p>
    <w:p w14:paraId="48B16164">
      <w:pPr>
        <w:tabs>
          <w:tab w:val="right" w:leader="dot" w:pos="9070"/>
        </w:tabs>
        <w:spacing w:line="480" w:lineRule="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"_Toc29647"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 xml:space="preserve">第四章  </w:t>
      </w:r>
      <w:r>
        <w:rPr>
          <w:rFonts w:hint="eastAsia" w:cs="宋体"/>
          <w:b/>
          <w:bCs/>
          <w:sz w:val="28"/>
          <w:szCs w:val="28"/>
          <w:highlight w:val="none"/>
          <w:lang w:val="en-US" w:eastAsia="zh-CN"/>
        </w:rPr>
        <w:t>评审办法</w:t>
      </w:r>
      <w:r>
        <w:rPr>
          <w:rFonts w:hint="eastAsia" w:ascii="宋体" w:hAnsi="宋体" w:eastAsia="宋体" w:cs="宋体"/>
          <w:b/>
          <w:bCs/>
          <w:sz w:val="28"/>
          <w:szCs w:val="28"/>
          <w:highlight w:val="none"/>
        </w:rPr>
        <w:tab/>
      </w:r>
      <w:r>
        <w:rPr>
          <w:rFonts w:hint="eastAsia" w:cs="宋体"/>
          <w:b/>
          <w:bCs/>
          <w:sz w:val="28"/>
          <w:szCs w:val="28"/>
          <w:highlight w:val="none"/>
          <w:lang w:val="en-US" w:eastAsia="zh-CN"/>
        </w:rPr>
        <w:t>2</w:t>
      </w:r>
      <w:r>
        <w:rPr>
          <w:rFonts w:hint="eastAsia" w:ascii="宋体" w:hAnsi="宋体" w:eastAsia="宋体" w:cs="宋体"/>
          <w:b/>
          <w:bCs/>
          <w:sz w:val="28"/>
          <w:szCs w:val="28"/>
          <w:highlight w:val="none"/>
        </w:rPr>
        <w:fldChar w:fldCharType="end"/>
      </w:r>
      <w:r>
        <w:rPr>
          <w:rFonts w:hint="eastAsia" w:cs="宋体"/>
          <w:b/>
          <w:bCs/>
          <w:sz w:val="28"/>
          <w:szCs w:val="28"/>
          <w:highlight w:val="none"/>
          <w:lang w:val="en-US" w:eastAsia="zh-CN"/>
        </w:rPr>
        <w:t>6</w:t>
      </w:r>
    </w:p>
    <w:p w14:paraId="4EC47D06">
      <w:pPr>
        <w:tabs>
          <w:tab w:val="right" w:leader="dot" w:pos="9070"/>
        </w:tabs>
        <w:spacing w:line="480" w:lineRule="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"_Toc24568"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第五章  合同主要条款及格式</w:t>
      </w:r>
      <w:r>
        <w:rPr>
          <w:rFonts w:hint="eastAsia" w:ascii="宋体" w:hAnsi="宋体" w:eastAsia="宋体" w:cs="宋体"/>
          <w:b/>
          <w:bCs/>
          <w:sz w:val="28"/>
          <w:szCs w:val="28"/>
          <w:highlight w:val="none"/>
        </w:rPr>
        <w:tab/>
      </w:r>
      <w:r>
        <w:rPr>
          <w:rFonts w:hint="eastAsia" w:ascii="宋体" w:hAnsi="宋体" w:eastAsia="宋体" w:cs="宋体"/>
          <w:b/>
          <w:bCs/>
          <w:sz w:val="28"/>
          <w:szCs w:val="28"/>
          <w:highlight w:val="none"/>
        </w:rPr>
        <w:t>3</w:t>
      </w:r>
      <w:r>
        <w:rPr>
          <w:rFonts w:hint="eastAsia" w:cs="宋体"/>
          <w:b/>
          <w:bCs/>
          <w:sz w:val="28"/>
          <w:szCs w:val="28"/>
          <w:highlight w:val="none"/>
          <w:lang w:val="en-US" w:eastAsia="zh-CN"/>
        </w:rPr>
        <w:t>2</w:t>
      </w:r>
      <w:r>
        <w:rPr>
          <w:rFonts w:hint="eastAsia" w:ascii="宋体" w:hAnsi="宋体" w:eastAsia="宋体" w:cs="宋体"/>
          <w:b/>
          <w:bCs/>
          <w:sz w:val="28"/>
          <w:szCs w:val="28"/>
          <w:highlight w:val="none"/>
        </w:rPr>
        <w:fldChar w:fldCharType="end"/>
      </w:r>
    </w:p>
    <w:p w14:paraId="7C0BC19A">
      <w:pPr>
        <w:tabs>
          <w:tab w:val="right" w:leader="dot" w:pos="9070"/>
        </w:tabs>
        <w:spacing w:line="480" w:lineRule="auto"/>
        <w:rPr>
          <w:rFonts w:hint="eastAsia" w:ascii="宋体" w:hAnsi="宋体" w:eastAsia="宋体" w:cs="宋体"/>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"_Toc10979"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 xml:space="preserve">第六章  </w:t>
      </w:r>
      <w:r>
        <w:rPr>
          <w:rFonts w:hint="eastAsia" w:cs="宋体"/>
          <w:b/>
          <w:bCs/>
          <w:sz w:val="28"/>
          <w:szCs w:val="28"/>
          <w:highlight w:val="none"/>
          <w:lang w:eastAsia="zh-CN"/>
        </w:rPr>
        <w:t>电子化响应文件内容及格式</w:t>
      </w:r>
      <w:r>
        <w:rPr>
          <w:rFonts w:hint="eastAsia" w:ascii="宋体" w:hAnsi="宋体" w:eastAsia="宋体" w:cs="宋体"/>
          <w:b/>
          <w:bCs/>
          <w:sz w:val="28"/>
          <w:szCs w:val="28"/>
          <w:highlight w:val="none"/>
        </w:rPr>
        <w:tab/>
      </w:r>
      <w:r>
        <w:rPr>
          <w:rFonts w:hint="eastAsia" w:ascii="宋体" w:hAnsi="宋体" w:eastAsia="宋体" w:cs="宋体"/>
          <w:b/>
          <w:bCs/>
          <w:sz w:val="28"/>
          <w:szCs w:val="28"/>
          <w:highlight w:val="none"/>
        </w:rPr>
        <w:t>3</w:t>
      </w:r>
      <w:r>
        <w:rPr>
          <w:rFonts w:hint="eastAsia" w:cs="宋体"/>
          <w:b/>
          <w:bCs/>
          <w:sz w:val="28"/>
          <w:szCs w:val="28"/>
          <w:highlight w:val="none"/>
          <w:lang w:val="en-US" w:eastAsia="zh-CN"/>
        </w:rPr>
        <w:t>5</w:t>
      </w:r>
      <w:r>
        <w:rPr>
          <w:rFonts w:hint="eastAsia" w:ascii="宋体" w:hAnsi="宋体" w:eastAsia="宋体" w:cs="宋体"/>
          <w:b/>
          <w:bCs/>
          <w:sz w:val="28"/>
          <w:szCs w:val="28"/>
          <w:highlight w:val="none"/>
        </w:rPr>
        <w:fldChar w:fldCharType="end"/>
      </w:r>
    </w:p>
    <w:p w14:paraId="7FAA6F7A">
      <w:pPr>
        <w:tabs>
          <w:tab w:val="right" w:leader="dot" w:pos="9070"/>
        </w:tabs>
        <w:spacing w:line="480" w:lineRule="auto"/>
        <w:rPr>
          <w:rFonts w:hint="default" w:ascii="Times New Roman" w:hAnsi="Times New Roman" w:cs="Times New Roman"/>
          <w:highlight w:val="none"/>
        </w:rPr>
      </w:pPr>
    </w:p>
    <w:p w14:paraId="27B90C94">
      <w:pPr>
        <w:wordWrap w:val="0"/>
        <w:rPr>
          <w:color w:val="auto"/>
        </w:rPr>
      </w:pPr>
      <w:r>
        <w:rPr>
          <w:rFonts w:hint="default" w:ascii="Times New Roman" w:hAnsi="Times New Roman" w:cs="Times New Roman"/>
          <w:szCs w:val="28"/>
          <w:highlight w:val="none"/>
        </w:rPr>
        <w:fldChar w:fldCharType="end"/>
      </w:r>
    </w:p>
    <w:p w14:paraId="0960A2C4">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outlineLvl w:val="9"/>
        <w:rPr>
          <w:rFonts w:hint="eastAsia"/>
          <w:b/>
          <w:bCs/>
          <w:color w:val="auto"/>
          <w:sz w:val="36"/>
          <w:szCs w:val="28"/>
        </w:rPr>
        <w:sectPr>
          <w:footerReference r:id="rId4" w:type="default"/>
          <w:pgSz w:w="11910" w:h="16840"/>
          <w:pgMar w:top="1440" w:right="1440" w:bottom="1440" w:left="1440" w:header="867" w:footer="867" w:gutter="0"/>
          <w:pgNumType w:fmt="decimal" w:start="1"/>
          <w:cols w:space="720" w:num="1"/>
        </w:sectPr>
      </w:pPr>
      <w:bookmarkStart w:id="4" w:name="_Toc15183"/>
    </w:p>
    <w:p w14:paraId="09ACBFA4">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b/>
          <w:bCs/>
          <w:color w:val="auto"/>
          <w:sz w:val="36"/>
          <w:szCs w:val="28"/>
        </w:rPr>
      </w:pPr>
      <w:r>
        <w:rPr>
          <w:rFonts w:hint="eastAsia"/>
          <w:b/>
          <w:bCs/>
          <w:color w:val="auto"/>
          <w:sz w:val="36"/>
          <w:szCs w:val="28"/>
        </w:rPr>
        <w:t xml:space="preserve">第一章   </w:t>
      </w:r>
      <w:r>
        <w:rPr>
          <w:b/>
          <w:bCs/>
          <w:color w:val="auto"/>
          <w:sz w:val="36"/>
          <w:szCs w:val="28"/>
        </w:rPr>
        <w:t>竞争性磋商公告</w:t>
      </w:r>
      <w:bookmarkEnd w:id="4"/>
    </w:p>
    <w:p w14:paraId="6964104B"/>
    <w:p w14:paraId="757ED831">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rPr>
      </w:pPr>
      <w:bookmarkStart w:id="5" w:name="_Hlk536538549"/>
      <w:r>
        <w:rPr>
          <w:rFonts w:hint="eastAsia" w:ascii="宋体" w:hAnsi="宋体" w:eastAsia="宋体" w:cs="宋体"/>
          <w:color w:val="auto"/>
          <w:sz w:val="24"/>
          <w:szCs w:val="24"/>
          <w:lang w:val="en-US" w:eastAsia="zh-CN"/>
        </w:rPr>
        <w:t>河南韶泉工程服务有限公司</w:t>
      </w:r>
      <w:r>
        <w:rPr>
          <w:rFonts w:hint="eastAsia" w:ascii="宋体" w:hAnsi="宋体" w:eastAsia="宋体" w:cs="宋体"/>
          <w:color w:val="auto"/>
          <w:sz w:val="24"/>
          <w:szCs w:val="24"/>
          <w:lang w:val="en-US"/>
        </w:rPr>
        <w:t>受</w:t>
      </w:r>
      <w:r>
        <w:rPr>
          <w:rFonts w:hint="eastAsia" w:ascii="宋体" w:hAnsi="宋体" w:eastAsia="宋体" w:cs="宋体"/>
          <w:color w:val="auto"/>
          <w:sz w:val="24"/>
          <w:szCs w:val="24"/>
          <w:lang w:val="en-US" w:eastAsia="zh-CN"/>
        </w:rPr>
        <w:t>渑池县公路局</w:t>
      </w:r>
      <w:r>
        <w:rPr>
          <w:rFonts w:hint="eastAsia" w:ascii="宋体" w:hAnsi="宋体" w:eastAsia="宋体" w:cs="宋体"/>
          <w:color w:val="auto"/>
          <w:sz w:val="24"/>
          <w:szCs w:val="24"/>
          <w:lang w:val="en-US"/>
        </w:rPr>
        <w:t>的委托</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rPr>
        <w:t>就</w:t>
      </w:r>
      <w:r>
        <w:rPr>
          <w:rFonts w:hint="eastAsia" w:ascii="宋体" w:hAnsi="宋体" w:eastAsia="宋体" w:cs="宋体"/>
          <w:color w:val="auto"/>
          <w:sz w:val="24"/>
          <w:szCs w:val="24"/>
          <w:lang w:val="en-US" w:eastAsia="zh-CN"/>
        </w:rPr>
        <w:t>渑池县公路局省道508(原国道310)渑池黄花至渑陕界段结构性修复工程施工图设计项目</w:t>
      </w:r>
      <w:r>
        <w:rPr>
          <w:rFonts w:hint="eastAsia" w:ascii="宋体" w:hAnsi="宋体" w:eastAsia="宋体" w:cs="宋体"/>
          <w:color w:val="auto"/>
          <w:sz w:val="24"/>
          <w:szCs w:val="24"/>
        </w:rPr>
        <w:t>进行竞争性磋商，欢迎符合资格条件的供应商参加磋商。</w:t>
      </w:r>
    </w:p>
    <w:p w14:paraId="7F8C850C">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一、项目基本情况</w:t>
      </w:r>
    </w:p>
    <w:p w14:paraId="59B562EB">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bookmarkStart w:id="6" w:name="OLE_LINK1"/>
      <w:r>
        <w:rPr>
          <w:rFonts w:hint="eastAsia" w:ascii="宋体" w:hAnsi="宋体" w:eastAsia="宋体" w:cs="宋体"/>
          <w:color w:val="auto"/>
          <w:sz w:val="24"/>
          <w:szCs w:val="24"/>
          <w:lang w:val="en-US" w:eastAsia="zh-CN"/>
        </w:rPr>
        <w:t>1、项</w:t>
      </w:r>
      <w:r>
        <w:rPr>
          <w:rFonts w:hint="eastAsia" w:ascii="宋体" w:hAnsi="宋体" w:eastAsia="宋体" w:cs="宋体"/>
          <w:color w:val="auto"/>
          <w:sz w:val="24"/>
          <w:szCs w:val="24"/>
          <w:highlight w:val="none"/>
          <w:lang w:val="en-US" w:eastAsia="zh-CN"/>
        </w:rPr>
        <w:t>目编号：</w:t>
      </w:r>
      <w:r>
        <w:rPr>
          <w:rFonts w:hint="eastAsia" w:ascii="宋体" w:hAnsi="宋体" w:cs="宋体"/>
          <w:color w:val="auto"/>
          <w:sz w:val="24"/>
          <w:szCs w:val="24"/>
          <w:highlight w:val="none"/>
          <w:lang w:val="en-US" w:eastAsia="zh-CN"/>
        </w:rPr>
        <w:t>渑池竞磋采</w:t>
      </w:r>
      <w:r>
        <w:rPr>
          <w:rFonts w:hint="eastAsia" w:ascii="宋体" w:hAnsi="宋体" w:cs="宋体"/>
          <w:color w:val="auto"/>
          <w:sz w:val="24"/>
          <w:szCs w:val="24"/>
          <w:lang w:val="en-US" w:eastAsia="zh-CN"/>
        </w:rPr>
        <w:t>购-2026-91</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MCGZ[2026]137-ZC127</w:t>
      </w:r>
    </w:p>
    <w:p w14:paraId="6C246241">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2、项目名称：渑池县公路局省道508(原国道310)渑池黄花至渑陕界段结构性修复工程施工图设计项目</w:t>
      </w:r>
    </w:p>
    <w:p w14:paraId="489C3D21">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3、采购方式：竞争性磋商</w:t>
      </w:r>
    </w:p>
    <w:p w14:paraId="79445DD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4、预算金额：560000.00元</w:t>
      </w:r>
    </w:p>
    <w:p w14:paraId="1FA424C5">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hint="eastAsia" w:ascii="宋体" w:hAnsi="宋体" w:cs="宋体"/>
          <w:color w:val="000000"/>
          <w:kern w:val="0"/>
          <w:sz w:val="24"/>
          <w:szCs w:val="24"/>
        </w:rPr>
      </w:pPr>
      <w:r>
        <w:rPr>
          <w:rFonts w:hint="eastAsia" w:ascii="宋体" w:hAnsi="宋体" w:eastAsia="宋体" w:cs="宋体"/>
          <w:color w:val="auto"/>
          <w:sz w:val="24"/>
          <w:szCs w:val="24"/>
          <w:lang w:val="en-US" w:eastAsia="zh-CN"/>
        </w:rPr>
        <w:t>最</w:t>
      </w:r>
      <w:r>
        <w:rPr>
          <w:rFonts w:hint="eastAsia" w:ascii="宋体" w:hAnsi="宋体" w:cs="宋体"/>
          <w:color w:val="000000"/>
          <w:kern w:val="0"/>
          <w:sz w:val="24"/>
          <w:szCs w:val="24"/>
        </w:rPr>
        <w:t>高限价：</w:t>
      </w:r>
      <w:r>
        <w:rPr>
          <w:rFonts w:hint="eastAsia" w:ascii="宋体" w:hAnsi="宋体" w:cs="宋体"/>
          <w:color w:val="000000"/>
          <w:kern w:val="0"/>
          <w:sz w:val="24"/>
          <w:szCs w:val="24"/>
          <w:lang w:val="en-US" w:eastAsia="zh-CN"/>
        </w:rPr>
        <w:t>560000.00</w:t>
      </w:r>
      <w:r>
        <w:rPr>
          <w:rFonts w:hint="eastAsia" w:ascii="宋体" w:hAnsi="宋体" w:cs="宋体"/>
          <w:color w:val="000000"/>
          <w:kern w:val="0"/>
          <w:sz w:val="24"/>
          <w:szCs w:val="24"/>
        </w:rPr>
        <w:t>元</w:t>
      </w:r>
    </w:p>
    <w:tbl>
      <w:tblPr>
        <w:tblStyle w:val="20"/>
        <w:tblW w:w="9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184"/>
        <w:gridCol w:w="2355"/>
        <w:gridCol w:w="1426"/>
        <w:gridCol w:w="1453"/>
        <w:gridCol w:w="1467"/>
        <w:gridCol w:w="1334"/>
      </w:tblGrid>
      <w:tr w14:paraId="3273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37" w:type="dxa"/>
            <w:noWrap/>
            <w:vAlign w:val="center"/>
          </w:tcPr>
          <w:p w14:paraId="35196AD2">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序号</w:t>
            </w:r>
          </w:p>
        </w:tc>
        <w:tc>
          <w:tcPr>
            <w:tcW w:w="1184" w:type="dxa"/>
            <w:noWrap/>
            <w:vAlign w:val="center"/>
          </w:tcPr>
          <w:p w14:paraId="5408EE21">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包号</w:t>
            </w:r>
          </w:p>
        </w:tc>
        <w:tc>
          <w:tcPr>
            <w:tcW w:w="2355" w:type="dxa"/>
            <w:noWrap/>
            <w:vAlign w:val="center"/>
          </w:tcPr>
          <w:p w14:paraId="63B1BA2F">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包名称</w:t>
            </w:r>
          </w:p>
        </w:tc>
        <w:tc>
          <w:tcPr>
            <w:tcW w:w="1426" w:type="dxa"/>
            <w:noWrap/>
            <w:vAlign w:val="center"/>
          </w:tcPr>
          <w:p w14:paraId="49C9AEB9">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包预算（元）</w:t>
            </w:r>
          </w:p>
        </w:tc>
        <w:tc>
          <w:tcPr>
            <w:tcW w:w="1453" w:type="dxa"/>
            <w:noWrap/>
            <w:vAlign w:val="center"/>
          </w:tcPr>
          <w:p w14:paraId="1A2EE88F">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包最高限价（元）</w:t>
            </w:r>
          </w:p>
        </w:tc>
        <w:tc>
          <w:tcPr>
            <w:tcW w:w="1467" w:type="dxa"/>
            <w:noWrap/>
            <w:vAlign w:val="center"/>
          </w:tcPr>
          <w:p w14:paraId="780EF71A">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是否专门面向中小企业</w:t>
            </w:r>
          </w:p>
        </w:tc>
        <w:tc>
          <w:tcPr>
            <w:tcW w:w="1334" w:type="dxa"/>
            <w:noWrap/>
            <w:vAlign w:val="center"/>
          </w:tcPr>
          <w:p w14:paraId="78965B9E">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采购预留金额（元）</w:t>
            </w:r>
          </w:p>
        </w:tc>
      </w:tr>
      <w:tr w14:paraId="602B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537" w:type="dxa"/>
            <w:noWrap/>
            <w:vAlign w:val="center"/>
          </w:tcPr>
          <w:p w14:paraId="698F65A6">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w:t>
            </w:r>
          </w:p>
        </w:tc>
        <w:tc>
          <w:tcPr>
            <w:tcW w:w="1184" w:type="dxa"/>
            <w:noWrap/>
            <w:vAlign w:val="center"/>
          </w:tcPr>
          <w:p w14:paraId="39721378">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eastAsia="宋体" w:cs="宋体"/>
                <w:color w:val="000000"/>
                <w:kern w:val="0"/>
                <w:sz w:val="24"/>
                <w:szCs w:val="24"/>
                <w:highlight w:val="none"/>
                <w:lang w:val="en-US" w:eastAsia="zh-CN"/>
              </w:rPr>
            </w:pPr>
            <w:r>
              <w:rPr>
                <w:rFonts w:hint="eastAsia" w:cs="宋体"/>
                <w:b w:val="0"/>
                <w:bCs w:val="0"/>
                <w:color w:val="auto"/>
                <w:kern w:val="0"/>
                <w:sz w:val="24"/>
                <w:szCs w:val="24"/>
                <w:highlight w:val="none"/>
                <w:lang w:val="en-US" w:eastAsia="zh-CN" w:bidi="ar"/>
              </w:rPr>
              <w:t>MCGZ[2026]137-ZC127</w:t>
            </w:r>
          </w:p>
        </w:tc>
        <w:tc>
          <w:tcPr>
            <w:tcW w:w="2355" w:type="dxa"/>
            <w:noWrap/>
            <w:vAlign w:val="center"/>
          </w:tcPr>
          <w:p w14:paraId="20AAD0E9">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渑池县公路局省道508(原国道310)渑池黄花至渑陕界段结构性修复工程施工图设计项目</w:t>
            </w:r>
          </w:p>
        </w:tc>
        <w:tc>
          <w:tcPr>
            <w:tcW w:w="1426" w:type="dxa"/>
            <w:noWrap/>
            <w:vAlign w:val="center"/>
          </w:tcPr>
          <w:p w14:paraId="0DAB9012">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560000.00</w:t>
            </w:r>
          </w:p>
        </w:tc>
        <w:tc>
          <w:tcPr>
            <w:tcW w:w="1453" w:type="dxa"/>
            <w:noWrap/>
            <w:vAlign w:val="center"/>
          </w:tcPr>
          <w:p w14:paraId="15AAF934">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560000.00</w:t>
            </w:r>
          </w:p>
        </w:tc>
        <w:tc>
          <w:tcPr>
            <w:tcW w:w="1467" w:type="dxa"/>
            <w:noWrap/>
            <w:vAlign w:val="center"/>
          </w:tcPr>
          <w:p w14:paraId="5BB425A8">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cs="宋体"/>
                <w:color w:val="000000"/>
                <w:kern w:val="0"/>
                <w:sz w:val="24"/>
                <w:szCs w:val="24"/>
                <w:highlight w:val="none"/>
                <w:lang w:eastAsia="zh-CN"/>
              </w:rPr>
            </w:pPr>
            <w:r>
              <w:rPr>
                <w:rFonts w:hint="eastAsia" w:ascii="宋体" w:hAnsi="宋体" w:cs="宋体"/>
                <w:color w:val="000000"/>
                <w:kern w:val="0"/>
                <w:sz w:val="24"/>
                <w:szCs w:val="24"/>
                <w:highlight w:val="none"/>
              </w:rPr>
              <w:t>是</w:t>
            </w:r>
          </w:p>
        </w:tc>
        <w:tc>
          <w:tcPr>
            <w:tcW w:w="1334" w:type="dxa"/>
            <w:noWrap/>
            <w:vAlign w:val="center"/>
          </w:tcPr>
          <w:p w14:paraId="436976D7">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eastAsia" w:ascii="宋体" w:hAnsi="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560000.00</w:t>
            </w:r>
          </w:p>
        </w:tc>
      </w:tr>
    </w:tbl>
    <w:p w14:paraId="72E386DE">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5、采购需求（包括但不限于标的的名称、数量、简要技术需求或服务要求等）</w:t>
      </w:r>
    </w:p>
    <w:p w14:paraId="5742259A">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服务内容：本项目为渑池县公路局省道508(原国道310)渑池黄花至渑陕界段结构性修复工程施工图设计项目；承担现场踏勘、方案论证、造价测算、文本制图，并全程配合专家评审及主管部门报批修改，交付完整纸质及电子成果文件；</w:t>
      </w:r>
    </w:p>
    <w:p w14:paraId="268E7B5A">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5.2服务地点：采购人指定地点；</w:t>
      </w:r>
    </w:p>
    <w:p w14:paraId="565FFC62">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w:t>
      </w:r>
      <w:r>
        <w:rPr>
          <w:rFonts w:hint="eastAsia" w:ascii="宋体" w:hAnsi="宋体" w:eastAsia="宋体" w:cs="宋体"/>
          <w:color w:val="auto"/>
          <w:sz w:val="24"/>
          <w:szCs w:val="24"/>
          <w:lang w:val="en-US" w:eastAsia="zh-CN"/>
        </w:rPr>
        <w:t>资金来源：财政资金，已落实</w:t>
      </w:r>
      <w:r>
        <w:rPr>
          <w:rFonts w:hint="eastAsia" w:ascii="宋体" w:hAnsi="宋体" w:eastAsia="宋体" w:cs="宋体"/>
          <w:sz w:val="24"/>
          <w:szCs w:val="24"/>
          <w:lang w:val="en-US" w:eastAsia="zh-CN"/>
        </w:rPr>
        <w:t>；</w:t>
      </w:r>
    </w:p>
    <w:p w14:paraId="3511F6BD">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5.4质量要求：</w:t>
      </w:r>
      <w:r>
        <w:rPr>
          <w:rFonts w:hint="eastAsia" w:ascii="宋体" w:hAnsi="宋体" w:eastAsia="宋体" w:cs="宋体"/>
          <w:color w:val="auto"/>
          <w:sz w:val="24"/>
          <w:szCs w:val="24"/>
          <w:lang w:val="en-US" w:eastAsia="zh-CN"/>
        </w:rPr>
        <w:t>符合国家现行规范和标准，并满足采购人要求；</w:t>
      </w:r>
    </w:p>
    <w:p w14:paraId="04065B76">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5.5</w:t>
      </w:r>
      <w:r>
        <w:rPr>
          <w:rFonts w:hint="eastAsia" w:ascii="宋体" w:hAnsi="宋体" w:cs="宋体"/>
          <w:color w:val="auto"/>
          <w:sz w:val="24"/>
          <w:szCs w:val="24"/>
          <w:highlight w:val="none"/>
          <w:lang w:val="en-US" w:eastAsia="zh-CN"/>
        </w:rPr>
        <w:t>服务期限</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20日历天</w:t>
      </w:r>
      <w:r>
        <w:rPr>
          <w:rFonts w:hint="eastAsia" w:ascii="宋体" w:hAnsi="宋体" w:eastAsia="宋体" w:cs="宋体"/>
          <w:color w:val="auto"/>
          <w:sz w:val="24"/>
          <w:szCs w:val="24"/>
          <w:highlight w:val="none"/>
          <w:lang w:val="en-US" w:eastAsia="zh-CN"/>
        </w:rPr>
        <w:t>；</w:t>
      </w:r>
    </w:p>
    <w:p w14:paraId="5208C8A6">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6、合同履行期限：</w:t>
      </w:r>
      <w:r>
        <w:rPr>
          <w:rFonts w:hint="eastAsia" w:ascii="宋体" w:hAnsi="宋体" w:cs="宋体"/>
          <w:color w:val="auto"/>
          <w:sz w:val="24"/>
          <w:szCs w:val="24"/>
          <w:highlight w:val="none"/>
          <w:lang w:val="en-US" w:eastAsia="zh-CN"/>
        </w:rPr>
        <w:t>20日历天</w:t>
      </w:r>
      <w:r>
        <w:rPr>
          <w:rFonts w:hint="eastAsia" w:ascii="宋体" w:hAnsi="宋体" w:eastAsia="宋体" w:cs="宋体"/>
          <w:sz w:val="24"/>
          <w:szCs w:val="24"/>
          <w:lang w:val="en-US" w:eastAsia="zh-CN"/>
        </w:rPr>
        <w:t>；</w:t>
      </w:r>
    </w:p>
    <w:p w14:paraId="6E0828BF">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7、本项目是否接受联合体投标：否</w:t>
      </w:r>
    </w:p>
    <w:p w14:paraId="37A69543">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8、是否接受进口产品：否</w:t>
      </w:r>
    </w:p>
    <w:p w14:paraId="0002453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highlight w:val="none"/>
          <w:lang w:val="en-US" w:eastAsia="zh-CN"/>
        </w:rPr>
        <w:t>是否专门面向中小企业：是</w:t>
      </w:r>
    </w:p>
    <w:bookmarkEnd w:id="6"/>
    <w:p w14:paraId="3B71D2D5">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二、供应商资格要求</w:t>
      </w:r>
    </w:p>
    <w:bookmarkEnd w:id="5"/>
    <w:p w14:paraId="33BE6D14">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1、满足《中华人民共和国政府采购法》第二十二条规定；（提供承诺函）</w:t>
      </w:r>
    </w:p>
    <w:p w14:paraId="6A968CC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落实政府采购政策满足的资格要求：</w:t>
      </w:r>
      <w:bookmarkStart w:id="7" w:name="OLE_LINK5"/>
      <w:bookmarkStart w:id="8" w:name="OLE_LINK2"/>
      <w:r>
        <w:rPr>
          <w:rFonts w:hint="eastAsia" w:ascii="宋体" w:hAnsi="宋体" w:eastAsia="宋体" w:cs="宋体"/>
          <w:color w:val="auto"/>
          <w:sz w:val="24"/>
          <w:szCs w:val="24"/>
          <w:highlight w:val="none"/>
        </w:rPr>
        <w:t>本项目专门面向中小企业采购；供应商须提供《中小企业声明函》</w:t>
      </w:r>
      <w:bookmarkEnd w:id="7"/>
      <w:r>
        <w:rPr>
          <w:rFonts w:hint="eastAsia" w:ascii="宋体" w:hAnsi="宋体" w:eastAsia="宋体" w:cs="宋体"/>
          <w:color w:val="auto"/>
          <w:sz w:val="24"/>
          <w:szCs w:val="24"/>
          <w:highlight w:val="none"/>
          <w:lang w:eastAsia="zh-CN"/>
        </w:rPr>
        <w:t>；</w:t>
      </w:r>
    </w:p>
    <w:bookmarkEnd w:id="8"/>
    <w:p w14:paraId="3D214076">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highlight w:val="none"/>
          <w:lang w:val="en-US" w:eastAsia="zh-CN"/>
        </w:rPr>
      </w:pPr>
      <w:bookmarkStart w:id="9" w:name="OLE_LINK3"/>
      <w:r>
        <w:rPr>
          <w:rFonts w:hint="eastAsia" w:ascii="宋体" w:hAnsi="宋体" w:eastAsia="宋体" w:cs="宋体"/>
          <w:bCs/>
          <w:color w:val="auto"/>
          <w:sz w:val="24"/>
          <w:szCs w:val="24"/>
          <w:highlight w:val="none"/>
          <w:lang w:val="en-US" w:eastAsia="zh-CN"/>
        </w:rPr>
        <w:t>3、本项目的特定资格要求</w:t>
      </w:r>
    </w:p>
    <w:p w14:paraId="3359248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eastAsia="zh-CN"/>
        </w:rPr>
        <w:t>3.1供应商具有有效的营业执照</w:t>
      </w:r>
      <w:r>
        <w:rPr>
          <w:rFonts w:hint="eastAsia" w:ascii="宋体" w:hAnsi="宋体" w:eastAsia="宋体" w:cs="宋体"/>
          <w:bCs/>
          <w:color w:val="auto"/>
          <w:sz w:val="24"/>
          <w:szCs w:val="24"/>
          <w:highlight w:val="none"/>
          <w:lang w:val="en-US"/>
        </w:rPr>
        <w:t>；</w:t>
      </w:r>
    </w:p>
    <w:p w14:paraId="5E7ABDE5">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auto"/>
          <w:sz w:val="24"/>
          <w:szCs w:val="24"/>
          <w:highlight w:val="none"/>
          <w:lang w:val="en-US" w:eastAsia="zh-CN"/>
        </w:rPr>
        <w:t>3.2</w:t>
      </w:r>
      <w:r>
        <w:rPr>
          <w:rFonts w:hint="eastAsia" w:ascii="宋体" w:hAnsi="宋体" w:cs="宋体"/>
          <w:bCs/>
          <w:color w:val="000000" w:themeColor="text1"/>
          <w:sz w:val="24"/>
          <w:szCs w:val="24"/>
          <w:highlight w:val="none"/>
          <w:lang w:val="en-US" w:eastAsia="zh-CN"/>
          <w14:textFill>
            <w14:solidFill>
              <w14:schemeClr w14:val="tx1"/>
            </w14:solidFill>
          </w14:textFill>
        </w:rPr>
        <w:t>供应商须具有公路行业（公路）专业乙级及以上设计资质或工程设计综合甲级资质</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；在人员、设备、资金等方面具有相应的设计能力（提供承诺书，格式自拟）；</w:t>
      </w:r>
    </w:p>
    <w:p w14:paraId="21199365">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3.3供应商拟派项目负责人须具有相关专业中级及以上工程师职称，必须为本单位人员（提供身份证、职称证、劳动合同、社保（近三个月内）证明材料）；</w:t>
      </w:r>
    </w:p>
    <w:p w14:paraId="497A0BA4">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default" w:ascii="宋体" w:hAnsi="宋体" w:eastAsia="宋体" w:cs="宋体"/>
          <w:bCs/>
          <w:color w:val="auto"/>
          <w:sz w:val="24"/>
          <w:szCs w:val="24"/>
          <w:lang w:val="en-US"/>
        </w:rPr>
      </w:pPr>
      <w:r>
        <w:rPr>
          <w:rFonts w:hint="eastAsia" w:ascii="宋体" w:hAnsi="宋体" w:eastAsia="宋体" w:cs="宋体"/>
          <w:bCs/>
          <w:color w:val="auto"/>
          <w:sz w:val="24"/>
          <w:szCs w:val="24"/>
          <w:highlight w:val="none"/>
          <w:lang w:val="en-US" w:eastAsia="zh-CN"/>
        </w:rPr>
        <w:t>3.4参加政府采购活动前三年，在经营活动中没有重大违法记录（提供声明，格式自拟）；</w:t>
      </w:r>
    </w:p>
    <w:p w14:paraId="75AE07F5">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3.5供应商自行出具本单位无商业贿赂及无不正当竞争行为的承诺书；</w:t>
      </w:r>
    </w:p>
    <w:p w14:paraId="41B21DD7">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3.6供应商出具无行贿犯罪记录在中国裁判文书网自行查询或自行承诺（查询对象：企业、法定代表人）；</w:t>
      </w:r>
    </w:p>
    <w:p w14:paraId="4FDF7C0E">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bidi="ar-SA"/>
        </w:rPr>
        <w:t>3.7</w:t>
      </w:r>
      <w:r>
        <w:rPr>
          <w:rFonts w:hint="eastAsia" w:ascii="宋体" w:hAnsi="宋体" w:eastAsia="宋体" w:cs="宋体"/>
          <w:bCs/>
          <w:color w:val="auto"/>
          <w:sz w:val="24"/>
          <w:szCs w:val="24"/>
          <w:lang w:val="en-US" w:eastAsia="zh-CN"/>
        </w:rPr>
        <w:t>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截止至开标时间）</w:t>
      </w:r>
      <w:r>
        <w:rPr>
          <w:rFonts w:hint="eastAsia" w:ascii="宋体" w:hAnsi="宋体" w:eastAsia="宋体" w:cs="宋体"/>
          <w:bCs/>
          <w:color w:val="auto"/>
          <w:sz w:val="24"/>
          <w:szCs w:val="24"/>
          <w:lang w:val="en-US"/>
        </w:rPr>
        <w:t>；</w:t>
      </w:r>
    </w:p>
    <w:p w14:paraId="2247BF07">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bidi="ar-SA"/>
        </w:rPr>
        <w:t>3.8</w:t>
      </w:r>
      <w:r>
        <w:rPr>
          <w:rFonts w:hint="eastAsia" w:ascii="宋体" w:hAnsi="宋体" w:eastAsia="宋体" w:cs="宋体"/>
          <w:bCs/>
          <w:color w:val="auto"/>
          <w:sz w:val="24"/>
          <w:szCs w:val="24"/>
          <w:lang w:val="en-US"/>
        </w:rPr>
        <w:t>单位负责人为同一人或者存在控股、管理关系的不同单位，不得同时参加本项目投标（提供加盖供应商公章的“国家企业信用信息公示系统”中公示的公司信息、股东或投资人信息）</w:t>
      </w:r>
      <w:r>
        <w:rPr>
          <w:rFonts w:hint="eastAsia" w:ascii="宋体" w:hAnsi="宋体" w:eastAsia="宋体" w:cs="宋体"/>
          <w:bCs/>
          <w:color w:val="auto"/>
          <w:sz w:val="24"/>
          <w:szCs w:val="24"/>
          <w:lang w:val="en-US" w:eastAsia="zh-CN"/>
        </w:rPr>
        <w:t>；</w:t>
      </w:r>
    </w:p>
    <w:p w14:paraId="660B263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3.9本项目不接受联合体投标</w:t>
      </w:r>
      <w:r>
        <w:rPr>
          <w:rFonts w:hint="eastAsia" w:ascii="宋体" w:hAnsi="宋体" w:eastAsia="宋体" w:cs="宋体"/>
          <w:color w:val="auto"/>
          <w:sz w:val="24"/>
          <w:szCs w:val="24"/>
          <w:lang w:val="en-US" w:eastAsia="zh-CN"/>
        </w:rPr>
        <w:t>（提供承诺函）</w:t>
      </w:r>
      <w:r>
        <w:rPr>
          <w:rFonts w:hint="eastAsia" w:ascii="宋体" w:hAnsi="宋体" w:eastAsia="宋体" w:cs="宋体"/>
          <w:bCs/>
          <w:color w:val="auto"/>
          <w:sz w:val="24"/>
          <w:szCs w:val="24"/>
          <w:lang w:val="en-US" w:eastAsia="zh-CN" w:bidi="ar-SA"/>
        </w:rPr>
        <w:t>；</w:t>
      </w:r>
    </w:p>
    <w:p w14:paraId="254A6D62">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注：</w:t>
      </w:r>
      <w:r>
        <w:rPr>
          <w:rFonts w:hint="eastAsia" w:ascii="宋体" w:hAnsi="宋体" w:eastAsia="宋体" w:cs="宋体"/>
          <w:bCs/>
          <w:color w:val="auto"/>
          <w:sz w:val="24"/>
          <w:szCs w:val="24"/>
        </w:rPr>
        <w:t>本次磋商实行资格后审</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zh-CN" w:eastAsia="zh-CN"/>
        </w:rPr>
        <w:t>资格审查的具体要求见竞争性磋商文件。</w:t>
      </w:r>
    </w:p>
    <w:bookmarkEnd w:id="9"/>
    <w:p w14:paraId="3DDD1179">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rPr>
        <w:t>三、获取采购文件</w:t>
      </w:r>
    </w:p>
    <w:p w14:paraId="39CAF52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val="en-US" w:eastAsia="zh-CN"/>
        </w:rPr>
        <w:t>、时间：</w:t>
      </w:r>
      <w:r>
        <w:rPr>
          <w:rFonts w:hint="eastAsia" w:ascii="宋体" w:hAnsi="宋体" w:cs="宋体"/>
          <w:bCs/>
          <w:color w:val="auto"/>
          <w:sz w:val="24"/>
          <w:szCs w:val="24"/>
          <w:lang w:val="en-US" w:eastAsia="zh-CN"/>
        </w:rPr>
        <w:t>2026年7月27日至2026年8月</w:t>
      </w:r>
      <w:bookmarkStart w:id="347" w:name="_GoBack"/>
      <w:bookmarkEnd w:id="347"/>
      <w:r>
        <w:rPr>
          <w:rFonts w:hint="eastAsia" w:ascii="宋体" w:hAnsi="宋体" w:cs="宋体"/>
          <w:bCs/>
          <w:color w:val="auto"/>
          <w:sz w:val="24"/>
          <w:szCs w:val="24"/>
          <w:lang w:val="en-US" w:eastAsia="zh-CN"/>
        </w:rPr>
        <w:t>5日</w:t>
      </w:r>
      <w:r>
        <w:rPr>
          <w:rFonts w:hint="eastAsia" w:ascii="宋体" w:hAnsi="宋体" w:eastAsia="宋体" w:cs="宋体"/>
          <w:bCs/>
          <w:color w:val="auto"/>
          <w:sz w:val="24"/>
          <w:szCs w:val="24"/>
          <w:lang w:val="en-US" w:eastAsia="zh-CN"/>
        </w:rPr>
        <w:t>，每天上午00:00至12:00，下午12:00至23:59(北京时间，法定节假日除外。)</w:t>
      </w:r>
    </w:p>
    <w:p w14:paraId="5DCC0F62">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2.地点：三门峡市公共资源交易中心网（网址：http://gzjy.smx.gov.cn）；</w:t>
      </w:r>
    </w:p>
    <w:p w14:paraId="478A2C97">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3.方式：供应商凭CA数字证书通过三门峡市公共资源交易中心网（网址：http://gzjy.smx.gov.cn），点击交易平台选择“市场主体登录”，在所参与项目右侧点击参与投标，即可直接下载本项目磋商文件。</w:t>
      </w:r>
    </w:p>
    <w:p w14:paraId="4D13A2B3">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三门峡市公共资源交易平台操作手册：http://gzjy.smx.gov.cn/fwzn/004003/20200325/2b5a3a5a-f987-405c-993f-88f43e1d1ac3.html </w:t>
      </w:r>
    </w:p>
    <w:p w14:paraId="047A896F">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办理 CA 证书：http://gzjy.smx.gov.cn/bzzx/008001/20231102/4defc9b5-408e-47f2-9e9f-1f376a06ee1f.html</w:t>
      </w:r>
    </w:p>
    <w:p w14:paraId="221B15AE">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4.售价：0元</w:t>
      </w:r>
    </w:p>
    <w:p w14:paraId="23BD2CDE">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bookmarkStart w:id="10" w:name="OLE_LINK11"/>
      <w:r>
        <w:rPr>
          <w:rFonts w:hint="eastAsia" w:ascii="宋体" w:hAnsi="宋体" w:eastAsia="宋体" w:cs="宋体"/>
          <w:bCs/>
          <w:color w:val="auto"/>
          <w:sz w:val="24"/>
          <w:szCs w:val="24"/>
          <w:lang w:val="en-US" w:eastAsia="zh-CN"/>
        </w:rPr>
        <w:t>四、响应文件提交</w:t>
      </w:r>
    </w:p>
    <w:p w14:paraId="429BE8CF">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1.截止时间：</w:t>
      </w:r>
      <w:r>
        <w:rPr>
          <w:rFonts w:hint="eastAsia" w:ascii="宋体" w:hAnsi="宋体" w:cs="宋体"/>
          <w:bCs/>
          <w:color w:val="auto"/>
          <w:sz w:val="24"/>
          <w:szCs w:val="24"/>
          <w:lang w:val="en-US" w:eastAsia="zh-CN"/>
        </w:rPr>
        <w:t>2026年8月6日08时20分</w:t>
      </w:r>
      <w:r>
        <w:rPr>
          <w:rFonts w:hint="eastAsia" w:ascii="宋体" w:hAnsi="宋体" w:eastAsia="宋体" w:cs="宋体"/>
          <w:bCs/>
          <w:color w:val="auto"/>
          <w:sz w:val="24"/>
          <w:szCs w:val="24"/>
          <w:lang w:val="en-US" w:eastAsia="zh-CN"/>
        </w:rPr>
        <w:t>（北京时间）</w:t>
      </w:r>
    </w:p>
    <w:p w14:paraId="5BE46209">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480" w:leftChars="218" w:firstLine="0" w:firstLineChars="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2.地点：</w:t>
      </w:r>
      <w:r>
        <w:rPr>
          <w:rFonts w:hint="eastAsia" w:ascii="宋体" w:hAnsi="宋体" w:cs="宋体"/>
          <w:kern w:val="0"/>
          <w:sz w:val="24"/>
          <w:szCs w:val="24"/>
          <w:highlight w:val="none"/>
        </w:rPr>
        <w:t>三门峡市公共资源交易中心网（网址：http://gzjy.smx.gov.cn/</w:t>
      </w:r>
      <w:r>
        <w:rPr>
          <w:rFonts w:hint="eastAsia" w:ascii="宋体" w:hAnsi="宋体" w:cs="宋体"/>
          <w:color w:val="000000"/>
          <w:kern w:val="0"/>
          <w:sz w:val="24"/>
          <w:szCs w:val="24"/>
          <w:highlight w:val="none"/>
          <w:lang w:val="en-US" w:eastAsia="zh-CN"/>
        </w:rPr>
        <w:t>）</w:t>
      </w:r>
      <w:r>
        <w:rPr>
          <w:rFonts w:hint="eastAsia" w:ascii="宋体" w:hAnsi="宋体" w:eastAsia="宋体" w:cs="宋体"/>
          <w:bCs/>
          <w:color w:val="auto"/>
          <w:sz w:val="24"/>
          <w:szCs w:val="24"/>
          <w:lang w:val="en-US" w:eastAsia="zh-CN"/>
        </w:rPr>
        <w:t>五、响应文件开启</w:t>
      </w:r>
    </w:p>
    <w:p w14:paraId="52DFA97D">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1.时间：</w:t>
      </w:r>
      <w:r>
        <w:rPr>
          <w:rFonts w:hint="eastAsia" w:ascii="宋体" w:hAnsi="宋体" w:cs="宋体"/>
          <w:bCs/>
          <w:color w:val="auto"/>
          <w:sz w:val="24"/>
          <w:szCs w:val="24"/>
          <w:lang w:val="en-US" w:eastAsia="zh-CN"/>
        </w:rPr>
        <w:t>2026年8月6日08时20分</w:t>
      </w:r>
      <w:r>
        <w:rPr>
          <w:rFonts w:hint="eastAsia" w:ascii="宋体" w:hAnsi="宋体" w:eastAsia="宋体" w:cs="宋体"/>
          <w:bCs/>
          <w:color w:val="auto"/>
          <w:sz w:val="24"/>
          <w:szCs w:val="24"/>
          <w:lang w:val="en-US" w:eastAsia="zh-CN"/>
        </w:rPr>
        <w:t>（北京时间）</w:t>
      </w:r>
    </w:p>
    <w:p w14:paraId="72EF8373">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2.地点：</w:t>
      </w:r>
      <w:r>
        <w:rPr>
          <w:rFonts w:hint="eastAsia" w:ascii="宋体" w:hAnsi="宋体" w:cs="宋体"/>
          <w:color w:val="000000"/>
          <w:kern w:val="0"/>
          <w:sz w:val="24"/>
          <w:szCs w:val="24"/>
          <w:highlight w:val="none"/>
        </w:rPr>
        <w:t>渑池县公共资源交易中心</w:t>
      </w:r>
      <w:r>
        <w:rPr>
          <w:rFonts w:hint="eastAsia" w:ascii="宋体" w:hAnsi="宋体" w:cs="宋体"/>
          <w:color w:val="000000"/>
          <w:kern w:val="0"/>
          <w:sz w:val="24"/>
          <w:szCs w:val="24"/>
          <w:highlight w:val="none"/>
          <w:lang w:val="en-US" w:eastAsia="zh-CN"/>
        </w:rPr>
        <w:t>六楼</w:t>
      </w:r>
      <w:r>
        <w:rPr>
          <w:rFonts w:hint="eastAsia" w:ascii="宋体" w:hAnsi="宋体" w:cs="宋体"/>
          <w:kern w:val="0"/>
          <w:sz w:val="24"/>
          <w:szCs w:val="24"/>
          <w:highlight w:val="none"/>
        </w:rPr>
        <w:t>（网址</w:t>
      </w:r>
      <w:r>
        <w:rPr>
          <w:rFonts w:hint="eastAsia" w:ascii="宋体" w:hAnsi="宋体" w:cs="宋体"/>
          <w:kern w:val="0"/>
          <w:sz w:val="24"/>
          <w:szCs w:val="24"/>
        </w:rPr>
        <w:t>：http://gzjy.smx.gov.cn/</w:t>
      </w:r>
      <w:r>
        <w:rPr>
          <w:rFonts w:hint="eastAsia" w:ascii="宋体" w:hAnsi="宋体" w:cs="宋体"/>
          <w:kern w:val="0"/>
          <w:sz w:val="24"/>
          <w:szCs w:val="24"/>
          <w:lang w:eastAsia="zh-CN"/>
        </w:rPr>
        <w:t>）</w:t>
      </w:r>
    </w:p>
    <w:p w14:paraId="42FED325">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六、发布公告的媒介及招标公告期限</w:t>
      </w:r>
    </w:p>
    <w:p w14:paraId="4A0958EF">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本次招标公告在《河南省政府采购网》、《中国招标投标公共服务平台》、《三门峡市公共资源交易中心网》上发布，招标公告期限为三个工作日 。</w:t>
      </w:r>
    </w:p>
    <w:p w14:paraId="7449362A">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七、其他补充事宜</w:t>
      </w:r>
    </w:p>
    <w:p w14:paraId="4FAA0D2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eastAsia="zh-CN"/>
        </w:rPr>
        <w:t>供应商</w:t>
      </w:r>
      <w:r>
        <w:rPr>
          <w:rFonts w:hint="eastAsia" w:ascii="宋体" w:hAnsi="宋体" w:cs="宋体"/>
          <w:kern w:val="0"/>
          <w:sz w:val="24"/>
          <w:szCs w:val="24"/>
        </w:rPr>
        <w:t>应仔细阅读操作手册，在本公告中要求的截止时间前完成竞争性磋商响应文件的上传工作，并充分考虑人为操作等因素，因</w:t>
      </w:r>
      <w:r>
        <w:rPr>
          <w:rFonts w:hint="eastAsia" w:ascii="宋体" w:hAnsi="宋体" w:cs="宋体"/>
          <w:kern w:val="0"/>
          <w:sz w:val="24"/>
          <w:szCs w:val="24"/>
          <w:lang w:eastAsia="zh-CN"/>
        </w:rPr>
        <w:t>供应商</w:t>
      </w:r>
      <w:r>
        <w:rPr>
          <w:rFonts w:hint="eastAsia" w:ascii="宋体" w:hAnsi="宋体" w:cs="宋体"/>
          <w:kern w:val="0"/>
          <w:sz w:val="24"/>
          <w:szCs w:val="24"/>
        </w:rPr>
        <w:t>操作不当造成的无法投标等一切后果，由供应商自行承担。</w:t>
      </w:r>
    </w:p>
    <w:p w14:paraId="28F3DDC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ascii="宋体" w:hAnsi="宋体" w:cs="宋体"/>
          <w:kern w:val="0"/>
          <w:sz w:val="24"/>
          <w:szCs w:val="24"/>
        </w:rPr>
      </w:pPr>
      <w:r>
        <w:rPr>
          <w:rFonts w:hint="eastAsia" w:ascii="宋体" w:hAnsi="宋体" w:cs="宋体"/>
          <w:kern w:val="0"/>
          <w:sz w:val="24"/>
          <w:szCs w:val="24"/>
        </w:rPr>
        <w:t>2、磋商所发生一切费用由各</w:t>
      </w:r>
      <w:r>
        <w:rPr>
          <w:rFonts w:hint="eastAsia" w:ascii="宋体" w:hAnsi="宋体" w:cs="宋体"/>
          <w:kern w:val="0"/>
          <w:sz w:val="24"/>
          <w:szCs w:val="24"/>
          <w:lang w:eastAsia="zh-CN"/>
        </w:rPr>
        <w:t>供应商</w:t>
      </w:r>
      <w:r>
        <w:rPr>
          <w:rFonts w:hint="eastAsia" w:ascii="宋体" w:hAnsi="宋体" w:cs="宋体"/>
          <w:kern w:val="0"/>
          <w:sz w:val="24"/>
          <w:szCs w:val="24"/>
        </w:rPr>
        <w:t>自行承担，并承担相应的风险和责任。</w:t>
      </w:r>
    </w:p>
    <w:p w14:paraId="6EB30E6C">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ascii="宋体" w:hAnsi="宋体" w:cs="宋体"/>
          <w:kern w:val="0"/>
          <w:sz w:val="24"/>
          <w:szCs w:val="24"/>
        </w:rPr>
      </w:pPr>
      <w:r>
        <w:rPr>
          <w:rFonts w:hint="eastAsia" w:ascii="宋体" w:hAnsi="宋体" w:cs="宋体"/>
          <w:kern w:val="0"/>
          <w:sz w:val="24"/>
          <w:szCs w:val="24"/>
        </w:rPr>
        <w:t>3、本项目不组织</w:t>
      </w:r>
      <w:r>
        <w:rPr>
          <w:rFonts w:hint="eastAsia" w:ascii="宋体" w:hAnsi="宋体" w:cs="宋体"/>
          <w:kern w:val="0"/>
          <w:sz w:val="24"/>
          <w:szCs w:val="24"/>
          <w:lang w:eastAsia="zh-CN"/>
        </w:rPr>
        <w:t>供应商</w:t>
      </w:r>
      <w:r>
        <w:rPr>
          <w:rFonts w:hint="eastAsia" w:ascii="宋体" w:hAnsi="宋体" w:cs="宋体"/>
          <w:kern w:val="0"/>
          <w:sz w:val="24"/>
          <w:szCs w:val="24"/>
        </w:rPr>
        <w:t>踏勘现场。</w:t>
      </w:r>
    </w:p>
    <w:p w14:paraId="04217A1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hint="eastAsia" w:ascii="宋体" w:hAnsi="宋体" w:eastAsia="宋体" w:cs="宋体"/>
          <w:kern w:val="0"/>
          <w:sz w:val="24"/>
          <w:szCs w:val="24"/>
        </w:rPr>
      </w:pPr>
      <w:r>
        <w:rPr>
          <w:rFonts w:hint="eastAsia" w:ascii="宋体" w:hAnsi="宋体" w:cs="宋体"/>
          <w:kern w:val="0"/>
          <w:sz w:val="24"/>
          <w:szCs w:val="24"/>
        </w:rPr>
        <w:t>4、本项目</w:t>
      </w:r>
      <w:r>
        <w:rPr>
          <w:rFonts w:hint="eastAsia" w:ascii="宋体" w:hAnsi="宋体" w:eastAsia="宋体" w:cs="宋体"/>
          <w:kern w:val="0"/>
          <w:sz w:val="24"/>
          <w:szCs w:val="24"/>
        </w:rPr>
        <w:t>无论中标与否，均不退还响应文件。</w:t>
      </w:r>
    </w:p>
    <w:p w14:paraId="4BC8013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5、我单位（采购人）严格按三财购【2021】9号文要求的时限发布中标结果公告，发出中标通知书，签订采购合同，上传采购合同。</w:t>
      </w:r>
    </w:p>
    <w:p w14:paraId="0EBDDB2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jc w:val="both"/>
        <w:textAlignment w:val="auto"/>
        <w:rPr>
          <w:rFonts w:hint="eastAsia" w:ascii="宋体" w:hAnsi="宋体" w:eastAsia="宋体" w:cs="宋体"/>
          <w:bCs/>
          <w:color w:val="auto"/>
          <w:sz w:val="24"/>
          <w:szCs w:val="24"/>
          <w:lang w:val="en-US" w:eastAsia="zh-CN"/>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根据《河南省财政厅关于优化政府采购营商环境有关问题的通知》（豫财购【2019】4号）第6条的规定，磋商保证金不再收取。</w:t>
      </w:r>
    </w:p>
    <w:bookmarkEnd w:id="10"/>
    <w:p w14:paraId="73B7C466">
      <w:pPr>
        <w:pStyle w:val="8"/>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bCs/>
          <w:color w:val="FF0000"/>
          <w:sz w:val="24"/>
          <w:szCs w:val="24"/>
          <w:lang w:val="en-US" w:eastAsia="zh-CN"/>
        </w:rPr>
      </w:pPr>
      <w:r>
        <w:rPr>
          <w:rFonts w:hint="eastAsia" w:ascii="宋体" w:hAnsi="宋体" w:eastAsia="宋体" w:cs="宋体"/>
          <w:bCs/>
          <w:color w:val="auto"/>
          <w:sz w:val="24"/>
          <w:szCs w:val="24"/>
          <w:lang w:val="en-US" w:eastAsia="zh-CN"/>
        </w:rPr>
        <w:t>八、凡对本次招标提出询问，请按照以下方式联系</w:t>
      </w:r>
    </w:p>
    <w:p w14:paraId="3F30574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bookmarkStart w:id="11" w:name="_Toc19177"/>
      <w:r>
        <w:rPr>
          <w:rFonts w:hint="eastAsia" w:ascii="宋体" w:hAnsi="宋体" w:eastAsia="宋体" w:cs="宋体"/>
          <w:bCs/>
          <w:color w:val="auto"/>
          <w:sz w:val="24"/>
          <w:szCs w:val="24"/>
          <w:lang w:val="en-US" w:eastAsia="zh-CN" w:bidi="ar-SA"/>
        </w:rPr>
        <w:t>1.采购人信息</w:t>
      </w:r>
    </w:p>
    <w:p w14:paraId="6D9DBC4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名称：渑池县公路局</w:t>
      </w:r>
    </w:p>
    <w:p w14:paraId="5230FFA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地址：渑池县仰韶大街</w:t>
      </w:r>
    </w:p>
    <w:p w14:paraId="40DBA3D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lang w:val="en-US" w:eastAsia="zh-CN" w:bidi="ar-SA"/>
        </w:rPr>
        <w:t>联系人</w:t>
      </w:r>
      <w:r>
        <w:rPr>
          <w:rFonts w:hint="eastAsia" w:ascii="宋体" w:hAnsi="宋体" w:eastAsia="宋体" w:cs="宋体"/>
          <w:bCs/>
          <w:color w:val="auto"/>
          <w:sz w:val="24"/>
          <w:szCs w:val="24"/>
          <w:highlight w:val="none"/>
          <w:lang w:val="en-US" w:eastAsia="zh-CN" w:bidi="ar-SA"/>
        </w:rPr>
        <w:t>：</w:t>
      </w:r>
      <w:r>
        <w:rPr>
          <w:rFonts w:hint="eastAsia" w:cs="宋体"/>
          <w:bCs/>
          <w:color w:val="auto"/>
          <w:sz w:val="24"/>
          <w:szCs w:val="24"/>
          <w:highlight w:val="none"/>
          <w:lang w:val="en-US" w:eastAsia="zh-CN" w:bidi="ar-SA"/>
        </w:rPr>
        <w:t>秦先生</w:t>
      </w:r>
      <w:r>
        <w:rPr>
          <w:rFonts w:hint="eastAsia" w:ascii="宋体" w:hAnsi="宋体" w:eastAsia="宋体" w:cs="宋体"/>
          <w:bCs/>
          <w:color w:val="auto"/>
          <w:sz w:val="24"/>
          <w:szCs w:val="24"/>
          <w:highlight w:val="none"/>
          <w:lang w:val="en-US" w:eastAsia="zh-CN" w:bidi="ar-SA"/>
        </w:rPr>
        <w:t xml:space="preserve">   </w:t>
      </w:r>
    </w:p>
    <w:p w14:paraId="24A5E13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color w:val="auto"/>
          <w:sz w:val="24"/>
          <w:szCs w:val="24"/>
          <w:highlight w:val="none"/>
          <w:lang w:val="en-US" w:eastAsia="zh-CN" w:bidi="ar-SA"/>
        </w:rPr>
        <w:t>联系方式：</w:t>
      </w:r>
      <w:r>
        <w:rPr>
          <w:rFonts w:hint="eastAsia" w:cs="宋体"/>
          <w:bCs/>
          <w:color w:val="auto"/>
          <w:sz w:val="24"/>
          <w:szCs w:val="24"/>
          <w:highlight w:val="none"/>
          <w:lang w:val="en-US" w:eastAsia="zh-CN" w:bidi="ar-SA"/>
        </w:rPr>
        <w:t>15939839288</w:t>
      </w:r>
    </w:p>
    <w:p w14:paraId="4FC479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2.采购代理机构信息</w:t>
      </w:r>
    </w:p>
    <w:p w14:paraId="4252D9C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名称：河南韶泉工程服务有限公司</w:t>
      </w:r>
    </w:p>
    <w:p w14:paraId="5C49DB8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地址：河南省三门峡市渑池县城关镇新文西区5号楼301室</w:t>
      </w:r>
    </w:p>
    <w:p w14:paraId="373A32D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联系人：</w:t>
      </w:r>
      <w:r>
        <w:rPr>
          <w:rFonts w:hint="eastAsia" w:cs="宋体"/>
          <w:bCs/>
          <w:color w:val="auto"/>
          <w:sz w:val="24"/>
          <w:szCs w:val="24"/>
          <w:lang w:val="en-US" w:eastAsia="zh-CN" w:bidi="ar-SA"/>
        </w:rPr>
        <w:t>崔先生</w:t>
      </w:r>
    </w:p>
    <w:p w14:paraId="2C6666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 xml:space="preserve">联系方式：13781013000 </w:t>
      </w:r>
    </w:p>
    <w:p w14:paraId="6CFFC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3.监督部门：渑池县政府采购办公室</w:t>
      </w:r>
    </w:p>
    <w:p w14:paraId="08CBF17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r>
        <w:rPr>
          <w:rFonts w:hint="eastAsia" w:ascii="宋体" w:hAnsi="宋体" w:eastAsia="宋体" w:cs="宋体"/>
          <w:bCs/>
          <w:color w:val="auto"/>
          <w:sz w:val="24"/>
          <w:szCs w:val="24"/>
          <w:lang w:val="en-US" w:eastAsia="zh-CN" w:bidi="ar-SA"/>
        </w:rPr>
        <w:t>联系方式：0398-4818677</w:t>
      </w:r>
    </w:p>
    <w:p w14:paraId="2E7C61A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auto"/>
          <w:sz w:val="24"/>
          <w:szCs w:val="24"/>
          <w:lang w:val="en-US" w:eastAsia="zh-CN" w:bidi="ar-SA"/>
        </w:rPr>
      </w:pPr>
    </w:p>
    <w:p w14:paraId="309DD217">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b/>
          <w:color w:val="auto"/>
        </w:rPr>
      </w:pPr>
      <w:r>
        <w:rPr>
          <w:b/>
          <w:color w:val="auto"/>
          <w:sz w:val="32"/>
        </w:rPr>
        <w:br w:type="page"/>
      </w:r>
      <w:r>
        <w:rPr>
          <w:rFonts w:hint="eastAsia" w:ascii="宋体" w:hAnsi="宋体" w:eastAsia="宋体" w:cs="宋体"/>
          <w:b/>
          <w:bCs/>
          <w:color w:val="auto"/>
          <w:sz w:val="36"/>
          <w:szCs w:val="28"/>
        </w:rPr>
        <w:t>第二章 供应商须知</w:t>
      </w:r>
      <w:bookmarkEnd w:id="11"/>
    </w:p>
    <w:p w14:paraId="39C32097">
      <w:pPr>
        <w:pStyle w:val="5"/>
        <w:spacing w:before="244"/>
        <w:ind w:left="320"/>
        <w:jc w:val="center"/>
        <w:rPr>
          <w:color w:val="auto"/>
        </w:rPr>
      </w:pPr>
      <w:r>
        <w:rPr>
          <w:color w:val="auto"/>
        </w:rPr>
        <w:t>供应商须知前附表</w:t>
      </w:r>
    </w:p>
    <w:tbl>
      <w:tblPr>
        <w:tblStyle w:val="20"/>
        <w:tblpPr w:leftFromText="180" w:rightFromText="180" w:vertAnchor="text" w:horzAnchor="page" w:tblpX="1489" w:tblpY="44"/>
        <w:tblOverlap w:val="never"/>
        <w:tblW w:w="91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5"/>
        <w:gridCol w:w="2359"/>
        <w:gridCol w:w="5861"/>
      </w:tblGrid>
      <w:tr w14:paraId="1CDED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885" w:type="dxa"/>
            <w:vAlign w:val="center"/>
          </w:tcPr>
          <w:p w14:paraId="46EF57E9">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条款号</w:t>
            </w:r>
          </w:p>
        </w:tc>
        <w:tc>
          <w:tcPr>
            <w:tcW w:w="2359" w:type="dxa"/>
            <w:vAlign w:val="center"/>
          </w:tcPr>
          <w:p w14:paraId="06A7B06D">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条款名称</w:t>
            </w:r>
          </w:p>
        </w:tc>
        <w:tc>
          <w:tcPr>
            <w:tcW w:w="5861" w:type="dxa"/>
            <w:vAlign w:val="top"/>
          </w:tcPr>
          <w:p w14:paraId="325C8672">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编列内容</w:t>
            </w:r>
          </w:p>
        </w:tc>
      </w:tr>
      <w:tr w14:paraId="299FC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0" w:hRule="atLeast"/>
        </w:trPr>
        <w:tc>
          <w:tcPr>
            <w:tcW w:w="885" w:type="dxa"/>
            <w:vAlign w:val="center"/>
          </w:tcPr>
          <w:p w14:paraId="637B3F13">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w:t>
            </w:r>
          </w:p>
        </w:tc>
        <w:tc>
          <w:tcPr>
            <w:tcW w:w="2359" w:type="dxa"/>
            <w:vAlign w:val="center"/>
          </w:tcPr>
          <w:p w14:paraId="765AE7B5">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采购人</w:t>
            </w:r>
          </w:p>
        </w:tc>
        <w:tc>
          <w:tcPr>
            <w:tcW w:w="5861" w:type="dxa"/>
            <w:vAlign w:val="center"/>
          </w:tcPr>
          <w:p w14:paraId="50E63C55">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采购人：</w:t>
            </w:r>
            <w:r>
              <w:rPr>
                <w:rFonts w:hint="eastAsia" w:asciiTheme="majorEastAsia" w:hAnsiTheme="majorEastAsia" w:eastAsiaTheme="majorEastAsia" w:cstheme="majorEastAsia"/>
                <w:color w:val="auto"/>
                <w:sz w:val="24"/>
                <w:szCs w:val="24"/>
                <w:lang w:val="en-US" w:eastAsia="zh-CN"/>
              </w:rPr>
              <w:t>渑池县公路局</w:t>
            </w:r>
          </w:p>
          <w:p w14:paraId="4D33AC8F">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lang w:val="en-US"/>
              </w:rPr>
              <w:t>联系人：</w:t>
            </w:r>
            <w:r>
              <w:rPr>
                <w:rFonts w:hint="eastAsia" w:asciiTheme="majorEastAsia" w:hAnsiTheme="majorEastAsia" w:eastAsiaTheme="majorEastAsia" w:cstheme="majorEastAsia"/>
                <w:color w:val="auto"/>
                <w:sz w:val="24"/>
                <w:szCs w:val="24"/>
                <w:lang w:val="en-US" w:eastAsia="zh-CN"/>
              </w:rPr>
              <w:t>秦先生</w:t>
            </w:r>
            <w:r>
              <w:rPr>
                <w:rFonts w:hint="eastAsia" w:asciiTheme="majorEastAsia" w:hAnsiTheme="majorEastAsia" w:eastAsiaTheme="majorEastAsia" w:cstheme="majorEastAsia"/>
                <w:color w:val="auto"/>
                <w:sz w:val="24"/>
                <w:szCs w:val="24"/>
                <w:lang w:val="en-US"/>
              </w:rPr>
              <w:t xml:space="preserve">   </w:t>
            </w:r>
          </w:p>
          <w:p w14:paraId="65598A58">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电话：</w:t>
            </w:r>
            <w:r>
              <w:rPr>
                <w:rFonts w:hint="eastAsia" w:asciiTheme="majorEastAsia" w:hAnsiTheme="majorEastAsia" w:eastAsiaTheme="majorEastAsia" w:cstheme="majorEastAsia"/>
                <w:color w:val="auto"/>
                <w:sz w:val="24"/>
                <w:szCs w:val="24"/>
                <w:lang w:val="en-US" w:eastAsia="zh-CN"/>
              </w:rPr>
              <w:t>15939839288</w:t>
            </w:r>
          </w:p>
          <w:p w14:paraId="34761CF3">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地址：</w:t>
            </w:r>
            <w:r>
              <w:rPr>
                <w:rFonts w:hint="eastAsia" w:asciiTheme="majorEastAsia" w:hAnsiTheme="majorEastAsia" w:eastAsiaTheme="majorEastAsia" w:cstheme="majorEastAsia"/>
                <w:color w:val="auto"/>
                <w:sz w:val="24"/>
                <w:szCs w:val="24"/>
                <w:lang w:val="en-US" w:eastAsia="zh-CN"/>
              </w:rPr>
              <w:t>渑池县仰韶大街</w:t>
            </w:r>
          </w:p>
        </w:tc>
      </w:tr>
      <w:tr w14:paraId="3BA97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4" w:hRule="atLeast"/>
        </w:trPr>
        <w:tc>
          <w:tcPr>
            <w:tcW w:w="885" w:type="dxa"/>
            <w:vAlign w:val="center"/>
          </w:tcPr>
          <w:p w14:paraId="4C4E02AF">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w:t>
            </w:r>
          </w:p>
        </w:tc>
        <w:tc>
          <w:tcPr>
            <w:tcW w:w="2359" w:type="dxa"/>
            <w:vAlign w:val="center"/>
          </w:tcPr>
          <w:p w14:paraId="4DA8F2AF">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代理机构</w:t>
            </w:r>
          </w:p>
        </w:tc>
        <w:tc>
          <w:tcPr>
            <w:tcW w:w="5861" w:type="dxa"/>
            <w:vAlign w:val="top"/>
          </w:tcPr>
          <w:p w14:paraId="7FE9E2C7">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代理机构：</w:t>
            </w:r>
            <w:r>
              <w:rPr>
                <w:rFonts w:hint="eastAsia" w:asciiTheme="majorEastAsia" w:hAnsiTheme="majorEastAsia" w:eastAsiaTheme="majorEastAsia" w:cstheme="majorEastAsia"/>
                <w:color w:val="auto"/>
                <w:sz w:val="24"/>
                <w:szCs w:val="24"/>
                <w:lang w:val="en-US" w:eastAsia="zh-CN"/>
              </w:rPr>
              <w:t>河南韶泉工程服务有限公司</w:t>
            </w:r>
          </w:p>
          <w:p w14:paraId="5D15BF14">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联系人：</w:t>
            </w:r>
            <w:r>
              <w:rPr>
                <w:rFonts w:hint="eastAsia" w:asciiTheme="majorEastAsia" w:hAnsiTheme="majorEastAsia" w:eastAsiaTheme="majorEastAsia" w:cstheme="majorEastAsia"/>
                <w:color w:val="auto"/>
                <w:sz w:val="24"/>
                <w:szCs w:val="24"/>
                <w:lang w:val="en-US" w:eastAsia="zh-CN"/>
              </w:rPr>
              <w:t>崔先生</w:t>
            </w:r>
          </w:p>
          <w:p w14:paraId="47620568">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lang w:val="en-US"/>
              </w:rPr>
              <w:t>电话：</w:t>
            </w:r>
            <w:r>
              <w:rPr>
                <w:rFonts w:hint="eastAsia" w:asciiTheme="majorEastAsia" w:hAnsiTheme="majorEastAsia" w:eastAsiaTheme="majorEastAsia" w:cstheme="majorEastAsia"/>
                <w:color w:val="auto"/>
                <w:sz w:val="24"/>
                <w:szCs w:val="24"/>
                <w:lang w:val="en-US" w:eastAsia="zh-CN"/>
              </w:rPr>
              <w:t>13781013000</w:t>
            </w:r>
            <w:r>
              <w:rPr>
                <w:rFonts w:hint="eastAsia" w:asciiTheme="majorEastAsia" w:hAnsiTheme="majorEastAsia" w:eastAsiaTheme="majorEastAsia" w:cstheme="majorEastAsia"/>
                <w:color w:val="auto"/>
                <w:sz w:val="24"/>
                <w:szCs w:val="24"/>
                <w:lang w:val="en-US"/>
              </w:rPr>
              <w:t xml:space="preserve"> </w:t>
            </w:r>
          </w:p>
          <w:p w14:paraId="6227B5CD">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地址：</w:t>
            </w:r>
            <w:r>
              <w:rPr>
                <w:rFonts w:hint="eastAsia" w:asciiTheme="majorEastAsia" w:hAnsiTheme="majorEastAsia" w:eastAsiaTheme="majorEastAsia" w:cstheme="majorEastAsia"/>
                <w:color w:val="auto"/>
                <w:sz w:val="24"/>
                <w:szCs w:val="24"/>
                <w:lang w:val="en-US" w:eastAsia="zh-CN"/>
              </w:rPr>
              <w:t>河南省三门峡市渑池县城关镇新文西区5号楼301室</w:t>
            </w:r>
          </w:p>
        </w:tc>
      </w:tr>
      <w:tr w14:paraId="7D833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85" w:type="dxa"/>
            <w:vAlign w:val="center"/>
          </w:tcPr>
          <w:p w14:paraId="6D08D324">
            <w:pPr>
              <w:pStyle w:val="25"/>
              <w:keepNext w:val="0"/>
              <w:keepLines w:val="0"/>
              <w:pageBreakBefore w:val="0"/>
              <w:widowControl w:val="0"/>
              <w:kinsoku/>
              <w:wordWrap w:val="0"/>
              <w:overflowPunct/>
              <w:topLinePunct w:val="0"/>
              <w:bidi w:val="0"/>
              <w:snapToGrid/>
              <w:spacing w:line="520" w:lineRule="exact"/>
              <w:ind w:left="0" w:right="0" w:firstLine="240" w:firstLineChars="100"/>
              <w:jc w:val="both"/>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w:t>
            </w:r>
          </w:p>
        </w:tc>
        <w:tc>
          <w:tcPr>
            <w:tcW w:w="2359" w:type="dxa"/>
            <w:vAlign w:val="center"/>
          </w:tcPr>
          <w:p w14:paraId="32571357">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项目名称</w:t>
            </w:r>
          </w:p>
        </w:tc>
        <w:tc>
          <w:tcPr>
            <w:tcW w:w="5861" w:type="dxa"/>
            <w:vAlign w:val="center"/>
          </w:tcPr>
          <w:p w14:paraId="353F51A6">
            <w:pPr>
              <w:pStyle w:val="8"/>
              <w:keepNext w:val="0"/>
              <w:keepLines w:val="0"/>
              <w:pageBreakBefore w:val="0"/>
              <w:widowControl w:val="0"/>
              <w:kinsoku/>
              <w:wordWrap w:val="0"/>
              <w:overflowPunct/>
              <w:topLinePunct w:val="0"/>
              <w:autoSpaceDE w:val="0"/>
              <w:autoSpaceDN w:val="0"/>
              <w:bidi w:val="0"/>
              <w:adjustRightInd/>
              <w:snapToGrid/>
              <w:spacing w:line="520" w:lineRule="exact"/>
              <w:ind w:left="0" w:leftChars="0" w:right="0" w:firstLine="0" w:firstLineChars="0"/>
              <w:jc w:val="left"/>
              <w:textAlignment w:val="auto"/>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val="en-US" w:eastAsia="zh-CN"/>
              </w:rPr>
              <w:t>渑池县公路局省道508(原国道310)渑池黄花至渑陕界段结构性修复工程施工图设计项目</w:t>
            </w:r>
          </w:p>
        </w:tc>
      </w:tr>
      <w:tr w14:paraId="187E0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885" w:type="dxa"/>
            <w:vAlign w:val="center"/>
          </w:tcPr>
          <w:p w14:paraId="23655961">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1.4</w:t>
            </w:r>
          </w:p>
        </w:tc>
        <w:tc>
          <w:tcPr>
            <w:tcW w:w="2359" w:type="dxa"/>
            <w:vAlign w:val="center"/>
          </w:tcPr>
          <w:p w14:paraId="775B83B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预算金额</w:t>
            </w:r>
          </w:p>
        </w:tc>
        <w:tc>
          <w:tcPr>
            <w:tcW w:w="5861" w:type="dxa"/>
            <w:vAlign w:val="center"/>
          </w:tcPr>
          <w:p w14:paraId="4751383D">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560000.00元</w:t>
            </w:r>
          </w:p>
        </w:tc>
      </w:tr>
      <w:tr w14:paraId="5294A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885" w:type="dxa"/>
            <w:vAlign w:val="center"/>
          </w:tcPr>
          <w:p w14:paraId="4EC4E2A3">
            <w:pPr>
              <w:pStyle w:val="25"/>
              <w:keepNext w:val="0"/>
              <w:keepLines w:val="0"/>
              <w:pageBreakBefore w:val="0"/>
              <w:widowControl w:val="0"/>
              <w:kinsoku/>
              <w:wordWrap w:val="0"/>
              <w:overflowPunct/>
              <w:topLinePunct w:val="0"/>
              <w:bidi w:val="0"/>
              <w:snapToGrid/>
              <w:spacing w:line="520" w:lineRule="exact"/>
              <w:ind w:left="0" w:right="0"/>
              <w:jc w:val="center"/>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rPr>
              <w:t>1.5</w:t>
            </w:r>
          </w:p>
        </w:tc>
        <w:tc>
          <w:tcPr>
            <w:tcW w:w="2359" w:type="dxa"/>
            <w:vAlign w:val="center"/>
          </w:tcPr>
          <w:p w14:paraId="7B4D7D47">
            <w:pPr>
              <w:pStyle w:val="25"/>
              <w:keepNext w:val="0"/>
              <w:keepLines w:val="0"/>
              <w:pageBreakBefore w:val="0"/>
              <w:widowControl w:val="0"/>
              <w:kinsoku/>
              <w:wordWrap w:val="0"/>
              <w:overflowPunct/>
              <w:topLinePunct w:val="0"/>
              <w:autoSpaceDE w:val="0"/>
              <w:autoSpaceDN w:val="0"/>
              <w:bidi w:val="0"/>
              <w:adjustRightInd/>
              <w:snapToGrid/>
              <w:spacing w:line="520" w:lineRule="exact"/>
              <w:ind w:left="363" w:right="0" w:hanging="363"/>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资金来源</w:t>
            </w:r>
          </w:p>
        </w:tc>
        <w:tc>
          <w:tcPr>
            <w:tcW w:w="5861" w:type="dxa"/>
            <w:vAlign w:val="center"/>
          </w:tcPr>
          <w:p w14:paraId="17174B96">
            <w:pPr>
              <w:pStyle w:val="25"/>
              <w:keepNext w:val="0"/>
              <w:keepLines w:val="0"/>
              <w:pageBreakBefore w:val="0"/>
              <w:widowControl w:val="0"/>
              <w:kinsoku/>
              <w:wordWrap w:val="0"/>
              <w:overflowPunct/>
              <w:topLinePunct w:val="0"/>
              <w:autoSpaceDE w:val="0"/>
              <w:autoSpaceDN w:val="0"/>
              <w:bidi w:val="0"/>
              <w:adjustRightInd/>
              <w:snapToGrid/>
              <w:spacing w:line="520" w:lineRule="exact"/>
              <w:ind w:left="0" w:right="0"/>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eastAsia="zh-CN"/>
              </w:rPr>
              <w:t>财政</w:t>
            </w:r>
            <w:r>
              <w:rPr>
                <w:rFonts w:hint="eastAsia" w:asciiTheme="majorEastAsia" w:hAnsiTheme="majorEastAsia" w:eastAsiaTheme="majorEastAsia" w:cstheme="majorEastAsia"/>
                <w:color w:val="auto"/>
                <w:sz w:val="24"/>
                <w:szCs w:val="24"/>
              </w:rPr>
              <w:t>资金，已落实</w:t>
            </w:r>
          </w:p>
        </w:tc>
      </w:tr>
      <w:tr w14:paraId="214DA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885" w:type="dxa"/>
            <w:vAlign w:val="center"/>
          </w:tcPr>
          <w:p w14:paraId="5ABE6E05">
            <w:pPr>
              <w:pStyle w:val="25"/>
              <w:keepNext w:val="0"/>
              <w:keepLines w:val="0"/>
              <w:pageBreakBefore w:val="0"/>
              <w:widowControl w:val="0"/>
              <w:kinsoku/>
              <w:wordWrap w:val="0"/>
              <w:overflowPunct/>
              <w:topLinePunct w:val="0"/>
              <w:bidi w:val="0"/>
              <w:snapToGrid/>
              <w:spacing w:line="520" w:lineRule="exact"/>
              <w:ind w:left="0" w:right="0"/>
              <w:jc w:val="center"/>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1</w:t>
            </w:r>
            <w:r>
              <w:rPr>
                <w:rFonts w:hint="eastAsia" w:asciiTheme="majorEastAsia" w:hAnsiTheme="majorEastAsia" w:eastAsiaTheme="majorEastAsia" w:cstheme="majorEastAsia"/>
                <w:color w:val="auto"/>
                <w:sz w:val="24"/>
                <w:szCs w:val="24"/>
                <w:highlight w:val="none"/>
                <w:lang w:val="en-US" w:eastAsia="zh-CN"/>
              </w:rPr>
              <w:t>.6</w:t>
            </w:r>
          </w:p>
        </w:tc>
        <w:tc>
          <w:tcPr>
            <w:tcW w:w="2359" w:type="dxa"/>
            <w:vAlign w:val="center"/>
          </w:tcPr>
          <w:p w14:paraId="6128C129">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服务内容</w:t>
            </w:r>
          </w:p>
        </w:tc>
        <w:tc>
          <w:tcPr>
            <w:tcW w:w="5861" w:type="dxa"/>
            <w:vAlign w:val="center"/>
          </w:tcPr>
          <w:p w14:paraId="444F999A">
            <w:pPr>
              <w:pStyle w:val="8"/>
              <w:keepNext w:val="0"/>
              <w:keepLines w:val="0"/>
              <w:pageBreakBefore w:val="0"/>
              <w:widowControl w:val="0"/>
              <w:numPr>
                <w:ilvl w:val="0"/>
                <w:numId w:val="0"/>
              </w:numPr>
              <w:kinsoku/>
              <w:wordWrap w:val="0"/>
              <w:overflowPunct/>
              <w:topLinePunct w:val="0"/>
              <w:autoSpaceDE w:val="0"/>
              <w:autoSpaceDN w:val="0"/>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本项目为渑池县公路局省道508(原国道310)渑池黄花至渑陕界段结构性修复工程施工图设计项目；承担现场踏勘、方案论证、造价测算、文本制图，并全程配合专家评审及主管部门报批修改，交付完整纸质及电子成果文件。</w:t>
            </w:r>
          </w:p>
        </w:tc>
      </w:tr>
      <w:tr w14:paraId="000E7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885" w:type="dxa"/>
            <w:vAlign w:val="center"/>
          </w:tcPr>
          <w:p w14:paraId="046C6523">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rPr>
              <w:t>1.</w:t>
            </w:r>
            <w:r>
              <w:rPr>
                <w:rFonts w:hint="eastAsia" w:asciiTheme="majorEastAsia" w:hAnsiTheme="majorEastAsia" w:eastAsiaTheme="majorEastAsia" w:cstheme="majorEastAsia"/>
                <w:color w:val="auto"/>
                <w:sz w:val="24"/>
                <w:szCs w:val="24"/>
                <w:lang w:val="en-US" w:eastAsia="zh-CN"/>
              </w:rPr>
              <w:t>7</w:t>
            </w:r>
          </w:p>
        </w:tc>
        <w:tc>
          <w:tcPr>
            <w:tcW w:w="2359" w:type="dxa"/>
            <w:vAlign w:val="center"/>
          </w:tcPr>
          <w:p w14:paraId="689D048D">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highlight w:val="none"/>
                <w:lang w:val="zh-CN" w:eastAsia="zh-CN" w:bidi="ar-SA"/>
              </w:rPr>
            </w:pPr>
            <w:r>
              <w:rPr>
                <w:rFonts w:hint="eastAsia" w:asciiTheme="majorEastAsia" w:hAnsiTheme="majorEastAsia" w:eastAsiaTheme="majorEastAsia" w:cstheme="majorEastAsia"/>
                <w:color w:val="auto"/>
                <w:sz w:val="24"/>
                <w:szCs w:val="24"/>
                <w:highlight w:val="none"/>
                <w:lang w:val="en-US" w:eastAsia="zh-CN" w:bidi="ar-SA"/>
              </w:rPr>
              <w:t>服务期限</w:t>
            </w:r>
          </w:p>
        </w:tc>
        <w:tc>
          <w:tcPr>
            <w:tcW w:w="5861" w:type="dxa"/>
            <w:vAlign w:val="center"/>
          </w:tcPr>
          <w:p w14:paraId="37DE5EC5">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bidi="ar-SA"/>
              </w:rPr>
              <w:t>20日历天</w:t>
            </w:r>
          </w:p>
        </w:tc>
      </w:tr>
      <w:tr w14:paraId="6CFEE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885" w:type="dxa"/>
            <w:vAlign w:val="center"/>
          </w:tcPr>
          <w:p w14:paraId="2E911155">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rPr>
              <w:t>1.</w:t>
            </w:r>
            <w:r>
              <w:rPr>
                <w:rFonts w:hint="eastAsia" w:asciiTheme="majorEastAsia" w:hAnsiTheme="majorEastAsia" w:eastAsiaTheme="majorEastAsia" w:cstheme="majorEastAsia"/>
                <w:color w:val="auto"/>
                <w:sz w:val="24"/>
                <w:szCs w:val="24"/>
                <w:lang w:val="en-US" w:eastAsia="zh-CN"/>
              </w:rPr>
              <w:t>8</w:t>
            </w:r>
          </w:p>
        </w:tc>
        <w:tc>
          <w:tcPr>
            <w:tcW w:w="2359" w:type="dxa"/>
            <w:vAlign w:val="center"/>
          </w:tcPr>
          <w:p w14:paraId="0B4EC19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质量要求</w:t>
            </w:r>
          </w:p>
        </w:tc>
        <w:tc>
          <w:tcPr>
            <w:tcW w:w="5861" w:type="dxa"/>
            <w:vAlign w:val="center"/>
          </w:tcPr>
          <w:p w14:paraId="286570E9">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lang w:val="en-US"/>
              </w:rPr>
              <w:t>符合国家现行规范和标准，并满足采购人要求；</w:t>
            </w:r>
          </w:p>
        </w:tc>
      </w:tr>
      <w:tr w14:paraId="169DD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85" w:type="dxa"/>
            <w:vAlign w:val="center"/>
          </w:tcPr>
          <w:p w14:paraId="0B9F698E">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2.0</w:t>
            </w:r>
          </w:p>
        </w:tc>
        <w:tc>
          <w:tcPr>
            <w:tcW w:w="2359" w:type="dxa"/>
            <w:vAlign w:val="center"/>
          </w:tcPr>
          <w:p w14:paraId="1099FFE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供应商资格要求</w:t>
            </w:r>
          </w:p>
        </w:tc>
        <w:tc>
          <w:tcPr>
            <w:tcW w:w="5861" w:type="dxa"/>
            <w:vAlign w:val="center"/>
          </w:tcPr>
          <w:p w14:paraId="7B486B03">
            <w:pPr>
              <w:pStyle w:val="8"/>
              <w:keepNext w:val="0"/>
              <w:keepLines w:val="0"/>
              <w:pageBreakBefore w:val="0"/>
              <w:widowControl w:val="0"/>
              <w:numPr>
                <w:ilvl w:val="0"/>
                <w:numId w:val="0"/>
              </w:numPr>
              <w:kinsoku/>
              <w:wordWrap w:val="0"/>
              <w:overflowPunct/>
              <w:topLinePunct w:val="0"/>
              <w:autoSpaceDE w:val="0"/>
              <w:autoSpaceDN w:val="0"/>
              <w:bidi w:val="0"/>
              <w:snapToGrid/>
              <w:spacing w:line="520" w:lineRule="exact"/>
              <w:ind w:left="0" w:right="0"/>
              <w:jc w:val="both"/>
              <w:textAlignment w:val="auto"/>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val="en-US" w:eastAsia="zh-CN"/>
              </w:rPr>
              <w:t>详见竞争性磋商公告</w:t>
            </w:r>
          </w:p>
        </w:tc>
      </w:tr>
      <w:tr w14:paraId="43E69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1" w:hRule="atLeast"/>
        </w:trPr>
        <w:tc>
          <w:tcPr>
            <w:tcW w:w="885" w:type="dxa"/>
            <w:vAlign w:val="center"/>
          </w:tcPr>
          <w:p w14:paraId="55CB22AD">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rPr>
              <w:t>2.1</w:t>
            </w:r>
          </w:p>
        </w:tc>
        <w:tc>
          <w:tcPr>
            <w:tcW w:w="2359" w:type="dxa"/>
            <w:vAlign w:val="center"/>
          </w:tcPr>
          <w:p w14:paraId="67C9481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磋商响应供应商提出问题的截止时间</w:t>
            </w:r>
          </w:p>
        </w:tc>
        <w:tc>
          <w:tcPr>
            <w:tcW w:w="5861" w:type="dxa"/>
            <w:vAlign w:val="center"/>
          </w:tcPr>
          <w:p w14:paraId="67054F10">
            <w:pPr>
              <w:pStyle w:val="25"/>
              <w:keepNext w:val="0"/>
              <w:keepLines w:val="0"/>
              <w:pageBreakBefore w:val="0"/>
              <w:widowControl w:val="0"/>
              <w:kinsoku/>
              <w:wordWrap w:val="0"/>
              <w:overflowPunct/>
              <w:topLinePunct w:val="0"/>
              <w:bidi w:val="0"/>
              <w:snapToGrid/>
              <w:spacing w:line="520" w:lineRule="exact"/>
              <w:ind w:left="0" w:right="0"/>
              <w:jc w:val="both"/>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rPr>
              <w:t>递交磋商响应文件截止之日</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日前</w:t>
            </w:r>
          </w:p>
        </w:tc>
      </w:tr>
      <w:tr w14:paraId="4FE03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885" w:type="dxa"/>
            <w:vAlign w:val="center"/>
          </w:tcPr>
          <w:p w14:paraId="69FCF968">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p>
          <w:p w14:paraId="4CEFF025">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2.2</w:t>
            </w:r>
          </w:p>
        </w:tc>
        <w:tc>
          <w:tcPr>
            <w:tcW w:w="2359" w:type="dxa"/>
            <w:vAlign w:val="center"/>
          </w:tcPr>
          <w:p w14:paraId="239AC117">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采购人书面澄清的时间</w:t>
            </w:r>
          </w:p>
        </w:tc>
        <w:tc>
          <w:tcPr>
            <w:tcW w:w="5861" w:type="dxa"/>
            <w:vAlign w:val="center"/>
          </w:tcPr>
          <w:p w14:paraId="56B1BF98">
            <w:pPr>
              <w:pStyle w:val="25"/>
              <w:keepNext w:val="0"/>
              <w:keepLines w:val="0"/>
              <w:pageBreakBefore w:val="0"/>
              <w:widowControl w:val="0"/>
              <w:kinsoku/>
              <w:wordWrap w:val="0"/>
              <w:overflowPunct/>
              <w:topLinePunct w:val="0"/>
              <w:bidi w:val="0"/>
              <w:snapToGrid/>
              <w:spacing w:line="520" w:lineRule="exact"/>
              <w:ind w:left="0" w:right="0"/>
              <w:jc w:val="both"/>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递交磋商响应文件截止之日</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日前</w:t>
            </w:r>
          </w:p>
        </w:tc>
      </w:tr>
      <w:tr w14:paraId="0582F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398E1BF7">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p>
          <w:p w14:paraId="073BEC8D">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2.3</w:t>
            </w:r>
          </w:p>
        </w:tc>
        <w:tc>
          <w:tcPr>
            <w:tcW w:w="2359" w:type="dxa"/>
            <w:vAlign w:val="center"/>
          </w:tcPr>
          <w:p w14:paraId="7CB3DD54">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磋商截止时间</w:t>
            </w:r>
          </w:p>
        </w:tc>
        <w:tc>
          <w:tcPr>
            <w:tcW w:w="5861" w:type="dxa"/>
            <w:vAlign w:val="center"/>
          </w:tcPr>
          <w:p w14:paraId="40DAC8C3">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2026年8月6日08时20分</w:t>
            </w:r>
          </w:p>
        </w:tc>
      </w:tr>
      <w:tr w14:paraId="286F2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71AA835E">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2.4</w:t>
            </w:r>
          </w:p>
        </w:tc>
        <w:tc>
          <w:tcPr>
            <w:tcW w:w="2359" w:type="dxa"/>
            <w:vAlign w:val="center"/>
          </w:tcPr>
          <w:p w14:paraId="25E58777">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磋商有效期</w:t>
            </w:r>
          </w:p>
        </w:tc>
        <w:tc>
          <w:tcPr>
            <w:tcW w:w="5861" w:type="dxa"/>
            <w:vAlign w:val="top"/>
          </w:tcPr>
          <w:p w14:paraId="372CEEBB">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60日历天</w:t>
            </w:r>
          </w:p>
        </w:tc>
      </w:tr>
      <w:tr w14:paraId="492D3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885" w:type="dxa"/>
            <w:vAlign w:val="center"/>
          </w:tcPr>
          <w:p w14:paraId="0BC5587B">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2.5</w:t>
            </w:r>
          </w:p>
        </w:tc>
        <w:tc>
          <w:tcPr>
            <w:tcW w:w="2359" w:type="dxa"/>
            <w:vAlign w:val="center"/>
          </w:tcPr>
          <w:p w14:paraId="7E1778A5">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磋商保证金</w:t>
            </w:r>
          </w:p>
        </w:tc>
        <w:tc>
          <w:tcPr>
            <w:tcW w:w="5861" w:type="dxa"/>
            <w:vAlign w:val="top"/>
          </w:tcPr>
          <w:p w14:paraId="506C57C0">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rPr>
              <w:t>按照《河南省财政厅关于优化政府采购营商环境有关问题的通知》（豫财购[2019]4号文）的要求本项目不再收取投标保证金</w:t>
            </w:r>
            <w:r>
              <w:rPr>
                <w:rFonts w:hint="eastAsia" w:asciiTheme="majorEastAsia" w:hAnsiTheme="majorEastAsia" w:eastAsiaTheme="majorEastAsia" w:cstheme="majorEastAsia"/>
                <w:color w:val="auto"/>
                <w:sz w:val="24"/>
                <w:szCs w:val="24"/>
                <w:lang w:eastAsia="zh-CN"/>
              </w:rPr>
              <w:t>。</w:t>
            </w:r>
          </w:p>
        </w:tc>
      </w:tr>
      <w:tr w14:paraId="75D23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885" w:type="dxa"/>
            <w:vAlign w:val="center"/>
          </w:tcPr>
          <w:p w14:paraId="188025F6">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2.6</w:t>
            </w:r>
          </w:p>
        </w:tc>
        <w:tc>
          <w:tcPr>
            <w:tcW w:w="2359" w:type="dxa"/>
            <w:vAlign w:val="center"/>
          </w:tcPr>
          <w:p w14:paraId="1265112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近年完成的类似项目的年份要求</w:t>
            </w:r>
          </w:p>
        </w:tc>
        <w:tc>
          <w:tcPr>
            <w:tcW w:w="5861" w:type="dxa"/>
            <w:vAlign w:val="center"/>
          </w:tcPr>
          <w:p w14:paraId="679E97A8">
            <w:pPr>
              <w:pStyle w:val="25"/>
              <w:keepNext w:val="0"/>
              <w:keepLines w:val="0"/>
              <w:pageBreakBefore w:val="0"/>
              <w:widowControl w:val="0"/>
              <w:kinsoku/>
              <w:wordWrap w:val="0"/>
              <w:overflowPunct/>
              <w:topLinePunct w:val="0"/>
              <w:bidi w:val="0"/>
              <w:snapToGrid/>
              <w:spacing w:line="520" w:lineRule="exact"/>
              <w:ind w:left="0" w:right="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20</w:t>
            </w:r>
            <w:r>
              <w:rPr>
                <w:rFonts w:hint="eastAsia" w:asciiTheme="majorEastAsia" w:hAnsiTheme="majorEastAsia" w:eastAsiaTheme="majorEastAsia" w:cstheme="majorEastAsia"/>
                <w:color w:val="auto"/>
                <w:sz w:val="24"/>
                <w:szCs w:val="24"/>
                <w:highlight w:val="none"/>
                <w:lang w:val="en-US" w:eastAsia="zh-CN"/>
              </w:rPr>
              <w:t>23</w:t>
            </w:r>
            <w:r>
              <w:rPr>
                <w:rFonts w:hint="eastAsia" w:asciiTheme="majorEastAsia" w:hAnsiTheme="majorEastAsia" w:eastAsiaTheme="majorEastAsia" w:cstheme="majorEastAsia"/>
                <w:color w:val="auto"/>
                <w:sz w:val="24"/>
                <w:szCs w:val="24"/>
                <w:highlight w:val="none"/>
              </w:rPr>
              <w:t>年</w:t>
            </w:r>
            <w:r>
              <w:rPr>
                <w:rFonts w:hint="eastAsia" w:asciiTheme="majorEastAsia" w:hAnsiTheme="majorEastAsia" w:eastAsiaTheme="majorEastAsia" w:cstheme="majorEastAsia"/>
                <w:color w:val="auto"/>
                <w:sz w:val="24"/>
                <w:szCs w:val="24"/>
                <w:highlight w:val="none"/>
                <w:lang w:val="en-US"/>
              </w:rPr>
              <w:t>01</w:t>
            </w:r>
            <w:r>
              <w:rPr>
                <w:rFonts w:hint="eastAsia" w:asciiTheme="majorEastAsia" w:hAnsiTheme="majorEastAsia" w:eastAsiaTheme="majorEastAsia" w:cstheme="majorEastAsia"/>
                <w:color w:val="auto"/>
                <w:sz w:val="24"/>
                <w:szCs w:val="24"/>
                <w:highlight w:val="none"/>
              </w:rPr>
              <w:t>月</w:t>
            </w:r>
            <w:r>
              <w:rPr>
                <w:rFonts w:hint="eastAsia" w:asciiTheme="majorEastAsia" w:hAnsiTheme="majorEastAsia" w:eastAsiaTheme="majorEastAsia" w:cstheme="majorEastAsia"/>
                <w:color w:val="auto"/>
                <w:sz w:val="24"/>
                <w:szCs w:val="24"/>
                <w:highlight w:val="none"/>
                <w:lang w:val="en-US"/>
              </w:rPr>
              <w:t>0</w:t>
            </w:r>
            <w:r>
              <w:rPr>
                <w:rFonts w:hint="eastAsia" w:asciiTheme="majorEastAsia" w:hAnsiTheme="majorEastAsia" w:eastAsiaTheme="majorEastAsia" w:cstheme="majorEastAsia"/>
                <w:color w:val="auto"/>
                <w:sz w:val="24"/>
                <w:szCs w:val="24"/>
                <w:highlight w:val="none"/>
              </w:rPr>
              <w:t>1日以来</w:t>
            </w:r>
            <w:r>
              <w:rPr>
                <w:rFonts w:hint="eastAsia" w:asciiTheme="majorEastAsia" w:hAnsiTheme="majorEastAsia" w:eastAsiaTheme="majorEastAsia" w:cstheme="majorEastAsia"/>
                <w:color w:val="auto"/>
                <w:sz w:val="24"/>
                <w:szCs w:val="24"/>
                <w:highlight w:val="none"/>
                <w:lang w:val="en-US" w:eastAsia="zh-CN"/>
              </w:rPr>
              <w:t>同</w:t>
            </w:r>
            <w:r>
              <w:rPr>
                <w:rFonts w:hint="eastAsia" w:asciiTheme="majorEastAsia" w:hAnsiTheme="majorEastAsia" w:eastAsiaTheme="majorEastAsia" w:cstheme="majorEastAsia"/>
                <w:color w:val="auto"/>
                <w:sz w:val="24"/>
                <w:szCs w:val="24"/>
                <w:highlight w:val="none"/>
                <w:lang w:eastAsia="zh-CN"/>
              </w:rPr>
              <w:t>类项目</w:t>
            </w:r>
          </w:p>
        </w:tc>
      </w:tr>
      <w:tr w14:paraId="028A3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885" w:type="dxa"/>
            <w:vAlign w:val="center"/>
          </w:tcPr>
          <w:p w14:paraId="0FA23541">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2.7</w:t>
            </w:r>
          </w:p>
        </w:tc>
        <w:tc>
          <w:tcPr>
            <w:tcW w:w="2359" w:type="dxa"/>
            <w:vAlign w:val="center"/>
          </w:tcPr>
          <w:p w14:paraId="08100646">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FF0000"/>
                <w:sz w:val="24"/>
                <w:szCs w:val="24"/>
                <w:lang w:val="en-US" w:eastAsia="zh-CN"/>
              </w:rPr>
            </w:pPr>
            <w:r>
              <w:rPr>
                <w:rFonts w:hint="eastAsia" w:asciiTheme="majorEastAsia" w:hAnsiTheme="majorEastAsia" w:eastAsiaTheme="majorEastAsia" w:cstheme="majorEastAsia"/>
                <w:color w:val="auto"/>
                <w:sz w:val="24"/>
                <w:szCs w:val="24"/>
              </w:rPr>
              <w:t>响应文件签章要求</w:t>
            </w:r>
          </w:p>
        </w:tc>
        <w:tc>
          <w:tcPr>
            <w:tcW w:w="5861" w:type="dxa"/>
            <w:vAlign w:val="top"/>
          </w:tcPr>
          <w:p w14:paraId="21BFF39F">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color w:val="auto"/>
                <w:sz w:val="24"/>
                <w:szCs w:val="24"/>
              </w:rPr>
              <w:t>磋商响应供应商在进行电子化磋商响应文件签章时，竞争性磋商文件中要求磋商响应供应商盖章的，以签盖单位章为准；要求法定代表人或授权委托人签字盖章的，以法定代表人签章为准</w:t>
            </w:r>
          </w:p>
        </w:tc>
      </w:tr>
      <w:tr w14:paraId="2A223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885" w:type="dxa"/>
            <w:vAlign w:val="center"/>
          </w:tcPr>
          <w:p w14:paraId="5923AE6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2.8</w:t>
            </w:r>
          </w:p>
        </w:tc>
        <w:tc>
          <w:tcPr>
            <w:tcW w:w="2359" w:type="dxa"/>
            <w:vAlign w:val="center"/>
          </w:tcPr>
          <w:p w14:paraId="1241C9C9">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电子化磋商响应文件的格式及上传</w:t>
            </w:r>
          </w:p>
        </w:tc>
        <w:tc>
          <w:tcPr>
            <w:tcW w:w="5861" w:type="dxa"/>
            <w:vAlign w:val="center"/>
          </w:tcPr>
          <w:p w14:paraId="54FCBA64">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投标供应商所上传的电子化响应文件，应是通过中心响应文件制作系统制作的，经过签章和加密后生成的电子版响应文件。上传投标文件</w:t>
            </w: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格式后缀为SMXTF。上传完后，为了验证CA锁是否正常，建议模拟解密下。</w:t>
            </w:r>
          </w:p>
        </w:tc>
      </w:tr>
      <w:tr w14:paraId="3B027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1C0C298E">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2.9</w:t>
            </w:r>
          </w:p>
        </w:tc>
        <w:tc>
          <w:tcPr>
            <w:tcW w:w="2359" w:type="dxa"/>
            <w:vAlign w:val="center"/>
          </w:tcPr>
          <w:p w14:paraId="70E0C2EB">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开</w:t>
            </w:r>
            <w:r>
              <w:rPr>
                <w:rFonts w:hint="eastAsia" w:asciiTheme="majorEastAsia" w:hAnsiTheme="majorEastAsia" w:eastAsiaTheme="majorEastAsia" w:cstheme="majorEastAsia"/>
                <w:color w:val="auto"/>
                <w:sz w:val="24"/>
                <w:szCs w:val="24"/>
                <w:lang w:val="en-US" w:eastAsia="zh-CN"/>
              </w:rPr>
              <w:t>评标</w:t>
            </w:r>
            <w:r>
              <w:rPr>
                <w:rFonts w:hint="eastAsia" w:asciiTheme="majorEastAsia" w:hAnsiTheme="majorEastAsia" w:eastAsiaTheme="majorEastAsia" w:cstheme="majorEastAsia"/>
                <w:color w:val="auto"/>
                <w:sz w:val="24"/>
                <w:szCs w:val="24"/>
              </w:rPr>
              <w:t>地点</w:t>
            </w:r>
          </w:p>
        </w:tc>
        <w:tc>
          <w:tcPr>
            <w:tcW w:w="5861" w:type="dxa"/>
            <w:vAlign w:val="center"/>
          </w:tcPr>
          <w:p w14:paraId="33B62F60">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000000" w:themeColor="text1"/>
                <w:sz w:val="24"/>
                <w:szCs w:val="24"/>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14:textFill>
                  <w14:solidFill>
                    <w14:schemeClr w14:val="tx1"/>
                  </w14:solidFill>
                </w14:textFill>
              </w:rPr>
              <w:t>开标地点：</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渑池县公共资源交易中心六楼</w:t>
            </w:r>
            <w:r>
              <w:rPr>
                <w:rFonts w:hint="eastAsia" w:asciiTheme="majorEastAsia" w:hAnsiTheme="majorEastAsia" w:eastAsiaTheme="majorEastAsia" w:cstheme="majorEastAsia"/>
                <w:color w:val="000000" w:themeColor="text1"/>
                <w:sz w:val="24"/>
                <w:szCs w:val="24"/>
                <w:lang w:val="en-US"/>
                <w14:textFill>
                  <w14:solidFill>
                    <w14:schemeClr w14:val="tx1"/>
                  </w14:solidFill>
                </w14:textFill>
              </w:rPr>
              <w:t>；</w:t>
            </w:r>
          </w:p>
          <w:p w14:paraId="190F0017">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000000" w:themeColor="text1"/>
                <w:sz w:val="24"/>
                <w:szCs w:val="24"/>
                <w:lang w:val="en-US"/>
                <w14:textFill>
                  <w14:solidFill>
                    <w14:schemeClr w14:val="tx1"/>
                  </w14:solidFill>
                </w14:textFill>
              </w:rPr>
              <w:t>评标地点：</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渑池县公共资源交易中心五楼</w:t>
            </w:r>
            <w:r>
              <w:rPr>
                <w:rFonts w:hint="eastAsia" w:asciiTheme="majorEastAsia" w:hAnsiTheme="majorEastAsia" w:eastAsiaTheme="majorEastAsia" w:cstheme="majorEastAsia"/>
                <w:color w:val="000000" w:themeColor="text1"/>
                <w:sz w:val="24"/>
                <w:szCs w:val="24"/>
                <w:lang w:val="en-US"/>
                <w14:textFill>
                  <w14:solidFill>
                    <w14:schemeClr w14:val="tx1"/>
                  </w14:solidFill>
                </w14:textFill>
              </w:rPr>
              <w:t>；</w:t>
            </w:r>
          </w:p>
        </w:tc>
      </w:tr>
      <w:tr w14:paraId="59627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3E0DFF88">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3.0</w:t>
            </w:r>
          </w:p>
        </w:tc>
        <w:tc>
          <w:tcPr>
            <w:tcW w:w="2359" w:type="dxa"/>
            <w:vAlign w:val="center"/>
          </w:tcPr>
          <w:p w14:paraId="773628A1">
            <w:pPr>
              <w:pStyle w:val="25"/>
              <w:keepNext w:val="0"/>
              <w:keepLines w:val="0"/>
              <w:pageBreakBefore w:val="0"/>
              <w:widowControl w:val="0"/>
              <w:kinsoku/>
              <w:wordWrap w:val="0"/>
              <w:overflowPunct/>
              <w:topLinePunct w:val="0"/>
              <w:bidi w:val="0"/>
              <w:snapToGrid/>
              <w:spacing w:line="520" w:lineRule="exact"/>
              <w:ind w:left="0" w:right="0" w:hanging="120"/>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磋商顺序</w:t>
            </w:r>
          </w:p>
        </w:tc>
        <w:tc>
          <w:tcPr>
            <w:tcW w:w="5861" w:type="dxa"/>
            <w:vAlign w:val="center"/>
          </w:tcPr>
          <w:p w14:paraId="3055DAA2">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按电子化磋商响应文件上传的顺序磋商。</w:t>
            </w:r>
          </w:p>
        </w:tc>
      </w:tr>
      <w:tr w14:paraId="265BE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885" w:type="dxa"/>
            <w:vAlign w:val="center"/>
          </w:tcPr>
          <w:p w14:paraId="24095E13">
            <w:pPr>
              <w:pStyle w:val="25"/>
              <w:keepNext w:val="0"/>
              <w:keepLines w:val="0"/>
              <w:pageBreakBefore w:val="0"/>
              <w:widowControl w:val="0"/>
              <w:kinsoku/>
              <w:wordWrap w:val="0"/>
              <w:overflowPunct/>
              <w:topLinePunct w:val="0"/>
              <w:autoSpaceDE w:val="0"/>
              <w:autoSpaceDN w:val="0"/>
              <w:bidi w:val="0"/>
              <w:adjustRightInd/>
              <w:snapToGrid/>
              <w:spacing w:line="520" w:lineRule="exact"/>
              <w:ind w:left="0" w:right="0" w:firstLine="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3.1</w:t>
            </w:r>
          </w:p>
        </w:tc>
        <w:tc>
          <w:tcPr>
            <w:tcW w:w="2359" w:type="dxa"/>
            <w:vAlign w:val="center"/>
          </w:tcPr>
          <w:p w14:paraId="23AE4AA8">
            <w:pPr>
              <w:pStyle w:val="25"/>
              <w:keepNext w:val="0"/>
              <w:keepLines w:val="0"/>
              <w:pageBreakBefore w:val="0"/>
              <w:widowControl w:val="0"/>
              <w:kinsoku/>
              <w:wordWrap w:val="0"/>
              <w:overflowPunct/>
              <w:topLinePunct w:val="0"/>
              <w:bidi w:val="0"/>
              <w:snapToGrid/>
              <w:spacing w:line="520" w:lineRule="exact"/>
              <w:ind w:left="0" w:right="0" w:hanging="12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磋商小组的组建</w:t>
            </w:r>
          </w:p>
        </w:tc>
        <w:tc>
          <w:tcPr>
            <w:tcW w:w="5861" w:type="dxa"/>
            <w:vAlign w:val="center"/>
          </w:tcPr>
          <w:p w14:paraId="73761FB5">
            <w:pPr>
              <w:pStyle w:val="25"/>
              <w:keepNext w:val="0"/>
              <w:keepLines w:val="0"/>
              <w:pageBreakBefore w:val="0"/>
              <w:widowControl w:val="0"/>
              <w:kinsoku/>
              <w:wordWrap w:val="0"/>
              <w:overflowPunct/>
              <w:topLinePunct w:val="0"/>
              <w:autoSpaceDE w:val="0"/>
              <w:autoSpaceDN w:val="0"/>
              <w:bidi w:val="0"/>
              <w:adjustRightInd/>
              <w:snapToGrid/>
              <w:spacing w:line="520" w:lineRule="exact"/>
              <w:ind w:left="0" w:right="0" w:firstLine="0"/>
              <w:jc w:val="left"/>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rPr>
              <w:t>磋商小组成员为</w:t>
            </w:r>
            <w:r>
              <w:rPr>
                <w:rFonts w:hint="eastAsia" w:asciiTheme="majorEastAsia" w:hAnsiTheme="majorEastAsia" w:eastAsiaTheme="majorEastAsia" w:cstheme="majorEastAsia"/>
                <w:color w:val="auto"/>
                <w:sz w:val="24"/>
                <w:szCs w:val="24"/>
                <w:lang w:val="en-US" w:eastAsia="zh-CN"/>
              </w:rPr>
              <w:t>3</w:t>
            </w:r>
            <w:r>
              <w:rPr>
                <w:rFonts w:hint="eastAsia" w:asciiTheme="majorEastAsia" w:hAnsiTheme="majorEastAsia" w:eastAsiaTheme="majorEastAsia" w:cstheme="majorEastAsia"/>
                <w:color w:val="auto"/>
                <w:sz w:val="24"/>
                <w:szCs w:val="24"/>
                <w:lang w:val="en-US"/>
              </w:rPr>
              <w:t>人，采购人代表</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lang w:val="en-US"/>
              </w:rPr>
              <w:t>人，其余技术、经济等方面的专家</w:t>
            </w:r>
            <w:r>
              <w:rPr>
                <w:rFonts w:hint="eastAsia" w:asciiTheme="majorEastAsia" w:hAnsiTheme="majorEastAsia" w:eastAsiaTheme="majorEastAsia" w:cstheme="majorEastAsia"/>
                <w:color w:val="auto"/>
                <w:sz w:val="24"/>
                <w:szCs w:val="24"/>
                <w:lang w:val="en-US" w:eastAsia="zh-CN"/>
              </w:rPr>
              <w:t>2</w:t>
            </w:r>
            <w:r>
              <w:rPr>
                <w:rFonts w:hint="eastAsia" w:asciiTheme="majorEastAsia" w:hAnsiTheme="majorEastAsia" w:eastAsiaTheme="majorEastAsia" w:cstheme="majorEastAsia"/>
                <w:color w:val="auto"/>
                <w:sz w:val="24"/>
                <w:szCs w:val="24"/>
                <w:lang w:val="en-US"/>
              </w:rPr>
              <w:t>人</w:t>
            </w:r>
            <w:r>
              <w:rPr>
                <w:rFonts w:hint="eastAsia" w:asciiTheme="majorEastAsia" w:hAnsiTheme="majorEastAsia" w:eastAsiaTheme="majorEastAsia" w:cstheme="majorEastAsia"/>
                <w:color w:val="auto"/>
                <w:sz w:val="24"/>
                <w:szCs w:val="24"/>
                <w:lang w:val="en-US" w:eastAsia="zh-CN"/>
              </w:rPr>
              <w:t>，</w:t>
            </w:r>
            <w:r>
              <w:rPr>
                <w:rFonts w:hint="eastAsia" w:asciiTheme="majorEastAsia" w:hAnsiTheme="majorEastAsia" w:eastAsiaTheme="majorEastAsia" w:cstheme="majorEastAsia"/>
                <w:color w:val="auto"/>
                <w:sz w:val="24"/>
                <w:szCs w:val="24"/>
                <w:lang w:val="en-US"/>
              </w:rPr>
              <w:t>从</w:t>
            </w:r>
            <w:r>
              <w:rPr>
                <w:rFonts w:hint="eastAsia" w:asciiTheme="majorEastAsia" w:hAnsiTheme="majorEastAsia" w:eastAsiaTheme="majorEastAsia" w:cstheme="majorEastAsia"/>
                <w:color w:val="auto"/>
                <w:sz w:val="24"/>
                <w:szCs w:val="24"/>
                <w:lang w:val="en-US" w:eastAsia="zh-CN"/>
              </w:rPr>
              <w:t>河南省</w:t>
            </w:r>
            <w:r>
              <w:rPr>
                <w:rFonts w:hint="eastAsia" w:ascii="宋体" w:hAnsi="宋体" w:eastAsia="宋体" w:cs="宋体"/>
                <w:color w:val="auto"/>
                <w:kern w:val="0"/>
                <w:sz w:val="24"/>
                <w:szCs w:val="24"/>
                <w:highlight w:val="none"/>
              </w:rPr>
              <w:t>政府采购网</w:t>
            </w:r>
            <w:r>
              <w:rPr>
                <w:rFonts w:hint="eastAsia" w:asciiTheme="majorEastAsia" w:hAnsiTheme="majorEastAsia" w:eastAsiaTheme="majorEastAsia" w:cstheme="majorEastAsia"/>
                <w:color w:val="auto"/>
                <w:sz w:val="24"/>
                <w:szCs w:val="24"/>
                <w:lang w:val="en-US" w:eastAsia="zh-CN"/>
              </w:rPr>
              <w:t>专家库</w:t>
            </w:r>
            <w:r>
              <w:rPr>
                <w:rFonts w:hint="eastAsia" w:asciiTheme="majorEastAsia" w:hAnsiTheme="majorEastAsia" w:eastAsiaTheme="majorEastAsia" w:cstheme="majorEastAsia"/>
                <w:color w:val="auto"/>
                <w:sz w:val="24"/>
                <w:szCs w:val="24"/>
                <w:lang w:val="en-US"/>
              </w:rPr>
              <w:t>随机抽取。</w:t>
            </w:r>
          </w:p>
        </w:tc>
      </w:tr>
      <w:tr w14:paraId="144DE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885" w:type="dxa"/>
            <w:vAlign w:val="center"/>
          </w:tcPr>
          <w:p w14:paraId="45C6F873">
            <w:pPr>
              <w:pStyle w:val="25"/>
              <w:keepNext w:val="0"/>
              <w:keepLines w:val="0"/>
              <w:pageBreakBefore w:val="0"/>
              <w:widowControl w:val="0"/>
              <w:kinsoku/>
              <w:wordWrap w:val="0"/>
              <w:overflowPunct/>
              <w:topLinePunct w:val="0"/>
              <w:autoSpaceDE w:val="0"/>
              <w:autoSpaceDN w:val="0"/>
              <w:bidi w:val="0"/>
              <w:adjustRightInd/>
              <w:snapToGrid/>
              <w:spacing w:line="520" w:lineRule="exact"/>
              <w:ind w:left="0" w:right="0" w:firstLine="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3.2</w:t>
            </w:r>
          </w:p>
        </w:tc>
        <w:tc>
          <w:tcPr>
            <w:tcW w:w="2359" w:type="dxa"/>
            <w:vAlign w:val="center"/>
          </w:tcPr>
          <w:p w14:paraId="4375C246">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是否授权磋商专家确定成交供应商</w:t>
            </w:r>
          </w:p>
        </w:tc>
        <w:tc>
          <w:tcPr>
            <w:tcW w:w="5861" w:type="dxa"/>
            <w:vAlign w:val="center"/>
          </w:tcPr>
          <w:p w14:paraId="390584DB">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否，由磋商小组按照评审得分由高到底推荐3名成交候选供应商</w:t>
            </w:r>
          </w:p>
        </w:tc>
      </w:tr>
      <w:tr w14:paraId="759C9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885" w:type="dxa"/>
            <w:vAlign w:val="center"/>
          </w:tcPr>
          <w:p w14:paraId="7C726C60">
            <w:pPr>
              <w:pStyle w:val="25"/>
              <w:keepNext w:val="0"/>
              <w:keepLines w:val="0"/>
              <w:pageBreakBefore w:val="0"/>
              <w:widowControl w:val="0"/>
              <w:kinsoku/>
              <w:wordWrap w:val="0"/>
              <w:overflowPunct/>
              <w:topLinePunct w:val="0"/>
              <w:autoSpaceDE w:val="0"/>
              <w:autoSpaceDN w:val="0"/>
              <w:bidi w:val="0"/>
              <w:adjustRightInd/>
              <w:snapToGrid/>
              <w:spacing w:line="520" w:lineRule="exact"/>
              <w:ind w:left="0" w:right="0" w:firstLine="0"/>
              <w:jc w:val="center"/>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3.3</w:t>
            </w:r>
          </w:p>
        </w:tc>
        <w:tc>
          <w:tcPr>
            <w:tcW w:w="2359" w:type="dxa"/>
            <w:vAlign w:val="center"/>
          </w:tcPr>
          <w:p w14:paraId="6170881F">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付款方式</w:t>
            </w:r>
          </w:p>
        </w:tc>
        <w:tc>
          <w:tcPr>
            <w:tcW w:w="5861" w:type="dxa"/>
            <w:vAlign w:val="center"/>
          </w:tcPr>
          <w:p w14:paraId="12C0C230">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auto"/>
                <w:sz w:val="24"/>
                <w:highlight w:val="none"/>
              </w:rPr>
              <w:t>中标后双方协商。</w:t>
            </w:r>
          </w:p>
        </w:tc>
      </w:tr>
      <w:tr w14:paraId="73AFE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5" w:hRule="atLeast"/>
        </w:trPr>
        <w:tc>
          <w:tcPr>
            <w:tcW w:w="885" w:type="dxa"/>
            <w:vAlign w:val="center"/>
          </w:tcPr>
          <w:p w14:paraId="49A52127">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3.4</w:t>
            </w:r>
          </w:p>
        </w:tc>
        <w:tc>
          <w:tcPr>
            <w:tcW w:w="2359" w:type="dxa"/>
            <w:vAlign w:val="center"/>
          </w:tcPr>
          <w:p w14:paraId="52EF8C9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代理服务费</w:t>
            </w:r>
          </w:p>
        </w:tc>
        <w:tc>
          <w:tcPr>
            <w:tcW w:w="5861" w:type="dxa"/>
            <w:vAlign w:val="top"/>
          </w:tcPr>
          <w:p w14:paraId="61BC6004">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收取标准：招标代理服务收费参照豫招协[2023]002号河南省招标投标协会关于印发《河南省招标代理服务收费指导意见》规定的收费标准的收取中标服务费。招标代理服务收费按差额定率累进法计算。代理服务费计算方式及金额在发布</w:t>
            </w:r>
            <w:r>
              <w:rPr>
                <w:rFonts w:hint="eastAsia" w:asciiTheme="majorEastAsia" w:hAnsiTheme="majorEastAsia" w:eastAsiaTheme="majorEastAsia" w:cstheme="majorEastAsia"/>
                <w:color w:val="auto"/>
                <w:sz w:val="24"/>
                <w:szCs w:val="24"/>
                <w:highlight w:val="none"/>
                <w:lang w:eastAsia="zh-CN"/>
              </w:rPr>
              <w:t>成交</w:t>
            </w:r>
            <w:r>
              <w:rPr>
                <w:rFonts w:hint="eastAsia" w:asciiTheme="majorEastAsia" w:hAnsiTheme="majorEastAsia" w:eastAsiaTheme="majorEastAsia" w:cstheme="majorEastAsia"/>
                <w:color w:val="auto"/>
                <w:sz w:val="24"/>
                <w:szCs w:val="24"/>
                <w:highlight w:val="none"/>
              </w:rPr>
              <w:t>公告时一并公布。</w:t>
            </w:r>
          </w:p>
        </w:tc>
      </w:tr>
      <w:tr w14:paraId="16CD0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12CB201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p>
          <w:p w14:paraId="273B681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rPr>
            </w:pPr>
            <w:r>
              <w:rPr>
                <w:rFonts w:hint="eastAsia" w:asciiTheme="majorEastAsia" w:hAnsiTheme="majorEastAsia" w:eastAsiaTheme="majorEastAsia" w:cstheme="majorEastAsia"/>
                <w:color w:val="auto"/>
                <w:sz w:val="24"/>
                <w:szCs w:val="24"/>
              </w:rPr>
              <w:t>3.</w:t>
            </w:r>
            <w:r>
              <w:rPr>
                <w:rFonts w:hint="eastAsia" w:asciiTheme="majorEastAsia" w:hAnsiTheme="majorEastAsia" w:eastAsiaTheme="majorEastAsia" w:cstheme="majorEastAsia"/>
                <w:color w:val="auto"/>
                <w:sz w:val="24"/>
                <w:szCs w:val="24"/>
                <w:lang w:val="en-US"/>
              </w:rPr>
              <w:t>5</w:t>
            </w:r>
          </w:p>
        </w:tc>
        <w:tc>
          <w:tcPr>
            <w:tcW w:w="2359" w:type="dxa"/>
            <w:vAlign w:val="center"/>
          </w:tcPr>
          <w:p w14:paraId="3C0C8DC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highlight w:val="none"/>
              </w:rPr>
            </w:pPr>
          </w:p>
          <w:p w14:paraId="6B999CCD">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采购预算价</w:t>
            </w:r>
          </w:p>
        </w:tc>
        <w:tc>
          <w:tcPr>
            <w:tcW w:w="5861" w:type="dxa"/>
            <w:vAlign w:val="top"/>
          </w:tcPr>
          <w:p w14:paraId="35C5D186">
            <w:pPr>
              <w:pStyle w:val="25"/>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b/>
                <w:bCs/>
                <w:color w:val="auto"/>
                <w:sz w:val="24"/>
                <w:szCs w:val="24"/>
                <w:highlight w:val="none"/>
                <w:lang w:val="en-US" w:eastAsia="zh-CN"/>
              </w:rPr>
              <w:t>本项目的招标控制价为560000.00元</w:t>
            </w:r>
          </w:p>
          <w:p w14:paraId="01DF952C">
            <w:pPr>
              <w:pStyle w:val="25"/>
              <w:keepNext w:val="0"/>
              <w:keepLines w:val="0"/>
              <w:pageBreakBefore w:val="0"/>
              <w:widowControl w:val="0"/>
              <w:kinsoku/>
              <w:wordWrap w:val="0"/>
              <w:overflowPunct/>
              <w:topLinePunct w:val="0"/>
              <w:bidi w:val="0"/>
              <w:snapToGrid/>
              <w:spacing w:line="520" w:lineRule="exact"/>
              <w:ind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凡磋商响应供应商磋商报价超出“采购预算价”的，该磋商响应供应商的磋商响应文件应作无效标处理。</w:t>
            </w:r>
          </w:p>
        </w:tc>
      </w:tr>
      <w:tr w14:paraId="473E4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4693EA0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3.6</w:t>
            </w:r>
          </w:p>
        </w:tc>
        <w:tc>
          <w:tcPr>
            <w:tcW w:w="2359" w:type="dxa"/>
            <w:vAlign w:val="center"/>
          </w:tcPr>
          <w:p w14:paraId="32497C7D">
            <w:pPr>
              <w:keepNext w:val="0"/>
              <w:keepLines w:val="0"/>
              <w:pageBreakBefore w:val="0"/>
              <w:widowControl w:val="0"/>
              <w:kinsoku/>
              <w:wordWrap w:val="0"/>
              <w:overflowPunct/>
              <w:topLinePunct w:val="0"/>
              <w:bidi w:val="0"/>
              <w:adjustRightInd w:val="0"/>
              <w:snapToGrid/>
              <w:spacing w:line="520" w:lineRule="exact"/>
              <w:ind w:left="0" w:right="0"/>
              <w:jc w:val="center"/>
              <w:textAlignment w:val="baseline"/>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bidi="zh-CN"/>
              </w:rPr>
              <w:t>采购标的所属行业</w:t>
            </w:r>
          </w:p>
        </w:tc>
        <w:tc>
          <w:tcPr>
            <w:tcW w:w="5861" w:type="dxa"/>
            <w:vAlign w:val="center"/>
          </w:tcPr>
          <w:p w14:paraId="7E09FAF2">
            <w:pPr>
              <w:keepNext w:val="0"/>
              <w:keepLines w:val="0"/>
              <w:pageBreakBefore w:val="0"/>
              <w:widowControl w:val="0"/>
              <w:kinsoku/>
              <w:wordWrap w:val="0"/>
              <w:overflowPunct/>
              <w:topLinePunct w:val="0"/>
              <w:bidi w:val="0"/>
              <w:adjustRightInd w:val="0"/>
              <w:snapToGrid/>
              <w:spacing w:line="520" w:lineRule="exact"/>
              <w:ind w:right="0"/>
              <w:jc w:val="left"/>
              <w:textAlignment w:val="baseline"/>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《工业和信息化部、国家统计局、国家发展和改革委员会、财政部关于印发&lt;中小企业划型标准规定的通知&gt;（工信部联企业〔2011〕300号）规定的划分标准为依据。</w:t>
            </w:r>
          </w:p>
        </w:tc>
      </w:tr>
      <w:tr w14:paraId="1E8AF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4CA19D6F">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p>
          <w:p w14:paraId="4DAFD643">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b/>
                <w:color w:val="auto"/>
                <w:sz w:val="24"/>
                <w:szCs w:val="24"/>
              </w:rPr>
            </w:pPr>
          </w:p>
          <w:p w14:paraId="24E2BBE0">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rPr>
            </w:pPr>
          </w:p>
          <w:p w14:paraId="728803C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rPr>
              <w:t>3.</w:t>
            </w:r>
            <w:r>
              <w:rPr>
                <w:rFonts w:hint="eastAsia" w:asciiTheme="majorEastAsia" w:hAnsiTheme="majorEastAsia" w:eastAsiaTheme="majorEastAsia" w:cstheme="majorEastAsia"/>
                <w:color w:val="auto"/>
                <w:sz w:val="24"/>
                <w:szCs w:val="24"/>
                <w:lang w:val="en-US" w:eastAsia="zh-CN"/>
              </w:rPr>
              <w:t>7</w:t>
            </w:r>
          </w:p>
        </w:tc>
        <w:tc>
          <w:tcPr>
            <w:tcW w:w="2359" w:type="dxa"/>
            <w:vAlign w:val="center"/>
          </w:tcPr>
          <w:p w14:paraId="6A73B30C">
            <w:pPr>
              <w:keepNext w:val="0"/>
              <w:keepLines w:val="0"/>
              <w:pageBreakBefore w:val="0"/>
              <w:widowControl w:val="0"/>
              <w:kinsoku/>
              <w:wordWrap w:val="0"/>
              <w:overflowPunct/>
              <w:topLinePunct w:val="0"/>
              <w:bidi w:val="0"/>
              <w:adjustRightInd w:val="0"/>
              <w:snapToGrid/>
              <w:spacing w:line="520" w:lineRule="exact"/>
              <w:ind w:left="0" w:right="0"/>
              <w:jc w:val="center"/>
              <w:textAlignment w:val="baseline"/>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解释权</w:t>
            </w:r>
          </w:p>
        </w:tc>
        <w:tc>
          <w:tcPr>
            <w:tcW w:w="5861" w:type="dxa"/>
            <w:vAlign w:val="center"/>
          </w:tcPr>
          <w:p w14:paraId="7FE7434E">
            <w:pPr>
              <w:keepNext w:val="0"/>
              <w:keepLines w:val="0"/>
              <w:pageBreakBefore w:val="0"/>
              <w:widowControl w:val="0"/>
              <w:kinsoku/>
              <w:wordWrap w:val="0"/>
              <w:overflowPunct/>
              <w:topLinePunct w:val="0"/>
              <w:bidi w:val="0"/>
              <w:adjustRightInd w:val="0"/>
              <w:snapToGrid/>
              <w:spacing w:line="520" w:lineRule="exact"/>
              <w:ind w:right="0"/>
              <w:jc w:val="left"/>
              <w:textAlignment w:val="baseline"/>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构成本磋商文件的各个组成文件应互为解释，互为说明；如有不明确或不一致，按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49EBA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85" w:type="dxa"/>
            <w:vAlign w:val="center"/>
          </w:tcPr>
          <w:p w14:paraId="0587E7E5">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3.</w:t>
            </w:r>
            <w:r>
              <w:rPr>
                <w:rFonts w:hint="eastAsia" w:asciiTheme="majorEastAsia" w:hAnsiTheme="majorEastAsia" w:eastAsiaTheme="majorEastAsia" w:cstheme="majorEastAsia"/>
                <w:color w:val="auto"/>
                <w:sz w:val="24"/>
                <w:szCs w:val="24"/>
                <w:lang w:val="en-US" w:eastAsia="zh-CN"/>
              </w:rPr>
              <w:t>8</w:t>
            </w:r>
          </w:p>
        </w:tc>
        <w:tc>
          <w:tcPr>
            <w:tcW w:w="2359" w:type="dxa"/>
            <w:vAlign w:val="center"/>
          </w:tcPr>
          <w:p w14:paraId="6D7CE91E">
            <w:pPr>
              <w:keepNext w:val="0"/>
              <w:keepLines w:val="0"/>
              <w:pageBreakBefore w:val="0"/>
              <w:widowControl w:val="0"/>
              <w:kinsoku/>
              <w:wordWrap w:val="0"/>
              <w:overflowPunct/>
              <w:topLinePunct w:val="0"/>
              <w:bidi w:val="0"/>
              <w:adjustRightInd w:val="0"/>
              <w:snapToGrid/>
              <w:spacing w:line="520" w:lineRule="exact"/>
              <w:ind w:right="0"/>
              <w:jc w:val="center"/>
              <w:textAlignment w:val="baseline"/>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报价</w:t>
            </w:r>
          </w:p>
        </w:tc>
        <w:tc>
          <w:tcPr>
            <w:tcW w:w="5861" w:type="dxa"/>
            <w:vAlign w:val="center"/>
          </w:tcPr>
          <w:p w14:paraId="0C18ABB3">
            <w:pPr>
              <w:pStyle w:val="26"/>
              <w:keepNext w:val="0"/>
              <w:keepLines w:val="0"/>
              <w:pageBreakBefore w:val="0"/>
              <w:widowControl w:val="0"/>
              <w:numPr>
                <w:ilvl w:val="0"/>
                <w:numId w:val="1"/>
              </w:numPr>
              <w:kinsoku/>
              <w:wordWrap w:val="0"/>
              <w:overflowPunct/>
              <w:topLinePunct w:val="0"/>
              <w:bidi w:val="0"/>
              <w:snapToGrid/>
              <w:spacing w:before="0" w:line="520" w:lineRule="exact"/>
              <w:ind w:left="0" w:right="0"/>
              <w:jc w:val="left"/>
              <w:outlineLvl w:val="0"/>
              <w:rPr>
                <w:rFonts w:hint="eastAsia" w:asciiTheme="majorEastAsia" w:hAnsiTheme="majorEastAsia" w:eastAsiaTheme="majorEastAsia" w:cstheme="majorEastAsia"/>
                <w:b w:val="0"/>
                <w:bCs w:val="0"/>
                <w:color w:val="auto"/>
                <w:kern w:val="2"/>
                <w:sz w:val="24"/>
                <w:szCs w:val="24"/>
                <w:lang w:val="en-US"/>
              </w:rPr>
            </w:pPr>
            <w:bookmarkStart w:id="12" w:name="_Toc6793"/>
            <w:r>
              <w:rPr>
                <w:rFonts w:hint="eastAsia" w:asciiTheme="majorEastAsia" w:hAnsiTheme="majorEastAsia" w:eastAsiaTheme="majorEastAsia" w:cstheme="majorEastAsia"/>
                <w:b w:val="0"/>
                <w:bCs w:val="0"/>
                <w:color w:val="auto"/>
                <w:kern w:val="2"/>
                <w:sz w:val="24"/>
                <w:szCs w:val="24"/>
                <w:lang w:val="en-US"/>
              </w:rPr>
              <w:t>本次竞争性磋商采取两轮报价：第一轮报价直接填报于磋商响应文件中，综合评标基本完毕后进行第二轮报价。</w:t>
            </w:r>
            <w:bookmarkEnd w:id="12"/>
          </w:p>
          <w:p w14:paraId="0464B596">
            <w:pPr>
              <w:pStyle w:val="26"/>
              <w:keepNext w:val="0"/>
              <w:keepLines w:val="0"/>
              <w:pageBreakBefore w:val="0"/>
              <w:widowControl w:val="0"/>
              <w:numPr>
                <w:ilvl w:val="0"/>
                <w:numId w:val="1"/>
              </w:numPr>
              <w:kinsoku/>
              <w:wordWrap w:val="0"/>
              <w:overflowPunct/>
              <w:topLinePunct w:val="0"/>
              <w:bidi w:val="0"/>
              <w:snapToGrid/>
              <w:spacing w:before="0" w:line="520" w:lineRule="exact"/>
              <w:ind w:left="0" w:right="0"/>
              <w:jc w:val="left"/>
              <w:outlineLvl w:val="0"/>
              <w:rPr>
                <w:rFonts w:hint="eastAsia" w:asciiTheme="majorEastAsia" w:hAnsiTheme="majorEastAsia" w:eastAsiaTheme="majorEastAsia" w:cstheme="majorEastAsia"/>
                <w:b w:val="0"/>
                <w:bCs w:val="0"/>
                <w:color w:val="auto"/>
                <w:sz w:val="24"/>
                <w:szCs w:val="24"/>
              </w:rPr>
            </w:pPr>
            <w:bookmarkStart w:id="13" w:name="_Toc14229"/>
            <w:r>
              <w:rPr>
                <w:rFonts w:hint="eastAsia" w:asciiTheme="majorEastAsia" w:hAnsiTheme="majorEastAsia" w:eastAsiaTheme="majorEastAsia" w:cstheme="majorEastAsia"/>
                <w:b w:val="0"/>
                <w:bCs w:val="0"/>
                <w:color w:val="auto"/>
                <w:kern w:val="2"/>
                <w:sz w:val="24"/>
                <w:szCs w:val="24"/>
                <w:lang w:val="en-US"/>
              </w:rPr>
              <w:t>供应商所报总价包含此项目中</w:t>
            </w:r>
            <w:r>
              <w:rPr>
                <w:rFonts w:hint="eastAsia" w:asciiTheme="majorEastAsia" w:hAnsiTheme="majorEastAsia" w:eastAsiaTheme="majorEastAsia" w:cstheme="majorEastAsia"/>
                <w:b w:val="0"/>
                <w:bCs w:val="0"/>
                <w:color w:val="auto"/>
                <w:kern w:val="2"/>
                <w:sz w:val="24"/>
                <w:szCs w:val="24"/>
                <w:lang w:val="en-US" w:eastAsia="zh-CN"/>
              </w:rPr>
              <w:t>所有服务内容</w:t>
            </w:r>
            <w:r>
              <w:rPr>
                <w:rFonts w:hint="eastAsia" w:asciiTheme="majorEastAsia" w:hAnsiTheme="majorEastAsia" w:eastAsiaTheme="majorEastAsia" w:cstheme="majorEastAsia"/>
                <w:b w:val="0"/>
                <w:bCs w:val="0"/>
                <w:color w:val="auto"/>
                <w:kern w:val="2"/>
                <w:sz w:val="24"/>
                <w:szCs w:val="24"/>
                <w:lang w:val="en-US"/>
              </w:rPr>
              <w:t>、税金、等所有费用。</w:t>
            </w:r>
            <w:bookmarkEnd w:id="13"/>
          </w:p>
          <w:p w14:paraId="632BA32E">
            <w:pPr>
              <w:pStyle w:val="26"/>
              <w:keepNext w:val="0"/>
              <w:keepLines w:val="0"/>
              <w:pageBreakBefore w:val="0"/>
              <w:widowControl w:val="0"/>
              <w:numPr>
                <w:ilvl w:val="0"/>
                <w:numId w:val="1"/>
              </w:numPr>
              <w:kinsoku/>
              <w:wordWrap w:val="0"/>
              <w:overflowPunct/>
              <w:topLinePunct w:val="0"/>
              <w:bidi w:val="0"/>
              <w:snapToGrid/>
              <w:spacing w:before="0" w:line="520" w:lineRule="exact"/>
              <w:ind w:left="0" w:right="0"/>
              <w:jc w:val="left"/>
              <w:outlineLvl w:val="0"/>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lang w:val="en-US" w:eastAsia="zh-CN"/>
              </w:rPr>
              <w:t>供应商需自行刷新系统准备第二轮报价，代理机构不再通知。</w:t>
            </w:r>
          </w:p>
        </w:tc>
      </w:tr>
      <w:tr w14:paraId="4E447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5" w:hRule="atLeast"/>
        </w:trPr>
        <w:tc>
          <w:tcPr>
            <w:tcW w:w="885" w:type="dxa"/>
            <w:vAlign w:val="center"/>
          </w:tcPr>
          <w:p w14:paraId="79EBE65A">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rPr>
              <w:t>3.</w:t>
            </w:r>
            <w:r>
              <w:rPr>
                <w:rFonts w:hint="eastAsia" w:asciiTheme="majorEastAsia" w:hAnsiTheme="majorEastAsia" w:eastAsiaTheme="majorEastAsia" w:cstheme="majorEastAsia"/>
                <w:color w:val="auto"/>
                <w:sz w:val="24"/>
                <w:szCs w:val="24"/>
                <w:lang w:val="en-US" w:eastAsia="zh-CN"/>
              </w:rPr>
              <w:t>9</w:t>
            </w:r>
          </w:p>
        </w:tc>
        <w:tc>
          <w:tcPr>
            <w:tcW w:w="2359" w:type="dxa"/>
            <w:vAlign w:val="center"/>
          </w:tcPr>
          <w:p w14:paraId="21DD0BBE">
            <w:pPr>
              <w:keepNext w:val="0"/>
              <w:keepLines w:val="0"/>
              <w:pageBreakBefore w:val="0"/>
              <w:widowControl w:val="0"/>
              <w:kinsoku/>
              <w:wordWrap w:val="0"/>
              <w:overflowPunct/>
              <w:topLinePunct w:val="0"/>
              <w:autoSpaceDE w:val="0"/>
              <w:autoSpaceDN w:val="0"/>
              <w:bidi w:val="0"/>
              <w:adjustRightInd w:val="0"/>
              <w:snapToGrid/>
              <w:spacing w:line="520" w:lineRule="exact"/>
              <w:ind w:left="0" w:right="0"/>
              <w:jc w:val="center"/>
              <w:rPr>
                <w:rFonts w:hint="eastAsia" w:asciiTheme="majorEastAsia" w:hAnsiTheme="majorEastAsia" w:eastAsiaTheme="majorEastAsia" w:cstheme="majorEastAsia"/>
                <w:b w:val="0"/>
                <w:bCs w:val="0"/>
                <w:color w:val="auto"/>
                <w:sz w:val="24"/>
                <w:szCs w:val="24"/>
              </w:rPr>
            </w:pPr>
            <w:r>
              <w:rPr>
                <w:rFonts w:hint="eastAsia" w:asciiTheme="majorEastAsia" w:hAnsiTheme="majorEastAsia" w:eastAsiaTheme="majorEastAsia" w:cstheme="majorEastAsia"/>
                <w:b w:val="0"/>
                <w:bCs w:val="0"/>
                <w:color w:val="auto"/>
                <w:sz w:val="24"/>
                <w:szCs w:val="24"/>
              </w:rPr>
              <w:t>磋商响应文件副本份数及其他要求</w:t>
            </w:r>
          </w:p>
        </w:tc>
        <w:tc>
          <w:tcPr>
            <w:tcW w:w="5861" w:type="dxa"/>
            <w:vAlign w:val="center"/>
          </w:tcPr>
          <w:p w14:paraId="745D0C2B">
            <w:pPr>
              <w:pStyle w:val="26"/>
              <w:keepNext w:val="0"/>
              <w:keepLines w:val="0"/>
              <w:pageBreakBefore w:val="0"/>
              <w:widowControl w:val="0"/>
              <w:numPr>
                <w:ilvl w:val="0"/>
                <w:numId w:val="0"/>
              </w:numPr>
              <w:kinsoku/>
              <w:wordWrap w:val="0"/>
              <w:overflowPunct/>
              <w:topLinePunct w:val="0"/>
              <w:bidi w:val="0"/>
              <w:snapToGrid/>
              <w:spacing w:before="0" w:line="520" w:lineRule="exact"/>
              <w:ind w:left="0" w:right="0"/>
              <w:jc w:val="left"/>
              <w:outlineLvl w:val="0"/>
              <w:rPr>
                <w:rFonts w:hint="eastAsia" w:asciiTheme="majorEastAsia" w:hAnsiTheme="majorEastAsia" w:eastAsiaTheme="majorEastAsia" w:cstheme="majorEastAsia"/>
                <w:b w:val="0"/>
                <w:bCs w:val="0"/>
                <w:color w:val="auto"/>
                <w:kern w:val="2"/>
                <w:sz w:val="24"/>
                <w:szCs w:val="24"/>
                <w:lang w:val="en-US"/>
              </w:rPr>
            </w:pPr>
            <w:bookmarkStart w:id="14" w:name="_Toc5535"/>
            <w:r>
              <w:rPr>
                <w:rFonts w:hint="eastAsia" w:asciiTheme="majorEastAsia" w:hAnsiTheme="majorEastAsia" w:eastAsiaTheme="majorEastAsia" w:cstheme="majorEastAsia"/>
                <w:b w:val="0"/>
                <w:bCs w:val="0"/>
                <w:color w:val="auto"/>
                <w:kern w:val="2"/>
                <w:sz w:val="24"/>
                <w:szCs w:val="24"/>
                <w:lang w:val="en-US"/>
              </w:rPr>
              <w:t>1、本项目采用电子招标，根据三门峡市公共资源交易中心系统编制响应文件，供应商需用CA在电子平台上传电子响应文件；</w:t>
            </w:r>
            <w:bookmarkEnd w:id="14"/>
          </w:p>
          <w:p w14:paraId="685AA931">
            <w:pPr>
              <w:pStyle w:val="26"/>
              <w:keepNext w:val="0"/>
              <w:keepLines w:val="0"/>
              <w:pageBreakBefore w:val="0"/>
              <w:widowControl w:val="0"/>
              <w:numPr>
                <w:ilvl w:val="0"/>
                <w:numId w:val="0"/>
              </w:numPr>
              <w:kinsoku/>
              <w:wordWrap w:val="0"/>
              <w:overflowPunct/>
              <w:topLinePunct w:val="0"/>
              <w:bidi w:val="0"/>
              <w:snapToGrid/>
              <w:spacing w:before="0" w:line="520" w:lineRule="exact"/>
              <w:ind w:left="0" w:right="0"/>
              <w:jc w:val="left"/>
              <w:outlineLvl w:val="0"/>
              <w:rPr>
                <w:rFonts w:hint="eastAsia" w:asciiTheme="majorEastAsia" w:hAnsiTheme="majorEastAsia" w:eastAsiaTheme="majorEastAsia" w:cstheme="majorEastAsia"/>
                <w:b w:val="0"/>
                <w:bCs w:val="0"/>
                <w:color w:val="auto"/>
                <w:sz w:val="24"/>
                <w:szCs w:val="24"/>
              </w:rPr>
            </w:pPr>
            <w:bookmarkStart w:id="15" w:name="_Toc30460"/>
            <w:r>
              <w:rPr>
                <w:rFonts w:hint="eastAsia" w:asciiTheme="majorEastAsia" w:hAnsiTheme="majorEastAsia" w:eastAsiaTheme="majorEastAsia" w:cstheme="majorEastAsia"/>
                <w:b w:val="0"/>
                <w:bCs w:val="0"/>
                <w:color w:val="auto"/>
                <w:kern w:val="2"/>
                <w:sz w:val="24"/>
                <w:szCs w:val="24"/>
                <w:lang w:val="en-US"/>
              </w:rPr>
              <w:t>2、开标时不再递交纸质响应文件，中标单位领取成交通知书时提交</w:t>
            </w:r>
            <w:r>
              <w:rPr>
                <w:rFonts w:hint="eastAsia" w:asciiTheme="majorEastAsia" w:hAnsiTheme="majorEastAsia" w:eastAsiaTheme="majorEastAsia" w:cstheme="majorEastAsia"/>
                <w:b w:val="0"/>
                <w:bCs w:val="0"/>
                <w:color w:val="auto"/>
                <w:kern w:val="2"/>
                <w:sz w:val="24"/>
                <w:szCs w:val="24"/>
                <w:lang w:val="en-US" w:eastAsia="zh-CN"/>
              </w:rPr>
              <w:t>贰</w:t>
            </w:r>
            <w:r>
              <w:rPr>
                <w:rFonts w:hint="eastAsia" w:asciiTheme="majorEastAsia" w:hAnsiTheme="majorEastAsia" w:eastAsiaTheme="majorEastAsia" w:cstheme="majorEastAsia"/>
                <w:b w:val="0"/>
                <w:bCs w:val="0"/>
                <w:color w:val="auto"/>
                <w:kern w:val="2"/>
                <w:sz w:val="24"/>
                <w:szCs w:val="24"/>
                <w:lang w:val="en-US"/>
              </w:rPr>
              <w:t>份纸质响应文件，响应文件应按以下要求装订：胶装（不得采用活页装订），应有目录，并逐页标注连续页码，需加盖公章。</w:t>
            </w:r>
            <w:bookmarkEnd w:id="15"/>
          </w:p>
        </w:tc>
      </w:tr>
      <w:tr w14:paraId="7C8BC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85" w:type="dxa"/>
            <w:vAlign w:val="center"/>
          </w:tcPr>
          <w:p w14:paraId="1C635229">
            <w:pPr>
              <w:pStyle w:val="25"/>
              <w:keepNext w:val="0"/>
              <w:keepLines w:val="0"/>
              <w:pageBreakBefore w:val="0"/>
              <w:widowControl w:val="0"/>
              <w:kinsoku/>
              <w:wordWrap w:val="0"/>
              <w:overflowPunct/>
              <w:topLinePunct w:val="0"/>
              <w:bidi w:val="0"/>
              <w:snapToGrid/>
              <w:spacing w:line="520" w:lineRule="exact"/>
              <w:ind w:left="0" w:right="0"/>
              <w:jc w:val="center"/>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4.0</w:t>
            </w:r>
          </w:p>
        </w:tc>
        <w:tc>
          <w:tcPr>
            <w:tcW w:w="2359" w:type="dxa"/>
            <w:vAlign w:val="center"/>
          </w:tcPr>
          <w:p w14:paraId="5F515FE9">
            <w:pPr>
              <w:keepNext w:val="0"/>
              <w:keepLines w:val="0"/>
              <w:pageBreakBefore w:val="0"/>
              <w:widowControl w:val="0"/>
              <w:kinsoku/>
              <w:wordWrap w:val="0"/>
              <w:overflowPunct/>
              <w:topLinePunct w:val="0"/>
              <w:autoSpaceDE w:val="0"/>
              <w:autoSpaceDN w:val="0"/>
              <w:bidi w:val="0"/>
              <w:adjustRightInd w:val="0"/>
              <w:snapToGrid/>
              <w:spacing w:line="520" w:lineRule="exact"/>
              <w:ind w:left="0" w:right="0"/>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电子化交易</w:t>
            </w:r>
          </w:p>
          <w:p w14:paraId="00B6D519">
            <w:pPr>
              <w:keepNext w:val="0"/>
              <w:keepLines w:val="0"/>
              <w:pageBreakBefore w:val="0"/>
              <w:widowControl w:val="0"/>
              <w:kinsoku/>
              <w:wordWrap w:val="0"/>
              <w:overflowPunct/>
              <w:topLinePunct w:val="0"/>
              <w:autoSpaceDE w:val="0"/>
              <w:autoSpaceDN w:val="0"/>
              <w:bidi w:val="0"/>
              <w:adjustRightInd w:val="0"/>
              <w:snapToGrid/>
              <w:spacing w:line="520" w:lineRule="exact"/>
              <w:ind w:left="0" w:right="0"/>
              <w:jc w:val="center"/>
              <w:rPr>
                <w:rFonts w:hint="eastAsia" w:asciiTheme="majorEastAsia" w:hAnsiTheme="majorEastAsia" w:eastAsiaTheme="majorEastAsia" w:cstheme="majorEastAsia"/>
                <w:color w:val="auto"/>
                <w:kern w:val="0"/>
                <w:sz w:val="24"/>
                <w:szCs w:val="24"/>
                <w:lang w:val="zh-CN" w:eastAsia="zh-CN" w:bidi="zh-CN"/>
              </w:rPr>
            </w:pPr>
            <w:r>
              <w:rPr>
                <w:rFonts w:hint="eastAsia" w:asciiTheme="majorEastAsia" w:hAnsiTheme="majorEastAsia" w:eastAsiaTheme="majorEastAsia" w:cstheme="majorEastAsia"/>
                <w:color w:val="auto"/>
                <w:sz w:val="24"/>
                <w:szCs w:val="24"/>
              </w:rPr>
              <w:t>注意事项</w:t>
            </w:r>
          </w:p>
        </w:tc>
        <w:tc>
          <w:tcPr>
            <w:tcW w:w="5861" w:type="dxa"/>
            <w:vAlign w:val="center"/>
          </w:tcPr>
          <w:p w14:paraId="022222A2">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本项目为电子化交易项目，磋商响应文件是供应商、供应商（以下简称“供应商”）通过中心磋商响应文件制作系统制作，并经过电子签章和加密后生成的电子版磋商响应文件。供应商投标时，不须提交纸质文件资料。</w:t>
            </w:r>
          </w:p>
          <w:p w14:paraId="29A19B71">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电子化磋商响应文件具体制作教材请供应商通过CA证书登录三门峡市公共资源电子化交易系统在 “交易智库”中下载操作流程</w:t>
            </w:r>
          </w:p>
          <w:p w14:paraId="6B7A7B6C">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温馨提示：本项目为电子化、无纸化交易项目，投标时不接受任何纸质资料，为保证您能投标成功，请需仔细阅读以下条款。</w:t>
            </w:r>
          </w:p>
          <w:p w14:paraId="0B90A0F6">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一、电子化投标</w:t>
            </w:r>
          </w:p>
          <w:p w14:paraId="78559980">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（一）电子化磋商响应文件的签章</w:t>
            </w:r>
          </w:p>
          <w:p w14:paraId="31C3EA82">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1、供应商在生成电子化磋商响应文件后，应对电子化磋商响应文件进行签章，未进行签章的视为无效投标。</w:t>
            </w:r>
          </w:p>
          <w:p w14:paraId="6A7BB100">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磋商响应文件中要求法定代表人或授权委托人签字或盖章的，供应商在进行电子化磋商响应文件签章时，以签盖法定代表人签章为准。电子化磋商响应文件具体制作教材请供应商通过CA证书登录三门峡市公共资源电子化交易系统在右上角“交易智库”中查看。电子化磋商响应文件工具请点击</w:t>
            </w:r>
            <w:r>
              <w:rPr>
                <w:rFonts w:hint="eastAsia" w:ascii="宋体" w:hAnsi="宋体" w:eastAsia="宋体" w:cs="宋体"/>
                <w:sz w:val="24"/>
                <w:szCs w:val="21"/>
              </w:rPr>
              <w:t>http://gzjy.smx.gov.cn/fwzn/004003/20200330/0de4b849-7eb7-4f4e-9a30-ae8b6a961d7f.html</w:t>
            </w:r>
            <w:r>
              <w:rPr>
                <w:rFonts w:hint="eastAsia" w:asciiTheme="majorEastAsia" w:hAnsiTheme="majorEastAsia" w:eastAsiaTheme="majorEastAsia" w:cstheme="majorEastAsia"/>
                <w:color w:val="auto"/>
                <w:sz w:val="24"/>
                <w:szCs w:val="24"/>
                <w:highlight w:val="none"/>
              </w:rPr>
              <w:t>进行下载。</w:t>
            </w:r>
          </w:p>
          <w:p w14:paraId="562173C3">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（二）电子化磋商响应文件的格式及上传投标</w:t>
            </w:r>
          </w:p>
          <w:p w14:paraId="66208451">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1、供应商所上传的电子化磋商响应文件，应是通过中心磋商响应文件制作系统制作的（磋商响应文件制作工具下载地址：</w:t>
            </w:r>
            <w:r>
              <w:rPr>
                <w:rFonts w:hint="eastAsia" w:ascii="宋体" w:hAnsi="宋体" w:eastAsia="宋体" w:cs="宋体"/>
                <w:sz w:val="24"/>
                <w:szCs w:val="21"/>
              </w:rPr>
              <w:t>http://gzjy.smx.gov.cn/fwzn/004003/20200330/0de4b849-7eb7-4f4e-9a30-ae8b6a961d7f.html</w:t>
            </w:r>
            <w:r>
              <w:rPr>
                <w:rFonts w:hint="eastAsia" w:asciiTheme="majorEastAsia" w:hAnsiTheme="majorEastAsia" w:eastAsiaTheme="majorEastAsia" w:cstheme="majorEastAsia"/>
                <w:color w:val="auto"/>
                <w:sz w:val="24"/>
                <w:szCs w:val="24"/>
                <w:highlight w:val="none"/>
              </w:rPr>
              <w:t>），经过签章和加密后生成的电子版磋商响应文件。其中包含用于磋商响应文件上传的主文件（后缀为.smxtf）和用于应急补救的磋商响应文件备份文件（后缀为.nsmxtf）。备份文件主要用于电子化开标出现技术问题后的补救，请供应商随身携带。</w:t>
            </w:r>
          </w:p>
          <w:p w14:paraId="452E6B72">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注：供应商投报多个标段的，需要每个标段单独制作电子磋商响应文件。</w:t>
            </w:r>
          </w:p>
          <w:p w14:paraId="3E4027BB">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2、电子化磋商响应文件应在投标截止时间前成功上传至三门峡市公共资源电子化交易系统。至投标截止时间止，仍未上传成功的电子化磋商响应文件将不予接收。</w:t>
            </w:r>
          </w:p>
          <w:p w14:paraId="3B272C3D">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6E3B0767">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宋体" w:hAnsi="宋体" w:eastAsia="宋体" w:cs="Times New Roman"/>
                <w:kern w:val="0"/>
                <w:sz w:val="24"/>
                <w:szCs w:val="24"/>
              </w:rPr>
            </w:pPr>
            <w:r>
              <w:rPr>
                <w:rFonts w:hint="eastAsia" w:asciiTheme="majorEastAsia" w:hAnsiTheme="majorEastAsia" w:eastAsiaTheme="majorEastAsia" w:cstheme="majorEastAsia"/>
                <w:color w:val="auto"/>
                <w:sz w:val="24"/>
                <w:szCs w:val="24"/>
                <w:highlight w:val="none"/>
              </w:rPr>
              <w:t>技术联系电话：</w:t>
            </w:r>
            <w:r>
              <w:rPr>
                <w:rFonts w:hint="eastAsia" w:ascii="宋体" w:hAnsi="宋体" w:eastAsia="宋体" w:cs="Times New Roman"/>
                <w:kern w:val="0"/>
                <w:sz w:val="24"/>
                <w:szCs w:val="24"/>
              </w:rPr>
              <w:t>0398-3117871</w:t>
            </w:r>
          </w:p>
          <w:p w14:paraId="1F3B418F">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（三）电子化项目开标、解密、唱标、评标</w:t>
            </w:r>
          </w:p>
          <w:p w14:paraId="04CFB591">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73659F9F">
            <w:pPr>
              <w:keepNext w:val="0"/>
              <w:keepLines w:val="0"/>
              <w:pageBreakBefore w:val="0"/>
              <w:widowControl w:val="0"/>
              <w:kinsoku/>
              <w:wordWrap w:val="0"/>
              <w:overflowPunct/>
              <w:topLinePunct w:val="0"/>
              <w:autoSpaceDE/>
              <w:autoSpaceDN/>
              <w:bidi w:val="0"/>
              <w:adjustRightInd/>
              <w:snapToGrid/>
              <w:spacing w:line="520" w:lineRule="exact"/>
              <w:ind w:left="0" w:right="0"/>
              <w:jc w:val="left"/>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2、电子化磋商响应文件采用一次加密方式。开标时，由供应商使用CA 证书，在规定时间内对其电子化磋商响应文件进行解密。每位供应商的解密时间为开标时间起30分钟内，如在规定时间内未完成解密的，其磋商响应文件不予开标、唱标。</w:t>
            </w:r>
          </w:p>
          <w:p w14:paraId="396252E6">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3、电子化磋商响应文件解密异常的处理</w:t>
            </w:r>
          </w:p>
          <w:p w14:paraId="6035C5D5">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如出现供应商的电子磋商响应文件无法解密等异常情况，磋商响应文件异常，按以下步骤进行处理：</w:t>
            </w:r>
          </w:p>
          <w:p w14:paraId="51A1FC04">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（1）首先由技术人员进行问题排查。</w:t>
            </w:r>
          </w:p>
          <w:p w14:paraId="30E26DB3">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（2）经技术人员排查后，是供应商文件自身问题导致磋商响应文件无法解密的，该磋商响应文件将不予接收、解密和唱标。开标会议继续进行。</w:t>
            </w:r>
          </w:p>
          <w:p w14:paraId="30DF1718">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402A2BF6">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4、待所有供应商磋商响应文件解密完成后，由中介服务机构操作，对所有已解密磋商响应文件进行唱标。</w:t>
            </w:r>
          </w:p>
          <w:p w14:paraId="0B9A8BA7">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362C1111">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5、</w:t>
            </w:r>
            <w:r>
              <w:rPr>
                <w:rFonts w:hint="eastAsia" w:asciiTheme="majorEastAsia" w:hAnsiTheme="majorEastAsia" w:eastAsiaTheme="majorEastAsia" w:cstheme="majorEastAsia"/>
                <w:color w:val="auto"/>
                <w:sz w:val="24"/>
                <w:szCs w:val="24"/>
                <w:highlight w:val="none"/>
                <w:lang w:val="en-US" w:eastAsia="zh-CN"/>
              </w:rPr>
              <w:t>开标时投标人可登录到交易系统中在开标解密栏中点击报价一览表查看自己的投标报价。如对自己的唱标内容有异议的，应在投标人解密成功后10分钟内向中介服务机构通过开标大厅对话框提出质疑。中介服务机构应在监督人员的监督下接受投标人的质疑通过开标大厅对话框进行答复并做好书面记录。供应商未在规定时间内提出质疑的，视为认可唱标内容。</w:t>
            </w:r>
          </w:p>
          <w:p w14:paraId="1DE27A44">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6、评标时，评标委员会对电子化磋商响应文件有质疑的，将通过电子化交易系统对供应商发起质疑，供应商的回复文件必须以经过供应商和其法定代表人签章的PDF格式文件为准，并通过电子化交易系统提交至</w:t>
            </w:r>
            <w:r>
              <w:rPr>
                <w:rFonts w:hint="eastAsia" w:asciiTheme="majorEastAsia" w:hAnsiTheme="majorEastAsia" w:eastAsiaTheme="majorEastAsia" w:cstheme="majorEastAsia"/>
                <w:color w:val="auto"/>
                <w:sz w:val="24"/>
                <w:szCs w:val="24"/>
                <w:highlight w:val="none"/>
                <w:lang w:val="en-US" w:eastAsia="zh-CN"/>
              </w:rPr>
              <w:t>磋商小组</w:t>
            </w:r>
            <w:r>
              <w:rPr>
                <w:rFonts w:hint="eastAsia" w:asciiTheme="majorEastAsia" w:hAnsiTheme="majorEastAsia" w:eastAsiaTheme="majorEastAsia" w:cstheme="majorEastAsia"/>
                <w:color w:val="auto"/>
                <w:sz w:val="24"/>
                <w:szCs w:val="24"/>
                <w:highlight w:val="none"/>
              </w:rPr>
              <w:t>。</w:t>
            </w:r>
          </w:p>
          <w:p w14:paraId="5709E723">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7、</w:t>
            </w:r>
            <w:r>
              <w:rPr>
                <w:rFonts w:hint="eastAsia" w:asciiTheme="majorEastAsia" w:hAnsiTheme="majorEastAsia" w:eastAsiaTheme="majorEastAsia" w:cstheme="majorEastAsia"/>
                <w:color w:val="auto"/>
                <w:sz w:val="24"/>
                <w:szCs w:val="24"/>
                <w:highlight w:val="none"/>
                <w:lang w:val="en-US" w:eastAsia="zh-CN"/>
              </w:rPr>
              <w:t>各供应商在会员系统中收到有关二次报价信息后，必须在规定时间内给出答复，并在签章后提交，采购人及采购代理机构不再电话通知。需要回复的响应人在规定的时间内未回复的，视为响应人放弃回复，评标委员会将自行对需要回复的内容进行认定。</w:t>
            </w:r>
          </w:p>
          <w:p w14:paraId="0974E7E9">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二、相关证书原件的提交</w:t>
            </w:r>
          </w:p>
          <w:p w14:paraId="2F2F08EA">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本项目实行资格后审，磋商响应文件中要求供应商提交资质、业绩、荣誉及单位人员等相关资料原件的，供应商需将原件扫描件制作到电子磋商响应文件中</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保证上传内容齐全，真实有效，原件扫描件清晰可辨。因供应商上传原因导致应得分项而未得分或资格审查不合格等情况的，由供应商自行承担责任。</w:t>
            </w:r>
          </w:p>
          <w:p w14:paraId="0E358FD5">
            <w:pPr>
              <w:keepNext w:val="0"/>
              <w:keepLines w:val="0"/>
              <w:pageBreakBefore w:val="0"/>
              <w:widowControl w:val="0"/>
              <w:kinsoku/>
              <w:wordWrap w:val="0"/>
              <w:overflowPunct/>
              <w:topLinePunct w:val="0"/>
              <w:bidi w:val="0"/>
              <w:snapToGrid/>
              <w:spacing w:line="520" w:lineRule="exact"/>
              <w:ind w:left="0" w:right="0"/>
              <w:jc w:val="left"/>
              <w:rPr>
                <w:rFonts w:hint="eastAsia" w:asciiTheme="majorEastAsia" w:hAnsiTheme="majorEastAsia" w:eastAsiaTheme="majorEastAsia" w:cstheme="majorEastAsia"/>
                <w:color w:val="auto"/>
                <w:sz w:val="24"/>
                <w:szCs w:val="24"/>
                <w:lang w:val="en-US" w:eastAsia="zh-CN" w:bidi="zh-CN"/>
              </w:rPr>
            </w:pPr>
            <w:r>
              <w:rPr>
                <w:rFonts w:hint="eastAsia" w:ascii="宋体" w:hAnsi="宋体" w:eastAsia="宋体" w:cs="宋体"/>
                <w:b/>
                <w:bCs/>
                <w:sz w:val="24"/>
                <w:szCs w:val="21"/>
              </w:rPr>
              <w:t>提示：本项目为电子化、无纸化交易项目，为保证您能投标成功，请需仔细阅读以上条款。</w:t>
            </w:r>
          </w:p>
        </w:tc>
      </w:tr>
    </w:tbl>
    <w:p w14:paraId="7CCF7509">
      <w:pPr>
        <w:pStyle w:val="8"/>
        <w:spacing w:before="3"/>
        <w:ind w:left="0"/>
        <w:rPr>
          <w:b/>
          <w:color w:val="auto"/>
          <w:sz w:val="6"/>
        </w:rPr>
      </w:pPr>
    </w:p>
    <w:p w14:paraId="5DDDBB9C">
      <w:pPr>
        <w:pStyle w:val="5"/>
        <w:spacing w:before="66"/>
        <w:ind w:left="0" w:right="105"/>
        <w:jc w:val="both"/>
        <w:outlineLvl w:val="9"/>
        <w:rPr>
          <w:color w:val="auto"/>
        </w:rPr>
        <w:sectPr>
          <w:footerReference r:id="rId5" w:type="default"/>
          <w:pgSz w:w="11910" w:h="16840"/>
          <w:pgMar w:top="1440" w:right="1440" w:bottom="1440" w:left="1440" w:header="867" w:footer="867" w:gutter="0"/>
          <w:pgNumType w:fmt="decimal"/>
          <w:cols w:space="720" w:num="1"/>
        </w:sectPr>
      </w:pPr>
    </w:p>
    <w:p w14:paraId="6DF5E3D1">
      <w:pPr>
        <w:pStyle w:val="5"/>
        <w:keepNext w:val="0"/>
        <w:keepLines w:val="0"/>
        <w:pageBreakBefore w:val="0"/>
        <w:widowControl w:val="0"/>
        <w:kinsoku/>
        <w:wordWrap/>
        <w:overflowPunct/>
        <w:topLinePunct w:val="0"/>
        <w:bidi w:val="0"/>
        <w:adjustRightInd/>
        <w:snapToGrid/>
        <w:spacing w:before="244" w:line="480" w:lineRule="exact"/>
        <w:ind w:left="320"/>
        <w:jc w:val="center"/>
        <w:textAlignment w:val="auto"/>
        <w:rPr>
          <w:color w:val="auto"/>
        </w:rPr>
      </w:pPr>
      <w:r>
        <w:rPr>
          <w:color w:val="auto"/>
        </w:rPr>
        <w:t>供应商须知</w:t>
      </w:r>
    </w:p>
    <w:p w14:paraId="336C3A1C">
      <w:pPr>
        <w:pStyle w:val="26"/>
        <w:keepNext w:val="0"/>
        <w:keepLines w:val="0"/>
        <w:pageBreakBefore w:val="0"/>
        <w:widowControl w:val="0"/>
        <w:kinsoku/>
        <w:wordWrap w:val="0"/>
        <w:overflowPunct/>
        <w:topLinePunct w:val="0"/>
        <w:autoSpaceDE w:val="0"/>
        <w:autoSpaceDN w:val="0"/>
        <w:bidi w:val="0"/>
        <w:adjustRightInd/>
        <w:snapToGrid/>
        <w:spacing w:before="0" w:line="480" w:lineRule="exact"/>
        <w:ind w:left="0" w:right="0" w:firstLine="482" w:firstLineChars="200"/>
        <w:jc w:val="left"/>
        <w:textAlignment w:val="auto"/>
        <w:outlineLvl w:val="0"/>
        <w:rPr>
          <w:rFonts w:hint="eastAsia" w:ascii="宋体" w:hAnsi="宋体" w:eastAsia="宋体" w:cs="宋体"/>
          <w:b/>
          <w:bCs/>
          <w:color w:val="auto"/>
          <w:sz w:val="24"/>
          <w:szCs w:val="24"/>
        </w:rPr>
      </w:pPr>
      <w:bookmarkStart w:id="16" w:name="_Toc20123_WPSOffice_Level2"/>
      <w:bookmarkStart w:id="17" w:name="_Toc487498474"/>
      <w:bookmarkStart w:id="18" w:name="_Toc22449"/>
      <w:bookmarkStart w:id="19" w:name="_Toc7628"/>
      <w:bookmarkStart w:id="20" w:name="_Toc21223"/>
      <w:bookmarkStart w:id="21" w:name="_Toc455080108"/>
      <w:bookmarkStart w:id="22" w:name="_Toc488504474"/>
      <w:r>
        <w:rPr>
          <w:rFonts w:hint="eastAsia" w:ascii="宋体" w:hAnsi="宋体" w:eastAsia="宋体" w:cs="宋体"/>
          <w:b/>
          <w:bCs/>
          <w:color w:val="auto"/>
          <w:sz w:val="24"/>
          <w:szCs w:val="24"/>
        </w:rPr>
        <w:t>1. 总则</w:t>
      </w:r>
      <w:bookmarkEnd w:id="16"/>
      <w:bookmarkEnd w:id="17"/>
      <w:bookmarkEnd w:id="18"/>
      <w:bookmarkEnd w:id="19"/>
      <w:bookmarkEnd w:id="20"/>
      <w:bookmarkEnd w:id="21"/>
      <w:bookmarkEnd w:id="22"/>
    </w:p>
    <w:p w14:paraId="7B89FD12">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23" w:name="_Toc455080109"/>
      <w:bookmarkStart w:id="24" w:name="_Toc15709"/>
      <w:bookmarkStart w:id="25" w:name="_Toc463701031"/>
      <w:bookmarkStart w:id="26" w:name="_Toc464035510"/>
      <w:bookmarkStart w:id="27" w:name="_Toc274409866"/>
      <w:bookmarkStart w:id="28" w:name="_Toc21496_WPSOffice_Level3"/>
      <w:bookmarkStart w:id="29" w:name="_Toc10273"/>
      <w:bookmarkStart w:id="30" w:name="_Toc318450675"/>
      <w:bookmarkStart w:id="31" w:name="_Toc31404"/>
      <w:bookmarkStart w:id="32" w:name="_Toc281380952"/>
      <w:bookmarkStart w:id="33" w:name="_Toc29023"/>
      <w:bookmarkStart w:id="34" w:name="_Toc1172"/>
      <w:bookmarkStart w:id="35" w:name="_Toc21458"/>
      <w:bookmarkStart w:id="36" w:name="_Toc152045531"/>
      <w:bookmarkStart w:id="37" w:name="_Toc152042307"/>
      <w:bookmarkStart w:id="38" w:name="_Toc144974499"/>
      <w:r>
        <w:rPr>
          <w:rFonts w:hint="eastAsia" w:ascii="宋体" w:hAnsi="宋体" w:eastAsia="宋体" w:cs="宋体"/>
          <w:color w:val="auto"/>
          <w:sz w:val="24"/>
        </w:rPr>
        <w:t>1.1 适用范围</w:t>
      </w:r>
      <w:bookmarkEnd w:id="23"/>
      <w:bookmarkEnd w:id="24"/>
      <w:bookmarkEnd w:id="25"/>
      <w:bookmarkEnd w:id="26"/>
      <w:bookmarkEnd w:id="27"/>
      <w:bookmarkEnd w:id="28"/>
      <w:bookmarkEnd w:id="29"/>
      <w:bookmarkEnd w:id="30"/>
      <w:bookmarkEnd w:id="31"/>
      <w:bookmarkEnd w:id="32"/>
      <w:bookmarkEnd w:id="33"/>
      <w:bookmarkEnd w:id="34"/>
      <w:bookmarkEnd w:id="35"/>
    </w:p>
    <w:p w14:paraId="16C93195">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1.1.1根据《中华人民共和国政府采购法》等有关法律、法规和规章的规定，编制本项目磋商文件。</w:t>
      </w:r>
    </w:p>
    <w:p w14:paraId="569CE64C">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39" w:name="_Toc274409867"/>
      <w:bookmarkStart w:id="40" w:name="_Toc455080110"/>
      <w:bookmarkStart w:id="41" w:name="_Toc710"/>
      <w:bookmarkStart w:id="42" w:name="_Toc25399_WPSOffice_Level3"/>
      <w:bookmarkStart w:id="43" w:name="_Toc2929"/>
      <w:bookmarkStart w:id="44" w:name="_Toc464035511"/>
      <w:bookmarkStart w:id="45" w:name="_Toc3336"/>
      <w:bookmarkStart w:id="46" w:name="_Toc30891"/>
      <w:bookmarkStart w:id="47" w:name="_Toc281405468"/>
      <w:bookmarkStart w:id="48" w:name="_Toc318450676"/>
      <w:bookmarkStart w:id="49" w:name="_Toc25773"/>
      <w:bookmarkStart w:id="50" w:name="_Toc463701032"/>
      <w:bookmarkStart w:id="51" w:name="_Toc32619"/>
      <w:r>
        <w:rPr>
          <w:rFonts w:hint="eastAsia" w:ascii="宋体" w:hAnsi="宋体" w:eastAsia="宋体" w:cs="宋体"/>
          <w:color w:val="auto"/>
          <w:sz w:val="24"/>
        </w:rPr>
        <w:t>1.2 采购项目说明</w:t>
      </w:r>
      <w:bookmarkEnd w:id="39"/>
      <w:bookmarkEnd w:id="40"/>
      <w:bookmarkEnd w:id="41"/>
      <w:bookmarkEnd w:id="42"/>
      <w:bookmarkEnd w:id="43"/>
      <w:bookmarkEnd w:id="44"/>
      <w:bookmarkEnd w:id="45"/>
      <w:bookmarkEnd w:id="46"/>
      <w:bookmarkEnd w:id="47"/>
      <w:bookmarkEnd w:id="48"/>
      <w:bookmarkEnd w:id="49"/>
      <w:bookmarkEnd w:id="50"/>
      <w:bookmarkEnd w:id="51"/>
    </w:p>
    <w:p w14:paraId="11723BDD">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1.2.1 本项目采购人：见供应商须知前附表。</w:t>
      </w:r>
    </w:p>
    <w:p w14:paraId="74D4990F">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1.2.2 本项目采购代理机构：见供应商须知前附表。</w:t>
      </w:r>
    </w:p>
    <w:p w14:paraId="0712DC5C">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1.2.3 本项目名称：见供应商须知前附表。</w:t>
      </w:r>
    </w:p>
    <w:p w14:paraId="5AEE6774">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52" w:name="_Toc18960"/>
      <w:bookmarkStart w:id="53" w:name="_Toc274409868"/>
      <w:bookmarkStart w:id="54" w:name="_Toc463701033"/>
      <w:bookmarkStart w:id="55" w:name="_Toc281405469"/>
      <w:bookmarkStart w:id="56" w:name="_Toc31122_WPSOffice_Level3"/>
      <w:bookmarkStart w:id="57" w:name="_Toc4952"/>
      <w:bookmarkStart w:id="58" w:name="_Toc16931"/>
      <w:bookmarkStart w:id="59" w:name="_Toc17016"/>
      <w:bookmarkStart w:id="60" w:name="_Toc3477"/>
      <w:bookmarkStart w:id="61" w:name="_Toc1373"/>
      <w:bookmarkStart w:id="62" w:name="_Toc318450677"/>
      <w:bookmarkStart w:id="63" w:name="_Toc455080111"/>
      <w:bookmarkStart w:id="64" w:name="_Toc464035512"/>
      <w:r>
        <w:rPr>
          <w:rFonts w:hint="eastAsia" w:ascii="宋体" w:hAnsi="宋体" w:eastAsia="宋体" w:cs="宋体"/>
          <w:color w:val="auto"/>
          <w:sz w:val="24"/>
        </w:rPr>
        <w:t>1.3 定义及解释</w:t>
      </w:r>
      <w:bookmarkEnd w:id="52"/>
      <w:bookmarkEnd w:id="53"/>
      <w:bookmarkEnd w:id="54"/>
      <w:bookmarkEnd w:id="55"/>
      <w:bookmarkEnd w:id="56"/>
      <w:bookmarkEnd w:id="57"/>
      <w:bookmarkEnd w:id="58"/>
      <w:bookmarkEnd w:id="59"/>
      <w:bookmarkEnd w:id="60"/>
      <w:bookmarkEnd w:id="61"/>
      <w:bookmarkEnd w:id="62"/>
      <w:bookmarkEnd w:id="63"/>
      <w:bookmarkEnd w:id="64"/>
    </w:p>
    <w:p w14:paraId="73974592">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1.3.1采购人：依法进行政府采购的国家机关、事业单位、团体组织。</w:t>
      </w:r>
    </w:p>
    <w:p w14:paraId="3D83C9D9">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1.3.2采购代理机构：取得政府采购招标代理资质，受采购人委托组织招标活动的社会中介组织。</w:t>
      </w:r>
    </w:p>
    <w:p w14:paraId="4AC3A24D">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1.3.3服务：系指根据本磋商文件规定供应商须承担的方案编制以及其他类似的义务等。</w:t>
      </w:r>
    </w:p>
    <w:p w14:paraId="5B393395">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1.3.4供应商：供应商是响应磋商文件、参加磋商竞争的中华人民共和国境内的法人、其它组织。</w:t>
      </w:r>
    </w:p>
    <w:p w14:paraId="58677B6B">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1.3.5响应文件：指供应商根据磋商文件提交的所有文件。</w:t>
      </w:r>
    </w:p>
    <w:p w14:paraId="217F9FFE">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1.3.6磋商小组：依据</w:t>
      </w:r>
      <w:r>
        <w:rPr>
          <w:rFonts w:hint="eastAsia" w:ascii="宋体" w:hAnsi="宋体" w:eastAsia="宋体" w:cs="宋体"/>
          <w:color w:val="auto"/>
          <w:sz w:val="24"/>
          <w:lang w:bidi="en-US"/>
        </w:rPr>
        <w:t>《中华人民共和国政府采购法》及有关法律、法规的规定依法组建的专门负责本次评标工作的临时机构</w:t>
      </w:r>
      <w:r>
        <w:rPr>
          <w:rFonts w:hint="eastAsia" w:ascii="宋体" w:hAnsi="宋体" w:eastAsia="宋体" w:cs="宋体"/>
          <w:color w:val="auto"/>
          <w:sz w:val="24"/>
        </w:rPr>
        <w:t>。</w:t>
      </w:r>
    </w:p>
    <w:p w14:paraId="610C68B1">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1.3.7偏离：响应文件的响应相对于磋商文件要求的偏差，该偏差优于磋商文件要求的为正偏离；劣于的，为负偏离。</w:t>
      </w:r>
    </w:p>
    <w:p w14:paraId="23A63352">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1.3.8“日期”或“天”：指日历天。</w:t>
      </w:r>
    </w:p>
    <w:p w14:paraId="1444DC6A">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1.3.9合同：指依据本次采购招标结果签订的协议或合约文件。</w:t>
      </w:r>
    </w:p>
    <w:p w14:paraId="077D56B2">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1.3.10磋商文件中的标题或题名仅起引导作用，而不应视为对磋商文件内容的理解和解释。</w:t>
      </w:r>
    </w:p>
    <w:bookmarkEnd w:id="36"/>
    <w:bookmarkEnd w:id="37"/>
    <w:bookmarkEnd w:id="38"/>
    <w:p w14:paraId="006721CE">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65" w:name="_Toc464035513"/>
      <w:bookmarkStart w:id="66" w:name="_Toc21766"/>
      <w:bookmarkStart w:id="67" w:name="_Toc318450678"/>
      <w:bookmarkStart w:id="68" w:name="_Toc19363"/>
      <w:bookmarkStart w:id="69" w:name="_Toc16470"/>
      <w:bookmarkStart w:id="70" w:name="_Toc27407"/>
      <w:bookmarkStart w:id="71" w:name="_Toc152045532"/>
      <w:bookmarkStart w:id="72" w:name="_Toc144974500"/>
      <w:bookmarkStart w:id="73" w:name="_Toc12752"/>
      <w:bookmarkStart w:id="74" w:name="_Toc3626_WPSOffice_Level3"/>
      <w:bookmarkStart w:id="75" w:name="_Toc455080112"/>
      <w:bookmarkStart w:id="76" w:name="_Toc463701034"/>
      <w:bookmarkStart w:id="77" w:name="_Toc152042308"/>
      <w:bookmarkStart w:id="78" w:name="_Toc14043"/>
      <w:r>
        <w:rPr>
          <w:rFonts w:hint="eastAsia" w:ascii="宋体" w:hAnsi="宋体" w:eastAsia="宋体" w:cs="宋体"/>
          <w:color w:val="auto"/>
          <w:sz w:val="24"/>
        </w:rPr>
        <w:t xml:space="preserve">1.4 </w:t>
      </w:r>
      <w:r>
        <w:rPr>
          <w:rFonts w:hint="eastAsia" w:ascii="宋体" w:hAnsi="宋体" w:eastAsia="宋体" w:cs="宋体"/>
          <w:color w:val="auto"/>
          <w:sz w:val="24"/>
          <w:lang w:val="en-US" w:eastAsia="zh-CN"/>
        </w:rPr>
        <w:t>服务</w:t>
      </w:r>
      <w:r>
        <w:rPr>
          <w:rFonts w:hint="eastAsia" w:ascii="宋体" w:hAnsi="宋体" w:eastAsia="宋体" w:cs="宋体"/>
          <w:color w:val="auto"/>
          <w:sz w:val="24"/>
        </w:rPr>
        <w:t>内容</w:t>
      </w:r>
      <w:r>
        <w:rPr>
          <w:rFonts w:hint="eastAsia" w:ascii="宋体" w:hAnsi="宋体" w:eastAsia="宋体" w:cs="宋体"/>
          <w:color w:val="auto"/>
          <w:sz w:val="24"/>
          <w:lang w:eastAsia="zh-CN"/>
        </w:rPr>
        <w:t>、</w:t>
      </w:r>
      <w:r>
        <w:rPr>
          <w:rFonts w:hint="eastAsia" w:cs="宋体"/>
          <w:color w:val="auto"/>
          <w:sz w:val="24"/>
          <w:lang w:val="en-US" w:eastAsia="zh-CN"/>
        </w:rPr>
        <w:t>服务期限</w:t>
      </w:r>
      <w:r>
        <w:rPr>
          <w:rFonts w:hint="eastAsia" w:ascii="宋体" w:hAnsi="宋体" w:eastAsia="宋体" w:cs="宋体"/>
          <w:color w:val="auto"/>
          <w:sz w:val="24"/>
        </w:rPr>
        <w:t>和质量要求</w:t>
      </w:r>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D39A45A">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1.4.1 本次</w:t>
      </w:r>
      <w:r>
        <w:rPr>
          <w:rFonts w:hint="eastAsia" w:ascii="宋体" w:hAnsi="宋体" w:eastAsia="宋体" w:cs="宋体"/>
          <w:color w:val="auto"/>
          <w:sz w:val="24"/>
          <w:lang w:val="en-US" w:eastAsia="zh-CN"/>
        </w:rPr>
        <w:t>服务内容</w:t>
      </w:r>
      <w:r>
        <w:rPr>
          <w:rFonts w:hint="eastAsia" w:ascii="宋体" w:hAnsi="宋体" w:eastAsia="宋体" w:cs="宋体"/>
          <w:color w:val="auto"/>
          <w:sz w:val="24"/>
        </w:rPr>
        <w:t>：见供应商须知前附表。</w:t>
      </w:r>
    </w:p>
    <w:p w14:paraId="123DD010">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1.4.2 本项目的</w:t>
      </w:r>
      <w:r>
        <w:rPr>
          <w:rFonts w:hint="eastAsia" w:cs="宋体"/>
          <w:color w:val="auto"/>
          <w:sz w:val="24"/>
          <w:lang w:val="en-US" w:eastAsia="zh-CN"/>
        </w:rPr>
        <w:t>服务期限</w:t>
      </w:r>
      <w:r>
        <w:rPr>
          <w:rFonts w:hint="eastAsia" w:ascii="宋体" w:hAnsi="宋体" w:eastAsia="宋体" w:cs="宋体"/>
          <w:color w:val="auto"/>
          <w:sz w:val="24"/>
        </w:rPr>
        <w:t>：见供应商须知前附表。</w:t>
      </w:r>
    </w:p>
    <w:p w14:paraId="1510E84E">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1.4.3 本项目的质量要求：见供应商须知前附表。</w:t>
      </w:r>
    </w:p>
    <w:p w14:paraId="163A60EF">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79" w:name="_Toc464035516"/>
      <w:bookmarkStart w:id="80" w:name="_Toc8055"/>
      <w:bookmarkStart w:id="81" w:name="_Toc144974504"/>
      <w:bookmarkStart w:id="82" w:name="_Toc2622"/>
      <w:bookmarkStart w:id="83" w:name="_Toc318450681"/>
      <w:bookmarkStart w:id="84" w:name="_Toc7579_WPSOffice_Level3"/>
      <w:bookmarkStart w:id="85" w:name="_Toc32053"/>
      <w:bookmarkStart w:id="86" w:name="_Toc152045536"/>
      <w:bookmarkStart w:id="87" w:name="_Toc463701037"/>
      <w:bookmarkStart w:id="88" w:name="_Toc455080115"/>
      <w:bookmarkStart w:id="89" w:name="_Toc20145"/>
      <w:bookmarkStart w:id="90" w:name="_Toc5402"/>
      <w:bookmarkStart w:id="91" w:name="_Toc152042312"/>
      <w:bookmarkStart w:id="92" w:name="_Toc6014"/>
      <w:r>
        <w:rPr>
          <w:rFonts w:hint="eastAsia" w:ascii="宋体" w:hAnsi="宋体" w:eastAsia="宋体" w:cs="宋体"/>
          <w:color w:val="auto"/>
          <w:sz w:val="24"/>
        </w:rPr>
        <w:t>1.</w:t>
      </w:r>
      <w:r>
        <w:rPr>
          <w:rFonts w:hint="eastAsia" w:ascii="宋体" w:hAnsi="宋体" w:eastAsia="宋体" w:cs="宋体"/>
          <w:color w:val="auto"/>
          <w:sz w:val="24"/>
          <w:lang w:val="en-US"/>
        </w:rPr>
        <w:t>5</w:t>
      </w:r>
      <w:r>
        <w:rPr>
          <w:rFonts w:hint="eastAsia" w:ascii="宋体" w:hAnsi="宋体" w:eastAsia="宋体" w:cs="宋体"/>
          <w:color w:val="auto"/>
          <w:sz w:val="24"/>
        </w:rPr>
        <w:t>保密</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0E4AB338">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参与磋商活动的各方应对磋商文件和响应文件中的商业和技术等秘密保密，违者应对由此造成的后果承担法律责任。 </w:t>
      </w:r>
    </w:p>
    <w:p w14:paraId="6D64FFF5">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93" w:name="_Toc144974505"/>
      <w:bookmarkStart w:id="94" w:name="_Toc455080116"/>
      <w:bookmarkStart w:id="95" w:name="_Toc30583"/>
      <w:bookmarkStart w:id="96" w:name="_Toc30747"/>
      <w:bookmarkStart w:id="97" w:name="_Toc463701038"/>
      <w:bookmarkStart w:id="98" w:name="_Toc25517"/>
      <w:bookmarkStart w:id="99" w:name="_Toc318450682"/>
      <w:bookmarkStart w:id="100" w:name="_Toc464035517"/>
      <w:bookmarkStart w:id="101" w:name="_Toc152045537"/>
      <w:bookmarkStart w:id="102" w:name="_Toc152042313"/>
      <w:bookmarkStart w:id="103" w:name="_Toc21089"/>
      <w:bookmarkStart w:id="104" w:name="_Toc19210_WPSOffice_Level3"/>
      <w:bookmarkStart w:id="105" w:name="_Toc3628"/>
      <w:bookmarkStart w:id="106" w:name="_Toc14775"/>
      <w:r>
        <w:rPr>
          <w:rFonts w:hint="eastAsia" w:ascii="宋体" w:hAnsi="宋体" w:eastAsia="宋体" w:cs="宋体"/>
          <w:color w:val="auto"/>
          <w:sz w:val="24"/>
        </w:rPr>
        <w:t>1.</w:t>
      </w:r>
      <w:r>
        <w:rPr>
          <w:rFonts w:hint="eastAsia" w:ascii="宋体" w:hAnsi="宋体" w:eastAsia="宋体" w:cs="宋体"/>
          <w:color w:val="auto"/>
          <w:sz w:val="24"/>
          <w:lang w:val="en-US"/>
        </w:rPr>
        <w:t>6</w:t>
      </w:r>
      <w:r>
        <w:rPr>
          <w:rFonts w:hint="eastAsia" w:ascii="宋体" w:hAnsi="宋体" w:eastAsia="宋体" w:cs="宋体"/>
          <w:color w:val="auto"/>
          <w:sz w:val="24"/>
        </w:rPr>
        <w:t>语言</w:t>
      </w:r>
      <w:bookmarkEnd w:id="93"/>
      <w:r>
        <w:rPr>
          <w:rFonts w:hint="eastAsia" w:ascii="宋体" w:hAnsi="宋体" w:eastAsia="宋体" w:cs="宋体"/>
          <w:color w:val="auto"/>
          <w:sz w:val="24"/>
        </w:rPr>
        <w:t>文字</w:t>
      </w:r>
      <w:bookmarkEnd w:id="94"/>
      <w:bookmarkEnd w:id="95"/>
      <w:bookmarkEnd w:id="96"/>
      <w:bookmarkEnd w:id="97"/>
      <w:bookmarkEnd w:id="98"/>
      <w:bookmarkEnd w:id="99"/>
      <w:bookmarkEnd w:id="100"/>
      <w:bookmarkEnd w:id="101"/>
      <w:bookmarkEnd w:id="102"/>
      <w:bookmarkEnd w:id="103"/>
      <w:bookmarkEnd w:id="104"/>
      <w:bookmarkEnd w:id="105"/>
      <w:bookmarkEnd w:id="106"/>
    </w:p>
    <w:p w14:paraId="5BCA51F6">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除专用术语外，与磋商有关的语言均使用中文。必要时专用术语应附有中文注释，</w:t>
      </w:r>
      <w:r>
        <w:rPr>
          <w:rFonts w:hint="eastAsia" w:ascii="宋体" w:hAnsi="宋体" w:eastAsia="宋体" w:cs="宋体"/>
          <w:color w:val="auto"/>
          <w:sz w:val="24"/>
          <w:lang w:bidi="en-US"/>
        </w:rPr>
        <w:t>对不同文字文本响应文件的解释发生异议的，以中文文本为准。</w:t>
      </w:r>
    </w:p>
    <w:p w14:paraId="071FBEE5">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107" w:name="_Toc463701039"/>
      <w:bookmarkStart w:id="108" w:name="_Toc22378"/>
      <w:bookmarkStart w:id="109" w:name="_Toc152045538"/>
      <w:bookmarkStart w:id="110" w:name="_Toc144974506"/>
      <w:bookmarkStart w:id="111" w:name="_Toc318450683"/>
      <w:bookmarkStart w:id="112" w:name="_Toc152042314"/>
      <w:bookmarkStart w:id="113" w:name="_Toc2702"/>
      <w:bookmarkStart w:id="114" w:name="_Toc24337"/>
      <w:bookmarkStart w:id="115" w:name="_Toc455080117"/>
      <w:bookmarkStart w:id="116" w:name="_Toc464035518"/>
      <w:bookmarkStart w:id="117" w:name="_Toc32507"/>
      <w:bookmarkStart w:id="118" w:name="_Toc9446"/>
      <w:bookmarkStart w:id="119" w:name="_Toc4237"/>
      <w:bookmarkStart w:id="120" w:name="_Toc9511_WPSOffice_Level3"/>
      <w:r>
        <w:rPr>
          <w:rFonts w:hint="eastAsia" w:ascii="宋体" w:hAnsi="宋体" w:eastAsia="宋体" w:cs="宋体"/>
          <w:color w:val="auto"/>
          <w:sz w:val="24"/>
        </w:rPr>
        <w:t>1.</w:t>
      </w:r>
      <w:r>
        <w:rPr>
          <w:rFonts w:hint="eastAsia" w:ascii="宋体" w:hAnsi="宋体" w:eastAsia="宋体" w:cs="宋体"/>
          <w:color w:val="auto"/>
          <w:sz w:val="24"/>
          <w:lang w:val="en-US"/>
        </w:rPr>
        <w:t>7</w:t>
      </w:r>
      <w:r>
        <w:rPr>
          <w:rFonts w:hint="eastAsia" w:ascii="宋体" w:hAnsi="宋体" w:eastAsia="宋体" w:cs="宋体"/>
          <w:color w:val="auto"/>
          <w:sz w:val="24"/>
        </w:rPr>
        <w:t xml:space="preserve"> 计量单位</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E8D7FE0">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所有计量均采用中华人民共和国法定计量单位。</w:t>
      </w:r>
    </w:p>
    <w:p w14:paraId="3D5D73DA">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21" w:name="_Toc12366_WPSOffice_Level2"/>
      <w:r>
        <w:rPr>
          <w:rFonts w:hint="eastAsia" w:ascii="宋体" w:hAnsi="宋体" w:eastAsia="宋体" w:cs="宋体"/>
          <w:color w:val="auto"/>
        </w:rPr>
        <w:t>2、合格的磋商响应供应商</w:t>
      </w:r>
      <w:bookmarkEnd w:id="121"/>
    </w:p>
    <w:p w14:paraId="0AAD4959">
      <w:pPr>
        <w:pStyle w:val="5"/>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b w:val="0"/>
          <w:bCs w:val="0"/>
          <w:color w:val="auto"/>
        </w:rPr>
        <w:t>见供应商须知前附表</w:t>
      </w:r>
    </w:p>
    <w:p w14:paraId="1E0ACEE9">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22" w:name="_Toc8655_WPSOffice_Level2"/>
      <w:r>
        <w:rPr>
          <w:rFonts w:hint="eastAsia" w:ascii="宋体" w:hAnsi="宋体" w:eastAsia="宋体" w:cs="宋体"/>
          <w:color w:val="auto"/>
        </w:rPr>
        <w:t>3、费用</w:t>
      </w:r>
      <w:bookmarkEnd w:id="122"/>
    </w:p>
    <w:p w14:paraId="3556C391">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3.1</w:t>
      </w:r>
      <w:r>
        <w:rPr>
          <w:rFonts w:hint="eastAsia" w:ascii="宋体" w:hAnsi="宋体" w:eastAsia="宋体" w:cs="宋体"/>
          <w:color w:val="auto"/>
          <w:spacing w:val="-9"/>
        </w:rPr>
        <w:t xml:space="preserve"> 磋商响应供应商应自行承担参加磋商活动有关的全部费用，采购人在任何情况下均</w:t>
      </w:r>
      <w:r>
        <w:rPr>
          <w:rFonts w:hint="eastAsia" w:ascii="宋体" w:hAnsi="宋体" w:eastAsia="宋体" w:cs="宋体"/>
          <w:color w:val="auto"/>
        </w:rPr>
        <w:t>无义务和责任承担上述费用。</w:t>
      </w:r>
    </w:p>
    <w:p w14:paraId="13A2391A">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2" w:firstLineChars="200"/>
        <w:jc w:val="left"/>
        <w:textAlignment w:val="auto"/>
        <w:rPr>
          <w:rFonts w:hint="eastAsia" w:ascii="宋体" w:hAnsi="宋体" w:eastAsia="宋体" w:cs="宋体"/>
          <w:b/>
          <w:color w:val="auto"/>
          <w:spacing w:val="-2"/>
          <w:sz w:val="24"/>
        </w:rPr>
      </w:pPr>
      <w:bookmarkStart w:id="123" w:name="_Toc4976_WPSOffice_Level2"/>
      <w:r>
        <w:rPr>
          <w:rFonts w:hint="eastAsia" w:ascii="宋体" w:hAnsi="宋体" w:eastAsia="宋体" w:cs="宋体"/>
          <w:b/>
          <w:color w:val="auto"/>
          <w:sz w:val="24"/>
        </w:rPr>
        <w:t>4</w:t>
      </w:r>
      <w:r>
        <w:rPr>
          <w:rFonts w:hint="eastAsia" w:ascii="宋体" w:hAnsi="宋体" w:eastAsia="宋体" w:cs="宋体"/>
          <w:b/>
          <w:color w:val="auto"/>
          <w:spacing w:val="-2"/>
          <w:sz w:val="24"/>
        </w:rPr>
        <w:t>、竞争性磋商文件的构成</w:t>
      </w:r>
    </w:p>
    <w:p w14:paraId="4814A557">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第一章 竞争性磋商公告</w:t>
      </w:r>
      <w:bookmarkEnd w:id="123"/>
    </w:p>
    <w:p w14:paraId="096E19AE">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124" w:name="_Toc25399_WPSOffice_Level1"/>
      <w:r>
        <w:rPr>
          <w:rFonts w:hint="eastAsia" w:ascii="宋体" w:hAnsi="宋体" w:eastAsia="宋体" w:cs="宋体"/>
          <w:color w:val="auto"/>
          <w:sz w:val="24"/>
        </w:rPr>
        <w:t>第二章 供应商须知</w:t>
      </w:r>
    </w:p>
    <w:p w14:paraId="696781DA">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第三章</w:t>
      </w:r>
      <w:bookmarkEnd w:id="124"/>
      <w:r>
        <w:rPr>
          <w:rFonts w:hint="eastAsia" w:ascii="宋体" w:hAnsi="宋体" w:eastAsia="宋体" w:cs="宋体"/>
          <w:color w:val="auto"/>
          <w:sz w:val="24"/>
          <w:lang w:val="en-US" w:eastAsia="zh-CN"/>
        </w:rPr>
        <w:t xml:space="preserve"> 服务需求</w:t>
      </w:r>
    </w:p>
    <w:p w14:paraId="3A848CBF">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125" w:name="_Toc3669_WPSOffice_Level2"/>
      <w:r>
        <w:rPr>
          <w:rFonts w:hint="eastAsia" w:ascii="宋体" w:hAnsi="宋体" w:eastAsia="宋体" w:cs="宋体"/>
          <w:color w:val="auto"/>
          <w:sz w:val="24"/>
        </w:rPr>
        <w:t>第四章 评审办法</w:t>
      </w:r>
      <w:bookmarkEnd w:id="125"/>
    </w:p>
    <w:p w14:paraId="566F21DE">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bookmarkStart w:id="126" w:name="_Toc1982_WPSOffice_Level2"/>
      <w:r>
        <w:rPr>
          <w:rFonts w:hint="eastAsia" w:ascii="宋体" w:hAnsi="宋体" w:eastAsia="宋体" w:cs="宋体"/>
          <w:color w:val="auto"/>
          <w:sz w:val="24"/>
        </w:rPr>
        <w:t>第五章 合同主要条款及格式</w:t>
      </w:r>
      <w:bookmarkEnd w:id="126"/>
    </w:p>
    <w:p w14:paraId="763E9642">
      <w:pPr>
        <w:keepNext w:val="0"/>
        <w:keepLines w:val="0"/>
        <w:pageBreakBefore w:val="0"/>
        <w:widowControl w:val="0"/>
        <w:kinsoku/>
        <w:wordWrap w:val="0"/>
        <w:overflowPunct/>
        <w:topLinePunct w:val="0"/>
        <w:autoSpaceDE w:val="0"/>
        <w:autoSpaceDN w:val="0"/>
        <w:bidi w:val="0"/>
        <w:adjustRightInd/>
        <w:snapToGrid/>
        <w:spacing w:line="480" w:lineRule="exact"/>
        <w:ind w:left="0" w:right="0" w:firstLine="480" w:firstLineChars="200"/>
        <w:jc w:val="left"/>
        <w:textAlignment w:val="auto"/>
        <w:rPr>
          <w:rFonts w:hint="eastAsia" w:ascii="宋体" w:hAnsi="宋体" w:eastAsia="宋体" w:cs="宋体"/>
          <w:color w:val="auto"/>
          <w:sz w:val="24"/>
          <w:lang w:eastAsia="zh-CN"/>
        </w:rPr>
      </w:pPr>
      <w:bookmarkStart w:id="127" w:name="_Toc4328_WPSOffice_Level2"/>
      <w:r>
        <w:rPr>
          <w:rFonts w:hint="eastAsia" w:ascii="宋体" w:hAnsi="宋体" w:eastAsia="宋体" w:cs="宋体"/>
          <w:color w:val="auto"/>
          <w:sz w:val="24"/>
        </w:rPr>
        <w:t xml:space="preserve">第六章 </w:t>
      </w:r>
      <w:bookmarkEnd w:id="127"/>
      <w:r>
        <w:rPr>
          <w:rFonts w:hint="eastAsia" w:cs="宋体"/>
          <w:color w:val="auto"/>
          <w:sz w:val="24"/>
          <w:lang w:eastAsia="zh-CN"/>
        </w:rPr>
        <w:t>电子化响应文件内容及格式</w:t>
      </w:r>
    </w:p>
    <w:p w14:paraId="08E722D3">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28" w:name="_Toc20095_WPSOffice_Level3"/>
      <w:r>
        <w:rPr>
          <w:rFonts w:hint="eastAsia" w:ascii="宋体" w:hAnsi="宋体" w:eastAsia="宋体" w:cs="宋体"/>
          <w:color w:val="auto"/>
        </w:rPr>
        <w:t>5、竞争性磋商文件的澄清</w:t>
      </w:r>
      <w:bookmarkEnd w:id="128"/>
    </w:p>
    <w:p w14:paraId="2692F381">
      <w:pPr>
        <w:pStyle w:val="27"/>
        <w:keepNext w:val="0"/>
        <w:keepLines w:val="0"/>
        <w:pageBreakBefore w:val="0"/>
        <w:widowControl w:val="0"/>
        <w:numPr>
          <w:ilvl w:val="1"/>
          <w:numId w:val="2"/>
        </w:numPr>
        <w:tabs>
          <w:tab w:val="left" w:pos="1101"/>
        </w:tabs>
        <w:kinsoku/>
        <w:wordWrap w:val="0"/>
        <w:overflowPunct/>
        <w:topLinePunct w:val="0"/>
        <w:bidi w:val="0"/>
        <w:adjustRightInd/>
        <w:snapToGrid/>
        <w:spacing w:line="480" w:lineRule="exact"/>
        <w:ind w:left="0" w:right="0" w:firstLine="472"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2"/>
          <w:sz w:val="24"/>
        </w:rPr>
        <w:t>磋商响应供应商对磋商文件需有澄清或疑问，应在购买竞争性磋商文件后</w:t>
      </w:r>
      <w:r>
        <w:rPr>
          <w:rFonts w:hint="eastAsia" w:ascii="宋体" w:hAnsi="宋体" w:eastAsia="宋体" w:cs="宋体"/>
          <w:color w:val="auto"/>
          <w:sz w:val="24"/>
        </w:rPr>
        <w:t>3</w:t>
      </w:r>
      <w:r>
        <w:rPr>
          <w:rFonts w:hint="eastAsia" w:ascii="宋体" w:hAnsi="宋体" w:eastAsia="宋体" w:cs="宋体"/>
          <w:color w:val="auto"/>
          <w:spacing w:val="-25"/>
          <w:sz w:val="24"/>
        </w:rPr>
        <w:t xml:space="preserve"> 日内</w:t>
      </w:r>
      <w:r>
        <w:rPr>
          <w:rFonts w:hint="eastAsia" w:ascii="宋体" w:hAnsi="宋体" w:eastAsia="宋体" w:cs="宋体"/>
          <w:color w:val="auto"/>
          <w:spacing w:val="-2"/>
          <w:sz w:val="24"/>
        </w:rPr>
        <w:t>向采购人进行询问，采购人在收到磋商响应供应商的疑问后于</w:t>
      </w:r>
      <w:r>
        <w:rPr>
          <w:rFonts w:hint="eastAsia" w:ascii="宋体" w:hAnsi="宋体" w:eastAsia="宋体" w:cs="宋体"/>
          <w:color w:val="auto"/>
          <w:spacing w:val="-2"/>
          <w:sz w:val="24"/>
          <w:lang w:val="en-US" w:eastAsia="zh-CN"/>
        </w:rPr>
        <w:t>2</w:t>
      </w:r>
      <w:r>
        <w:rPr>
          <w:rFonts w:hint="eastAsia" w:ascii="宋体" w:hAnsi="宋体" w:eastAsia="宋体" w:cs="宋体"/>
          <w:color w:val="auto"/>
          <w:spacing w:val="-6"/>
          <w:sz w:val="24"/>
        </w:rPr>
        <w:t>日内将视情况确定采用适当方式予以澄清或以书面形式予以答复，并在其认为必要时，将书面答复发送已购买竞争性磋商文件的所有潜在磋商响应供应商。</w:t>
      </w:r>
    </w:p>
    <w:p w14:paraId="79C91224">
      <w:pPr>
        <w:pStyle w:val="27"/>
        <w:keepNext w:val="0"/>
        <w:keepLines w:val="0"/>
        <w:pageBreakBefore w:val="0"/>
        <w:widowControl w:val="0"/>
        <w:numPr>
          <w:ilvl w:val="1"/>
          <w:numId w:val="2"/>
        </w:numPr>
        <w:tabs>
          <w:tab w:val="left" w:pos="110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sz w:val="24"/>
        </w:rPr>
        <w:t>采购人将视情况在认为必要时于采购截止时间前答疑。</w:t>
      </w:r>
    </w:p>
    <w:p w14:paraId="2ADE151E">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29" w:name="_Toc20123_WPSOffice_Level3"/>
      <w:r>
        <w:rPr>
          <w:rFonts w:hint="eastAsia" w:ascii="宋体" w:hAnsi="宋体" w:eastAsia="宋体" w:cs="宋体"/>
          <w:color w:val="auto"/>
        </w:rPr>
        <w:t>6、竞争性磋商文件的修改</w:t>
      </w:r>
      <w:bookmarkEnd w:id="129"/>
    </w:p>
    <w:p w14:paraId="45066D44">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72" w:firstLineChars="200"/>
        <w:jc w:val="left"/>
        <w:textAlignment w:val="auto"/>
        <w:rPr>
          <w:rFonts w:hint="eastAsia" w:ascii="宋体" w:hAnsi="宋体" w:eastAsia="宋体" w:cs="宋体"/>
          <w:color w:val="auto"/>
          <w:spacing w:val="-2"/>
          <w:sz w:val="24"/>
        </w:rPr>
      </w:pPr>
      <w:r>
        <w:rPr>
          <w:rFonts w:hint="eastAsia" w:ascii="宋体" w:hAnsi="宋体" w:eastAsia="宋体" w:cs="宋体"/>
          <w:color w:val="auto"/>
          <w:spacing w:val="-2"/>
          <w:sz w:val="24"/>
        </w:rPr>
        <w:t>6.1 竞争性磋商文件的修改书将构成磋商响应文件的一部分，对所有磋商响应供应商均有约束力。</w:t>
      </w:r>
    </w:p>
    <w:p w14:paraId="273FBAC0">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sz w:val="24"/>
          <w:szCs w:val="24"/>
        </w:rPr>
      </w:pPr>
      <w:bookmarkStart w:id="130" w:name="_Toc12366_WPSOffice_Level3"/>
      <w:r>
        <w:rPr>
          <w:rFonts w:hint="eastAsia" w:ascii="宋体" w:hAnsi="宋体" w:eastAsia="宋体" w:cs="宋体"/>
          <w:b/>
          <w:bCs/>
          <w:color w:val="auto"/>
          <w:sz w:val="24"/>
          <w:szCs w:val="24"/>
        </w:rPr>
        <w:t>7、要求</w:t>
      </w:r>
      <w:bookmarkEnd w:id="130"/>
    </w:p>
    <w:p w14:paraId="63EB7AB4">
      <w:pPr>
        <w:pStyle w:val="8"/>
        <w:keepNext w:val="0"/>
        <w:keepLines w:val="0"/>
        <w:pageBreakBefore w:val="0"/>
        <w:widowControl w:val="0"/>
        <w:kinsoku/>
        <w:wordWrap w:val="0"/>
        <w:overflowPunct/>
        <w:topLinePunct w:val="0"/>
        <w:bidi w:val="0"/>
        <w:adjustRightInd/>
        <w:snapToGrid/>
        <w:spacing w:line="480" w:lineRule="exact"/>
        <w:ind w:left="0" w:right="0" w:firstLine="472" w:firstLineChars="200"/>
        <w:jc w:val="left"/>
        <w:textAlignment w:val="auto"/>
        <w:rPr>
          <w:rFonts w:hint="eastAsia" w:ascii="宋体" w:hAnsi="宋体" w:eastAsia="宋体" w:cs="宋体"/>
          <w:color w:val="auto"/>
        </w:rPr>
      </w:pPr>
      <w:r>
        <w:rPr>
          <w:rFonts w:hint="eastAsia" w:ascii="宋体" w:hAnsi="宋体" w:eastAsia="宋体" w:cs="宋体"/>
          <w:color w:val="auto"/>
          <w:spacing w:val="-2"/>
        </w:rPr>
        <w:t>7.1 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1BEC9550">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sz w:val="24"/>
          <w:szCs w:val="24"/>
        </w:rPr>
      </w:pPr>
      <w:bookmarkStart w:id="131" w:name="_Toc8655_WPSOffice_Level3"/>
      <w:r>
        <w:rPr>
          <w:rFonts w:hint="eastAsia" w:ascii="宋体" w:hAnsi="宋体" w:eastAsia="宋体" w:cs="宋体"/>
          <w:b/>
          <w:bCs/>
          <w:color w:val="auto"/>
          <w:sz w:val="24"/>
          <w:szCs w:val="24"/>
        </w:rPr>
        <w:t>8、电子化磋商响应文件的组成</w:t>
      </w:r>
      <w:bookmarkEnd w:id="131"/>
    </w:p>
    <w:p w14:paraId="09B62AAA">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详见第六章</w:t>
      </w:r>
      <w:r>
        <w:rPr>
          <w:rFonts w:hint="eastAsia" w:cs="宋体"/>
          <w:color w:val="auto"/>
          <w:sz w:val="24"/>
          <w:szCs w:val="24"/>
          <w:lang w:eastAsia="zh-CN"/>
        </w:rPr>
        <w:t>电子化响应文件内容及格式</w:t>
      </w:r>
    </w:p>
    <w:p w14:paraId="0A3BB8FD">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sz w:val="24"/>
          <w:szCs w:val="24"/>
        </w:rPr>
      </w:pPr>
      <w:bookmarkStart w:id="132" w:name="_Toc4976_WPSOffice_Level3"/>
      <w:r>
        <w:rPr>
          <w:rFonts w:hint="eastAsia" w:ascii="宋体" w:hAnsi="宋体" w:eastAsia="宋体" w:cs="宋体"/>
          <w:b/>
          <w:bCs/>
          <w:color w:val="auto"/>
          <w:sz w:val="24"/>
          <w:szCs w:val="24"/>
        </w:rPr>
        <w:t>9、电子化磋商响应文件的格式</w:t>
      </w:r>
      <w:bookmarkEnd w:id="132"/>
    </w:p>
    <w:p w14:paraId="777126BC">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9.1</w:t>
      </w:r>
      <w:r>
        <w:rPr>
          <w:rFonts w:hint="eastAsia" w:ascii="宋体" w:hAnsi="宋体" w:eastAsia="宋体" w:cs="宋体"/>
          <w:color w:val="auto"/>
          <w:spacing w:val="-12"/>
        </w:rPr>
        <w:t>投标供应商所上传的电子化响应文件，应是通过中心响应文件制作系统制作的，经过签章和加密后生成的电子版响应文件。上传投标文件格式后缀为SMXTF。上传完后，为了验证CA锁是否正常，建议模拟解密下</w:t>
      </w:r>
      <w:r>
        <w:rPr>
          <w:rFonts w:hint="eastAsia" w:ascii="宋体" w:hAnsi="宋体" w:eastAsia="宋体" w:cs="宋体"/>
          <w:color w:val="auto"/>
        </w:rPr>
        <w:t>。</w:t>
      </w:r>
    </w:p>
    <w:p w14:paraId="5FB3B5A3">
      <w:pPr>
        <w:pStyle w:val="27"/>
        <w:keepNext w:val="0"/>
        <w:keepLines w:val="0"/>
        <w:pageBreakBefore w:val="0"/>
        <w:widowControl w:val="0"/>
        <w:tabs>
          <w:tab w:val="left" w:pos="1101"/>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sz w:val="24"/>
          <w:szCs w:val="24"/>
        </w:rPr>
      </w:pPr>
      <w:bookmarkStart w:id="133" w:name="_Toc3669_WPSOffice_Level3"/>
      <w:r>
        <w:rPr>
          <w:rFonts w:hint="eastAsia" w:ascii="宋体" w:hAnsi="宋体" w:eastAsia="宋体" w:cs="宋体"/>
          <w:b/>
          <w:bCs/>
          <w:color w:val="auto"/>
          <w:sz w:val="24"/>
          <w:szCs w:val="24"/>
        </w:rPr>
        <w:t>10、电子化磋商响应文件的签署</w:t>
      </w:r>
      <w:bookmarkEnd w:id="133"/>
    </w:p>
    <w:p w14:paraId="54264B7E">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rPr>
        <w:t>10.1 磋商响应供应商在进行电子化磋商响应文件签章时，竞争性磋商文件中要求磋商响应供应商盖章的，以签盖单位章为准；要求法定代表人</w:t>
      </w:r>
      <w:r>
        <w:rPr>
          <w:rFonts w:hint="eastAsia" w:ascii="宋体" w:hAnsi="宋体" w:eastAsia="宋体" w:cs="宋体"/>
          <w:color w:val="auto"/>
          <w:spacing w:val="-12"/>
          <w:lang w:val="en-US" w:eastAsia="zh-CN"/>
        </w:rPr>
        <w:t>或授权委托人</w:t>
      </w:r>
      <w:r>
        <w:rPr>
          <w:rFonts w:hint="eastAsia" w:ascii="宋体" w:hAnsi="宋体" w:eastAsia="宋体" w:cs="宋体"/>
          <w:color w:val="auto"/>
          <w:spacing w:val="-12"/>
        </w:rPr>
        <w:t>签章的，以签盖法定代表人签章为准。电子化磋商响应文件具体制作教材请供应商通过三门峡市公共资源交易平台网首页“下载专区”中查看。</w:t>
      </w:r>
    </w:p>
    <w:p w14:paraId="62EEEDFB">
      <w:pPr>
        <w:pStyle w:val="5"/>
        <w:keepNext w:val="0"/>
        <w:keepLines w:val="0"/>
        <w:pageBreakBefore w:val="0"/>
        <w:widowControl w:val="0"/>
        <w:tabs>
          <w:tab w:val="left" w:pos="687"/>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34" w:name="_Toc1982_WPSOffice_Level3"/>
      <w:r>
        <w:rPr>
          <w:rFonts w:hint="eastAsia" w:ascii="宋体" w:hAnsi="宋体" w:eastAsia="宋体" w:cs="宋体"/>
          <w:color w:val="auto"/>
        </w:rPr>
        <w:t>11、电子化磋商响应文件的上传</w:t>
      </w:r>
      <w:bookmarkEnd w:id="134"/>
    </w:p>
    <w:p w14:paraId="004F4D7E">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11.1</w:t>
      </w:r>
      <w:r>
        <w:rPr>
          <w:rFonts w:hint="eastAsia" w:ascii="宋体" w:hAnsi="宋体" w:eastAsia="宋体" w:cs="宋体"/>
          <w:color w:val="auto"/>
          <w:spacing w:val="-9"/>
        </w:rPr>
        <w:t xml:space="preserve"> 电子化磋商响应文件应在磋商截止时间前成功上传至三门峡市公共资源电子化</w:t>
      </w:r>
      <w:r>
        <w:rPr>
          <w:rFonts w:hint="eastAsia" w:ascii="宋体" w:hAnsi="宋体" w:eastAsia="宋体" w:cs="宋体"/>
          <w:color w:val="auto"/>
        </w:rPr>
        <w:t>交易系统。至磋商截止时间止，仍未上传成功的电子化磋商响应文件将不予接收。</w:t>
      </w:r>
    </w:p>
    <w:p w14:paraId="49FCE013">
      <w:pPr>
        <w:pStyle w:val="8"/>
        <w:keepNext w:val="0"/>
        <w:keepLines w:val="0"/>
        <w:pageBreakBefore w:val="0"/>
        <w:widowControl w:val="0"/>
        <w:kinsoku/>
        <w:wordWrap w:val="0"/>
        <w:overflowPunct/>
        <w:topLinePunct w:val="0"/>
        <w:bidi w:val="0"/>
        <w:adjustRightInd/>
        <w:snapToGrid/>
        <w:spacing w:line="480" w:lineRule="exact"/>
        <w:ind w:left="0" w:right="0" w:firstLine="366" w:firstLineChars="200"/>
        <w:jc w:val="left"/>
        <w:textAlignment w:val="auto"/>
        <w:rPr>
          <w:rFonts w:hint="eastAsia" w:ascii="宋体" w:hAnsi="宋体" w:eastAsia="宋体" w:cs="宋体"/>
          <w:color w:val="auto"/>
        </w:rPr>
      </w:pPr>
      <w:r>
        <w:rPr>
          <w:rFonts w:hint="eastAsia" w:ascii="宋体" w:hAnsi="宋体" w:eastAsia="宋体" w:cs="宋体"/>
          <w:b/>
          <w:color w:val="auto"/>
          <w:spacing w:val="-29"/>
        </w:rPr>
        <w:t>注：</w:t>
      </w:r>
      <w:r>
        <w:rPr>
          <w:rFonts w:hint="eastAsia" w:ascii="宋体" w:hAnsi="宋体" w:eastAsia="宋体" w:cs="宋体"/>
          <w:color w:val="auto"/>
          <w:spacing w:val="-3"/>
        </w:rPr>
        <w:t>如按照电子化投标操作教材制作完成的电子化磋商响应文件无法上传的，磋商响</w:t>
      </w:r>
      <w:r>
        <w:rPr>
          <w:rFonts w:hint="eastAsia" w:ascii="宋体" w:hAnsi="宋体" w:eastAsia="宋体" w:cs="宋体"/>
          <w:color w:val="auto"/>
        </w:rPr>
        <w:t>应供应商应在磋商截止时间前尽早的联系中心技术人员，以便有充分的时间进行处理。磋商响应供应商应充分考虑到处理技术问题和上传数据等工作的时间问题，磋商响应文件未在磋商截止时间前成功上传的，其磋商响应文件不予接收。</w:t>
      </w:r>
    </w:p>
    <w:p w14:paraId="479F4FFE">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35" w:name="_Toc4328_WPSOffice_Level3"/>
      <w:r>
        <w:rPr>
          <w:rFonts w:hint="eastAsia" w:ascii="宋体" w:hAnsi="宋体" w:eastAsia="宋体" w:cs="宋体"/>
          <w:color w:val="auto"/>
        </w:rPr>
        <w:t>12、磋商截止时间</w:t>
      </w:r>
      <w:bookmarkEnd w:id="135"/>
    </w:p>
    <w:p w14:paraId="7F9A1210">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12.1 电子化磋商响应文件的截止时间见本须知前附表规定。</w:t>
      </w:r>
    </w:p>
    <w:p w14:paraId="7B84DAD1">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36" w:name="_Toc14892_WPSOffice_Level3"/>
      <w:r>
        <w:rPr>
          <w:rFonts w:hint="eastAsia" w:ascii="宋体" w:hAnsi="宋体" w:eastAsia="宋体" w:cs="宋体"/>
          <w:color w:val="auto"/>
        </w:rPr>
        <w:t>13、电子化磋商响应文件的补充、修改与撤回</w:t>
      </w:r>
      <w:bookmarkEnd w:id="136"/>
    </w:p>
    <w:p w14:paraId="071B00F7">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rPr>
        <w:t>13.1 在磋商截止时间之后，磋商响应供应商不得补充、修改电子化磋商响应文件。</w:t>
      </w:r>
    </w:p>
    <w:p w14:paraId="2AF238F6">
      <w:pPr>
        <w:pStyle w:val="8"/>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rPr>
      </w:pPr>
      <w:bookmarkStart w:id="137" w:name="_Toc16713_WPSOffice_Level3"/>
      <w:r>
        <w:rPr>
          <w:rFonts w:hint="eastAsia" w:ascii="宋体" w:hAnsi="宋体" w:eastAsia="宋体" w:cs="宋体"/>
          <w:b/>
          <w:bCs/>
          <w:color w:val="auto"/>
        </w:rPr>
        <w:t>14、磋商报价</w:t>
      </w:r>
      <w:bookmarkEnd w:id="137"/>
    </w:p>
    <w:p w14:paraId="0605FC93">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b/>
          <w:bCs/>
          <w:color w:val="auto"/>
        </w:rPr>
      </w:pPr>
      <w:r>
        <w:rPr>
          <w:rFonts w:hint="eastAsia" w:ascii="宋体" w:hAnsi="宋体" w:eastAsia="宋体" w:cs="宋体"/>
          <w:color w:val="auto"/>
          <w:spacing w:val="-12"/>
          <w:lang w:val="en-US"/>
        </w:rPr>
        <w:t xml:space="preserve">14.1 </w:t>
      </w:r>
      <w:r>
        <w:rPr>
          <w:rFonts w:hint="eastAsia" w:ascii="宋体" w:hAnsi="宋体" w:eastAsia="宋体" w:cs="宋体"/>
          <w:color w:val="auto"/>
          <w:spacing w:val="-12"/>
        </w:rPr>
        <w:t>本次磋商采购的均须以</w:t>
      </w:r>
      <w:r>
        <w:rPr>
          <w:rFonts w:hint="eastAsia" w:ascii="宋体" w:hAnsi="宋体" w:eastAsia="宋体" w:cs="宋体"/>
          <w:color w:val="auto"/>
          <w:spacing w:val="-12"/>
          <w:lang w:val="en-US" w:eastAsia="zh-CN"/>
        </w:rPr>
        <w:t>总价方式报价</w:t>
      </w:r>
      <w:r>
        <w:rPr>
          <w:rFonts w:hint="eastAsia" w:ascii="宋体" w:hAnsi="宋体" w:eastAsia="宋体" w:cs="宋体"/>
          <w:color w:val="auto"/>
          <w:spacing w:val="-12"/>
        </w:rPr>
        <w:t>。</w:t>
      </w:r>
    </w:p>
    <w:p w14:paraId="73F5142A">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 xml:space="preserve">14.2 </w:t>
      </w:r>
      <w:r>
        <w:rPr>
          <w:rFonts w:hint="eastAsia" w:ascii="宋体" w:hAnsi="宋体" w:eastAsia="宋体" w:cs="宋体"/>
          <w:color w:val="auto"/>
          <w:spacing w:val="-12"/>
        </w:rPr>
        <w:t>磋商响应供应商</w:t>
      </w:r>
      <w:r>
        <w:rPr>
          <w:rFonts w:hint="eastAsia" w:ascii="宋体" w:hAnsi="宋体" w:eastAsia="宋体" w:cs="宋体"/>
          <w:color w:val="auto"/>
          <w:spacing w:val="-12"/>
          <w:lang w:val="en-US"/>
        </w:rPr>
        <w:t>所报总价包含此项目中</w:t>
      </w:r>
      <w:r>
        <w:rPr>
          <w:rFonts w:hint="eastAsia" w:ascii="宋体" w:hAnsi="宋体" w:eastAsia="宋体" w:cs="宋体"/>
          <w:color w:val="auto"/>
          <w:spacing w:val="-12"/>
          <w:lang w:val="en-US" w:eastAsia="zh-CN"/>
        </w:rPr>
        <w:t>所有服务内容</w:t>
      </w:r>
      <w:r>
        <w:rPr>
          <w:rFonts w:hint="eastAsia" w:ascii="宋体" w:hAnsi="宋体" w:eastAsia="宋体" w:cs="宋体"/>
          <w:color w:val="auto"/>
          <w:spacing w:val="-12"/>
          <w:lang w:val="en-US"/>
        </w:rPr>
        <w:t>、税金、等所有费用</w:t>
      </w:r>
      <w:r>
        <w:rPr>
          <w:rFonts w:hint="eastAsia" w:ascii="宋体" w:hAnsi="宋体" w:eastAsia="宋体" w:cs="宋体"/>
          <w:color w:val="auto"/>
          <w:spacing w:val="-12"/>
        </w:rPr>
        <w:t>。</w:t>
      </w:r>
    </w:p>
    <w:p w14:paraId="7F1D866E">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 xml:space="preserve">14.3 </w:t>
      </w:r>
      <w:r>
        <w:rPr>
          <w:rFonts w:hint="eastAsia" w:ascii="宋体" w:hAnsi="宋体" w:eastAsia="宋体" w:cs="宋体"/>
          <w:color w:val="auto"/>
          <w:spacing w:val="-12"/>
        </w:rPr>
        <w:t>磋商响应供应商应充分考虑市场风险和国家政策性风险系数，根据企业具体情况在合理的范围内自主报价，但不得低于企业实际成本。</w:t>
      </w:r>
    </w:p>
    <w:p w14:paraId="59257699">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 xml:space="preserve">14.4 </w:t>
      </w:r>
      <w:r>
        <w:rPr>
          <w:rFonts w:hint="eastAsia" w:ascii="宋体" w:hAnsi="宋体" w:eastAsia="宋体" w:cs="宋体"/>
          <w:color w:val="auto"/>
          <w:spacing w:val="-12"/>
        </w:rPr>
        <w:t>磋商响应供应商的磋商报价应包含验收合格正式交付使用前所发生的一切费用，且磋商响应供应商只能提出一个报价，采购人不接受任何有选择的报价，最后报价不得超过项目采购预算。</w:t>
      </w:r>
    </w:p>
    <w:p w14:paraId="6D5D08B5">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 xml:space="preserve">14.5 </w:t>
      </w:r>
      <w:r>
        <w:rPr>
          <w:rFonts w:hint="eastAsia" w:ascii="宋体" w:hAnsi="宋体" w:eastAsia="宋体" w:cs="宋体"/>
          <w:color w:val="auto"/>
          <w:spacing w:val="-12"/>
        </w:rPr>
        <w:t>磋商响应供应商的报价明显低于其他报价，使得其报价可能低于其个别成本的， 有可能影响</w:t>
      </w:r>
      <w:r>
        <w:rPr>
          <w:rFonts w:hint="eastAsia" w:ascii="宋体" w:hAnsi="宋体" w:eastAsia="宋体" w:cs="宋体"/>
          <w:color w:val="auto"/>
          <w:spacing w:val="-12"/>
          <w:lang w:val="en-US" w:eastAsia="zh-CN"/>
        </w:rPr>
        <w:t>项目实施</w:t>
      </w:r>
      <w:r>
        <w:rPr>
          <w:rFonts w:hint="eastAsia" w:ascii="宋体" w:hAnsi="宋体" w:eastAsia="宋体" w:cs="宋体"/>
          <w:color w:val="auto"/>
          <w:spacing w:val="-12"/>
        </w:rPr>
        <w:t>和不能诚信履约的，应当要求该报价人作出书面说明并提供相关证明材料。报价人不能合理说明或者不能提供相关证明材料的，由磋商小组认定该报价人以低于成本报价，其报价应作无效报价处理。</w:t>
      </w:r>
    </w:p>
    <w:p w14:paraId="0908DF28">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14.6</w:t>
      </w:r>
      <w:r>
        <w:rPr>
          <w:rFonts w:hint="eastAsia" w:ascii="宋体" w:hAnsi="宋体" w:eastAsia="宋体" w:cs="宋体"/>
          <w:b/>
          <w:bCs/>
          <w:color w:val="auto"/>
          <w:spacing w:val="-12"/>
        </w:rPr>
        <w:t>本次采购为竞争性磋商采购，允许二次报价。</w:t>
      </w:r>
    </w:p>
    <w:p w14:paraId="42DE7BC3">
      <w:pPr>
        <w:pStyle w:val="8"/>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b/>
          <w:bCs/>
          <w:color w:val="auto"/>
        </w:rPr>
      </w:pPr>
      <w:bookmarkStart w:id="138" w:name="_Toc28583_WPSOffice_Level3"/>
      <w:r>
        <w:rPr>
          <w:rFonts w:hint="eastAsia" w:ascii="宋体" w:hAnsi="宋体" w:eastAsia="宋体" w:cs="宋体"/>
          <w:b/>
          <w:bCs/>
          <w:color w:val="auto"/>
          <w:lang w:val="en-US"/>
        </w:rPr>
        <w:t>15、</w:t>
      </w:r>
      <w:r>
        <w:rPr>
          <w:rFonts w:hint="eastAsia" w:ascii="宋体" w:hAnsi="宋体" w:eastAsia="宋体" w:cs="宋体"/>
          <w:b/>
          <w:bCs/>
          <w:color w:val="auto"/>
        </w:rPr>
        <w:t>磋商响应供应商资格的证明文件</w:t>
      </w:r>
      <w:bookmarkEnd w:id="138"/>
    </w:p>
    <w:p w14:paraId="63118078">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15.1</w:t>
      </w:r>
      <w:r>
        <w:rPr>
          <w:rFonts w:hint="eastAsia" w:ascii="宋体" w:hAnsi="宋体" w:eastAsia="宋体" w:cs="宋体"/>
          <w:color w:val="auto"/>
          <w:spacing w:val="-12"/>
        </w:rPr>
        <w:t>证明磋商响应供应商是有资格参加磋商的。</w:t>
      </w:r>
    </w:p>
    <w:p w14:paraId="58996768">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rPr>
      </w:pPr>
      <w:r>
        <w:rPr>
          <w:rFonts w:hint="eastAsia" w:ascii="宋体" w:hAnsi="宋体" w:eastAsia="宋体" w:cs="宋体"/>
          <w:color w:val="auto"/>
          <w:spacing w:val="-12"/>
          <w:lang w:val="en-US"/>
        </w:rPr>
        <w:t>15.2</w:t>
      </w:r>
      <w:r>
        <w:rPr>
          <w:rFonts w:hint="eastAsia" w:ascii="宋体" w:hAnsi="宋体" w:eastAsia="宋体" w:cs="宋体"/>
          <w:color w:val="auto"/>
          <w:spacing w:val="-12"/>
        </w:rPr>
        <w:t>证明磋商响应供应商有能力履行竞争性磋商文件中合同条款和技术要求规定的由磋商响应供应商提供的服务等义务。</w:t>
      </w:r>
    </w:p>
    <w:p w14:paraId="7E77A48E">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39" w:name="_Toc29721_WPSOffice_Level3"/>
      <w:r>
        <w:rPr>
          <w:rFonts w:hint="eastAsia" w:ascii="宋体" w:hAnsi="宋体" w:eastAsia="宋体" w:cs="宋体"/>
          <w:color w:val="auto"/>
        </w:rPr>
        <w:t>16、磋商保证金</w:t>
      </w:r>
      <w:bookmarkEnd w:id="139"/>
    </w:p>
    <w:p w14:paraId="14C35558">
      <w:pPr>
        <w:pStyle w:val="8"/>
        <w:keepNext w:val="0"/>
        <w:keepLines w:val="0"/>
        <w:pageBreakBefore w:val="0"/>
        <w:widowControl w:val="0"/>
        <w:kinsoku/>
        <w:wordWrap w:val="0"/>
        <w:overflowPunct/>
        <w:topLinePunct w:val="0"/>
        <w:bidi w:val="0"/>
        <w:adjustRightInd/>
        <w:snapToGrid/>
        <w:spacing w:line="480" w:lineRule="exact"/>
        <w:ind w:left="0" w:right="0" w:firstLine="432" w:firstLineChars="200"/>
        <w:jc w:val="left"/>
        <w:textAlignment w:val="auto"/>
        <w:rPr>
          <w:rFonts w:hint="eastAsia" w:ascii="宋体" w:hAnsi="宋体" w:eastAsia="宋体" w:cs="宋体"/>
          <w:color w:val="auto"/>
          <w:spacing w:val="-12"/>
          <w:lang w:val="en-US" w:eastAsia="zh-CN"/>
        </w:rPr>
      </w:pPr>
      <w:bookmarkStart w:id="140" w:name="_Toc26640_WPSOffice_Level3"/>
      <w:r>
        <w:rPr>
          <w:rFonts w:hint="eastAsia" w:ascii="宋体" w:hAnsi="宋体" w:eastAsia="宋体" w:cs="宋体"/>
          <w:color w:val="auto"/>
          <w:spacing w:val="-12"/>
          <w:lang w:val="en-US"/>
        </w:rPr>
        <w:t>根据《河南省财政厅关于优化政府采购营商环境有关问题的通知》（豫财购【2019】4号）第6条的规定，本项目磋商保证金不再收取</w:t>
      </w:r>
      <w:r>
        <w:rPr>
          <w:rFonts w:hint="eastAsia" w:ascii="宋体" w:hAnsi="宋体" w:cs="宋体"/>
          <w:color w:val="auto"/>
          <w:spacing w:val="-12"/>
          <w:lang w:val="en-US" w:eastAsia="zh-CN"/>
        </w:rPr>
        <w:t>。</w:t>
      </w:r>
    </w:p>
    <w:p w14:paraId="4AA7311D">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r>
        <w:rPr>
          <w:rFonts w:hint="eastAsia" w:ascii="宋体" w:hAnsi="宋体" w:eastAsia="宋体" w:cs="宋体"/>
          <w:color w:val="auto"/>
        </w:rPr>
        <w:t>17、磋商响应文件有效期</w:t>
      </w:r>
      <w:bookmarkEnd w:id="140"/>
    </w:p>
    <w:p w14:paraId="314CC07C">
      <w:pPr>
        <w:pStyle w:val="27"/>
        <w:keepNext w:val="0"/>
        <w:keepLines w:val="0"/>
        <w:pageBreakBefore w:val="0"/>
        <w:widowControl w:val="0"/>
        <w:numPr>
          <w:ilvl w:val="1"/>
          <w:numId w:val="3"/>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响应性文件从首次递交竞争性磋商响应文件截止时间之日起开始生效，磋商有</w:t>
      </w:r>
      <w:r>
        <w:rPr>
          <w:rFonts w:hint="eastAsia" w:ascii="宋体" w:hAnsi="宋体" w:eastAsia="宋体" w:cs="宋体"/>
          <w:color w:val="auto"/>
          <w:spacing w:val="-15"/>
          <w:sz w:val="24"/>
        </w:rPr>
        <w:t>效期为</w:t>
      </w:r>
      <w:r>
        <w:rPr>
          <w:rFonts w:hint="eastAsia" w:ascii="宋体" w:hAnsi="宋体" w:eastAsia="宋体" w:cs="宋体"/>
          <w:color w:val="auto"/>
          <w:spacing w:val="-15"/>
          <w:sz w:val="24"/>
          <w:lang w:val="en-US" w:eastAsia="zh-CN"/>
        </w:rPr>
        <w:t>60</w:t>
      </w:r>
      <w:r>
        <w:rPr>
          <w:rFonts w:hint="eastAsia" w:ascii="宋体" w:hAnsi="宋体" w:eastAsia="宋体" w:cs="宋体"/>
          <w:color w:val="auto"/>
          <w:spacing w:val="-8"/>
          <w:sz w:val="24"/>
        </w:rPr>
        <w:t>日历天，有效期短于此规定的响应文件将被视为无效文件。</w:t>
      </w:r>
    </w:p>
    <w:p w14:paraId="61F3A6BC">
      <w:pPr>
        <w:pStyle w:val="27"/>
        <w:keepNext w:val="0"/>
        <w:keepLines w:val="0"/>
        <w:pageBreakBefore w:val="0"/>
        <w:widowControl w:val="0"/>
        <w:numPr>
          <w:ilvl w:val="1"/>
          <w:numId w:val="3"/>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59BBE91D">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1" w:name="_Toc14449_WPSOffice_Level3"/>
      <w:r>
        <w:rPr>
          <w:rFonts w:hint="eastAsia" w:ascii="宋体" w:hAnsi="宋体" w:eastAsia="宋体" w:cs="宋体"/>
          <w:color w:val="auto"/>
        </w:rPr>
        <w:t>18、磋商</w:t>
      </w:r>
      <w:bookmarkEnd w:id="141"/>
    </w:p>
    <w:p w14:paraId="135C64BD">
      <w:pPr>
        <w:pStyle w:val="27"/>
        <w:keepNext w:val="0"/>
        <w:keepLines w:val="0"/>
        <w:pageBreakBefore w:val="0"/>
        <w:widowControl w:val="0"/>
        <w:numPr>
          <w:ilvl w:val="1"/>
          <w:numId w:val="4"/>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采购人按本须知前附表规定的时间和地点磋商。</w:t>
      </w:r>
    </w:p>
    <w:p w14:paraId="5B3CE3BB">
      <w:pPr>
        <w:pStyle w:val="27"/>
        <w:keepNext w:val="0"/>
        <w:keepLines w:val="0"/>
        <w:pageBreakBefore w:val="0"/>
        <w:widowControl w:val="0"/>
        <w:numPr>
          <w:ilvl w:val="1"/>
          <w:numId w:val="4"/>
        </w:numPr>
        <w:tabs>
          <w:tab w:val="left" w:pos="122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磋商会议由采购代理机构主持；</w:t>
      </w:r>
    </w:p>
    <w:p w14:paraId="59873DE4">
      <w:pPr>
        <w:pStyle w:val="27"/>
        <w:keepNext w:val="0"/>
        <w:keepLines w:val="0"/>
        <w:pageBreakBefore w:val="0"/>
        <w:widowControl w:val="0"/>
        <w:numPr>
          <w:ilvl w:val="1"/>
          <w:numId w:val="4"/>
        </w:numPr>
        <w:tabs>
          <w:tab w:val="left" w:pos="122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宣布磋商会议纪律；</w:t>
      </w:r>
    </w:p>
    <w:p w14:paraId="6AC0F006">
      <w:pPr>
        <w:pStyle w:val="27"/>
        <w:keepNext w:val="0"/>
        <w:keepLines w:val="0"/>
        <w:pageBreakBefore w:val="0"/>
        <w:widowControl w:val="0"/>
        <w:numPr>
          <w:ilvl w:val="1"/>
          <w:numId w:val="4"/>
        </w:numPr>
        <w:tabs>
          <w:tab w:val="left" w:pos="1222"/>
        </w:tabs>
        <w:kinsoku/>
        <w:wordWrap w:val="0"/>
        <w:overflowPunct/>
        <w:topLinePunct w:val="0"/>
        <w:bidi w:val="0"/>
        <w:adjustRightInd/>
        <w:snapToGrid/>
        <w:spacing w:line="480" w:lineRule="exact"/>
        <w:ind w:left="0" w:right="0" w:firstLine="43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1"/>
          <w:sz w:val="24"/>
        </w:rPr>
        <w:t>磋商时，电子招标投标交易平台自动提取所有电子化磋商响应文件，按时在线解</w:t>
      </w:r>
      <w:r>
        <w:rPr>
          <w:rFonts w:hint="eastAsia" w:ascii="宋体" w:hAnsi="宋体" w:eastAsia="宋体" w:cs="宋体"/>
          <w:color w:val="auto"/>
          <w:sz w:val="24"/>
        </w:rPr>
        <w:t>密；</w:t>
      </w:r>
    </w:p>
    <w:p w14:paraId="7DF6D9A6">
      <w:pPr>
        <w:pStyle w:val="27"/>
        <w:keepNext w:val="0"/>
        <w:keepLines w:val="0"/>
        <w:pageBreakBefore w:val="0"/>
        <w:widowControl w:val="0"/>
        <w:numPr>
          <w:ilvl w:val="1"/>
          <w:numId w:val="4"/>
        </w:numPr>
        <w:tabs>
          <w:tab w:val="left" w:pos="122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电子化磋商响应文件的有效性</w:t>
      </w:r>
    </w:p>
    <w:p w14:paraId="4BA0ECEE">
      <w:pPr>
        <w:pStyle w:val="27"/>
        <w:keepNext w:val="0"/>
        <w:keepLines w:val="0"/>
        <w:pageBreakBefore w:val="0"/>
        <w:widowControl w:val="0"/>
        <w:tabs>
          <w:tab w:val="left" w:pos="122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lang w:val="en-US"/>
        </w:rPr>
        <w:t>18.5.1</w:t>
      </w:r>
      <w:r>
        <w:rPr>
          <w:rFonts w:hint="eastAsia" w:ascii="宋体" w:hAnsi="宋体" w:eastAsia="宋体" w:cs="宋体"/>
          <w:color w:val="auto"/>
          <w:sz w:val="24"/>
        </w:rPr>
        <w:t>电子化磋商响应文件有下列情形的为无效电子化磋商响应文件，采购人不予受理：因磋商响应供应商原因造成磋商响应文件未解密的，视为撤销其磋商响应文件；因磋商响应供应商之外的原因造成电子化磋商响应文件未解密的，视为撤回其磋商响应文件，磋商响应供应商有权要求责任方赔偿因此遭受的直接损失。部分电子化磋商响应文件未解密的，其他电子化磋商可以继续进行。</w:t>
      </w:r>
    </w:p>
    <w:p w14:paraId="6E640D27">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2" w:name="_Toc29167_WPSOffice_Level3"/>
      <w:r>
        <w:rPr>
          <w:rFonts w:hint="eastAsia" w:ascii="宋体" w:hAnsi="宋体" w:eastAsia="宋体" w:cs="宋体"/>
          <w:color w:val="auto"/>
        </w:rPr>
        <w:t>19、磋商小组</w:t>
      </w:r>
      <w:bookmarkEnd w:id="142"/>
    </w:p>
    <w:p w14:paraId="70C400A7">
      <w:pPr>
        <w:pStyle w:val="27"/>
        <w:keepNext w:val="0"/>
        <w:keepLines w:val="0"/>
        <w:pageBreakBefore w:val="0"/>
        <w:widowControl w:val="0"/>
        <w:numPr>
          <w:ilvl w:val="1"/>
          <w:numId w:val="5"/>
        </w:numPr>
        <w:tabs>
          <w:tab w:val="left" w:pos="1281"/>
        </w:tabs>
        <w:kinsoku/>
        <w:wordWrap w:val="0"/>
        <w:overflowPunct/>
        <w:topLinePunct w:val="0"/>
        <w:bidi w:val="0"/>
        <w:adjustRightInd/>
        <w:snapToGrid/>
        <w:spacing w:line="480" w:lineRule="exact"/>
        <w:ind w:left="0" w:right="0" w:firstLine="444"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9"/>
          <w:sz w:val="24"/>
        </w:rPr>
        <w:t xml:space="preserve">磋商小组由 </w:t>
      </w:r>
      <w:r>
        <w:rPr>
          <w:rFonts w:hint="eastAsia" w:ascii="宋体" w:hAnsi="宋体" w:eastAsia="宋体" w:cs="宋体"/>
          <w:color w:val="auto"/>
          <w:sz w:val="24"/>
        </w:rPr>
        <w:t>3</w:t>
      </w:r>
      <w:r>
        <w:rPr>
          <w:rFonts w:hint="eastAsia" w:ascii="宋体" w:hAnsi="宋体" w:eastAsia="宋体" w:cs="宋体"/>
          <w:color w:val="auto"/>
          <w:spacing w:val="-12"/>
          <w:sz w:val="24"/>
        </w:rPr>
        <w:t xml:space="preserve"> 人构成：采购人代表 </w:t>
      </w:r>
      <w:r>
        <w:rPr>
          <w:rFonts w:hint="eastAsia" w:ascii="宋体" w:hAnsi="宋体" w:eastAsia="宋体" w:cs="宋体"/>
          <w:color w:val="auto"/>
          <w:sz w:val="24"/>
        </w:rPr>
        <w:t>1</w:t>
      </w:r>
      <w:r>
        <w:rPr>
          <w:rFonts w:hint="eastAsia" w:ascii="宋体" w:hAnsi="宋体" w:eastAsia="宋体" w:cs="宋体"/>
          <w:color w:val="auto"/>
          <w:spacing w:val="-12"/>
          <w:sz w:val="24"/>
        </w:rPr>
        <w:t xml:space="preserve"> 人，经济、技术方面专家 </w:t>
      </w:r>
      <w:r>
        <w:rPr>
          <w:rFonts w:hint="eastAsia" w:ascii="宋体" w:hAnsi="宋体" w:eastAsia="宋体" w:cs="宋体"/>
          <w:color w:val="auto"/>
          <w:sz w:val="24"/>
        </w:rPr>
        <w:t>2</w:t>
      </w:r>
      <w:r>
        <w:rPr>
          <w:rFonts w:hint="eastAsia" w:ascii="宋体" w:hAnsi="宋体" w:eastAsia="宋体" w:cs="宋体"/>
          <w:color w:val="auto"/>
          <w:spacing w:val="-9"/>
          <w:sz w:val="24"/>
        </w:rPr>
        <w:t xml:space="preserve"> 人，在磋商会议开始</w:t>
      </w:r>
      <w:r>
        <w:rPr>
          <w:rFonts w:hint="eastAsia" w:ascii="宋体" w:hAnsi="宋体" w:eastAsia="宋体" w:cs="宋体"/>
          <w:color w:val="auto"/>
          <w:spacing w:val="-9"/>
          <w:sz w:val="24"/>
          <w:lang w:val="en-US" w:eastAsia="zh-CN"/>
        </w:rPr>
        <w:t>后</w:t>
      </w:r>
      <w:r>
        <w:rPr>
          <w:rFonts w:hint="eastAsia" w:ascii="宋体" w:hAnsi="宋体" w:eastAsia="宋体" w:cs="宋体"/>
          <w:color w:val="auto"/>
          <w:spacing w:val="-9"/>
          <w:sz w:val="24"/>
        </w:rPr>
        <w:t>从</w:t>
      </w:r>
      <w:r>
        <w:rPr>
          <w:rFonts w:hint="eastAsia" w:ascii="宋体" w:hAnsi="宋体" w:eastAsia="宋体" w:cs="宋体"/>
          <w:color w:val="auto"/>
          <w:spacing w:val="-9"/>
          <w:sz w:val="24"/>
          <w:lang w:val="en-US" w:eastAsia="zh-CN"/>
        </w:rPr>
        <w:t>河南省</w:t>
      </w:r>
      <w:r>
        <w:rPr>
          <w:rFonts w:hint="eastAsia" w:ascii="宋体" w:hAnsi="宋体" w:eastAsia="宋体" w:cs="宋体"/>
          <w:color w:val="auto"/>
          <w:kern w:val="0"/>
          <w:sz w:val="24"/>
          <w:szCs w:val="24"/>
          <w:highlight w:val="none"/>
        </w:rPr>
        <w:t>政府采购网专家库</w:t>
      </w:r>
      <w:r>
        <w:rPr>
          <w:rFonts w:hint="eastAsia" w:ascii="宋体" w:hAnsi="宋体" w:eastAsia="宋体" w:cs="宋体"/>
          <w:color w:val="auto"/>
          <w:spacing w:val="-9"/>
          <w:sz w:val="24"/>
        </w:rPr>
        <w:t>随机抽取。</w:t>
      </w:r>
    </w:p>
    <w:p w14:paraId="5D563BF8">
      <w:pPr>
        <w:pStyle w:val="27"/>
        <w:keepNext w:val="0"/>
        <w:keepLines w:val="0"/>
        <w:pageBreakBefore w:val="0"/>
        <w:widowControl w:val="0"/>
        <w:numPr>
          <w:ilvl w:val="1"/>
          <w:numId w:val="5"/>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磋商小组对所有磋商响应供应商的磋商响应文件进行评审，按评审后得分由高到低顺序排列，递交给采购人。</w:t>
      </w:r>
    </w:p>
    <w:p w14:paraId="159E4E7D">
      <w:pPr>
        <w:pStyle w:val="27"/>
        <w:keepNext w:val="0"/>
        <w:keepLines w:val="0"/>
        <w:pageBreakBefore w:val="0"/>
        <w:widowControl w:val="0"/>
        <w:numPr>
          <w:ilvl w:val="1"/>
          <w:numId w:val="5"/>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64E041A">
      <w:pPr>
        <w:pStyle w:val="27"/>
        <w:keepNext w:val="0"/>
        <w:keepLines w:val="0"/>
        <w:pageBreakBefore w:val="0"/>
        <w:widowControl w:val="0"/>
        <w:numPr>
          <w:ilvl w:val="1"/>
          <w:numId w:val="5"/>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资格性审查认定错误或价格计算错误需依法重新评审的除外。应在评审报告中明确记载。</w:t>
      </w:r>
    </w:p>
    <w:p w14:paraId="15579CAB">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3" w:name="_Toc30532_WPSOffice_Level3"/>
      <w:r>
        <w:rPr>
          <w:rFonts w:hint="eastAsia" w:ascii="宋体" w:hAnsi="宋体" w:eastAsia="宋体" w:cs="宋体"/>
          <w:color w:val="auto"/>
        </w:rPr>
        <w:t>20、磋商程序</w:t>
      </w:r>
      <w:bookmarkEnd w:id="143"/>
    </w:p>
    <w:p w14:paraId="797C1C83">
      <w:pPr>
        <w:pStyle w:val="27"/>
        <w:keepNext w:val="0"/>
        <w:keepLines w:val="0"/>
        <w:pageBreakBefore w:val="0"/>
        <w:widowControl w:val="0"/>
        <w:numPr>
          <w:ilvl w:val="1"/>
          <w:numId w:val="6"/>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磋商小组所有成员集中评审磋商响应文件及集中与磋商响应供应商分别进行磋商。</w:t>
      </w:r>
    </w:p>
    <w:p w14:paraId="106B66B4">
      <w:pPr>
        <w:pStyle w:val="27"/>
        <w:keepNext w:val="0"/>
        <w:keepLines w:val="0"/>
        <w:pageBreakBefore w:val="0"/>
        <w:widowControl w:val="0"/>
        <w:numPr>
          <w:ilvl w:val="1"/>
          <w:numId w:val="6"/>
        </w:numPr>
        <w:tabs>
          <w:tab w:val="left" w:pos="1281"/>
        </w:tabs>
        <w:kinsoku/>
        <w:wordWrap w:val="0"/>
        <w:overflowPunct/>
        <w:topLinePunct w:val="0"/>
        <w:bidi w:val="0"/>
        <w:adjustRightInd/>
        <w:snapToGrid/>
        <w:spacing w:line="480" w:lineRule="exact"/>
        <w:ind w:left="0" w:right="0" w:firstLine="464" w:firstLineChars="200"/>
        <w:jc w:val="left"/>
        <w:textAlignment w:val="auto"/>
        <w:rPr>
          <w:rFonts w:hint="eastAsia" w:ascii="宋体" w:hAnsi="宋体" w:eastAsia="宋体" w:cs="宋体"/>
          <w:color w:val="auto"/>
        </w:rPr>
      </w:pPr>
      <w:r>
        <w:rPr>
          <w:rFonts w:hint="eastAsia" w:ascii="宋体" w:hAnsi="宋体" w:eastAsia="宋体" w:cs="宋体"/>
          <w:color w:val="auto"/>
          <w:spacing w:val="-4"/>
          <w:sz w:val="24"/>
        </w:rPr>
        <w:t>磋商小组首先对所有磋商响应文件进行资格性和初步审查。资格性审查是指：</w:t>
      </w:r>
      <w:r>
        <w:rPr>
          <w:rFonts w:hint="eastAsia" w:ascii="宋体" w:hAnsi="宋体" w:eastAsia="宋体" w:cs="宋体"/>
          <w:color w:val="auto"/>
          <w:spacing w:val="-2"/>
          <w:sz w:val="24"/>
        </w:rPr>
        <w:t>磋商小组按照竞争性磋商文件第四章评审办法</w:t>
      </w:r>
      <w:r>
        <w:rPr>
          <w:rFonts w:hint="eastAsia" w:ascii="宋体" w:hAnsi="宋体" w:eastAsia="宋体" w:cs="宋体"/>
          <w:color w:val="auto"/>
          <w:spacing w:val="-9"/>
          <w:sz w:val="24"/>
        </w:rPr>
        <w:t>的要求， 对磋商响应供应商进行资格审查，有一项不符合的，视为未通过资格审查，不得进入下一评</w:t>
      </w:r>
      <w:r>
        <w:rPr>
          <w:rFonts w:hint="eastAsia" w:ascii="宋体" w:hAnsi="宋体" w:eastAsia="宋体" w:cs="宋体"/>
          <w:color w:val="auto"/>
          <w:spacing w:val="-10"/>
          <w:sz w:val="24"/>
        </w:rPr>
        <w:t>审过程。磋商小组按照竞争性磋商文件及第四章评审办法中形式、响应性评审的要求，对磋商响应供应商进行审查，有一项不符合的，视为未通过初步审查。未通过资格性和初步审查的磋商响应文件按无效响应处理，磋商小组应当告知提交磋商响应文件的磋商响应供应商。</w:t>
      </w:r>
    </w:p>
    <w:p w14:paraId="1AF3952C">
      <w:pPr>
        <w:pStyle w:val="27"/>
        <w:keepNext w:val="0"/>
        <w:keepLines w:val="0"/>
        <w:pageBreakBefore w:val="0"/>
        <w:widowControl w:val="0"/>
        <w:numPr>
          <w:ilvl w:val="2"/>
          <w:numId w:val="6"/>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允许修正磋商响应文件中不构成重大偏离的、微小的、非正规的、不一致或不规则的地方。</w:t>
      </w:r>
    </w:p>
    <w:p w14:paraId="558D4935">
      <w:pPr>
        <w:pStyle w:val="27"/>
        <w:keepNext w:val="0"/>
        <w:keepLines w:val="0"/>
        <w:pageBreakBefore w:val="0"/>
        <w:widowControl w:val="0"/>
        <w:numPr>
          <w:ilvl w:val="2"/>
          <w:numId w:val="6"/>
        </w:numPr>
        <w:tabs>
          <w:tab w:val="left" w:pos="158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磋商小组判断磋商响应文件的响应性仅基于磋商响应文件本身内容而不靠外</w:t>
      </w:r>
      <w:r>
        <w:rPr>
          <w:rFonts w:hint="eastAsia" w:ascii="宋体" w:hAnsi="宋体" w:eastAsia="宋体" w:cs="宋体"/>
          <w:color w:val="auto"/>
          <w:sz w:val="24"/>
        </w:rPr>
        <w:t>部证据。</w:t>
      </w:r>
    </w:p>
    <w:p w14:paraId="354CC6FB">
      <w:pPr>
        <w:pStyle w:val="27"/>
        <w:keepNext w:val="0"/>
        <w:keepLines w:val="0"/>
        <w:pageBreakBefore w:val="0"/>
        <w:widowControl w:val="0"/>
        <w:numPr>
          <w:ilvl w:val="2"/>
          <w:numId w:val="6"/>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实质性未响应磋商文件要求的响应将被拒绝，磋商响应供应商不得通过修正或撤消不符之处而使其响应成为实质性响应。</w:t>
      </w:r>
    </w:p>
    <w:p w14:paraId="665869E8">
      <w:pPr>
        <w:pStyle w:val="27"/>
        <w:keepNext w:val="0"/>
        <w:keepLines w:val="0"/>
        <w:pageBreakBefore w:val="0"/>
        <w:widowControl w:val="0"/>
        <w:numPr>
          <w:ilvl w:val="2"/>
          <w:numId w:val="6"/>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实质性未响应是指磋商响应文件中提出了超出磋商文件中</w:t>
      </w:r>
      <w:r>
        <w:rPr>
          <w:rFonts w:hint="eastAsia" w:ascii="宋体" w:hAnsi="宋体" w:eastAsia="宋体" w:cs="宋体"/>
          <w:color w:val="auto"/>
          <w:sz w:val="24"/>
          <w:lang w:val="en-US" w:eastAsia="zh-CN"/>
        </w:rPr>
        <w:t>招标范围</w:t>
      </w:r>
      <w:r>
        <w:rPr>
          <w:rFonts w:hint="eastAsia" w:ascii="宋体" w:hAnsi="宋体" w:eastAsia="宋体" w:cs="宋体"/>
          <w:color w:val="auto"/>
          <w:sz w:val="24"/>
        </w:rPr>
        <w:t>、预算金额、</w:t>
      </w:r>
      <w:r>
        <w:rPr>
          <w:rFonts w:hint="eastAsia" w:cs="宋体"/>
          <w:color w:val="auto"/>
          <w:sz w:val="24"/>
          <w:lang w:val="en-US" w:eastAsia="zh-CN"/>
        </w:rPr>
        <w:t>服务期限</w:t>
      </w:r>
      <w:r>
        <w:rPr>
          <w:rFonts w:hint="eastAsia" w:ascii="宋体" w:hAnsi="宋体" w:eastAsia="宋体" w:cs="宋体"/>
          <w:color w:val="auto"/>
          <w:sz w:val="24"/>
        </w:rPr>
        <w:t>、技术和服务要求等内容。</w:t>
      </w:r>
    </w:p>
    <w:p w14:paraId="5D3FA5A2">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4" w:name="_Toc31948_WPSOffice_Level3"/>
      <w:r>
        <w:rPr>
          <w:rFonts w:hint="eastAsia" w:ascii="宋体" w:hAnsi="宋体" w:eastAsia="宋体" w:cs="宋体"/>
          <w:color w:val="auto"/>
        </w:rPr>
        <w:t>21、对磋商响应供应商的评价</w:t>
      </w:r>
      <w:bookmarkEnd w:id="144"/>
    </w:p>
    <w:p w14:paraId="24AB9E11">
      <w:pPr>
        <w:pStyle w:val="27"/>
        <w:keepNext w:val="0"/>
        <w:keepLines w:val="0"/>
        <w:pageBreakBefore w:val="0"/>
        <w:widowControl w:val="0"/>
        <w:numPr>
          <w:ilvl w:val="1"/>
          <w:numId w:val="7"/>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磋商小组只对已判定为实质性响应且通过资格审查的磋商响应文件进行详细评价和比较。</w:t>
      </w:r>
    </w:p>
    <w:p w14:paraId="6A91C2C4">
      <w:pPr>
        <w:pStyle w:val="27"/>
        <w:keepNext w:val="0"/>
        <w:keepLines w:val="0"/>
        <w:pageBreakBefore w:val="0"/>
        <w:widowControl w:val="0"/>
        <w:numPr>
          <w:ilvl w:val="1"/>
          <w:numId w:val="7"/>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磋商小组所有成员应当集中与单一磋商响应供应商分别进行磋商，并给予所有参加磋商的磋商响应供应商平等的磋商机会。磋商完成后，要求其在规定时间内提交最后报价，提交最后报价的供应商可以为两家。</w:t>
      </w:r>
    </w:p>
    <w:p w14:paraId="09EAD544">
      <w:pPr>
        <w:pStyle w:val="27"/>
        <w:keepNext w:val="0"/>
        <w:keepLines w:val="0"/>
        <w:pageBreakBefore w:val="0"/>
        <w:widowControl w:val="0"/>
        <w:numPr>
          <w:ilvl w:val="1"/>
          <w:numId w:val="7"/>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经磋商确定最终采购需求和提交最后报价的磋商响应供应商后，磋商小组采用</w:t>
      </w:r>
      <w:r>
        <w:rPr>
          <w:rFonts w:hint="eastAsia" w:ascii="宋体" w:hAnsi="宋体" w:eastAsia="宋体" w:cs="宋体"/>
          <w:color w:val="auto"/>
          <w:spacing w:val="6"/>
          <w:sz w:val="24"/>
        </w:rPr>
        <w:t>综合评分法对提交最后报价的磋商响应供应商的磋商响应文件和最后报价进行综合评分。</w:t>
      </w:r>
    </w:p>
    <w:p w14:paraId="3E7F8597">
      <w:pPr>
        <w:pStyle w:val="27"/>
        <w:keepNext w:val="0"/>
        <w:keepLines w:val="0"/>
        <w:pageBreakBefore w:val="0"/>
        <w:widowControl w:val="0"/>
        <w:numPr>
          <w:ilvl w:val="1"/>
          <w:numId w:val="7"/>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磋商小组根据综合评分情况，按评审得分由高到低的顺序确定成交候选供应商， 确定排名第一的为成交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D22E647">
      <w:pPr>
        <w:pStyle w:val="27"/>
        <w:keepNext w:val="0"/>
        <w:keepLines w:val="0"/>
        <w:pageBreakBefore w:val="0"/>
        <w:widowControl w:val="0"/>
        <w:numPr>
          <w:ilvl w:val="1"/>
          <w:numId w:val="7"/>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如果第一名供应商放弃成交资格或因不可抗力提出不能履行合同、竞争性磋商文件规定应当提交履约担保而在规定的期限内未能提交的，采购人将依序确定排名第二名的供应商为成交供应商，也可以重新开展政府采购活动。</w:t>
      </w:r>
    </w:p>
    <w:p w14:paraId="60FA6EE9">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5" w:name="_Toc27346_WPSOffice_Level3"/>
      <w:r>
        <w:rPr>
          <w:rFonts w:hint="eastAsia" w:ascii="宋体" w:hAnsi="宋体" w:eastAsia="宋体" w:cs="宋体"/>
          <w:color w:val="auto"/>
        </w:rPr>
        <w:t>22、磋商响应文件的澄清</w:t>
      </w:r>
      <w:bookmarkEnd w:id="145"/>
    </w:p>
    <w:p w14:paraId="100734D3">
      <w:pPr>
        <w:pStyle w:val="27"/>
        <w:keepNext w:val="0"/>
        <w:keepLines w:val="0"/>
        <w:pageBreakBefore w:val="0"/>
        <w:widowControl w:val="0"/>
        <w:numPr>
          <w:ilvl w:val="1"/>
          <w:numId w:val="8"/>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为了有助于对磋商响应文件进行审查、评估和比较，磋商小组有权向磋商响应供应商质疑。请磋商响应供应商澄清其磋商内容。磋商响应供应商有责任按照磋商小组通知的时间、地点、方式指派委托代理人进行答疑和澄清。</w:t>
      </w:r>
    </w:p>
    <w:p w14:paraId="32C81218">
      <w:pPr>
        <w:pStyle w:val="27"/>
        <w:keepNext w:val="0"/>
        <w:keepLines w:val="0"/>
        <w:pageBreakBefore w:val="0"/>
        <w:widowControl w:val="0"/>
        <w:numPr>
          <w:ilvl w:val="1"/>
          <w:numId w:val="8"/>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重要澄清的答复应是书面的，并由法定代表人或其委托代理人签字。</w:t>
      </w:r>
    </w:p>
    <w:p w14:paraId="3E0E6BFE">
      <w:pPr>
        <w:pStyle w:val="27"/>
        <w:keepNext w:val="0"/>
        <w:keepLines w:val="0"/>
        <w:pageBreakBefore w:val="0"/>
        <w:widowControl w:val="0"/>
        <w:numPr>
          <w:ilvl w:val="1"/>
          <w:numId w:val="8"/>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磋商响应供应商的澄清文件是磋商响应文件的组成部分，并取代磋商响应文件中被澄清的部分。</w:t>
      </w:r>
    </w:p>
    <w:p w14:paraId="4916C1B3">
      <w:pPr>
        <w:pStyle w:val="27"/>
        <w:keepNext w:val="0"/>
        <w:keepLines w:val="0"/>
        <w:pageBreakBefore w:val="0"/>
        <w:widowControl w:val="0"/>
        <w:numPr>
          <w:ilvl w:val="1"/>
          <w:numId w:val="8"/>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磋商响应文件澄清部分不得对磋商内容进行实质性修改。</w:t>
      </w:r>
    </w:p>
    <w:p w14:paraId="1A099783">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6" w:name="_Toc10070_WPSOffice_Level3"/>
      <w:r>
        <w:rPr>
          <w:rFonts w:hint="eastAsia" w:ascii="宋体" w:hAnsi="宋体" w:eastAsia="宋体" w:cs="宋体"/>
          <w:color w:val="auto"/>
        </w:rPr>
        <w:t>23、磋商原则和方法</w:t>
      </w:r>
      <w:bookmarkEnd w:id="146"/>
    </w:p>
    <w:p w14:paraId="04871DCB">
      <w:pPr>
        <w:pStyle w:val="27"/>
        <w:keepNext w:val="0"/>
        <w:keepLines w:val="0"/>
        <w:pageBreakBefore w:val="0"/>
        <w:widowControl w:val="0"/>
        <w:numPr>
          <w:ilvl w:val="1"/>
          <w:numId w:val="9"/>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坚持公开、公平、公正的原则。</w:t>
      </w:r>
    </w:p>
    <w:p w14:paraId="2FD03BFC">
      <w:pPr>
        <w:pStyle w:val="27"/>
        <w:keepNext w:val="0"/>
        <w:keepLines w:val="0"/>
        <w:pageBreakBefore w:val="0"/>
        <w:widowControl w:val="0"/>
        <w:numPr>
          <w:ilvl w:val="1"/>
          <w:numId w:val="9"/>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磋商在磋商小组应当集中与单一磋商响应供应商分别进行磋商，磋商小组将遵照磋商原则，公正、平等地对待所有磋商响应供应商。</w:t>
      </w:r>
    </w:p>
    <w:p w14:paraId="6BF2A077">
      <w:pPr>
        <w:pStyle w:val="27"/>
        <w:keepNext w:val="0"/>
        <w:keepLines w:val="0"/>
        <w:pageBreakBefore w:val="0"/>
        <w:widowControl w:val="0"/>
        <w:numPr>
          <w:ilvl w:val="1"/>
          <w:numId w:val="9"/>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评审方法</w:t>
      </w:r>
    </w:p>
    <w:p w14:paraId="6AC308AA">
      <w:pPr>
        <w:pStyle w:val="27"/>
        <w:keepNext w:val="0"/>
        <w:keepLines w:val="0"/>
        <w:pageBreakBefore w:val="0"/>
        <w:widowControl w:val="0"/>
        <w:numPr>
          <w:ilvl w:val="2"/>
          <w:numId w:val="9"/>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初步评审（是否响应竞争性磋商文件的要求</w:t>
      </w:r>
      <w:r>
        <w:rPr>
          <w:rFonts w:hint="eastAsia" w:ascii="宋体" w:hAnsi="宋体" w:eastAsia="宋体" w:cs="宋体"/>
          <w:color w:val="auto"/>
          <w:spacing w:val="-120"/>
          <w:sz w:val="24"/>
        </w:rPr>
        <w:t>）</w:t>
      </w:r>
      <w:r>
        <w:rPr>
          <w:rFonts w:hint="eastAsia" w:ascii="宋体" w:hAnsi="宋体" w:eastAsia="宋体" w:cs="宋体"/>
          <w:color w:val="auto"/>
          <w:sz w:val="24"/>
        </w:rPr>
        <w:t>，确定合格的磋商响应供应商。</w:t>
      </w:r>
    </w:p>
    <w:p w14:paraId="292D2270">
      <w:pPr>
        <w:pStyle w:val="27"/>
        <w:keepNext w:val="0"/>
        <w:keepLines w:val="0"/>
        <w:pageBreakBefore w:val="0"/>
        <w:widowControl w:val="0"/>
        <w:numPr>
          <w:ilvl w:val="2"/>
          <w:numId w:val="9"/>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各磋商响应供应商依据各自情况进行最后报价。</w:t>
      </w:r>
    </w:p>
    <w:p w14:paraId="75E8820B">
      <w:pPr>
        <w:pStyle w:val="27"/>
        <w:keepNext w:val="0"/>
        <w:keepLines w:val="0"/>
        <w:pageBreakBefore w:val="0"/>
        <w:widowControl w:val="0"/>
        <w:numPr>
          <w:ilvl w:val="2"/>
          <w:numId w:val="9"/>
        </w:numPr>
        <w:tabs>
          <w:tab w:val="left" w:pos="15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经磋商确定最终采购需求和提交最后报价的磋商响应供应商，有磋商小组采用综合评分法对提交最后报价的磋商响应供应商的响应文件和最后报价进行综合评分。</w:t>
      </w:r>
    </w:p>
    <w:p w14:paraId="3CCCE483">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7" w:name="_Toc5813_WPSOffice_Level3"/>
      <w:r>
        <w:rPr>
          <w:rFonts w:hint="eastAsia" w:ascii="宋体" w:hAnsi="宋体" w:eastAsia="宋体" w:cs="宋体"/>
          <w:color w:val="auto"/>
        </w:rPr>
        <w:t>24、推荐成交供应商</w:t>
      </w:r>
      <w:bookmarkEnd w:id="147"/>
      <w:r>
        <w:rPr>
          <w:rFonts w:hint="eastAsia" w:ascii="宋体" w:hAnsi="宋体" w:eastAsia="宋体" w:cs="宋体"/>
          <w:color w:val="auto"/>
        </w:rPr>
        <w:t>候选人</w:t>
      </w:r>
    </w:p>
    <w:p w14:paraId="76FEFCD1">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24.1</w:t>
      </w:r>
      <w:r>
        <w:rPr>
          <w:rFonts w:hint="eastAsia" w:ascii="宋体" w:hAnsi="宋体" w:eastAsia="宋体" w:cs="宋体"/>
          <w:color w:val="auto"/>
          <w:spacing w:val="-5"/>
        </w:rPr>
        <w:t xml:space="preserve"> 磋商小组应当根据综合评分情况，按照评审有高到低的顺序推荐3名成交候选供应商，并向采购人提供书面评审报告。</w:t>
      </w:r>
    </w:p>
    <w:p w14:paraId="544E62C7">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8" w:name="_Toc28609_WPSOffice_Level3"/>
      <w:r>
        <w:rPr>
          <w:rFonts w:hint="eastAsia" w:ascii="宋体" w:hAnsi="宋体" w:eastAsia="宋体" w:cs="宋体"/>
          <w:color w:val="auto"/>
        </w:rPr>
        <w:t>25、保密及其它注意事项</w:t>
      </w:r>
      <w:bookmarkEnd w:id="148"/>
    </w:p>
    <w:p w14:paraId="3BECE1FB">
      <w:pPr>
        <w:pStyle w:val="27"/>
        <w:keepNext w:val="0"/>
        <w:keepLines w:val="0"/>
        <w:pageBreakBefore w:val="0"/>
        <w:widowControl w:val="0"/>
        <w:numPr>
          <w:ilvl w:val="1"/>
          <w:numId w:val="10"/>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评审工作是磋商工作的重要环节，评审工作在磋商小组内独立进行。</w:t>
      </w:r>
    </w:p>
    <w:p w14:paraId="16CD2CAD">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在评审期间，磋商响应供应商不得向磋商小组成员询问评审情况，不得进行影响评审结果的活动。否则其响应将会被拒绝。</w:t>
      </w:r>
    </w:p>
    <w:p w14:paraId="19F270D9">
      <w:pPr>
        <w:pStyle w:val="27"/>
        <w:keepNext w:val="0"/>
        <w:keepLines w:val="0"/>
        <w:pageBreakBefore w:val="0"/>
        <w:widowControl w:val="0"/>
        <w:numPr>
          <w:ilvl w:val="1"/>
          <w:numId w:val="10"/>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为保证评审的公正性，磋商开始后直至授予成交供应商合同，磋商小组成员不得与供应商私下交换意见。</w:t>
      </w:r>
    </w:p>
    <w:p w14:paraId="1A221107">
      <w:pPr>
        <w:pStyle w:val="27"/>
        <w:keepNext w:val="0"/>
        <w:keepLines w:val="0"/>
        <w:pageBreakBefore w:val="0"/>
        <w:widowControl w:val="0"/>
        <w:numPr>
          <w:ilvl w:val="1"/>
          <w:numId w:val="10"/>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在评审工作结束后，凡与评审情况有接触的任何人不得擅自将评审情况扩散出评审人员之外。</w:t>
      </w:r>
    </w:p>
    <w:p w14:paraId="5A8E7E4D">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49" w:name="_Toc27984_WPSOffice_Level3"/>
      <w:r>
        <w:rPr>
          <w:rFonts w:hint="eastAsia" w:ascii="宋体" w:hAnsi="宋体" w:eastAsia="宋体" w:cs="宋体"/>
          <w:color w:val="auto"/>
        </w:rPr>
        <w:t>26、定标、成交通知</w:t>
      </w:r>
      <w:bookmarkEnd w:id="149"/>
    </w:p>
    <w:p w14:paraId="1A0F03E9">
      <w:pPr>
        <w:pStyle w:val="5"/>
        <w:keepNext w:val="0"/>
        <w:keepLines w:val="0"/>
        <w:pageBreakBefore w:val="0"/>
        <w:widowControl w:val="0"/>
        <w:kinsoku/>
        <w:wordWrap w:val="0"/>
        <w:overflowPunct/>
        <w:topLinePunct w:val="0"/>
        <w:bidi w:val="0"/>
        <w:adjustRightInd/>
        <w:snapToGrid/>
        <w:spacing w:line="480" w:lineRule="exact"/>
        <w:ind w:left="0" w:leftChars="0" w:right="0" w:firstLine="436" w:firstLineChars="200"/>
        <w:jc w:val="left"/>
        <w:textAlignment w:val="auto"/>
        <w:rPr>
          <w:rFonts w:hint="eastAsia" w:ascii="宋体" w:hAnsi="宋体" w:eastAsia="宋体" w:cs="宋体"/>
          <w:b w:val="0"/>
          <w:bCs w:val="0"/>
          <w:color w:val="auto"/>
          <w:spacing w:val="-11"/>
          <w:szCs w:val="22"/>
        </w:rPr>
      </w:pPr>
      <w:r>
        <w:rPr>
          <w:rFonts w:hint="eastAsia" w:ascii="宋体" w:hAnsi="宋体" w:eastAsia="宋体" w:cs="宋体"/>
          <w:b w:val="0"/>
          <w:bCs w:val="0"/>
          <w:color w:val="auto"/>
          <w:spacing w:val="-11"/>
          <w:szCs w:val="22"/>
        </w:rPr>
        <w:t>26.1采购人依据磋商小组推荐的成交候选人确定成交人，磋商小组推荐3名成交候选人。采购人将依序确定排名第一的供应商为成交人，若排名第一的成交候选人放弃中标、因不可抗力不能履行合同，或者被查实存在影响成交结果的违法行为等情形，不符合成交条件的，采购人可以按照磋商小组提出的成交候选人名单排序依次确定其他成交候选人为成交人，也可以重新招标。</w:t>
      </w:r>
    </w:p>
    <w:p w14:paraId="4DEAFC59">
      <w:pPr>
        <w:pStyle w:val="27"/>
        <w:keepNext w:val="0"/>
        <w:keepLines w:val="0"/>
        <w:pageBreakBefore w:val="0"/>
        <w:widowControl w:val="0"/>
        <w:tabs>
          <w:tab w:val="left" w:pos="1281"/>
        </w:tabs>
        <w:kinsoku/>
        <w:wordWrap w:val="0"/>
        <w:overflowPunct/>
        <w:topLinePunct w:val="0"/>
        <w:bidi w:val="0"/>
        <w:adjustRightInd/>
        <w:snapToGrid/>
        <w:spacing w:line="480" w:lineRule="exact"/>
        <w:ind w:left="0" w:leftChars="0" w:right="0" w:firstLine="43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1"/>
          <w:sz w:val="24"/>
        </w:rPr>
        <w:t>26.2成交供应商确定后，采购人向成交供应商签发《成交通知书》，并将成交结果通</w:t>
      </w:r>
      <w:r>
        <w:rPr>
          <w:rFonts w:hint="eastAsia" w:ascii="宋体" w:hAnsi="宋体" w:eastAsia="宋体" w:cs="宋体"/>
          <w:color w:val="auto"/>
          <w:sz w:val="24"/>
        </w:rPr>
        <w:t>知所有未成交的磋商响应供应商。</w:t>
      </w:r>
    </w:p>
    <w:p w14:paraId="685C29F7">
      <w:pPr>
        <w:pStyle w:val="27"/>
        <w:keepNext w:val="0"/>
        <w:keepLines w:val="0"/>
        <w:pageBreakBefore w:val="0"/>
        <w:widowControl w:val="0"/>
        <w:tabs>
          <w:tab w:val="left" w:pos="1281"/>
        </w:tabs>
        <w:kinsoku/>
        <w:wordWrap w:val="0"/>
        <w:overflowPunct/>
        <w:topLinePunct w:val="0"/>
        <w:bidi w:val="0"/>
        <w:adjustRightInd/>
        <w:snapToGrid/>
        <w:spacing w:line="480" w:lineRule="exact"/>
        <w:ind w:left="0" w:leftChars="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 xml:space="preserve">26.3《成交通知书》作为签订合同的依据，对采购人和成交供应商均具有法律效力， </w:t>
      </w:r>
      <w:r>
        <w:rPr>
          <w:rFonts w:hint="eastAsia" w:ascii="宋体" w:hAnsi="宋体" w:eastAsia="宋体" w:cs="宋体"/>
          <w:color w:val="auto"/>
          <w:sz w:val="24"/>
        </w:rPr>
        <w:t>成交通知书发出后，采购人改变成交结果或者成交供应商放弃项目，应依法承担法律责任。</w:t>
      </w:r>
    </w:p>
    <w:p w14:paraId="6988E44B">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50" w:name="_Toc8188_WPSOffice_Level3"/>
      <w:r>
        <w:rPr>
          <w:rFonts w:hint="eastAsia" w:ascii="宋体" w:hAnsi="宋体" w:eastAsia="宋体" w:cs="宋体"/>
          <w:color w:val="auto"/>
        </w:rPr>
        <w:t>27、授予合同时变更数量的权力</w:t>
      </w:r>
      <w:bookmarkEnd w:id="150"/>
    </w:p>
    <w:p w14:paraId="7A5B4A1E">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27.1 采购人在授予合同时，保留对货物数量予以适当增减的权利。成交供应商不得在此情况下对磋商响应文件做出修改，如价格、服务承诺等。</w:t>
      </w:r>
    </w:p>
    <w:p w14:paraId="74CEB8A2">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51" w:name="_Toc30112_WPSOffice_Level3"/>
      <w:r>
        <w:rPr>
          <w:rFonts w:hint="eastAsia" w:ascii="宋体" w:hAnsi="宋体" w:eastAsia="宋体" w:cs="宋体"/>
          <w:color w:val="auto"/>
        </w:rPr>
        <w:t>28、签订合同</w:t>
      </w:r>
      <w:bookmarkEnd w:id="151"/>
    </w:p>
    <w:p w14:paraId="4067BD1E">
      <w:pPr>
        <w:pStyle w:val="27"/>
        <w:keepNext w:val="0"/>
        <w:keepLines w:val="0"/>
        <w:pageBreakBefore w:val="0"/>
        <w:widowControl w:val="0"/>
        <w:numPr>
          <w:ilvl w:val="1"/>
          <w:numId w:val="11"/>
        </w:numPr>
        <w:tabs>
          <w:tab w:val="left" w:pos="1281"/>
        </w:tabs>
        <w:kinsoku/>
        <w:wordWrap w:val="0"/>
        <w:overflowPunct/>
        <w:topLinePunct w:val="0"/>
        <w:bidi w:val="0"/>
        <w:adjustRightInd/>
        <w:snapToGrid/>
        <w:spacing w:line="480" w:lineRule="exact"/>
        <w:ind w:left="0" w:right="0" w:firstLine="440"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0"/>
          <w:sz w:val="24"/>
        </w:rPr>
        <w:t>成交供应商接到《成交通知书》后</w:t>
      </w:r>
      <w:r>
        <w:rPr>
          <w:rFonts w:hint="eastAsia" w:ascii="宋体" w:hAnsi="宋体" w:eastAsia="宋体" w:cs="宋体"/>
          <w:color w:val="auto"/>
          <w:spacing w:val="-1"/>
          <w:sz w:val="24"/>
        </w:rPr>
        <w:t>按指定地点与采购人签订采购合同；</w:t>
      </w:r>
    </w:p>
    <w:p w14:paraId="79F15473">
      <w:pPr>
        <w:pStyle w:val="27"/>
        <w:keepNext w:val="0"/>
        <w:keepLines w:val="0"/>
        <w:pageBreakBefore w:val="0"/>
        <w:widowControl w:val="0"/>
        <w:numPr>
          <w:ilvl w:val="1"/>
          <w:numId w:val="11"/>
        </w:numPr>
        <w:tabs>
          <w:tab w:val="left" w:pos="128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采购人签发的成交通知书、竞争性磋商文件、成交供应商的磋商响应文件及其澄清文件等，均为签订合同的依据。</w:t>
      </w:r>
    </w:p>
    <w:p w14:paraId="6C77DE18">
      <w:pPr>
        <w:pStyle w:val="27"/>
        <w:keepNext w:val="0"/>
        <w:keepLines w:val="0"/>
        <w:pageBreakBefore w:val="0"/>
        <w:widowControl w:val="0"/>
        <w:numPr>
          <w:ilvl w:val="1"/>
          <w:numId w:val="11"/>
        </w:numPr>
        <w:tabs>
          <w:tab w:val="left" w:pos="1281"/>
        </w:tabs>
        <w:kinsoku/>
        <w:wordWrap w:val="0"/>
        <w:overflowPunct/>
        <w:topLinePunct w:val="0"/>
        <w:bidi w:val="0"/>
        <w:adjustRightInd/>
        <w:snapToGrid/>
        <w:spacing w:line="480" w:lineRule="exact"/>
        <w:ind w:left="0" w:right="0" w:firstLine="472"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2"/>
          <w:sz w:val="24"/>
        </w:rPr>
        <w:t>如成交供应商拒签合同，则按违约处理，采购人对违约方收取成交金额</w:t>
      </w:r>
      <w:r>
        <w:rPr>
          <w:rFonts w:hint="eastAsia" w:ascii="宋体" w:hAnsi="宋体" w:eastAsia="宋体" w:cs="宋体"/>
          <w:color w:val="auto"/>
          <w:sz w:val="24"/>
        </w:rPr>
        <w:t>2%</w:t>
      </w:r>
      <w:r>
        <w:rPr>
          <w:rFonts w:hint="eastAsia" w:ascii="宋体" w:hAnsi="宋体" w:eastAsia="宋体" w:cs="宋体"/>
          <w:color w:val="auto"/>
          <w:spacing w:val="-8"/>
          <w:sz w:val="24"/>
        </w:rPr>
        <w:t>的违</w:t>
      </w:r>
      <w:r>
        <w:rPr>
          <w:rFonts w:hint="eastAsia" w:ascii="宋体" w:hAnsi="宋体" w:eastAsia="宋体" w:cs="宋体"/>
          <w:color w:val="auto"/>
          <w:sz w:val="24"/>
        </w:rPr>
        <w:t>约金。</w:t>
      </w:r>
    </w:p>
    <w:p w14:paraId="27D4CFDB">
      <w:pPr>
        <w:pStyle w:val="5"/>
        <w:keepNext w:val="0"/>
        <w:keepLines w:val="0"/>
        <w:pageBreakBefore w:val="0"/>
        <w:widowControl w:val="0"/>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bookmarkStart w:id="152" w:name="_Toc7342_WPSOffice_Level3"/>
      <w:r>
        <w:rPr>
          <w:rFonts w:hint="eastAsia" w:ascii="宋体" w:hAnsi="宋体" w:eastAsia="宋体" w:cs="宋体"/>
          <w:color w:val="auto"/>
          <w:lang w:val="en-US"/>
        </w:rPr>
        <w:t>29、</w:t>
      </w:r>
      <w:r>
        <w:rPr>
          <w:rFonts w:hint="eastAsia" w:ascii="宋体" w:hAnsi="宋体" w:eastAsia="宋体" w:cs="宋体"/>
          <w:color w:val="auto"/>
        </w:rPr>
        <w:t>特别注意事项：</w:t>
      </w:r>
      <w:bookmarkEnd w:id="152"/>
    </w:p>
    <w:p w14:paraId="2D0A408C">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磋商响应供应商出现下列情形之一的，磋商小组可取消其磋商资格：</w:t>
      </w:r>
    </w:p>
    <w:p w14:paraId="061D30D2">
      <w:pPr>
        <w:pStyle w:val="27"/>
        <w:keepNext w:val="0"/>
        <w:keepLines w:val="0"/>
        <w:pageBreakBefore w:val="0"/>
        <w:widowControl w:val="0"/>
        <w:numPr>
          <w:ilvl w:val="0"/>
          <w:numId w:val="13"/>
        </w:numPr>
        <w:tabs>
          <w:tab w:val="left" w:pos="134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未按磋商文件要求和规定提交实质性响应材料的；</w:t>
      </w:r>
    </w:p>
    <w:p w14:paraId="369B16C3">
      <w:pPr>
        <w:pStyle w:val="27"/>
        <w:keepNext w:val="0"/>
        <w:keepLines w:val="0"/>
        <w:pageBreakBefore w:val="0"/>
        <w:widowControl w:val="0"/>
        <w:numPr>
          <w:ilvl w:val="0"/>
          <w:numId w:val="13"/>
        </w:numPr>
        <w:tabs>
          <w:tab w:val="left" w:pos="1342"/>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相互串通磋商的（有下列情形之一的，视为磋商响应供应商相互串通磋商</w:t>
      </w:r>
      <w:r>
        <w:rPr>
          <w:rFonts w:hint="eastAsia" w:ascii="宋体" w:hAnsi="宋体" w:eastAsia="宋体" w:cs="宋体"/>
          <w:color w:val="auto"/>
          <w:spacing w:val="-120"/>
          <w:sz w:val="24"/>
        </w:rPr>
        <w:t>）</w:t>
      </w:r>
      <w:r>
        <w:rPr>
          <w:rFonts w:hint="eastAsia" w:ascii="宋体" w:hAnsi="宋体" w:eastAsia="宋体" w:cs="宋体"/>
          <w:color w:val="auto"/>
          <w:sz w:val="24"/>
        </w:rPr>
        <w:t>；</w:t>
      </w:r>
    </w:p>
    <w:p w14:paraId="610E0BF3">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A、不同磋商响应供应商的响应文件由同一单位或者个人编制</w:t>
      </w:r>
    </w:p>
    <w:p w14:paraId="5F23C425">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B、不同磋商响应供应商委托同一单位或者个人办理磋商事宜</w:t>
      </w:r>
    </w:p>
    <w:p w14:paraId="44A71E87">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C、不同磋商响应供应商的响应文件载明的项目管理成员为同一人</w:t>
      </w:r>
    </w:p>
    <w:p w14:paraId="34B74FE7">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D、不同磋商响应供应商的响应文件异常一致或者磋商报价呈规律性差异</w:t>
      </w:r>
    </w:p>
    <w:p w14:paraId="52D49412">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磋商响应供应商出现下列情形之一的，将被视为非实质性响应磋商文件要求：</w:t>
      </w:r>
    </w:p>
    <w:p w14:paraId="0B955481">
      <w:pPr>
        <w:pStyle w:val="27"/>
        <w:keepNext w:val="0"/>
        <w:keepLines w:val="0"/>
        <w:pageBreakBefore w:val="0"/>
        <w:widowControl w:val="0"/>
        <w:numPr>
          <w:ilvl w:val="0"/>
          <w:numId w:val="14"/>
        </w:numPr>
        <w:tabs>
          <w:tab w:val="left" w:pos="12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交货（完成）期限不确切或不符合磋商文件要求的；</w:t>
      </w:r>
    </w:p>
    <w:p w14:paraId="34194CCA">
      <w:pPr>
        <w:pStyle w:val="27"/>
        <w:keepNext w:val="0"/>
        <w:keepLines w:val="0"/>
        <w:pageBreakBefore w:val="0"/>
        <w:widowControl w:val="0"/>
        <w:numPr>
          <w:ilvl w:val="0"/>
          <w:numId w:val="14"/>
        </w:numPr>
        <w:tabs>
          <w:tab w:val="left" w:pos="12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最后报价有选择性的；</w:t>
      </w:r>
    </w:p>
    <w:p w14:paraId="67AF6DB0">
      <w:pPr>
        <w:pStyle w:val="27"/>
        <w:keepNext w:val="0"/>
        <w:keepLines w:val="0"/>
        <w:pageBreakBefore w:val="0"/>
        <w:widowControl w:val="0"/>
        <w:numPr>
          <w:ilvl w:val="0"/>
          <w:numId w:val="14"/>
        </w:numPr>
        <w:tabs>
          <w:tab w:val="left" w:pos="12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最后报价超过采购预算金额的；</w:t>
      </w:r>
    </w:p>
    <w:p w14:paraId="584881AC">
      <w:pPr>
        <w:pStyle w:val="27"/>
        <w:keepNext w:val="0"/>
        <w:keepLines w:val="0"/>
        <w:pageBreakBefore w:val="0"/>
        <w:widowControl w:val="0"/>
        <w:numPr>
          <w:ilvl w:val="0"/>
          <w:numId w:val="14"/>
        </w:numPr>
        <w:tabs>
          <w:tab w:val="left" w:pos="122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被磋商小组认定存在重大负偏离的；</w:t>
      </w:r>
    </w:p>
    <w:p w14:paraId="5CE1592C">
      <w:pPr>
        <w:pStyle w:val="8"/>
        <w:keepNext w:val="0"/>
        <w:keepLines w:val="0"/>
        <w:pageBreakBefore w:val="0"/>
        <w:widowControl w:val="0"/>
        <w:kinsoku/>
        <w:wordWrap w:val="0"/>
        <w:overflowPunct/>
        <w:topLinePunct w:val="0"/>
        <w:bidi w:val="0"/>
        <w:adjustRightInd/>
        <w:snapToGrid/>
        <w:spacing w:line="480" w:lineRule="exact"/>
        <w:ind w:left="0" w:right="0" w:firstLine="436" w:firstLineChars="200"/>
        <w:jc w:val="left"/>
        <w:textAlignment w:val="auto"/>
        <w:rPr>
          <w:rFonts w:hint="eastAsia" w:ascii="宋体" w:hAnsi="宋体" w:eastAsia="宋体" w:cs="宋体"/>
          <w:color w:val="auto"/>
        </w:rPr>
      </w:pPr>
      <w:r>
        <w:rPr>
          <w:rFonts w:hint="eastAsia" w:ascii="宋体" w:hAnsi="宋体" w:eastAsia="宋体" w:cs="宋体"/>
          <w:color w:val="auto"/>
          <w:spacing w:val="-11"/>
        </w:rPr>
        <w:t>注：所谓重大负偏离是指磋商响应供应商对磋商文件的响应在范围、质量、数量和交</w:t>
      </w:r>
      <w:r>
        <w:rPr>
          <w:rFonts w:hint="eastAsia" w:ascii="宋体" w:hAnsi="宋体" w:eastAsia="宋体" w:cs="宋体"/>
          <w:color w:val="auto"/>
        </w:rPr>
        <w:t>货（完成）期限、技术规格要求等方面明显不能满足采购需求的。重大负偏离的认定须经磋商小组三分之二以上同意。</w:t>
      </w:r>
    </w:p>
    <w:p w14:paraId="1F700D2D">
      <w:pPr>
        <w:pStyle w:val="5"/>
        <w:keepNext w:val="0"/>
        <w:keepLines w:val="0"/>
        <w:pageBreakBefore w:val="0"/>
        <w:widowControl w:val="0"/>
        <w:numPr>
          <w:ilvl w:val="0"/>
          <w:numId w:val="12"/>
        </w:numPr>
        <w:tabs>
          <w:tab w:val="left" w:pos="1222"/>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sz w:val="22"/>
        </w:rPr>
      </w:pPr>
      <w:bookmarkStart w:id="153" w:name="_Toc7366_WPSOffice_Level3"/>
      <w:r>
        <w:rPr>
          <w:rFonts w:hint="eastAsia" w:ascii="宋体" w:hAnsi="宋体" w:eastAsia="宋体" w:cs="宋体"/>
          <w:color w:val="auto"/>
        </w:rPr>
        <w:t>询问</w:t>
      </w:r>
      <w:bookmarkEnd w:id="153"/>
    </w:p>
    <w:p w14:paraId="70092EB0">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磋商响应供应商对采购事项有疑问，可以按照《政府采购法》的相关规定向采</w:t>
      </w:r>
      <w:r>
        <w:rPr>
          <w:rFonts w:hint="eastAsia" w:ascii="宋体" w:hAnsi="宋体" w:eastAsia="宋体" w:cs="宋体"/>
          <w:color w:val="auto"/>
          <w:sz w:val="24"/>
        </w:rPr>
        <w:t>购人或采购机构提出询问。</w:t>
      </w:r>
    </w:p>
    <w:p w14:paraId="7D15CA65">
      <w:pPr>
        <w:pStyle w:val="5"/>
        <w:keepNext w:val="0"/>
        <w:keepLines w:val="0"/>
        <w:pageBreakBefore w:val="0"/>
        <w:widowControl w:val="0"/>
        <w:numPr>
          <w:ilvl w:val="0"/>
          <w:numId w:val="12"/>
        </w:numPr>
        <w:tabs>
          <w:tab w:val="left" w:pos="1222"/>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rPr>
      </w:pPr>
      <w:r>
        <w:rPr>
          <w:rFonts w:hint="eastAsia" w:ascii="宋体" w:hAnsi="宋体" w:eastAsia="宋体" w:cs="宋体"/>
          <w:color w:val="auto"/>
        </w:rPr>
        <w:t>重新招标</w:t>
      </w:r>
    </w:p>
    <w:p w14:paraId="1991F875">
      <w:pPr>
        <w:keepNext w:val="0"/>
        <w:keepLines w:val="0"/>
        <w:pageBreakBefore w:val="0"/>
        <w:widowControl w:val="0"/>
        <w:kinsoku/>
        <w:wordWrap w:val="0"/>
        <w:overflowPunct/>
        <w:topLinePunct w:val="0"/>
        <w:autoSpaceDE/>
        <w:autoSpaceDN/>
        <w:bidi w:val="0"/>
        <w:adjustRightInd/>
        <w:snapToGrid/>
        <w:spacing w:line="480" w:lineRule="exact"/>
        <w:ind w:left="0" w:leftChars="0" w:right="0" w:firstLine="480" w:firstLineChars="200"/>
        <w:jc w:val="left"/>
        <w:textAlignment w:val="auto"/>
        <w:rPr>
          <w:rFonts w:hint="eastAsia" w:ascii="宋体" w:hAnsi="宋体" w:eastAsia="宋体" w:cs="宋体"/>
          <w:b w:val="0"/>
          <w:bCs w:val="0"/>
          <w:color w:val="auto"/>
          <w:kern w:val="1"/>
          <w:sz w:val="24"/>
          <w:szCs w:val="24"/>
          <w:lang w:val="en-US" w:eastAsia="zh-CN" w:bidi="ar-SA"/>
        </w:rPr>
      </w:pPr>
      <w:bookmarkStart w:id="154" w:name="_Toc391284777"/>
      <w:bookmarkStart w:id="155" w:name="_Toc438797215"/>
      <w:bookmarkStart w:id="156" w:name="_Toc438797980"/>
      <w:r>
        <w:rPr>
          <w:rFonts w:hint="eastAsia" w:ascii="宋体" w:hAnsi="宋体" w:eastAsia="宋体" w:cs="宋体"/>
          <w:b w:val="0"/>
          <w:bCs w:val="0"/>
          <w:color w:val="auto"/>
          <w:kern w:val="1"/>
          <w:sz w:val="24"/>
          <w:szCs w:val="24"/>
          <w:lang w:val="en-US" w:eastAsia="zh-CN" w:bidi="ar-SA"/>
        </w:rPr>
        <w:t xml:space="preserve">出现下列情形之一的，将终止竞争性磋商磋商活动，发布项目终止公告并说明原因，重新开展磋商活动： </w:t>
      </w:r>
    </w:p>
    <w:p w14:paraId="538829F4">
      <w:pPr>
        <w:keepNext w:val="0"/>
        <w:keepLines w:val="0"/>
        <w:pageBreakBefore w:val="0"/>
        <w:widowControl w:val="0"/>
        <w:kinsoku/>
        <w:wordWrap w:val="0"/>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b w:val="0"/>
          <w:bCs w:val="0"/>
          <w:color w:val="auto"/>
          <w:kern w:val="1"/>
          <w:sz w:val="24"/>
          <w:szCs w:val="24"/>
          <w:lang w:val="en-US" w:eastAsia="zh-CN" w:bidi="ar-SA"/>
        </w:rPr>
      </w:pPr>
      <w:r>
        <w:rPr>
          <w:rFonts w:hint="eastAsia" w:ascii="宋体" w:hAnsi="宋体" w:eastAsia="宋体" w:cs="宋体"/>
          <w:b w:val="0"/>
          <w:bCs w:val="0"/>
          <w:color w:val="auto"/>
          <w:kern w:val="1"/>
          <w:sz w:val="24"/>
          <w:szCs w:val="24"/>
          <w:lang w:val="en-US" w:eastAsia="zh-CN" w:bidi="ar-SA"/>
        </w:rPr>
        <w:t xml:space="preserve">（1）因情况变化，不再符合规定的竞争性磋商磋商方式,适用情形的；出现 影响磋商公正的违法、违规行为的； </w:t>
      </w:r>
    </w:p>
    <w:p w14:paraId="71BCCA8B">
      <w:pPr>
        <w:keepNext w:val="0"/>
        <w:keepLines w:val="0"/>
        <w:pageBreakBefore w:val="0"/>
        <w:widowControl w:val="0"/>
        <w:kinsoku/>
        <w:wordWrap w:val="0"/>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b w:val="0"/>
          <w:bCs w:val="0"/>
          <w:color w:val="auto"/>
          <w:kern w:val="1"/>
          <w:sz w:val="24"/>
          <w:szCs w:val="24"/>
          <w:lang w:val="en-US" w:eastAsia="zh-CN" w:bidi="ar-SA"/>
        </w:rPr>
      </w:pPr>
      <w:r>
        <w:rPr>
          <w:rFonts w:hint="eastAsia" w:ascii="宋体" w:hAnsi="宋体" w:eastAsia="宋体" w:cs="宋体"/>
          <w:b w:val="0"/>
          <w:bCs w:val="0"/>
          <w:color w:val="auto"/>
          <w:kern w:val="1"/>
          <w:sz w:val="24"/>
          <w:szCs w:val="24"/>
          <w:lang w:val="en-US" w:eastAsia="zh-CN" w:bidi="ar-SA"/>
        </w:rPr>
        <w:t xml:space="preserve">（2）不符合法律、法规和竞争性磋商文件规定的其他实质性要求的； </w:t>
      </w:r>
    </w:p>
    <w:p w14:paraId="4F1FE274">
      <w:pPr>
        <w:keepNext w:val="0"/>
        <w:keepLines w:val="0"/>
        <w:pageBreakBefore w:val="0"/>
        <w:widowControl w:val="0"/>
        <w:kinsoku/>
        <w:wordWrap w:val="0"/>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b w:val="0"/>
          <w:bCs w:val="0"/>
          <w:color w:val="auto"/>
          <w:kern w:val="1"/>
          <w:sz w:val="24"/>
          <w:szCs w:val="24"/>
          <w:lang w:val="en-US" w:eastAsia="zh-CN" w:bidi="ar-SA"/>
        </w:rPr>
      </w:pPr>
      <w:r>
        <w:rPr>
          <w:rFonts w:hint="eastAsia" w:ascii="宋体" w:hAnsi="宋体" w:eastAsia="宋体" w:cs="宋体"/>
          <w:b w:val="0"/>
          <w:bCs w:val="0"/>
          <w:color w:val="auto"/>
          <w:kern w:val="1"/>
          <w:sz w:val="24"/>
          <w:szCs w:val="24"/>
          <w:lang w:val="en-US" w:eastAsia="zh-CN" w:bidi="ar-SA"/>
        </w:rPr>
        <w:t>（3）其他法律、法规及本竞争性磋商文件规定的属响应无效的情形，终止竞争性磋商磋商活动的条款等；</w:t>
      </w:r>
    </w:p>
    <w:p w14:paraId="33D81DB1">
      <w:pPr>
        <w:keepNext w:val="0"/>
        <w:keepLines w:val="0"/>
        <w:pageBreakBefore w:val="0"/>
        <w:widowControl w:val="0"/>
        <w:kinsoku/>
        <w:wordWrap w:val="0"/>
        <w:overflowPunct/>
        <w:topLinePunct w:val="0"/>
        <w:autoSpaceDE/>
        <w:autoSpaceDN/>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b w:val="0"/>
          <w:bCs w:val="0"/>
          <w:color w:val="auto"/>
          <w:kern w:val="1"/>
          <w:sz w:val="24"/>
          <w:szCs w:val="24"/>
          <w:lang w:val="en-US" w:eastAsia="zh-CN" w:bidi="ar-SA"/>
        </w:rPr>
        <w:t>（4）磋商截止时间后参加开标的供应商不足3家的，应重新组织采购，评审期间通过资格审查的供应商或者对磋商响应文件作出实质响应的供应商不足3家的，应重新组织采购。</w:t>
      </w:r>
      <w:bookmarkEnd w:id="154"/>
      <w:bookmarkEnd w:id="155"/>
      <w:bookmarkEnd w:id="156"/>
    </w:p>
    <w:p w14:paraId="679D9615">
      <w:pPr>
        <w:pStyle w:val="5"/>
        <w:keepNext w:val="0"/>
        <w:keepLines w:val="0"/>
        <w:pageBreakBefore w:val="0"/>
        <w:widowControl w:val="0"/>
        <w:numPr>
          <w:ilvl w:val="0"/>
          <w:numId w:val="12"/>
        </w:numPr>
        <w:tabs>
          <w:tab w:val="left" w:pos="1105"/>
        </w:tabs>
        <w:kinsoku/>
        <w:wordWrap w:val="0"/>
        <w:overflowPunct/>
        <w:topLinePunct w:val="0"/>
        <w:bidi w:val="0"/>
        <w:adjustRightInd/>
        <w:snapToGrid/>
        <w:spacing w:line="480" w:lineRule="exact"/>
        <w:ind w:left="0" w:right="0" w:firstLine="482" w:firstLineChars="200"/>
        <w:jc w:val="left"/>
        <w:textAlignment w:val="auto"/>
        <w:rPr>
          <w:rFonts w:hint="eastAsia" w:ascii="宋体" w:hAnsi="宋体" w:eastAsia="宋体" w:cs="宋体"/>
          <w:color w:val="auto"/>
          <w:sz w:val="22"/>
        </w:rPr>
      </w:pPr>
      <w:bookmarkStart w:id="157" w:name="_Toc13604_WPSOffice_Level3"/>
      <w:r>
        <w:rPr>
          <w:rFonts w:hint="eastAsia" w:ascii="宋体" w:hAnsi="宋体" w:eastAsia="宋体" w:cs="宋体"/>
          <w:color w:val="auto"/>
        </w:rPr>
        <w:t>质疑程序及处理</w:t>
      </w:r>
      <w:bookmarkEnd w:id="157"/>
    </w:p>
    <w:p w14:paraId="054D8BB5">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若竞争性磋商响应人认为其磋商未获公平评审或磋商文件、采购过程和成交结</w:t>
      </w:r>
      <w:r>
        <w:rPr>
          <w:rFonts w:hint="eastAsia" w:ascii="宋体" w:hAnsi="宋体" w:eastAsia="宋体" w:cs="宋体"/>
          <w:color w:val="auto"/>
          <w:spacing w:val="-4"/>
          <w:sz w:val="24"/>
        </w:rPr>
        <w:t xml:space="preserve">果使自己的合法权益受到损害，可以在知道或者应知其权益受到损害之日起 </w:t>
      </w:r>
      <w:r>
        <w:rPr>
          <w:rFonts w:hint="eastAsia" w:ascii="宋体" w:hAnsi="宋体" w:eastAsia="宋体" w:cs="宋体"/>
          <w:color w:val="auto"/>
          <w:sz w:val="24"/>
        </w:rPr>
        <w:t>7</w:t>
      </w:r>
      <w:r>
        <w:rPr>
          <w:rFonts w:hint="eastAsia" w:ascii="宋体" w:hAnsi="宋体" w:eastAsia="宋体" w:cs="宋体"/>
          <w:color w:val="auto"/>
          <w:spacing w:val="-4"/>
          <w:sz w:val="24"/>
        </w:rPr>
        <w:t xml:space="preserve"> 个工作日</w:t>
      </w:r>
      <w:r>
        <w:rPr>
          <w:rFonts w:hint="eastAsia" w:ascii="宋体" w:hAnsi="宋体" w:eastAsia="宋体" w:cs="宋体"/>
          <w:color w:val="auto"/>
          <w:sz w:val="24"/>
        </w:rPr>
        <w:t>内，将质疑书原件送达采购人或采购代理机构。提出质疑期限的计算，依照下列规定办理：</w:t>
      </w:r>
    </w:p>
    <w:p w14:paraId="7E705B19">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（一</w:t>
      </w:r>
      <w:r>
        <w:rPr>
          <w:rFonts w:hint="eastAsia" w:ascii="宋体" w:hAnsi="宋体" w:eastAsia="宋体" w:cs="宋体"/>
          <w:color w:val="auto"/>
          <w:spacing w:val="-58"/>
        </w:rPr>
        <w:t>）</w:t>
      </w:r>
      <w:r>
        <w:rPr>
          <w:rFonts w:hint="eastAsia" w:ascii="宋体" w:hAnsi="宋体" w:eastAsia="宋体" w:cs="宋体"/>
          <w:color w:val="auto"/>
          <w:spacing w:val="-5"/>
        </w:rPr>
        <w:t>对可以质疑的磋商文件提出质疑的，为收到磋商文件之日或者磋商文件公告期</w:t>
      </w:r>
      <w:r>
        <w:rPr>
          <w:rFonts w:hint="eastAsia" w:ascii="宋体" w:hAnsi="宋体" w:eastAsia="宋体" w:cs="宋体"/>
          <w:color w:val="auto"/>
        </w:rPr>
        <w:t>限届满之日；</w:t>
      </w:r>
    </w:p>
    <w:p w14:paraId="4E8F6247">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（二）对采购过程提出质疑的，为各采购程序环节结束之日；</w:t>
      </w:r>
    </w:p>
    <w:p w14:paraId="71AC5208">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（三）对成交结果提出质疑的，为成交结果公告期限届满之日。</w:t>
      </w:r>
    </w:p>
    <w:p w14:paraId="2532064A">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质疑书应当包括下列主要内容，并按照“谁主张、谁举证”的原则，附上相关</w:t>
      </w:r>
      <w:r>
        <w:rPr>
          <w:rFonts w:hint="eastAsia" w:ascii="宋体" w:hAnsi="宋体" w:eastAsia="宋体" w:cs="宋体"/>
          <w:color w:val="auto"/>
          <w:sz w:val="24"/>
        </w:rPr>
        <w:t>证明材料。否则，采购人不予受理：</w:t>
      </w:r>
    </w:p>
    <w:p w14:paraId="4FCF77DE">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（一</w:t>
      </w:r>
      <w:r>
        <w:rPr>
          <w:rFonts w:hint="eastAsia" w:ascii="宋体" w:hAnsi="宋体" w:eastAsia="宋体" w:cs="宋体"/>
          <w:color w:val="auto"/>
          <w:spacing w:val="-24"/>
        </w:rPr>
        <w:t>）</w:t>
      </w:r>
      <w:r>
        <w:rPr>
          <w:rFonts w:hint="eastAsia" w:ascii="宋体" w:hAnsi="宋体" w:eastAsia="宋体" w:cs="宋体"/>
          <w:color w:val="auto"/>
          <w:spacing w:val="-7"/>
        </w:rPr>
        <w:t>质疑磋商响应供应商全称、地址、法定代表人、联系人及联系电话、邮政编码</w:t>
      </w:r>
      <w:r>
        <w:rPr>
          <w:rFonts w:hint="eastAsia" w:ascii="宋体" w:hAnsi="宋体" w:eastAsia="宋体" w:cs="宋体"/>
          <w:color w:val="auto"/>
        </w:rPr>
        <w:t>等；</w:t>
      </w:r>
    </w:p>
    <w:p w14:paraId="46D7C8F8">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（二）被质疑采购项目的名称、编号；</w:t>
      </w:r>
    </w:p>
    <w:p w14:paraId="1669A318">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（三）质疑的具体事项、明确的请求和主张；</w:t>
      </w:r>
    </w:p>
    <w:p w14:paraId="1C070223">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（四）质疑所依据的法律依据（具体条款</w:t>
      </w:r>
      <w:r>
        <w:rPr>
          <w:rFonts w:hint="eastAsia" w:ascii="宋体" w:hAnsi="宋体" w:eastAsia="宋体" w:cs="宋体"/>
          <w:color w:val="auto"/>
          <w:spacing w:val="-120"/>
        </w:rPr>
        <w:t>）</w:t>
      </w:r>
      <w:r>
        <w:rPr>
          <w:rFonts w:hint="eastAsia" w:ascii="宋体" w:hAnsi="宋体" w:eastAsia="宋体" w:cs="宋体"/>
          <w:color w:val="auto"/>
          <w:spacing w:val="-1"/>
        </w:rPr>
        <w:t>、具体事实和具体理由。质疑书依据理由</w:t>
      </w:r>
      <w:r>
        <w:rPr>
          <w:rFonts w:hint="eastAsia" w:ascii="宋体" w:hAnsi="宋体" w:eastAsia="宋体" w:cs="宋体"/>
          <w:color w:val="auto"/>
        </w:rPr>
        <w:t>部分只有主观陈述、推理、猜测等，而没有提供客观事实依据、法律依据的；</w:t>
      </w:r>
    </w:p>
    <w:p w14:paraId="348B44D3">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566A0D4A">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（六）充足有效的相关证明材料；如果涉及到产品功能或技术指标的，应出具相关制造商的证明文件；</w:t>
      </w:r>
    </w:p>
    <w:p w14:paraId="43F7D955">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（七）质疑材料中有外文资料的，应一并附上中文译本，并以中文译本为准。</w:t>
      </w:r>
    </w:p>
    <w:p w14:paraId="250F7DD7">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（八）提起质疑的日期</w:t>
      </w:r>
    </w:p>
    <w:p w14:paraId="7C5E385E">
      <w:pPr>
        <w:pStyle w:val="8"/>
        <w:keepNext w:val="0"/>
        <w:keepLines w:val="0"/>
        <w:pageBreakBefore w:val="0"/>
        <w:widowControl w:val="0"/>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rPr>
      </w:pPr>
      <w:r>
        <w:rPr>
          <w:rFonts w:hint="eastAsia" w:ascii="宋体" w:hAnsi="宋体" w:eastAsia="宋体" w:cs="宋体"/>
          <w:color w:val="auto"/>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D95DFD9">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磋商响应供应商委托代理人办理质疑事宜，应当提交授权委托书，并载明委托</w:t>
      </w:r>
      <w:r>
        <w:rPr>
          <w:rFonts w:hint="eastAsia" w:ascii="宋体" w:hAnsi="宋体" w:eastAsia="宋体" w:cs="宋体"/>
          <w:color w:val="auto"/>
          <w:sz w:val="24"/>
        </w:rPr>
        <w:t>代理的具体权限和事项。授权委托书应当由委托人签字并加盖单位公章。</w:t>
      </w:r>
    </w:p>
    <w:p w14:paraId="67B22011">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提交质疑书时，磋商响应供应商应同时提交本人身份证，委托他人代理质疑事</w:t>
      </w:r>
      <w:r>
        <w:rPr>
          <w:rFonts w:hint="eastAsia" w:ascii="宋体" w:hAnsi="宋体" w:eastAsia="宋体" w:cs="宋体"/>
          <w:color w:val="auto"/>
          <w:sz w:val="24"/>
        </w:rPr>
        <w:t>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69D8C200">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质疑书提交方式。磋商响应供应商或者其委托代理人应当当面提交质疑书及相</w:t>
      </w:r>
      <w:r>
        <w:rPr>
          <w:rFonts w:hint="eastAsia" w:ascii="宋体" w:hAnsi="宋体" w:eastAsia="宋体" w:cs="宋体"/>
          <w:color w:val="auto"/>
          <w:sz w:val="24"/>
        </w:rPr>
        <w:t>关证明材料。磋商响应供应商以电子邮件、传真等其他方式提交质疑书及相关证明材料的，或者不是磋商响应供应商或者其委托代理人提交质疑书及相关证明材料的，采购人或采购机构可以拒收。</w:t>
      </w:r>
    </w:p>
    <w:p w14:paraId="66EC3939">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sz w:val="24"/>
        </w:rPr>
      </w:pPr>
      <w:r>
        <w:rPr>
          <w:rFonts w:hint="eastAsia" w:ascii="宋体" w:hAnsi="宋体" w:eastAsia="宋体" w:cs="宋体"/>
          <w:color w:val="auto"/>
          <w:spacing w:val="-1"/>
          <w:sz w:val="24"/>
        </w:rPr>
        <w:t>磋商响应供应商不得虚假质疑和恶意质疑，并对质疑内容的真实性承担责任。</w:t>
      </w:r>
      <w:r>
        <w:rPr>
          <w:rFonts w:hint="eastAsia" w:ascii="宋体" w:hAnsi="宋体" w:eastAsia="宋体" w:cs="宋体"/>
          <w:color w:val="auto"/>
          <w:sz w:val="24"/>
        </w:rPr>
        <w:t>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0F592725">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采购人将在收到符合上述条件的书面质疑后 7</w:t>
      </w:r>
      <w:r>
        <w:rPr>
          <w:rFonts w:hint="eastAsia" w:ascii="宋体" w:hAnsi="宋体" w:eastAsia="宋体" w:cs="宋体"/>
          <w:color w:val="auto"/>
          <w:spacing w:val="-9"/>
          <w:sz w:val="24"/>
        </w:rPr>
        <w:t xml:space="preserve"> 个工作日内审查质疑事项，作出答复或相关处理决定，并以书面形式通知质疑磋商响应供应商和其他有关磋商响应供应商，但答复的内容不涉及商业秘密。若质疑涉及磋商制度或程序，将被转交政府采购的</w:t>
      </w:r>
      <w:r>
        <w:rPr>
          <w:rFonts w:hint="eastAsia" w:ascii="宋体" w:hAnsi="宋体" w:eastAsia="宋体" w:cs="宋体"/>
          <w:color w:val="auto"/>
          <w:spacing w:val="-12"/>
          <w:sz w:val="24"/>
        </w:rPr>
        <w:t>管理部门审查。采购人遵循“谁过错谁负担”的原则，有过错的一方承担调查论证费用。</w:t>
      </w:r>
    </w:p>
    <w:p w14:paraId="2ACDF0CC">
      <w:pPr>
        <w:pStyle w:val="27"/>
        <w:keepNext w:val="0"/>
        <w:keepLines w:val="0"/>
        <w:pageBreakBefore w:val="0"/>
        <w:widowControl w:val="0"/>
        <w:numPr>
          <w:ilvl w:val="1"/>
          <w:numId w:val="12"/>
        </w:numPr>
        <w:tabs>
          <w:tab w:val="left" w:pos="1341"/>
        </w:tabs>
        <w:kinsoku/>
        <w:wordWrap w:val="0"/>
        <w:overflowPunct/>
        <w:topLinePunct w:val="0"/>
        <w:bidi w:val="0"/>
        <w:adjustRightInd/>
        <w:snapToGrid/>
        <w:spacing w:line="480" w:lineRule="exact"/>
        <w:ind w:left="0" w:right="0" w:firstLine="476"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pacing w:val="-1"/>
          <w:sz w:val="24"/>
          <w:highlight w:val="none"/>
        </w:rPr>
        <w:t>质疑供应商对采购人的答复不满意以及采购人未在规定的时间内做出答复的，</w:t>
      </w:r>
      <w:r>
        <w:rPr>
          <w:rFonts w:hint="eastAsia" w:ascii="宋体" w:hAnsi="宋体" w:eastAsia="宋体" w:cs="宋体"/>
          <w:color w:val="auto"/>
          <w:spacing w:val="-7"/>
          <w:sz w:val="24"/>
          <w:highlight w:val="none"/>
        </w:rPr>
        <w:t>可以在答复期满后</w:t>
      </w:r>
      <w:r>
        <w:rPr>
          <w:rFonts w:hint="eastAsia" w:ascii="宋体" w:hAnsi="宋体" w:eastAsia="宋体" w:cs="宋体"/>
          <w:color w:val="auto"/>
          <w:sz w:val="24"/>
          <w:highlight w:val="none"/>
        </w:rPr>
        <w:t>15</w:t>
      </w:r>
      <w:r>
        <w:rPr>
          <w:rFonts w:hint="eastAsia" w:ascii="宋体" w:hAnsi="宋体" w:eastAsia="宋体" w:cs="宋体"/>
          <w:color w:val="auto"/>
          <w:spacing w:val="-8"/>
          <w:sz w:val="24"/>
          <w:highlight w:val="none"/>
        </w:rPr>
        <w:t>个工作日内向财政部门投诉。</w:t>
      </w:r>
    </w:p>
    <w:p w14:paraId="5DFBE944">
      <w:pPr>
        <w:pStyle w:val="27"/>
        <w:widowControl w:val="0"/>
        <w:numPr>
          <w:ilvl w:val="0"/>
          <w:numId w:val="0"/>
        </w:numPr>
        <w:tabs>
          <w:tab w:val="left" w:pos="1341"/>
        </w:tabs>
        <w:autoSpaceDE w:val="0"/>
        <w:autoSpaceDN w:val="0"/>
        <w:spacing w:line="328" w:lineRule="auto"/>
        <w:ind w:right="338" w:rightChars="0"/>
        <w:jc w:val="both"/>
        <w:rPr>
          <w:color w:val="auto"/>
        </w:rPr>
        <w:sectPr>
          <w:footerReference r:id="rId6" w:type="default"/>
          <w:pgSz w:w="11910" w:h="16840"/>
          <w:pgMar w:top="1440" w:right="1440" w:bottom="1440" w:left="1440" w:header="867" w:footer="867" w:gutter="0"/>
          <w:pgNumType w:fmt="decimal"/>
          <w:cols w:space="720" w:num="1"/>
        </w:sectPr>
      </w:pPr>
    </w:p>
    <w:p w14:paraId="497E9985">
      <w:pPr>
        <w:rPr>
          <w:rFonts w:hint="eastAsia" w:ascii="宋体" w:hAnsi="宋体" w:eastAsia="宋体" w:cs="宋体"/>
          <w:b/>
          <w:bCs/>
          <w:color w:val="auto"/>
          <w:highlight w:val="none"/>
          <w:lang w:val="en-US" w:eastAsia="zh-CN"/>
        </w:rPr>
      </w:pPr>
      <w:bookmarkStart w:id="158" w:name="_Toc25877"/>
    </w:p>
    <w:p w14:paraId="08A59493">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rFonts w:hint="eastAsia" w:ascii="宋体" w:hAnsi="宋体" w:eastAsia="宋体" w:cs="宋体"/>
          <w:b/>
          <w:bCs/>
          <w:color w:val="auto"/>
          <w:sz w:val="36"/>
          <w:szCs w:val="28"/>
          <w:highlight w:val="none"/>
          <w:lang w:val="en-US" w:eastAsia="zh-CN"/>
        </w:rPr>
      </w:pPr>
      <w:r>
        <w:rPr>
          <w:rFonts w:hint="eastAsia" w:ascii="宋体" w:hAnsi="宋体" w:eastAsia="宋体" w:cs="宋体"/>
          <w:b/>
          <w:bCs/>
          <w:color w:val="auto"/>
          <w:sz w:val="36"/>
          <w:szCs w:val="28"/>
          <w:highlight w:val="none"/>
          <w:lang w:val="en-US" w:eastAsia="zh-CN"/>
        </w:rPr>
        <w:t xml:space="preserve">第三章 </w:t>
      </w:r>
      <w:bookmarkEnd w:id="158"/>
      <w:r>
        <w:rPr>
          <w:rFonts w:hint="eastAsia" w:ascii="宋体" w:hAnsi="宋体" w:eastAsia="宋体" w:cs="宋体"/>
          <w:b/>
          <w:bCs/>
          <w:color w:val="auto"/>
          <w:sz w:val="36"/>
          <w:szCs w:val="28"/>
          <w:highlight w:val="none"/>
          <w:lang w:val="en-US" w:eastAsia="zh-CN"/>
        </w:rPr>
        <w:t>服务需求</w:t>
      </w:r>
    </w:p>
    <w:p w14:paraId="020F07D9">
      <w:pPr>
        <w:rPr>
          <w:color w:val="auto"/>
        </w:rPr>
      </w:pPr>
    </w:p>
    <w:p w14:paraId="58AF993E">
      <w:pPr>
        <w:pStyle w:val="15"/>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一、项目概况：</w:t>
      </w:r>
    </w:p>
    <w:p w14:paraId="44DCBFE1">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1、项目名称：</w:t>
      </w:r>
      <w:r>
        <w:rPr>
          <w:rFonts w:hint="eastAsia" w:ascii="宋体" w:hAnsi="宋体" w:cs="宋体"/>
          <w:color w:val="auto"/>
          <w:sz w:val="24"/>
          <w:szCs w:val="24"/>
          <w:lang w:val="en-US" w:eastAsia="zh-CN"/>
        </w:rPr>
        <w:t>渑池县公路局省道508(原国道310)渑池黄花至渑陕界段结构性修复工程施工图设计项目</w:t>
      </w:r>
    </w:p>
    <w:p w14:paraId="3A0D7239">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2、采购</w:t>
      </w:r>
      <w:r>
        <w:rPr>
          <w:rFonts w:hint="eastAsia" w:ascii="宋体" w:hAnsi="宋体" w:cs="宋体"/>
          <w:color w:val="auto"/>
          <w:sz w:val="24"/>
          <w:szCs w:val="24"/>
          <w:lang w:val="en-US" w:eastAsia="zh-CN"/>
        </w:rPr>
        <w:t>方式</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竞争性磋商</w:t>
      </w:r>
    </w:p>
    <w:p w14:paraId="292F58F6">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3、预算金额：</w:t>
      </w:r>
      <w:r>
        <w:rPr>
          <w:rFonts w:hint="eastAsia" w:ascii="宋体" w:hAnsi="宋体" w:cs="宋体"/>
          <w:color w:val="auto"/>
          <w:sz w:val="24"/>
          <w:szCs w:val="24"/>
          <w:lang w:val="en-US" w:eastAsia="zh-CN"/>
        </w:rPr>
        <w:t>560000.00</w:t>
      </w:r>
      <w:r>
        <w:rPr>
          <w:rFonts w:hint="eastAsia" w:ascii="宋体" w:hAnsi="宋体" w:eastAsia="宋体" w:cs="宋体"/>
          <w:color w:val="auto"/>
          <w:sz w:val="24"/>
          <w:szCs w:val="24"/>
          <w:lang w:val="en-US" w:eastAsia="zh-CN"/>
        </w:rPr>
        <w:t>元</w:t>
      </w:r>
    </w:p>
    <w:p w14:paraId="620F70AB">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cs="宋体"/>
          <w:color w:val="auto"/>
          <w:sz w:val="24"/>
          <w:szCs w:val="24"/>
          <w:lang w:val="en-US" w:eastAsia="zh-CN"/>
        </w:rPr>
        <w:t>项目概况</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本项目为渑池县公路局省道508(原国道310)渑池黄花至渑陕界段结构性修复工程施工图设计项目；承担现场踏勘、方案论证、造价测算、文本制图，并全程配合专家评审及主管部门报批修改，交付完整纸质及电子成果文件。</w:t>
      </w:r>
    </w:p>
    <w:p w14:paraId="6295F423">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5、资金来源：财政资金，已落实；</w:t>
      </w:r>
    </w:p>
    <w:p w14:paraId="21F8913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cs="宋体"/>
          <w:color w:val="auto"/>
          <w:sz w:val="24"/>
          <w:szCs w:val="24"/>
          <w:lang w:val="en-US" w:eastAsia="zh-CN"/>
        </w:rPr>
        <w:t>服务地点：渑池县</w:t>
      </w:r>
    </w:p>
    <w:p w14:paraId="4E969B76">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r>
        <w:rPr>
          <w:rFonts w:hint="eastAsia" w:ascii="宋体" w:hAnsi="宋体" w:cs="宋体"/>
          <w:color w:val="auto"/>
          <w:sz w:val="24"/>
          <w:szCs w:val="24"/>
          <w:lang w:val="en-US" w:eastAsia="zh-CN"/>
        </w:rPr>
        <w:t>服务期限</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20日历天</w:t>
      </w:r>
      <w:r>
        <w:rPr>
          <w:rFonts w:hint="eastAsia" w:ascii="宋体" w:hAnsi="宋体" w:eastAsia="宋体" w:cs="宋体"/>
          <w:color w:val="auto"/>
          <w:sz w:val="24"/>
          <w:szCs w:val="24"/>
          <w:lang w:val="en-US" w:eastAsia="zh-CN"/>
        </w:rPr>
        <w:t>；</w:t>
      </w:r>
    </w:p>
    <w:p w14:paraId="6B954B28">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8、质量要求：符合国家现行规范和标准，并满足采购人要求；</w:t>
      </w:r>
    </w:p>
    <w:p w14:paraId="6923048B">
      <w:pPr>
        <w:pStyle w:val="15"/>
        <w:keepNext w:val="0"/>
        <w:keepLines w:val="0"/>
        <w:pageBreakBefore w:val="0"/>
        <w:widowControl w:val="0"/>
        <w:kinsoku/>
        <w:wordWrap w:val="0"/>
        <w:overflowPunct/>
        <w:topLinePunct w:val="0"/>
        <w:autoSpaceDE w:val="0"/>
        <w:autoSpaceDN w:val="0"/>
        <w:bidi w:val="0"/>
        <w:adjustRightInd w:val="0"/>
        <w:snapToGrid w:val="0"/>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w:t>
      </w:r>
      <w:r>
        <w:rPr>
          <w:rFonts w:hint="eastAsia" w:cs="宋体"/>
          <w:color w:val="auto"/>
          <w:sz w:val="24"/>
          <w:szCs w:val="24"/>
          <w:lang w:val="en-US" w:eastAsia="zh-CN"/>
        </w:rPr>
        <w:t>服务内容</w:t>
      </w:r>
      <w:r>
        <w:rPr>
          <w:rFonts w:hint="eastAsia" w:ascii="宋体" w:hAnsi="宋体" w:eastAsia="宋体" w:cs="宋体"/>
          <w:color w:val="auto"/>
          <w:sz w:val="24"/>
          <w:szCs w:val="24"/>
          <w:lang w:val="en-US" w:eastAsia="zh-CN"/>
        </w:rPr>
        <w:t>：</w:t>
      </w:r>
    </w:p>
    <w:p w14:paraId="0A8620C3">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bookmarkStart w:id="159" w:name="_Toc30570"/>
      <w:bookmarkStart w:id="160" w:name="_Toc2414"/>
      <w:r>
        <w:rPr>
          <w:rFonts w:hint="eastAsia" w:ascii="宋体" w:hAnsi="宋体" w:cs="宋体"/>
          <w:color w:val="auto"/>
          <w:sz w:val="24"/>
          <w:szCs w:val="24"/>
          <w:lang w:val="en-US" w:eastAsia="zh-CN"/>
        </w:rPr>
        <w:t>开展项目现场踏勘，完成道路路基路面、桥涵、排水防护、交通安全设施、及附属工程全套施工图设计。</w:t>
      </w:r>
    </w:p>
    <w:p w14:paraId="197D7E22">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按照现行公路养护定额编制施工图预算文件，配合财政评审及图纸审查，依据审查意见修改完善设计文件，直至通过施工图批复。协助开展施工招标工作，提供工程量清单、技术规范，做好招标答疑。</w:t>
      </w:r>
    </w:p>
    <w:p w14:paraId="4C53E320">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开工前组织设计技术交底，施工期间提供现场技术服务，及时处理现场技术问题，按规定完成设计变更及变更预算编制，参与隐蔽工程验收。配合交工及竣工验收，整理图纸、预算、变更文件等全部纸质及电子档案资料并完成归档，完成招标人交办的其他相关技术服务工作。</w:t>
      </w:r>
    </w:p>
    <w:p w14:paraId="4A07F363">
      <w:pPr>
        <w:pStyle w:val="8"/>
        <w:keepNext w:val="0"/>
        <w:keepLines w:val="0"/>
        <w:pageBreakBefore w:val="0"/>
        <w:widowControl w:val="0"/>
        <w:numPr>
          <w:ilvl w:val="0"/>
          <w:numId w:val="0"/>
        </w:numPr>
        <w:kinsoku/>
        <w:wordWrap w:val="0"/>
        <w:overflowPunct/>
        <w:topLinePunct w:val="0"/>
        <w:autoSpaceDE w:val="0"/>
        <w:autoSpaceDN w:val="0"/>
        <w:bidi w:val="0"/>
        <w:adjustRightInd/>
        <w:snapToGrid/>
        <w:spacing w:before="161" w:line="560" w:lineRule="exact"/>
        <w:ind w:firstLine="480" w:firstLineChars="200"/>
        <w:textAlignment w:val="auto"/>
        <w:rPr>
          <w:rFonts w:hint="eastAsia" w:ascii="宋体" w:hAnsi="宋体" w:cs="宋体"/>
          <w:color w:val="auto"/>
          <w:sz w:val="24"/>
          <w:szCs w:val="24"/>
          <w:lang w:val="en-US" w:eastAsia="zh-CN"/>
        </w:rPr>
      </w:pPr>
    </w:p>
    <w:p w14:paraId="782F8DF3">
      <w:pPr>
        <w:pStyle w:val="8"/>
        <w:keepNext w:val="0"/>
        <w:keepLines w:val="0"/>
        <w:pageBreakBefore w:val="0"/>
        <w:widowControl w:val="0"/>
        <w:numPr>
          <w:ilvl w:val="0"/>
          <w:numId w:val="0"/>
        </w:numPr>
        <w:kinsoku/>
        <w:wordWrap w:val="0"/>
        <w:overflowPunct/>
        <w:topLinePunct w:val="0"/>
        <w:autoSpaceDE w:val="0"/>
        <w:autoSpaceDN w:val="0"/>
        <w:bidi w:val="0"/>
        <w:adjustRightInd/>
        <w:snapToGrid/>
        <w:spacing w:before="161" w:line="560" w:lineRule="exact"/>
        <w:ind w:firstLine="480" w:firstLineChars="200"/>
        <w:textAlignment w:val="auto"/>
        <w:rPr>
          <w:rFonts w:hint="eastAsia" w:ascii="宋体" w:hAnsi="宋体" w:cs="宋体"/>
          <w:color w:val="auto"/>
          <w:sz w:val="24"/>
          <w:szCs w:val="24"/>
          <w:lang w:val="en-US" w:eastAsia="zh-CN"/>
        </w:rPr>
      </w:pPr>
    </w:p>
    <w:p w14:paraId="614A43DB">
      <w:pPr>
        <w:pStyle w:val="8"/>
        <w:keepNext w:val="0"/>
        <w:keepLines w:val="0"/>
        <w:pageBreakBefore w:val="0"/>
        <w:widowControl w:val="0"/>
        <w:numPr>
          <w:ilvl w:val="0"/>
          <w:numId w:val="0"/>
        </w:numPr>
        <w:kinsoku/>
        <w:wordWrap w:val="0"/>
        <w:overflowPunct/>
        <w:topLinePunct w:val="0"/>
        <w:autoSpaceDE w:val="0"/>
        <w:autoSpaceDN w:val="0"/>
        <w:bidi w:val="0"/>
        <w:adjustRightInd/>
        <w:snapToGrid/>
        <w:spacing w:before="161" w:line="560" w:lineRule="exact"/>
        <w:ind w:firstLine="480" w:firstLineChars="200"/>
        <w:textAlignment w:val="auto"/>
        <w:rPr>
          <w:rFonts w:hint="eastAsia" w:ascii="宋体" w:hAnsi="宋体" w:eastAsia="宋体" w:cs="宋体"/>
          <w:color w:val="auto"/>
          <w:sz w:val="24"/>
          <w:szCs w:val="24"/>
          <w:highlight w:val="yellow"/>
          <w:lang w:val="en-US" w:eastAsia="zh-CN"/>
        </w:rPr>
      </w:pPr>
    </w:p>
    <w:p w14:paraId="6A067FA0">
      <w:pPr>
        <w:rPr>
          <w:rFonts w:hint="eastAsia"/>
          <w:b/>
          <w:bCs/>
          <w:color w:val="auto"/>
        </w:rPr>
      </w:pPr>
      <w:r>
        <w:rPr>
          <w:rFonts w:hint="eastAsia"/>
          <w:b/>
          <w:bCs/>
          <w:color w:val="auto"/>
        </w:rPr>
        <w:br w:type="page"/>
      </w:r>
    </w:p>
    <w:p w14:paraId="761874D7">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rFonts w:hint="eastAsia" w:ascii="宋体" w:hAnsi="宋体" w:eastAsia="宋体" w:cs="宋体"/>
          <w:b/>
          <w:bCs/>
          <w:color w:val="auto"/>
          <w:sz w:val="36"/>
          <w:szCs w:val="28"/>
          <w:lang w:val="en-US" w:eastAsia="zh-CN"/>
        </w:rPr>
      </w:pPr>
      <w:r>
        <w:rPr>
          <w:rFonts w:hint="eastAsia" w:ascii="宋体" w:hAnsi="宋体" w:eastAsia="宋体" w:cs="宋体"/>
          <w:b/>
          <w:bCs/>
          <w:color w:val="auto"/>
          <w:sz w:val="36"/>
          <w:szCs w:val="28"/>
          <w:lang w:val="en-US" w:eastAsia="zh-CN"/>
        </w:rPr>
        <w:t>第</w:t>
      </w:r>
      <w:r>
        <w:rPr>
          <w:rFonts w:hint="eastAsia" w:ascii="宋体" w:hAnsi="宋体" w:eastAsia="宋体" w:cs="宋体"/>
          <w:b/>
          <w:bCs/>
          <w:color w:val="auto"/>
          <w:sz w:val="36"/>
          <w:szCs w:val="28"/>
          <w:highlight w:val="none"/>
          <w:lang w:val="en-US" w:eastAsia="zh-CN"/>
        </w:rPr>
        <w:t>四章 评审办法</w:t>
      </w:r>
      <w:bookmarkEnd w:id="159"/>
    </w:p>
    <w:p w14:paraId="63E5F7A5">
      <w:pPr>
        <w:spacing w:line="460" w:lineRule="exact"/>
        <w:jc w:val="center"/>
        <w:rPr>
          <w:rFonts w:hint="eastAsia" w:eastAsia="宋体"/>
          <w:color w:val="auto"/>
          <w:sz w:val="28"/>
          <w:szCs w:val="28"/>
          <w:lang w:val="en-US" w:eastAsia="zh-CN"/>
        </w:rPr>
      </w:pPr>
      <w:bookmarkStart w:id="161" w:name="_Toc28583_WPSOffice_Level2"/>
      <w:r>
        <w:rPr>
          <w:rFonts w:hint="eastAsia"/>
          <w:color w:val="auto"/>
          <w:sz w:val="28"/>
          <w:szCs w:val="28"/>
        </w:rPr>
        <w:t>评标办法前附表</w:t>
      </w:r>
      <w:bookmarkEnd w:id="161"/>
    </w:p>
    <w:tbl>
      <w:tblPr>
        <w:tblStyle w:val="20"/>
        <w:tblW w:w="9195" w:type="dxa"/>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806"/>
        <w:gridCol w:w="28"/>
        <w:gridCol w:w="975"/>
        <w:gridCol w:w="120"/>
        <w:gridCol w:w="2173"/>
        <w:gridCol w:w="13"/>
        <w:gridCol w:w="5031"/>
        <w:gridCol w:w="43"/>
      </w:tblGrid>
      <w:tr w14:paraId="2120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23" w:hRule="atLeast"/>
        </w:trPr>
        <w:tc>
          <w:tcPr>
            <w:tcW w:w="1815" w:type="dxa"/>
            <w:gridSpan w:val="4"/>
            <w:vAlign w:val="center"/>
          </w:tcPr>
          <w:p w14:paraId="16DC9D47">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
                <w:color w:val="auto"/>
                <w:szCs w:val="21"/>
              </w:rPr>
            </w:pPr>
            <w:r>
              <w:rPr>
                <w:rFonts w:hint="eastAsia" w:ascii="宋体" w:hAnsi="宋体" w:eastAsia="宋体" w:cs="宋体"/>
                <w:b/>
                <w:color w:val="auto"/>
                <w:szCs w:val="21"/>
              </w:rPr>
              <w:t>条款号</w:t>
            </w:r>
          </w:p>
        </w:tc>
        <w:tc>
          <w:tcPr>
            <w:tcW w:w="2306" w:type="dxa"/>
            <w:gridSpan w:val="3"/>
            <w:vAlign w:val="center"/>
          </w:tcPr>
          <w:p w14:paraId="7D15A16D">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5031" w:type="dxa"/>
            <w:vAlign w:val="center"/>
          </w:tcPr>
          <w:p w14:paraId="2799ADC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
                <w:color w:val="auto"/>
                <w:szCs w:val="21"/>
              </w:rPr>
            </w:pPr>
            <w:r>
              <w:rPr>
                <w:rFonts w:hint="eastAsia" w:ascii="宋体" w:hAnsi="宋体" w:eastAsia="宋体" w:cs="宋体"/>
                <w:b/>
                <w:color w:val="auto"/>
                <w:szCs w:val="21"/>
              </w:rPr>
              <w:t>评审标准</w:t>
            </w:r>
          </w:p>
        </w:tc>
      </w:tr>
      <w:tr w14:paraId="4EA3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587" w:hRule="atLeast"/>
        </w:trPr>
        <w:tc>
          <w:tcPr>
            <w:tcW w:w="840" w:type="dxa"/>
            <w:gridSpan w:val="3"/>
            <w:vMerge w:val="restart"/>
            <w:vAlign w:val="center"/>
          </w:tcPr>
          <w:p w14:paraId="45C32D3F">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2.1.1</w:t>
            </w:r>
          </w:p>
        </w:tc>
        <w:tc>
          <w:tcPr>
            <w:tcW w:w="975" w:type="dxa"/>
            <w:vMerge w:val="restart"/>
            <w:vAlign w:val="center"/>
          </w:tcPr>
          <w:p w14:paraId="30EDFC87">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kern w:val="0"/>
                <w:sz w:val="24"/>
              </w:rPr>
              <w:t>符合性评审</w:t>
            </w:r>
            <w:r>
              <w:rPr>
                <w:rFonts w:hint="eastAsia" w:ascii="宋体" w:hAnsi="宋体" w:eastAsia="宋体" w:cs="宋体"/>
                <w:kern w:val="0"/>
                <w:sz w:val="24"/>
                <w:lang w:val="en-US" w:eastAsia="zh-CN"/>
              </w:rPr>
              <w:t>标准</w:t>
            </w:r>
          </w:p>
        </w:tc>
        <w:tc>
          <w:tcPr>
            <w:tcW w:w="2306" w:type="dxa"/>
            <w:gridSpan w:val="3"/>
            <w:vAlign w:val="center"/>
          </w:tcPr>
          <w:p w14:paraId="0DCD1CB0">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供应商名称</w:t>
            </w:r>
          </w:p>
        </w:tc>
        <w:tc>
          <w:tcPr>
            <w:tcW w:w="5031" w:type="dxa"/>
            <w:vAlign w:val="center"/>
          </w:tcPr>
          <w:p w14:paraId="2315EBF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bCs/>
                <w:color w:val="auto"/>
                <w:szCs w:val="21"/>
                <w:lang w:val="en-US"/>
              </w:rPr>
            </w:pPr>
            <w:r>
              <w:rPr>
                <w:rFonts w:hint="eastAsia" w:ascii="宋体" w:hAnsi="宋体" w:eastAsia="宋体" w:cs="宋体"/>
                <w:bCs/>
                <w:color w:val="auto"/>
                <w:szCs w:val="21"/>
                <w:lang w:val="en-US"/>
              </w:rPr>
              <w:t>与营业执照一致</w:t>
            </w:r>
          </w:p>
        </w:tc>
      </w:tr>
      <w:tr w14:paraId="7E00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77" w:hRule="atLeast"/>
        </w:trPr>
        <w:tc>
          <w:tcPr>
            <w:tcW w:w="840" w:type="dxa"/>
            <w:gridSpan w:val="3"/>
            <w:vMerge w:val="continue"/>
            <w:vAlign w:val="top"/>
          </w:tcPr>
          <w:p w14:paraId="486D5E0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975" w:type="dxa"/>
            <w:vMerge w:val="continue"/>
            <w:vAlign w:val="top"/>
          </w:tcPr>
          <w:p w14:paraId="4F0FD742">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49ADB66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kern w:val="0"/>
                <w:sz w:val="24"/>
              </w:rPr>
              <w:t>响应文件签署、盖章</w:t>
            </w:r>
          </w:p>
        </w:tc>
        <w:tc>
          <w:tcPr>
            <w:tcW w:w="5031" w:type="dxa"/>
            <w:vAlign w:val="center"/>
          </w:tcPr>
          <w:p w14:paraId="03115BEF">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bCs/>
                <w:color w:val="auto"/>
                <w:szCs w:val="21"/>
                <w:lang w:val="en-US"/>
              </w:rPr>
            </w:pPr>
            <w:r>
              <w:rPr>
                <w:rFonts w:hint="eastAsia" w:ascii="宋体" w:hAnsi="宋体" w:eastAsia="宋体" w:cs="宋体"/>
                <w:sz w:val="24"/>
              </w:rPr>
              <w:t>响应文件按竞争性磋商文件要求签署、盖章的</w:t>
            </w:r>
          </w:p>
        </w:tc>
      </w:tr>
      <w:tr w14:paraId="6851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543" w:hRule="atLeast"/>
        </w:trPr>
        <w:tc>
          <w:tcPr>
            <w:tcW w:w="840" w:type="dxa"/>
            <w:gridSpan w:val="3"/>
            <w:vMerge w:val="continue"/>
            <w:vAlign w:val="top"/>
          </w:tcPr>
          <w:p w14:paraId="3307AFC7">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975" w:type="dxa"/>
            <w:vMerge w:val="continue"/>
            <w:vAlign w:val="top"/>
          </w:tcPr>
          <w:p w14:paraId="0C075B4F">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1A16D15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报价唯一</w:t>
            </w:r>
          </w:p>
        </w:tc>
        <w:tc>
          <w:tcPr>
            <w:tcW w:w="5031" w:type="dxa"/>
            <w:vAlign w:val="center"/>
          </w:tcPr>
          <w:p w14:paraId="6AFB652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rPr>
              <w:t>只能有一个有效报价</w:t>
            </w:r>
            <w:r>
              <w:rPr>
                <w:rFonts w:hint="eastAsia" w:ascii="宋体" w:hAnsi="宋体" w:eastAsia="宋体" w:cs="宋体"/>
                <w:bCs/>
                <w:color w:val="auto"/>
                <w:szCs w:val="21"/>
                <w:lang w:val="en-US" w:eastAsia="zh-CN"/>
              </w:rPr>
              <w:t>，</w:t>
            </w:r>
            <w:r>
              <w:rPr>
                <w:rFonts w:hint="eastAsia" w:ascii="宋体" w:hAnsi="宋体" w:eastAsia="宋体" w:cs="宋体"/>
                <w:bCs/>
                <w:color w:val="auto"/>
                <w:szCs w:val="21"/>
                <w:lang w:val="en-US"/>
              </w:rPr>
              <w:t>且不超过最高限价</w:t>
            </w:r>
          </w:p>
        </w:tc>
      </w:tr>
      <w:tr w14:paraId="5E8F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776" w:hRule="atLeast"/>
        </w:trPr>
        <w:tc>
          <w:tcPr>
            <w:tcW w:w="840" w:type="dxa"/>
            <w:gridSpan w:val="3"/>
            <w:vMerge w:val="restart"/>
            <w:vAlign w:val="center"/>
          </w:tcPr>
          <w:p w14:paraId="4F0DE9D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2.1.2</w:t>
            </w:r>
          </w:p>
        </w:tc>
        <w:tc>
          <w:tcPr>
            <w:tcW w:w="975" w:type="dxa"/>
            <w:vMerge w:val="restart"/>
            <w:vAlign w:val="center"/>
          </w:tcPr>
          <w:p w14:paraId="6752C82B">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资格</w:t>
            </w:r>
            <w:r>
              <w:rPr>
                <w:rFonts w:hint="eastAsia" w:ascii="宋体" w:hAnsi="宋体" w:eastAsia="宋体" w:cs="宋体"/>
                <w:color w:val="auto"/>
                <w:szCs w:val="21"/>
                <w:lang w:val="en-US" w:eastAsia="zh-CN"/>
              </w:rPr>
              <w:t>性</w:t>
            </w:r>
            <w:r>
              <w:rPr>
                <w:rFonts w:hint="eastAsia" w:ascii="宋体" w:hAnsi="宋体" w:eastAsia="宋体" w:cs="宋体"/>
                <w:color w:val="auto"/>
                <w:szCs w:val="21"/>
              </w:rPr>
              <w:t>评审标准</w:t>
            </w:r>
          </w:p>
        </w:tc>
        <w:tc>
          <w:tcPr>
            <w:tcW w:w="2306" w:type="dxa"/>
            <w:gridSpan w:val="3"/>
            <w:vAlign w:val="center"/>
          </w:tcPr>
          <w:p w14:paraId="6D9190D8">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 w:val="24"/>
                <w:szCs w:val="24"/>
                <w:lang w:val="en-US" w:eastAsia="zh-CN"/>
              </w:rPr>
              <w:t>第二十二条规定</w:t>
            </w:r>
          </w:p>
        </w:tc>
        <w:tc>
          <w:tcPr>
            <w:tcW w:w="5031" w:type="dxa"/>
            <w:vAlign w:val="center"/>
          </w:tcPr>
          <w:p w14:paraId="3FC4FE3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Cs w:val="21"/>
                <w:lang w:val="en-US"/>
              </w:rPr>
            </w:pPr>
            <w:r>
              <w:rPr>
                <w:rFonts w:hint="eastAsia" w:ascii="宋体" w:hAnsi="宋体" w:eastAsia="宋体" w:cs="宋体"/>
                <w:color w:val="auto"/>
                <w:sz w:val="24"/>
                <w:szCs w:val="24"/>
                <w:lang w:val="en-US" w:eastAsia="zh-CN"/>
              </w:rPr>
              <w:t>满足《中华人民共和国政府采购法》第二十二条规定；（提供承诺函）</w:t>
            </w:r>
          </w:p>
        </w:tc>
      </w:tr>
      <w:tr w14:paraId="4561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861" w:hRule="atLeast"/>
        </w:trPr>
        <w:tc>
          <w:tcPr>
            <w:tcW w:w="840" w:type="dxa"/>
            <w:gridSpan w:val="3"/>
            <w:vMerge w:val="continue"/>
            <w:vAlign w:val="center"/>
          </w:tcPr>
          <w:p w14:paraId="51F6C2D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22DE2118">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0A08582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 w:val="22"/>
                <w:szCs w:val="21"/>
                <w:highlight w:val="none"/>
                <w:lang w:val="zh-CN" w:eastAsia="zh-CN" w:bidi="zh-CN"/>
              </w:rPr>
            </w:pPr>
            <w:r>
              <w:rPr>
                <w:rFonts w:hint="eastAsia" w:ascii="宋体" w:hAnsi="宋体" w:eastAsia="宋体" w:cs="宋体"/>
                <w:color w:val="auto"/>
                <w:szCs w:val="21"/>
                <w:highlight w:val="none"/>
              </w:rPr>
              <w:t>落实政府采购政策满足的资格要求</w:t>
            </w:r>
          </w:p>
        </w:tc>
        <w:tc>
          <w:tcPr>
            <w:tcW w:w="5031" w:type="dxa"/>
            <w:vAlign w:val="center"/>
          </w:tcPr>
          <w:p w14:paraId="2E09E37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color w:val="auto"/>
                <w:sz w:val="24"/>
                <w:szCs w:val="24"/>
                <w:highlight w:val="none"/>
              </w:rPr>
              <w:t>本项目专门面向中小企业采购；供应商须提供《中小企业声明函》</w:t>
            </w:r>
            <w:r>
              <w:rPr>
                <w:rFonts w:hint="eastAsia" w:ascii="宋体" w:hAnsi="宋体" w:eastAsia="宋体" w:cs="宋体"/>
                <w:color w:val="auto"/>
                <w:sz w:val="24"/>
                <w:szCs w:val="24"/>
                <w:highlight w:val="none"/>
                <w:lang w:eastAsia="zh-CN"/>
              </w:rPr>
              <w:t>；</w:t>
            </w:r>
          </w:p>
        </w:tc>
      </w:tr>
      <w:tr w14:paraId="1002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94" w:hRule="atLeast"/>
        </w:trPr>
        <w:tc>
          <w:tcPr>
            <w:tcW w:w="840" w:type="dxa"/>
            <w:gridSpan w:val="3"/>
            <w:vMerge w:val="continue"/>
            <w:vAlign w:val="center"/>
          </w:tcPr>
          <w:p w14:paraId="42958CA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53BB1CC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107C244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5031" w:type="dxa"/>
            <w:vAlign w:val="center"/>
          </w:tcPr>
          <w:p w14:paraId="10B09C4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供应商具有有效的营业执照</w:t>
            </w:r>
          </w:p>
        </w:tc>
      </w:tr>
      <w:tr w14:paraId="2762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933" w:hRule="atLeast"/>
        </w:trPr>
        <w:tc>
          <w:tcPr>
            <w:tcW w:w="840" w:type="dxa"/>
            <w:gridSpan w:val="3"/>
            <w:vMerge w:val="continue"/>
            <w:vAlign w:val="center"/>
          </w:tcPr>
          <w:p w14:paraId="6717EFF3">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7FFB687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38AAD6B8">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资质</w:t>
            </w:r>
          </w:p>
        </w:tc>
        <w:tc>
          <w:tcPr>
            <w:tcW w:w="5031" w:type="dxa"/>
            <w:vAlign w:val="center"/>
          </w:tcPr>
          <w:p w14:paraId="3BF0861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Cs w:val="21"/>
                <w:lang w:val="en-US" w:eastAsia="zh-CN"/>
              </w:rPr>
            </w:pPr>
            <w:r>
              <w:rPr>
                <w:rFonts w:hint="eastAsia" w:cs="宋体"/>
                <w:bCs/>
                <w:color w:val="000000" w:themeColor="text1"/>
                <w:sz w:val="24"/>
                <w:szCs w:val="24"/>
                <w:highlight w:val="none"/>
                <w:lang w:val="en-US" w:eastAsia="zh-CN"/>
                <w14:textFill>
                  <w14:solidFill>
                    <w14:schemeClr w14:val="tx1"/>
                  </w14:solidFill>
                </w14:textFill>
              </w:rPr>
              <w:t>供应商须具有公路行业（公路）专业乙级及以上设计资质或工程设计综合甲级资质</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；在人员、设备、资金等方面具有相应的设计能力（提供承诺书，格式自拟）</w:t>
            </w:r>
          </w:p>
        </w:tc>
      </w:tr>
      <w:tr w14:paraId="75D8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1283" w:hRule="atLeast"/>
        </w:trPr>
        <w:tc>
          <w:tcPr>
            <w:tcW w:w="840" w:type="dxa"/>
            <w:gridSpan w:val="3"/>
            <w:vMerge w:val="continue"/>
            <w:vAlign w:val="center"/>
          </w:tcPr>
          <w:p w14:paraId="38056D1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4FB9EEFB">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5B4ACFDF">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highlight w:val="none"/>
                <w:lang w:eastAsia="zh-CN"/>
              </w:rPr>
              <w:t>项目负责人</w:t>
            </w:r>
          </w:p>
        </w:tc>
        <w:tc>
          <w:tcPr>
            <w:tcW w:w="5031" w:type="dxa"/>
            <w:vAlign w:val="center"/>
          </w:tcPr>
          <w:p w14:paraId="20B8474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Cs w:val="21"/>
                <w:lang w:val="en-US" w:eastAsia="zh-CN"/>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供应商拟派项目负责人须具有相关专业中级及以上工程师职称，必须为本单位人员（提供身份证、职称证、劳动合同、社保（近三个月内）证明材料）；</w:t>
            </w:r>
          </w:p>
        </w:tc>
      </w:tr>
      <w:tr w14:paraId="05F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489" w:hRule="atLeast"/>
        </w:trPr>
        <w:tc>
          <w:tcPr>
            <w:tcW w:w="840" w:type="dxa"/>
            <w:gridSpan w:val="3"/>
            <w:vMerge w:val="continue"/>
            <w:vAlign w:val="center"/>
          </w:tcPr>
          <w:p w14:paraId="34863E3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0B3E0CD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2C151AAD">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无重大违法记录</w:t>
            </w:r>
          </w:p>
        </w:tc>
        <w:tc>
          <w:tcPr>
            <w:tcW w:w="5031" w:type="dxa"/>
            <w:vAlign w:val="center"/>
          </w:tcPr>
          <w:p w14:paraId="27534D34">
            <w:pPr>
              <w:keepNext w:val="0"/>
              <w:keepLines w:val="0"/>
              <w:pageBreakBefore w:val="0"/>
              <w:widowControl w:val="0"/>
              <w:kinsoku/>
              <w:wordWrap/>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参加政府采购活动前三年，在经营活动中没有重大违法记录（提供声明，格式自拟）；</w:t>
            </w:r>
          </w:p>
        </w:tc>
      </w:tr>
      <w:tr w14:paraId="213D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489" w:hRule="atLeast"/>
        </w:trPr>
        <w:tc>
          <w:tcPr>
            <w:tcW w:w="840" w:type="dxa"/>
            <w:gridSpan w:val="3"/>
            <w:vMerge w:val="continue"/>
            <w:vAlign w:val="center"/>
          </w:tcPr>
          <w:p w14:paraId="5C73089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rPr>
            </w:pPr>
          </w:p>
        </w:tc>
        <w:tc>
          <w:tcPr>
            <w:tcW w:w="975" w:type="dxa"/>
            <w:vMerge w:val="continue"/>
            <w:vAlign w:val="center"/>
          </w:tcPr>
          <w:p w14:paraId="29FCE41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rPr>
            </w:pPr>
          </w:p>
        </w:tc>
        <w:tc>
          <w:tcPr>
            <w:tcW w:w="2306" w:type="dxa"/>
            <w:gridSpan w:val="3"/>
            <w:vAlign w:val="center"/>
          </w:tcPr>
          <w:p w14:paraId="724D06D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无商业贿赂及无不正当竞争行为</w:t>
            </w:r>
          </w:p>
        </w:tc>
        <w:tc>
          <w:tcPr>
            <w:tcW w:w="5031" w:type="dxa"/>
            <w:vAlign w:val="center"/>
          </w:tcPr>
          <w:p w14:paraId="4E89F386">
            <w:pPr>
              <w:keepNext w:val="0"/>
              <w:keepLines w:val="0"/>
              <w:pageBreakBefore w:val="0"/>
              <w:widowControl w:val="0"/>
              <w:kinsoku/>
              <w:wordWrap/>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供应商自行出具本单位无商业贿赂及无不正当</w:t>
            </w:r>
          </w:p>
          <w:p w14:paraId="4164DC4C">
            <w:pPr>
              <w:keepNext w:val="0"/>
              <w:keepLines w:val="0"/>
              <w:pageBreakBefore w:val="0"/>
              <w:widowControl w:val="0"/>
              <w:kinsoku/>
              <w:wordWrap/>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竞争行为的承诺书；</w:t>
            </w:r>
          </w:p>
        </w:tc>
      </w:tr>
      <w:tr w14:paraId="13D9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489" w:hRule="atLeast"/>
        </w:trPr>
        <w:tc>
          <w:tcPr>
            <w:tcW w:w="840" w:type="dxa"/>
            <w:gridSpan w:val="3"/>
            <w:vMerge w:val="continue"/>
            <w:vAlign w:val="center"/>
          </w:tcPr>
          <w:p w14:paraId="38A5F50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p>
        </w:tc>
        <w:tc>
          <w:tcPr>
            <w:tcW w:w="975" w:type="dxa"/>
            <w:vMerge w:val="continue"/>
            <w:vAlign w:val="center"/>
          </w:tcPr>
          <w:p w14:paraId="62DBF473">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p>
        </w:tc>
        <w:tc>
          <w:tcPr>
            <w:tcW w:w="2306" w:type="dxa"/>
            <w:gridSpan w:val="3"/>
            <w:vAlign w:val="center"/>
          </w:tcPr>
          <w:p w14:paraId="6028AC80">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r>
              <w:rPr>
                <w:rFonts w:hint="eastAsia" w:ascii="宋体" w:hAnsi="宋体" w:eastAsia="宋体" w:cs="宋体"/>
                <w:bCs/>
                <w:color w:val="auto"/>
                <w:sz w:val="24"/>
                <w:szCs w:val="24"/>
                <w:lang w:val="en-US" w:eastAsia="zh-CN"/>
              </w:rPr>
              <w:t>无行贿犯罪记录</w:t>
            </w:r>
          </w:p>
        </w:tc>
        <w:tc>
          <w:tcPr>
            <w:tcW w:w="5031" w:type="dxa"/>
            <w:vAlign w:val="center"/>
          </w:tcPr>
          <w:p w14:paraId="38A3661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供应商出具无行贿犯罪记录在中国裁判文书网自行查询或自行承诺（查询对象：企业、法定</w:t>
            </w:r>
          </w:p>
          <w:p w14:paraId="5B074193">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color w:val="auto"/>
                <w:szCs w:val="21"/>
                <w:lang w:eastAsia="zh-CN"/>
              </w:rPr>
            </w:pPr>
            <w:r>
              <w:rPr>
                <w:rFonts w:hint="eastAsia" w:ascii="宋体" w:hAnsi="宋体" w:eastAsia="宋体" w:cs="宋体"/>
                <w:bCs/>
                <w:color w:val="auto"/>
                <w:sz w:val="24"/>
                <w:szCs w:val="24"/>
                <w:lang w:val="en-US" w:eastAsia="zh-CN"/>
              </w:rPr>
              <w:t>代表人）；</w:t>
            </w:r>
          </w:p>
        </w:tc>
      </w:tr>
      <w:tr w14:paraId="1B31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413" w:hRule="atLeast"/>
        </w:trPr>
        <w:tc>
          <w:tcPr>
            <w:tcW w:w="840" w:type="dxa"/>
            <w:gridSpan w:val="3"/>
            <w:vMerge w:val="continue"/>
            <w:vAlign w:val="center"/>
          </w:tcPr>
          <w:p w14:paraId="5322EFD5">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406FDDD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10B1B06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信用查询</w:t>
            </w:r>
          </w:p>
        </w:tc>
        <w:tc>
          <w:tcPr>
            <w:tcW w:w="5031" w:type="dxa"/>
            <w:vAlign w:val="center"/>
          </w:tcPr>
          <w:p w14:paraId="6AEB1C22">
            <w:pPr>
              <w:pStyle w:val="8"/>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288" w:lineRule="auto"/>
              <w:ind w:left="0" w:leftChars="0" w:firstLine="0" w:firstLineChars="0"/>
              <w:textAlignment w:val="auto"/>
              <w:rPr>
                <w:rFonts w:hint="eastAsia" w:ascii="宋体" w:hAnsi="宋体" w:eastAsia="宋体" w:cs="宋体"/>
                <w:lang w:val="en-US"/>
              </w:rPr>
            </w:pPr>
            <w:r>
              <w:rPr>
                <w:rFonts w:hint="eastAsia" w:ascii="宋体" w:hAnsi="宋体" w:eastAsia="宋体" w:cs="宋体"/>
                <w:bCs/>
                <w:color w:val="auto"/>
                <w:sz w:val="24"/>
                <w:szCs w:val="24"/>
                <w:lang w:val="en-US" w:eastAsia="zh-CN"/>
              </w:rPr>
              <w:t>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截止至开标时间）</w:t>
            </w:r>
            <w:r>
              <w:rPr>
                <w:rFonts w:hint="eastAsia" w:ascii="宋体" w:hAnsi="宋体" w:eastAsia="宋体" w:cs="宋体"/>
                <w:bCs/>
                <w:color w:val="auto"/>
                <w:sz w:val="24"/>
                <w:szCs w:val="24"/>
                <w:lang w:val="en-US"/>
              </w:rPr>
              <w:t>；</w:t>
            </w:r>
          </w:p>
        </w:tc>
      </w:tr>
      <w:tr w14:paraId="33C9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742" w:hRule="atLeast"/>
        </w:trPr>
        <w:tc>
          <w:tcPr>
            <w:tcW w:w="840" w:type="dxa"/>
            <w:gridSpan w:val="3"/>
            <w:vMerge w:val="continue"/>
            <w:vAlign w:val="center"/>
          </w:tcPr>
          <w:p w14:paraId="028495F8">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p>
        </w:tc>
        <w:tc>
          <w:tcPr>
            <w:tcW w:w="975" w:type="dxa"/>
            <w:vMerge w:val="continue"/>
            <w:vAlign w:val="center"/>
          </w:tcPr>
          <w:p w14:paraId="68B98A5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11267C0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r>
              <w:rPr>
                <w:rFonts w:hint="eastAsia" w:ascii="宋体" w:hAnsi="宋体" w:eastAsia="宋体" w:cs="宋体"/>
                <w:bCs/>
                <w:color w:val="auto"/>
                <w:sz w:val="24"/>
                <w:szCs w:val="24"/>
                <w:lang w:val="en-US"/>
              </w:rPr>
              <w:t>国家企业信用信息公示</w:t>
            </w:r>
          </w:p>
        </w:tc>
        <w:tc>
          <w:tcPr>
            <w:tcW w:w="5031" w:type="dxa"/>
            <w:vAlign w:val="center"/>
          </w:tcPr>
          <w:p w14:paraId="0DF21FEC">
            <w:pPr>
              <w:keepNext w:val="0"/>
              <w:keepLines w:val="0"/>
              <w:pageBreakBefore w:val="0"/>
              <w:widowControl w:val="0"/>
              <w:numPr>
                <w:ilvl w:val="0"/>
                <w:numId w:val="0"/>
              </w:numPr>
              <w:tabs>
                <w:tab w:val="left" w:pos="360"/>
              </w:tabs>
              <w:kinsoku/>
              <w:wordWrap w:val="0"/>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lang w:val="en-US" w:eastAsia="zh-CN"/>
              </w:rPr>
            </w:pPr>
            <w:r>
              <w:rPr>
                <w:rFonts w:hint="eastAsia" w:ascii="宋体" w:hAnsi="宋体" w:eastAsia="宋体" w:cs="宋体"/>
                <w:bCs/>
                <w:color w:val="auto"/>
                <w:sz w:val="24"/>
                <w:szCs w:val="24"/>
                <w:lang w:val="en-US"/>
              </w:rPr>
              <w:t>单位负责人为同一人或者存在控股、管理关系的不同单位，不得同时参加本项目投标（提供加盖供应商公章的“国家企业信用信息公示系统”中公示的公司信息、股东或投资人信息）</w:t>
            </w:r>
            <w:r>
              <w:rPr>
                <w:rFonts w:hint="eastAsia" w:ascii="宋体" w:hAnsi="宋体" w:eastAsia="宋体" w:cs="宋体"/>
                <w:bCs/>
                <w:color w:val="auto"/>
                <w:sz w:val="24"/>
                <w:szCs w:val="24"/>
                <w:lang w:val="en-US" w:eastAsia="zh-CN"/>
              </w:rPr>
              <w:t>；</w:t>
            </w:r>
          </w:p>
        </w:tc>
      </w:tr>
      <w:tr w14:paraId="3A08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20" w:hRule="atLeast"/>
        </w:trPr>
        <w:tc>
          <w:tcPr>
            <w:tcW w:w="840" w:type="dxa"/>
            <w:gridSpan w:val="3"/>
            <w:vMerge w:val="continue"/>
            <w:vAlign w:val="center"/>
          </w:tcPr>
          <w:p w14:paraId="034E4A3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pPr>
          </w:p>
        </w:tc>
        <w:tc>
          <w:tcPr>
            <w:tcW w:w="975" w:type="dxa"/>
            <w:vMerge w:val="continue"/>
            <w:vAlign w:val="center"/>
          </w:tcPr>
          <w:p w14:paraId="4EC7126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pPr>
          </w:p>
        </w:tc>
        <w:tc>
          <w:tcPr>
            <w:tcW w:w="2306" w:type="dxa"/>
            <w:gridSpan w:val="3"/>
            <w:vAlign w:val="center"/>
          </w:tcPr>
          <w:p w14:paraId="302AD044">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bidi="ar-SA"/>
              </w:rPr>
              <w:t>联合体</w:t>
            </w:r>
          </w:p>
        </w:tc>
        <w:tc>
          <w:tcPr>
            <w:tcW w:w="5031" w:type="dxa"/>
            <w:vAlign w:val="center"/>
          </w:tcPr>
          <w:p w14:paraId="08DCC4C7">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left"/>
              <w:textAlignment w:val="auto"/>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bidi="ar-SA"/>
              </w:rPr>
              <w:t>本项目不接受联合体投标</w:t>
            </w:r>
            <w:r>
              <w:rPr>
                <w:rFonts w:hint="eastAsia" w:ascii="宋体" w:hAnsi="宋体" w:eastAsia="宋体" w:cs="宋体"/>
                <w:color w:val="auto"/>
                <w:sz w:val="24"/>
                <w:szCs w:val="24"/>
                <w:lang w:val="en-US" w:eastAsia="zh-CN"/>
              </w:rPr>
              <w:t>（提供承诺函）</w:t>
            </w:r>
            <w:r>
              <w:rPr>
                <w:rFonts w:hint="eastAsia" w:cs="宋体"/>
                <w:color w:val="auto"/>
                <w:sz w:val="24"/>
                <w:szCs w:val="24"/>
                <w:lang w:val="en-US" w:eastAsia="zh-CN"/>
              </w:rPr>
              <w:t>；</w:t>
            </w:r>
          </w:p>
        </w:tc>
      </w:tr>
      <w:tr w14:paraId="7B6B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764" w:hRule="atLeast"/>
        </w:trPr>
        <w:tc>
          <w:tcPr>
            <w:tcW w:w="840" w:type="dxa"/>
            <w:gridSpan w:val="3"/>
            <w:vMerge w:val="restart"/>
            <w:vAlign w:val="center"/>
          </w:tcPr>
          <w:p w14:paraId="4BD173E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2.1.3</w:t>
            </w:r>
          </w:p>
        </w:tc>
        <w:tc>
          <w:tcPr>
            <w:tcW w:w="975" w:type="dxa"/>
            <w:vMerge w:val="restart"/>
            <w:vAlign w:val="center"/>
          </w:tcPr>
          <w:p w14:paraId="2E214955">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响应性评审标准</w:t>
            </w:r>
          </w:p>
        </w:tc>
        <w:tc>
          <w:tcPr>
            <w:tcW w:w="2306" w:type="dxa"/>
            <w:gridSpan w:val="3"/>
            <w:vAlign w:val="center"/>
          </w:tcPr>
          <w:p w14:paraId="11DAE14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r>
              <w:rPr>
                <w:rFonts w:hint="eastAsia" w:cs="宋体"/>
                <w:color w:val="auto"/>
                <w:szCs w:val="21"/>
                <w:lang w:eastAsia="zh-CN"/>
              </w:rPr>
              <w:t>服务期限</w:t>
            </w:r>
          </w:p>
        </w:tc>
        <w:tc>
          <w:tcPr>
            <w:tcW w:w="5031" w:type="dxa"/>
            <w:vAlign w:val="center"/>
          </w:tcPr>
          <w:p w14:paraId="544A52BE">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符合第二章“供应商须知”规定</w:t>
            </w:r>
          </w:p>
        </w:tc>
      </w:tr>
      <w:tr w14:paraId="66B3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81" w:hRule="atLeast"/>
        </w:trPr>
        <w:tc>
          <w:tcPr>
            <w:tcW w:w="840" w:type="dxa"/>
            <w:gridSpan w:val="3"/>
            <w:vMerge w:val="continue"/>
            <w:vAlign w:val="top"/>
          </w:tcPr>
          <w:p w14:paraId="6C692E7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975" w:type="dxa"/>
            <w:vMerge w:val="continue"/>
            <w:vAlign w:val="top"/>
          </w:tcPr>
          <w:p w14:paraId="35140D8F">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3E676C0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质量要求</w:t>
            </w:r>
          </w:p>
        </w:tc>
        <w:tc>
          <w:tcPr>
            <w:tcW w:w="5031" w:type="dxa"/>
            <w:vAlign w:val="center"/>
          </w:tcPr>
          <w:p w14:paraId="09ED7C5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符合第二章“供应商须知”规定</w:t>
            </w:r>
          </w:p>
        </w:tc>
      </w:tr>
      <w:tr w14:paraId="2B24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95" w:hRule="atLeast"/>
        </w:trPr>
        <w:tc>
          <w:tcPr>
            <w:tcW w:w="840" w:type="dxa"/>
            <w:gridSpan w:val="3"/>
            <w:vMerge w:val="continue"/>
            <w:vAlign w:val="top"/>
          </w:tcPr>
          <w:p w14:paraId="246A3493">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975" w:type="dxa"/>
            <w:vMerge w:val="continue"/>
            <w:vAlign w:val="top"/>
          </w:tcPr>
          <w:p w14:paraId="79766270">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5E633044">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rPr>
            </w:pPr>
            <w:r>
              <w:rPr>
                <w:rFonts w:hint="eastAsia" w:ascii="宋体" w:hAnsi="宋体" w:eastAsia="宋体" w:cs="宋体"/>
                <w:color w:val="auto"/>
                <w:szCs w:val="21"/>
              </w:rPr>
              <w:t>投标有效期</w:t>
            </w:r>
          </w:p>
        </w:tc>
        <w:tc>
          <w:tcPr>
            <w:tcW w:w="5031" w:type="dxa"/>
            <w:vAlign w:val="center"/>
          </w:tcPr>
          <w:p w14:paraId="37927F38">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符合第二章“供应商须知”规定</w:t>
            </w:r>
          </w:p>
        </w:tc>
      </w:tr>
      <w:tr w14:paraId="09BD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617" w:hRule="atLeast"/>
        </w:trPr>
        <w:tc>
          <w:tcPr>
            <w:tcW w:w="840" w:type="dxa"/>
            <w:gridSpan w:val="3"/>
            <w:vMerge w:val="continue"/>
            <w:vAlign w:val="top"/>
          </w:tcPr>
          <w:p w14:paraId="3260F416">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975" w:type="dxa"/>
            <w:vMerge w:val="continue"/>
            <w:vAlign w:val="top"/>
          </w:tcPr>
          <w:p w14:paraId="0552E1BA">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textAlignment w:val="auto"/>
              <w:rPr>
                <w:rFonts w:hint="eastAsia" w:ascii="宋体" w:hAnsi="宋体" w:eastAsia="宋体" w:cs="宋体"/>
                <w:color w:val="auto"/>
                <w:szCs w:val="21"/>
              </w:rPr>
            </w:pPr>
          </w:p>
        </w:tc>
        <w:tc>
          <w:tcPr>
            <w:tcW w:w="2306" w:type="dxa"/>
            <w:gridSpan w:val="3"/>
            <w:vAlign w:val="center"/>
          </w:tcPr>
          <w:p w14:paraId="30B55989">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其他</w:t>
            </w:r>
            <w:r>
              <w:rPr>
                <w:rFonts w:hint="eastAsia" w:ascii="宋体" w:hAnsi="宋体" w:eastAsia="宋体" w:cs="宋体"/>
                <w:color w:val="auto"/>
                <w:szCs w:val="21"/>
                <w:lang w:val="en-US" w:eastAsia="zh-CN"/>
              </w:rPr>
              <w:t>响应性</w:t>
            </w:r>
          </w:p>
        </w:tc>
        <w:tc>
          <w:tcPr>
            <w:tcW w:w="5031" w:type="dxa"/>
            <w:vAlign w:val="center"/>
          </w:tcPr>
          <w:p w14:paraId="6328C931">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both"/>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符合第二章“供应商须知”规定</w:t>
            </w:r>
          </w:p>
        </w:tc>
      </w:tr>
      <w:tr w14:paraId="6F71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11" w:hRule="atLeast"/>
        </w:trPr>
        <w:tc>
          <w:tcPr>
            <w:tcW w:w="1815" w:type="dxa"/>
            <w:gridSpan w:val="4"/>
            <w:vAlign w:val="center"/>
          </w:tcPr>
          <w:p w14:paraId="5B9E7660">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w:t>
            </w:r>
          </w:p>
        </w:tc>
        <w:tc>
          <w:tcPr>
            <w:tcW w:w="2306" w:type="dxa"/>
            <w:gridSpan w:val="3"/>
            <w:vAlign w:val="center"/>
          </w:tcPr>
          <w:p w14:paraId="317D517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分值构成</w:t>
            </w:r>
          </w:p>
          <w:p w14:paraId="29D7338C">
            <w:pPr>
              <w:keepNext w:val="0"/>
              <w:keepLines w:val="0"/>
              <w:pageBreakBefore w:val="0"/>
              <w:widowControl w:val="0"/>
              <w:kinsoku/>
              <w:overflowPunct/>
              <w:topLinePunct w:val="0"/>
              <w:autoSpaceDE w:val="0"/>
              <w:autoSpaceDN w:val="0"/>
              <w:bidi w:val="0"/>
              <w:adjustRightInd w:val="0"/>
              <w:snapToGrid w:val="0"/>
              <w:spacing w:line="288" w:lineRule="auto"/>
              <w:ind w:firstLine="0" w:firstLineChars="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(总分100分)</w:t>
            </w:r>
          </w:p>
        </w:tc>
        <w:tc>
          <w:tcPr>
            <w:tcW w:w="5031" w:type="dxa"/>
            <w:vAlign w:val="center"/>
          </w:tcPr>
          <w:p w14:paraId="08A56135">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w:t>
            </w:r>
          </w:p>
          <w:p w14:paraId="030D6F45">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技术部分：</w:t>
            </w:r>
            <w:r>
              <w:rPr>
                <w:rFonts w:hint="eastAsia" w:ascii="宋体" w:hAnsi="宋体" w:eastAsia="宋体" w:cs="宋体"/>
                <w:color w:val="auto"/>
                <w:szCs w:val="21"/>
                <w:highlight w:val="none"/>
                <w:u w:val="single"/>
                <w:lang w:val="en-US" w:eastAsia="zh-CN"/>
              </w:rPr>
              <w:t>50</w:t>
            </w:r>
            <w:r>
              <w:rPr>
                <w:rFonts w:hint="eastAsia" w:ascii="宋体" w:hAnsi="宋体" w:eastAsia="宋体" w:cs="宋体"/>
                <w:color w:val="auto"/>
                <w:szCs w:val="21"/>
                <w:highlight w:val="none"/>
              </w:rPr>
              <w:t>分</w:t>
            </w:r>
          </w:p>
          <w:p w14:paraId="561DFCDB">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商务部分：</w:t>
            </w:r>
            <w:r>
              <w:rPr>
                <w:rFonts w:hint="eastAsia" w:ascii="宋体" w:hAnsi="宋体" w:eastAsia="宋体" w:cs="宋体"/>
                <w:color w:val="auto"/>
                <w:szCs w:val="21"/>
                <w:highlight w:val="none"/>
                <w:u w:val="single"/>
                <w:lang w:val="en-US" w:eastAsia="zh-CN"/>
              </w:rPr>
              <w:t>20</w:t>
            </w:r>
            <w:r>
              <w:rPr>
                <w:rFonts w:hint="eastAsia" w:ascii="宋体" w:hAnsi="宋体" w:eastAsia="宋体" w:cs="宋体"/>
                <w:color w:val="auto"/>
                <w:szCs w:val="21"/>
                <w:highlight w:val="none"/>
              </w:rPr>
              <w:t>分</w:t>
            </w:r>
          </w:p>
        </w:tc>
      </w:tr>
      <w:tr w14:paraId="3292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849" w:hRule="atLeast"/>
        </w:trPr>
        <w:tc>
          <w:tcPr>
            <w:tcW w:w="806" w:type="dxa"/>
            <w:vAlign w:val="center"/>
          </w:tcPr>
          <w:p w14:paraId="41C65ACC">
            <w:pPr>
              <w:spacing w:line="400" w:lineRule="exact"/>
              <w:ind w:firstLine="28"/>
              <w:jc w:val="center"/>
              <w:rPr>
                <w:b/>
                <w:color w:val="auto"/>
                <w:szCs w:val="21"/>
                <w:highlight w:val="none"/>
              </w:rPr>
            </w:pPr>
            <w:r>
              <w:rPr>
                <w:rFonts w:hint="eastAsia"/>
                <w:b/>
                <w:color w:val="auto"/>
                <w:szCs w:val="21"/>
                <w:highlight w:val="none"/>
              </w:rPr>
              <w:t>序号</w:t>
            </w:r>
          </w:p>
        </w:tc>
        <w:tc>
          <w:tcPr>
            <w:tcW w:w="1123" w:type="dxa"/>
            <w:gridSpan w:val="3"/>
            <w:vAlign w:val="center"/>
          </w:tcPr>
          <w:p w14:paraId="1969EA34">
            <w:pPr>
              <w:spacing w:line="400" w:lineRule="exact"/>
              <w:ind w:firstLine="28"/>
              <w:jc w:val="center"/>
              <w:rPr>
                <w:b/>
                <w:color w:val="auto"/>
                <w:szCs w:val="21"/>
                <w:highlight w:val="none"/>
              </w:rPr>
            </w:pPr>
            <w:r>
              <w:rPr>
                <w:rFonts w:hint="eastAsia"/>
                <w:b/>
                <w:color w:val="auto"/>
                <w:szCs w:val="21"/>
                <w:highlight w:val="none"/>
                <w:lang w:val="en-US" w:eastAsia="zh-CN"/>
              </w:rPr>
              <w:t>评分因</w:t>
            </w:r>
            <w:r>
              <w:rPr>
                <w:rFonts w:hint="eastAsia"/>
                <w:b/>
                <w:color w:val="auto"/>
                <w:szCs w:val="21"/>
                <w:highlight w:val="none"/>
              </w:rPr>
              <w:t>素及分值</w:t>
            </w:r>
          </w:p>
        </w:tc>
        <w:tc>
          <w:tcPr>
            <w:tcW w:w="7260" w:type="dxa"/>
            <w:gridSpan w:val="4"/>
            <w:vAlign w:val="center"/>
          </w:tcPr>
          <w:p w14:paraId="6C4A541F">
            <w:pPr>
              <w:spacing w:line="400" w:lineRule="exact"/>
              <w:ind w:firstLine="28"/>
              <w:jc w:val="center"/>
              <w:rPr>
                <w:b/>
                <w:color w:val="auto"/>
                <w:szCs w:val="21"/>
                <w:highlight w:val="none"/>
              </w:rPr>
            </w:pPr>
            <w:r>
              <w:rPr>
                <w:rFonts w:hint="eastAsia"/>
                <w:b/>
                <w:color w:val="auto"/>
                <w:szCs w:val="21"/>
                <w:highlight w:val="none"/>
              </w:rPr>
              <w:t>评分标准</w:t>
            </w:r>
          </w:p>
        </w:tc>
      </w:tr>
      <w:tr w14:paraId="7DF3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901" w:hRule="atLeast"/>
        </w:trPr>
        <w:tc>
          <w:tcPr>
            <w:tcW w:w="806" w:type="dxa"/>
            <w:vAlign w:val="center"/>
          </w:tcPr>
          <w:p w14:paraId="1AC6CD00">
            <w:pPr>
              <w:spacing w:line="400" w:lineRule="exact"/>
              <w:ind w:firstLine="28"/>
              <w:jc w:val="center"/>
              <w:rPr>
                <w:color w:val="auto"/>
                <w:szCs w:val="21"/>
              </w:rPr>
            </w:pPr>
            <w:r>
              <w:rPr>
                <w:rFonts w:hint="eastAsia"/>
                <w:color w:val="auto"/>
                <w:szCs w:val="21"/>
                <w:lang w:val="en-US"/>
              </w:rPr>
              <w:t>2.2.2</w:t>
            </w:r>
          </w:p>
        </w:tc>
        <w:tc>
          <w:tcPr>
            <w:tcW w:w="1123" w:type="dxa"/>
            <w:gridSpan w:val="3"/>
            <w:vAlign w:val="center"/>
          </w:tcPr>
          <w:p w14:paraId="45B2700D">
            <w:pPr>
              <w:spacing w:line="400" w:lineRule="exact"/>
              <w:ind w:firstLine="28"/>
              <w:jc w:val="center"/>
              <w:rPr>
                <w:rFonts w:hint="eastAsia"/>
                <w:color w:val="auto"/>
                <w:szCs w:val="21"/>
              </w:rPr>
            </w:pPr>
            <w:r>
              <w:rPr>
                <w:rFonts w:hint="eastAsia"/>
                <w:color w:val="auto"/>
                <w:szCs w:val="21"/>
              </w:rPr>
              <w:t>报价</w:t>
            </w:r>
          </w:p>
          <w:p w14:paraId="0440525D">
            <w:pPr>
              <w:spacing w:line="400" w:lineRule="exact"/>
              <w:ind w:firstLine="28"/>
              <w:jc w:val="center"/>
              <w:rPr>
                <w:color w:val="auto"/>
                <w:szCs w:val="21"/>
              </w:rPr>
            </w:pPr>
            <w:r>
              <w:rPr>
                <w:rFonts w:hint="eastAsia"/>
                <w:color w:val="auto"/>
                <w:szCs w:val="21"/>
              </w:rPr>
              <w:t>（</w:t>
            </w:r>
            <w:r>
              <w:rPr>
                <w:rFonts w:hint="eastAsia"/>
                <w:color w:val="auto"/>
                <w:szCs w:val="21"/>
                <w:lang w:val="en-US" w:eastAsia="zh-CN"/>
              </w:rPr>
              <w:t>30</w:t>
            </w:r>
            <w:r>
              <w:rPr>
                <w:rFonts w:hint="eastAsia"/>
                <w:color w:val="auto"/>
                <w:szCs w:val="21"/>
              </w:rPr>
              <w:t>分）</w:t>
            </w:r>
          </w:p>
        </w:tc>
        <w:tc>
          <w:tcPr>
            <w:tcW w:w="7260" w:type="dxa"/>
            <w:gridSpan w:val="4"/>
            <w:vAlign w:val="center"/>
          </w:tcPr>
          <w:p w14:paraId="30A6140A">
            <w:pPr>
              <w:spacing w:line="360" w:lineRule="auto"/>
              <w:rPr>
                <w:rFonts w:hint="eastAsia" w:eastAsia="宋体"/>
                <w:color w:val="auto"/>
                <w:sz w:val="22"/>
                <w:szCs w:val="22"/>
                <w:lang w:val="en-US" w:eastAsia="zh-CN"/>
              </w:rPr>
            </w:pPr>
            <w:r>
              <w:rPr>
                <w:rFonts w:hint="eastAsia" w:eastAsia="宋体"/>
                <w:color w:val="auto"/>
                <w:sz w:val="22"/>
                <w:szCs w:val="22"/>
                <w:lang w:val="en-US" w:eastAsia="zh-CN"/>
              </w:rPr>
              <w:t>1、价格分采用低价优先法计算，即通过资格性和初步审查且第二轮投标价格最低的投标报价为评标基准价，其价格得分为满分</w:t>
            </w:r>
            <w:r>
              <w:rPr>
                <w:rFonts w:hint="eastAsia"/>
                <w:color w:val="auto"/>
                <w:sz w:val="22"/>
                <w:szCs w:val="22"/>
                <w:lang w:val="en-US" w:eastAsia="zh-CN"/>
              </w:rPr>
              <w:t>30</w:t>
            </w:r>
            <w:r>
              <w:rPr>
                <w:rFonts w:hint="eastAsia" w:eastAsia="宋体"/>
                <w:color w:val="auto"/>
                <w:sz w:val="22"/>
                <w:szCs w:val="22"/>
                <w:lang w:val="en-US" w:eastAsia="zh-CN"/>
              </w:rPr>
              <w:t>分。</w:t>
            </w:r>
          </w:p>
          <w:p w14:paraId="414D2B5A">
            <w:pPr>
              <w:spacing w:line="360" w:lineRule="auto"/>
              <w:rPr>
                <w:rFonts w:hint="eastAsia" w:eastAsia="宋体"/>
                <w:color w:val="auto"/>
                <w:sz w:val="22"/>
                <w:szCs w:val="22"/>
                <w:lang w:val="en-US" w:eastAsia="zh-CN"/>
              </w:rPr>
            </w:pPr>
            <w:r>
              <w:rPr>
                <w:rFonts w:hint="eastAsia" w:eastAsia="宋体"/>
                <w:color w:val="auto"/>
                <w:sz w:val="22"/>
                <w:szCs w:val="22"/>
                <w:lang w:val="en-US" w:eastAsia="zh-CN"/>
              </w:rPr>
              <w:t>其他投标供应商的价格分统一按照下列公式计算：</w:t>
            </w:r>
          </w:p>
          <w:p w14:paraId="79293911">
            <w:pPr>
              <w:spacing w:line="360" w:lineRule="auto"/>
              <w:rPr>
                <w:rFonts w:hint="eastAsia" w:eastAsia="宋体"/>
                <w:color w:val="auto"/>
                <w:sz w:val="22"/>
                <w:szCs w:val="22"/>
                <w:lang w:val="en-US" w:eastAsia="zh-CN"/>
              </w:rPr>
            </w:pPr>
            <w:r>
              <w:rPr>
                <w:rFonts w:hint="eastAsia" w:eastAsia="宋体"/>
                <w:color w:val="auto"/>
                <w:sz w:val="22"/>
                <w:szCs w:val="22"/>
                <w:lang w:val="en-US" w:eastAsia="zh-CN"/>
              </w:rPr>
              <w:t>投标报价得分＝（评标基准价/投标报价）×</w:t>
            </w:r>
            <w:r>
              <w:rPr>
                <w:rFonts w:hint="eastAsia"/>
                <w:color w:val="auto"/>
                <w:sz w:val="22"/>
                <w:szCs w:val="22"/>
                <w:lang w:val="en-US" w:eastAsia="zh-CN"/>
              </w:rPr>
              <w:t>30</w:t>
            </w:r>
            <w:r>
              <w:rPr>
                <w:rFonts w:hint="eastAsia" w:eastAsia="宋体"/>
                <w:color w:val="auto"/>
                <w:sz w:val="22"/>
                <w:szCs w:val="22"/>
                <w:lang w:val="en-US" w:eastAsia="zh-CN"/>
              </w:rPr>
              <w:t>％×100</w:t>
            </w:r>
          </w:p>
          <w:p w14:paraId="0584214E">
            <w:pPr>
              <w:spacing w:line="360" w:lineRule="auto"/>
              <w:rPr>
                <w:rFonts w:hint="eastAsia" w:eastAsia="宋体"/>
                <w:color w:val="auto"/>
                <w:sz w:val="22"/>
                <w:szCs w:val="22"/>
                <w:lang w:val="en-US" w:eastAsia="zh-CN"/>
              </w:rPr>
            </w:pPr>
            <w:r>
              <w:rPr>
                <w:rFonts w:hint="eastAsia" w:eastAsia="宋体"/>
                <w:color w:val="auto"/>
                <w:sz w:val="22"/>
                <w:szCs w:val="22"/>
                <w:lang w:val="en-US" w:eastAsia="zh-CN"/>
              </w:rPr>
              <w:t>2、磋商小组认为响应人的报价明显低于其他通过符合性审查响应人的报价，有可能影响项目实施进度或者不能诚信履约的，应当要求其在评标现场合理的时间内提供书面说明，必要时提交相关证明材料；响应人不能证明其报价合理性的，磋商小组应当将其作为无效投标处理。</w:t>
            </w:r>
          </w:p>
          <w:p w14:paraId="41246C2D">
            <w:pPr>
              <w:spacing w:line="360" w:lineRule="auto"/>
              <w:rPr>
                <w:rFonts w:hint="eastAsia" w:eastAsia="宋体"/>
                <w:color w:val="auto"/>
                <w:sz w:val="22"/>
                <w:szCs w:val="22"/>
                <w:lang w:val="en-US" w:eastAsia="zh-CN"/>
              </w:rPr>
            </w:pPr>
            <w:r>
              <w:rPr>
                <w:rFonts w:hint="eastAsia" w:eastAsia="宋体"/>
                <w:color w:val="auto"/>
                <w:sz w:val="22"/>
                <w:szCs w:val="22"/>
                <w:lang w:val="en-US" w:eastAsia="zh-CN"/>
              </w:rPr>
              <w:t>3、超出采购人预算价的响应报价为无效报价。</w:t>
            </w:r>
          </w:p>
        </w:tc>
      </w:tr>
      <w:tr w14:paraId="131D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602" w:hRule="atLeast"/>
        </w:trPr>
        <w:tc>
          <w:tcPr>
            <w:tcW w:w="806" w:type="dxa"/>
            <w:vMerge w:val="restart"/>
            <w:vAlign w:val="center"/>
          </w:tcPr>
          <w:p w14:paraId="6E902831">
            <w:pPr>
              <w:spacing w:line="400" w:lineRule="exact"/>
              <w:ind w:firstLine="28"/>
              <w:jc w:val="center"/>
              <w:rPr>
                <w:color w:val="auto"/>
                <w:szCs w:val="21"/>
                <w:lang w:val="en-US"/>
              </w:rPr>
            </w:pPr>
            <w:r>
              <w:rPr>
                <w:rFonts w:hint="eastAsia"/>
                <w:color w:val="auto"/>
                <w:szCs w:val="21"/>
              </w:rPr>
              <w:t>2</w:t>
            </w:r>
            <w:r>
              <w:rPr>
                <w:rFonts w:hint="eastAsia"/>
                <w:color w:val="auto"/>
                <w:szCs w:val="21"/>
                <w:lang w:val="en-US"/>
              </w:rPr>
              <w:t>.2.3</w:t>
            </w:r>
          </w:p>
        </w:tc>
        <w:tc>
          <w:tcPr>
            <w:tcW w:w="1123" w:type="dxa"/>
            <w:gridSpan w:val="3"/>
            <w:vMerge w:val="restart"/>
            <w:vAlign w:val="center"/>
          </w:tcPr>
          <w:p w14:paraId="3BD08480">
            <w:pPr>
              <w:spacing w:line="400" w:lineRule="exact"/>
              <w:ind w:firstLine="28"/>
              <w:jc w:val="center"/>
              <w:rPr>
                <w:rFonts w:hint="eastAsia" w:ascii="宋体" w:hAnsi="宋体" w:eastAsia="宋体" w:cs="宋体"/>
                <w:color w:val="auto"/>
                <w:sz w:val="22"/>
                <w:szCs w:val="22"/>
                <w:highlight w:val="none"/>
              </w:rPr>
            </w:pPr>
          </w:p>
          <w:p w14:paraId="5E5030B3">
            <w:pPr>
              <w:spacing w:line="400" w:lineRule="exact"/>
              <w:ind w:firstLine="28"/>
              <w:jc w:val="center"/>
              <w:rPr>
                <w:rFonts w:hint="eastAsia" w:ascii="宋体" w:hAnsi="宋体" w:eastAsia="宋体" w:cs="宋体"/>
                <w:color w:val="auto"/>
                <w:sz w:val="22"/>
                <w:szCs w:val="22"/>
                <w:highlight w:val="none"/>
              </w:rPr>
            </w:pPr>
          </w:p>
          <w:p w14:paraId="54289A43">
            <w:pPr>
              <w:spacing w:line="400" w:lineRule="exact"/>
              <w:ind w:firstLine="28"/>
              <w:jc w:val="center"/>
              <w:rPr>
                <w:rFonts w:hint="eastAsia" w:ascii="宋体" w:hAnsi="宋体" w:eastAsia="宋体" w:cs="宋体"/>
                <w:color w:val="auto"/>
                <w:sz w:val="22"/>
                <w:szCs w:val="22"/>
                <w:highlight w:val="none"/>
              </w:rPr>
            </w:pPr>
          </w:p>
          <w:p w14:paraId="121C5D29">
            <w:pPr>
              <w:spacing w:line="400" w:lineRule="exact"/>
              <w:ind w:firstLine="28"/>
              <w:jc w:val="center"/>
              <w:rPr>
                <w:rFonts w:hint="eastAsia" w:ascii="宋体" w:hAnsi="宋体" w:eastAsia="宋体" w:cs="宋体"/>
                <w:color w:val="auto"/>
                <w:sz w:val="22"/>
                <w:szCs w:val="22"/>
                <w:highlight w:val="none"/>
              </w:rPr>
            </w:pPr>
          </w:p>
          <w:p w14:paraId="6E8C272E">
            <w:pPr>
              <w:spacing w:line="400" w:lineRule="exact"/>
              <w:ind w:firstLine="28"/>
              <w:jc w:val="center"/>
              <w:rPr>
                <w:rFonts w:hint="eastAsia" w:ascii="宋体" w:hAnsi="宋体" w:eastAsia="宋体" w:cs="宋体"/>
                <w:color w:val="auto"/>
                <w:sz w:val="22"/>
                <w:szCs w:val="22"/>
                <w:highlight w:val="none"/>
              </w:rPr>
            </w:pPr>
          </w:p>
          <w:p w14:paraId="6BF4F18A">
            <w:pPr>
              <w:spacing w:line="400" w:lineRule="exact"/>
              <w:ind w:firstLine="28"/>
              <w:jc w:val="center"/>
              <w:rPr>
                <w:rFonts w:hint="eastAsia" w:ascii="宋体" w:hAnsi="宋体" w:eastAsia="宋体" w:cs="宋体"/>
                <w:color w:val="auto"/>
                <w:sz w:val="22"/>
                <w:szCs w:val="22"/>
                <w:highlight w:val="none"/>
              </w:rPr>
            </w:pPr>
          </w:p>
          <w:p w14:paraId="38AD73C8">
            <w:pPr>
              <w:spacing w:line="400" w:lineRule="exact"/>
              <w:ind w:firstLine="28"/>
              <w:jc w:val="center"/>
              <w:rPr>
                <w:rFonts w:hint="eastAsia" w:ascii="宋体" w:hAnsi="宋体" w:eastAsia="宋体" w:cs="宋体"/>
                <w:color w:val="auto"/>
                <w:sz w:val="22"/>
                <w:szCs w:val="22"/>
                <w:highlight w:val="none"/>
              </w:rPr>
            </w:pPr>
          </w:p>
          <w:p w14:paraId="46DAF4C6">
            <w:pPr>
              <w:spacing w:line="400" w:lineRule="exact"/>
              <w:ind w:firstLine="28"/>
              <w:jc w:val="center"/>
              <w:rPr>
                <w:rFonts w:hint="eastAsia" w:ascii="宋体" w:hAnsi="宋体" w:eastAsia="宋体" w:cs="宋体"/>
                <w:color w:val="auto"/>
                <w:sz w:val="22"/>
                <w:szCs w:val="22"/>
                <w:highlight w:val="none"/>
              </w:rPr>
            </w:pPr>
          </w:p>
          <w:p w14:paraId="2F00F6AC">
            <w:pPr>
              <w:spacing w:line="400" w:lineRule="exact"/>
              <w:ind w:firstLine="28"/>
              <w:jc w:val="center"/>
              <w:rPr>
                <w:rFonts w:hint="eastAsia" w:ascii="宋体" w:hAnsi="宋体" w:eastAsia="宋体" w:cs="宋体"/>
                <w:color w:val="auto"/>
                <w:sz w:val="22"/>
                <w:szCs w:val="22"/>
                <w:highlight w:val="none"/>
              </w:rPr>
            </w:pPr>
          </w:p>
          <w:p w14:paraId="21702C17">
            <w:pPr>
              <w:spacing w:line="400" w:lineRule="exact"/>
              <w:ind w:firstLine="28"/>
              <w:jc w:val="center"/>
              <w:rPr>
                <w:rFonts w:hint="eastAsia" w:ascii="宋体" w:hAnsi="宋体" w:eastAsia="宋体" w:cs="宋体"/>
                <w:color w:val="auto"/>
                <w:sz w:val="22"/>
                <w:szCs w:val="22"/>
                <w:highlight w:val="none"/>
              </w:rPr>
            </w:pPr>
          </w:p>
          <w:p w14:paraId="1D834B3D">
            <w:pPr>
              <w:spacing w:line="400" w:lineRule="exact"/>
              <w:ind w:firstLine="28"/>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技术标（</w:t>
            </w:r>
            <w:r>
              <w:rPr>
                <w:rFonts w:hint="eastAsia" w:cs="宋体"/>
                <w:color w:val="auto"/>
                <w:sz w:val="22"/>
                <w:szCs w:val="22"/>
                <w:highlight w:val="none"/>
                <w:lang w:val="en-US" w:eastAsia="zh-CN"/>
              </w:rPr>
              <w:t>50</w:t>
            </w:r>
            <w:r>
              <w:rPr>
                <w:rFonts w:hint="eastAsia" w:ascii="宋体" w:hAnsi="宋体" w:eastAsia="宋体" w:cs="宋体"/>
                <w:color w:val="auto"/>
                <w:sz w:val="22"/>
                <w:szCs w:val="22"/>
                <w:highlight w:val="none"/>
              </w:rPr>
              <w:t>分）</w:t>
            </w:r>
          </w:p>
        </w:tc>
        <w:tc>
          <w:tcPr>
            <w:tcW w:w="2173" w:type="dxa"/>
            <w:vAlign w:val="center"/>
          </w:tcPr>
          <w:p w14:paraId="4D29EB7D">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auto"/>
                <w:kern w:val="2"/>
                <w:sz w:val="22"/>
                <w:szCs w:val="22"/>
                <w:highlight w:val="none"/>
                <w:lang w:val="en-US"/>
              </w:rPr>
            </w:pPr>
            <w:r>
              <w:rPr>
                <w:rFonts w:hint="eastAsia" w:ascii="宋体" w:hAnsi="宋体" w:eastAsia="宋体" w:cs="宋体"/>
                <w:color w:val="000000"/>
                <w:sz w:val="24"/>
                <w:highlight w:val="none"/>
                <w:shd w:val="clear" w:color="auto" w:fill="FFFFFF" w:themeFill="background1"/>
              </w:rPr>
              <w:t>项目总体设计方案概述（</w:t>
            </w:r>
            <w:r>
              <w:rPr>
                <w:rFonts w:hint="eastAsia" w:cs="宋体"/>
                <w:color w:val="000000"/>
                <w:sz w:val="24"/>
                <w:highlight w:val="none"/>
                <w:shd w:val="clear" w:color="auto" w:fill="FFFFFF" w:themeFill="background1"/>
                <w:lang w:val="en-US" w:eastAsia="zh-CN"/>
              </w:rPr>
              <w:t>15</w:t>
            </w:r>
            <w:r>
              <w:rPr>
                <w:rFonts w:hint="eastAsia" w:ascii="宋体" w:hAnsi="宋体" w:eastAsia="宋体" w:cs="宋体"/>
                <w:color w:val="000000"/>
                <w:sz w:val="24"/>
                <w:highlight w:val="none"/>
                <w:shd w:val="clear" w:color="auto" w:fill="FFFFFF" w:themeFill="background1"/>
              </w:rPr>
              <w:t>分）</w:t>
            </w:r>
          </w:p>
        </w:tc>
        <w:tc>
          <w:tcPr>
            <w:tcW w:w="5087" w:type="dxa"/>
            <w:gridSpan w:val="3"/>
            <w:vAlign w:val="center"/>
          </w:tcPr>
          <w:p w14:paraId="397597FE">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000000"/>
                <w:sz w:val="24"/>
                <w:highlight w:val="none"/>
                <w:shd w:val="clear" w:color="auto" w:fill="FFFFFF" w:themeFill="background1"/>
              </w:rPr>
              <w:t>对项目理解深刻、到位，总体设计思路表述清晰、完整、严谨、合理；</w:t>
            </w:r>
            <w:r>
              <w:rPr>
                <w:rFonts w:hint="eastAsia" w:ascii="宋体" w:hAnsi="宋体" w:eastAsia="宋体" w:cs="宋体"/>
                <w:color w:val="000000"/>
                <w:sz w:val="24"/>
                <w:highlight w:val="none"/>
                <w:shd w:val="clear" w:color="auto" w:fill="FFFFFF" w:themeFill="background1"/>
                <w:lang w:val="zh-CN"/>
              </w:rPr>
              <w:t>内容详实、考虑周全、措施到位、可行性强得</w:t>
            </w:r>
            <w:r>
              <w:rPr>
                <w:rFonts w:hint="eastAsia" w:ascii="宋体" w:hAnsi="宋体" w:eastAsia="宋体" w:cs="宋体"/>
                <w:color w:val="000000"/>
                <w:sz w:val="24"/>
                <w:highlight w:val="none"/>
                <w:shd w:val="clear" w:color="auto" w:fill="FFFFFF" w:themeFill="background1"/>
              </w:rPr>
              <w:t>15</w:t>
            </w:r>
            <w:r>
              <w:rPr>
                <w:rFonts w:hint="eastAsia" w:ascii="宋体" w:hAnsi="宋体" w:eastAsia="宋体" w:cs="宋体"/>
                <w:color w:val="000000"/>
                <w:sz w:val="24"/>
                <w:highlight w:val="none"/>
                <w:shd w:val="clear" w:color="auto" w:fill="FFFFFF" w:themeFill="background1"/>
                <w:lang w:val="zh-CN"/>
              </w:rPr>
              <w:t>分；内容基本完整、考虑基本周全、措施有待优化、可行性一般得</w:t>
            </w:r>
            <w:r>
              <w:rPr>
                <w:rFonts w:hint="eastAsia" w:ascii="宋体" w:hAnsi="宋体" w:eastAsia="宋体" w:cs="宋体"/>
                <w:color w:val="000000"/>
                <w:sz w:val="24"/>
                <w:highlight w:val="none"/>
                <w:shd w:val="clear" w:color="auto" w:fill="FFFFFF" w:themeFill="background1"/>
              </w:rPr>
              <w:t>10</w:t>
            </w:r>
            <w:r>
              <w:rPr>
                <w:rFonts w:hint="eastAsia" w:ascii="宋体" w:hAnsi="宋体" w:eastAsia="宋体" w:cs="宋体"/>
                <w:color w:val="000000"/>
                <w:sz w:val="24"/>
                <w:highlight w:val="none"/>
                <w:shd w:val="clear" w:color="auto" w:fill="FFFFFF" w:themeFill="background1"/>
                <w:lang w:val="zh-CN"/>
              </w:rPr>
              <w:t>分；内容基本完整、考虑不周全、措施不到位、可行性差得</w:t>
            </w:r>
            <w:r>
              <w:rPr>
                <w:rFonts w:hint="eastAsia" w:ascii="宋体" w:hAnsi="宋体" w:eastAsia="宋体" w:cs="宋体"/>
                <w:color w:val="000000"/>
                <w:sz w:val="24"/>
                <w:highlight w:val="none"/>
                <w:shd w:val="clear" w:color="auto" w:fill="FFFFFF" w:themeFill="background1"/>
              </w:rPr>
              <w:t>5</w:t>
            </w:r>
            <w:r>
              <w:rPr>
                <w:rFonts w:hint="eastAsia" w:ascii="宋体" w:hAnsi="宋体" w:eastAsia="宋体" w:cs="宋体"/>
                <w:color w:val="000000"/>
                <w:sz w:val="24"/>
                <w:highlight w:val="none"/>
                <w:shd w:val="clear" w:color="auto" w:fill="FFFFFF" w:themeFill="background1"/>
                <w:lang w:val="zh-CN"/>
              </w:rPr>
              <w:t>分；</w:t>
            </w:r>
            <w:r>
              <w:rPr>
                <w:rFonts w:hint="eastAsia" w:ascii="宋体" w:hAnsi="宋体" w:eastAsia="宋体" w:cs="宋体"/>
                <w:color w:val="000000"/>
                <w:sz w:val="24"/>
                <w:highlight w:val="none"/>
                <w:shd w:val="clear" w:color="auto" w:fill="FFFFFF" w:themeFill="background1"/>
              </w:rPr>
              <w:t>没有不得分。</w:t>
            </w:r>
          </w:p>
        </w:tc>
      </w:tr>
      <w:tr w14:paraId="1A85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0302F8E1">
            <w:pPr>
              <w:spacing w:line="400" w:lineRule="exact"/>
              <w:ind w:firstLine="28"/>
              <w:jc w:val="center"/>
              <w:rPr>
                <w:color w:val="auto"/>
                <w:szCs w:val="21"/>
              </w:rPr>
            </w:pPr>
          </w:p>
        </w:tc>
        <w:tc>
          <w:tcPr>
            <w:tcW w:w="1123" w:type="dxa"/>
            <w:gridSpan w:val="3"/>
            <w:vMerge w:val="continue"/>
            <w:vAlign w:val="center"/>
          </w:tcPr>
          <w:p w14:paraId="7CFB4164">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226003EF">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auto"/>
                <w:spacing w:val="0"/>
                <w:sz w:val="22"/>
                <w:szCs w:val="22"/>
                <w:highlight w:val="none"/>
                <w:lang w:val="en-US" w:eastAsia="zh-CN"/>
              </w:rPr>
            </w:pPr>
            <w:r>
              <w:rPr>
                <w:rFonts w:hint="eastAsia" w:cs="宋体"/>
                <w:color w:val="000000"/>
                <w:sz w:val="24"/>
                <w:highlight w:val="none"/>
                <w:shd w:val="clear" w:color="auto" w:fill="FFFFFF" w:themeFill="background1"/>
                <w:lang w:val="en-US" w:eastAsia="zh-CN"/>
              </w:rPr>
              <w:t>针</w:t>
            </w:r>
            <w:r>
              <w:rPr>
                <w:rFonts w:hint="eastAsia" w:ascii="宋体" w:hAnsi="宋体" w:eastAsia="宋体" w:cs="宋体"/>
                <w:color w:val="000000"/>
                <w:sz w:val="24"/>
                <w:highlight w:val="none"/>
                <w:shd w:val="clear" w:color="auto" w:fill="FFFFFF" w:themeFill="background1"/>
              </w:rPr>
              <w:t>对项目设计的特点、关键技术问题的认识及其对策措施（</w:t>
            </w:r>
            <w:r>
              <w:rPr>
                <w:rFonts w:hint="eastAsia" w:cs="宋体"/>
                <w:color w:val="000000"/>
                <w:sz w:val="24"/>
                <w:highlight w:val="none"/>
                <w:shd w:val="clear" w:color="auto" w:fill="FFFFFF" w:themeFill="background1"/>
                <w:lang w:val="en-US" w:eastAsia="zh-CN"/>
              </w:rPr>
              <w:t>8</w:t>
            </w:r>
            <w:r>
              <w:rPr>
                <w:rFonts w:hint="eastAsia" w:ascii="宋体" w:hAnsi="宋体" w:eastAsia="宋体" w:cs="宋体"/>
                <w:color w:val="000000"/>
                <w:sz w:val="24"/>
                <w:highlight w:val="none"/>
                <w:shd w:val="clear" w:color="auto" w:fill="FFFFFF" w:themeFill="background1"/>
              </w:rPr>
              <w:t>分）</w:t>
            </w:r>
          </w:p>
        </w:tc>
        <w:tc>
          <w:tcPr>
            <w:tcW w:w="5087" w:type="dxa"/>
            <w:gridSpan w:val="3"/>
            <w:vAlign w:val="center"/>
          </w:tcPr>
          <w:p w14:paraId="7954C06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color w:val="000000"/>
                <w:sz w:val="24"/>
                <w:highlight w:val="none"/>
                <w:shd w:val="clear" w:color="auto" w:fill="FFFFFF" w:themeFill="background1"/>
              </w:rPr>
              <w:t>对项目设计特点描述准确、到位，对关键技术问题有深入的表述，解决方案完整、经济、安全、切实可行，措施得力</w:t>
            </w:r>
            <w:r>
              <w:rPr>
                <w:rFonts w:hint="eastAsia" w:cs="宋体"/>
                <w:color w:val="000000"/>
                <w:sz w:val="24"/>
                <w:highlight w:val="none"/>
                <w:shd w:val="clear" w:color="auto" w:fill="FFFFFF" w:themeFill="background1"/>
                <w:lang w:eastAsia="zh-CN"/>
              </w:rPr>
              <w:t>；</w:t>
            </w:r>
            <w:r>
              <w:rPr>
                <w:rFonts w:hint="eastAsia" w:ascii="宋体" w:hAnsi="宋体" w:eastAsia="宋体" w:cs="宋体"/>
                <w:color w:val="000000"/>
                <w:sz w:val="24"/>
                <w:highlight w:val="none"/>
                <w:shd w:val="clear" w:color="auto" w:fill="FFFFFF" w:themeFill="background1"/>
              </w:rPr>
              <w:t>内容详实、考虑周全、措施到位、可行性强得</w:t>
            </w:r>
            <w:r>
              <w:rPr>
                <w:rFonts w:hint="eastAsia" w:cs="宋体"/>
                <w:color w:val="000000"/>
                <w:sz w:val="24"/>
                <w:highlight w:val="none"/>
                <w:shd w:val="clear" w:color="auto" w:fill="FFFFFF" w:themeFill="background1"/>
                <w:lang w:val="en-US" w:eastAsia="zh-CN"/>
              </w:rPr>
              <w:t>8</w:t>
            </w:r>
            <w:r>
              <w:rPr>
                <w:rFonts w:hint="eastAsia" w:ascii="宋体" w:hAnsi="宋体" w:eastAsia="宋体" w:cs="宋体"/>
                <w:color w:val="000000"/>
                <w:sz w:val="24"/>
                <w:highlight w:val="none"/>
                <w:shd w:val="clear" w:color="auto" w:fill="FFFFFF" w:themeFill="background1"/>
              </w:rPr>
              <w:t>分；内容基本完整、考虑基本周全、措施有待优化、可行性一般得</w:t>
            </w:r>
            <w:r>
              <w:rPr>
                <w:rFonts w:hint="eastAsia" w:cs="宋体"/>
                <w:color w:val="000000"/>
                <w:sz w:val="24"/>
                <w:highlight w:val="none"/>
                <w:shd w:val="clear" w:color="auto" w:fill="FFFFFF" w:themeFill="background1"/>
                <w:lang w:val="en-US" w:eastAsia="zh-CN"/>
              </w:rPr>
              <w:t>4</w:t>
            </w:r>
            <w:r>
              <w:rPr>
                <w:rFonts w:hint="eastAsia" w:ascii="宋体" w:hAnsi="宋体" w:eastAsia="宋体" w:cs="宋体"/>
                <w:color w:val="000000"/>
                <w:sz w:val="24"/>
                <w:highlight w:val="none"/>
                <w:shd w:val="clear" w:color="auto" w:fill="FFFFFF" w:themeFill="background1"/>
              </w:rPr>
              <w:t>分；内容不完整、考虑 不周全、措施不到位、可行性差得</w:t>
            </w:r>
            <w:r>
              <w:rPr>
                <w:rFonts w:hint="eastAsia" w:cs="宋体"/>
                <w:color w:val="000000"/>
                <w:sz w:val="24"/>
                <w:highlight w:val="none"/>
                <w:shd w:val="clear" w:color="auto" w:fill="FFFFFF" w:themeFill="background1"/>
                <w:lang w:val="en-US" w:eastAsia="zh-CN"/>
              </w:rPr>
              <w:t>1</w:t>
            </w:r>
            <w:r>
              <w:rPr>
                <w:rFonts w:hint="eastAsia" w:ascii="宋体" w:hAnsi="宋体" w:eastAsia="宋体" w:cs="宋体"/>
                <w:color w:val="000000"/>
                <w:sz w:val="24"/>
                <w:highlight w:val="none"/>
                <w:shd w:val="clear" w:color="auto" w:fill="FFFFFF" w:themeFill="background1"/>
              </w:rPr>
              <w:t xml:space="preserve">分；没有不得分。 </w:t>
            </w:r>
          </w:p>
        </w:tc>
      </w:tr>
      <w:tr w14:paraId="6020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1574657F">
            <w:pPr>
              <w:spacing w:line="400" w:lineRule="exact"/>
              <w:ind w:firstLine="28"/>
              <w:jc w:val="center"/>
              <w:rPr>
                <w:color w:val="auto"/>
                <w:szCs w:val="21"/>
              </w:rPr>
            </w:pPr>
          </w:p>
        </w:tc>
        <w:tc>
          <w:tcPr>
            <w:tcW w:w="1123" w:type="dxa"/>
            <w:gridSpan w:val="3"/>
            <w:vMerge w:val="continue"/>
            <w:vAlign w:val="center"/>
          </w:tcPr>
          <w:p w14:paraId="140D9A4A">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3C077164">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cs="宋体"/>
                <w:color w:val="000000"/>
                <w:sz w:val="24"/>
                <w:highlight w:val="none"/>
                <w:shd w:val="clear" w:color="auto" w:fill="FFFFFF" w:themeFill="background1"/>
                <w:lang w:val="en-US" w:eastAsia="zh-CN"/>
              </w:rPr>
            </w:pPr>
            <w:r>
              <w:rPr>
                <w:rFonts w:hint="eastAsia" w:ascii="宋体" w:hAnsi="宋体" w:cs="宋体"/>
                <w:color w:val="000000"/>
                <w:sz w:val="24"/>
                <w:highlight w:val="none"/>
                <w:shd w:val="clear" w:color="auto" w:fill="FFFFFF" w:themeFill="background1"/>
                <w:lang w:val="en-US" w:eastAsia="zh-CN"/>
              </w:rPr>
              <w:t>项目设计的进度安排及质量保证措施(5分)</w:t>
            </w:r>
          </w:p>
          <w:p w14:paraId="50794BE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auto"/>
                <w:spacing w:val="-6"/>
                <w:sz w:val="22"/>
                <w:szCs w:val="22"/>
                <w:highlight w:val="none"/>
                <w:lang w:val="en-US" w:eastAsia="zh-CN"/>
              </w:rPr>
            </w:pPr>
          </w:p>
        </w:tc>
        <w:tc>
          <w:tcPr>
            <w:tcW w:w="5087" w:type="dxa"/>
            <w:gridSpan w:val="3"/>
            <w:vAlign w:val="center"/>
          </w:tcPr>
          <w:p w14:paraId="0AFB15ED">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color w:val="auto"/>
                <w:spacing w:val="-6"/>
                <w:sz w:val="22"/>
                <w:szCs w:val="22"/>
                <w:highlight w:val="none"/>
                <w:lang w:val="en-US" w:eastAsia="zh-CN"/>
              </w:rPr>
            </w:pPr>
            <w:r>
              <w:rPr>
                <w:rFonts w:hint="eastAsia" w:ascii="宋体" w:hAnsi="宋体" w:cs="宋体"/>
                <w:color w:val="000000"/>
                <w:sz w:val="24"/>
                <w:highlight w:val="none"/>
                <w:shd w:val="clear" w:color="auto" w:fill="FFFFFF" w:themeFill="background1"/>
                <w:lang w:val="en-US" w:eastAsia="zh-CN"/>
              </w:rPr>
              <w:t xml:space="preserve">设计进度和质量标准符合招标文件要求，设计进度合理、明确质量目标，有完整的进度和质量保证体系，对可能出现的进度和质量偏差有应对措施等；内容详实、考虑周全、措施到位、针对性强得5分；内容基本完整、考虑基本周全、措施有待优化、针对性一般得3分；内容基本完整、考虑不周全、措施不到位、 针对性差得1分；没有不得分； </w:t>
            </w:r>
          </w:p>
        </w:tc>
      </w:tr>
      <w:tr w14:paraId="59D6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11D84010">
            <w:pPr>
              <w:spacing w:line="400" w:lineRule="exact"/>
              <w:ind w:firstLine="28"/>
              <w:jc w:val="center"/>
              <w:rPr>
                <w:color w:val="auto"/>
                <w:szCs w:val="21"/>
              </w:rPr>
            </w:pPr>
          </w:p>
        </w:tc>
        <w:tc>
          <w:tcPr>
            <w:tcW w:w="1123" w:type="dxa"/>
            <w:gridSpan w:val="3"/>
            <w:vMerge w:val="continue"/>
            <w:vAlign w:val="center"/>
          </w:tcPr>
          <w:p w14:paraId="0F3168D8">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1AABE85C">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cs="宋体"/>
                <w:color w:val="000000"/>
                <w:sz w:val="24"/>
                <w:highlight w:val="none"/>
                <w:shd w:val="clear" w:color="auto" w:fill="FFFFFF" w:themeFill="background1"/>
                <w:lang w:val="en-US" w:eastAsia="zh-CN"/>
              </w:rPr>
            </w:pPr>
            <w:r>
              <w:rPr>
                <w:rFonts w:hint="eastAsia" w:ascii="宋体" w:hAnsi="宋体" w:cs="宋体"/>
                <w:color w:val="000000"/>
                <w:sz w:val="24"/>
                <w:highlight w:val="none"/>
                <w:shd w:val="clear" w:color="auto" w:fill="FFFFFF" w:themeFill="background1"/>
                <w:lang w:val="en-US" w:eastAsia="zh-CN"/>
              </w:rPr>
              <w:t>设计的重难点分析(7分)</w:t>
            </w:r>
          </w:p>
          <w:p w14:paraId="5FF41703">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auto"/>
                <w:spacing w:val="0"/>
                <w:sz w:val="22"/>
                <w:szCs w:val="22"/>
                <w:highlight w:val="none"/>
              </w:rPr>
            </w:pPr>
          </w:p>
        </w:tc>
        <w:tc>
          <w:tcPr>
            <w:tcW w:w="5087" w:type="dxa"/>
            <w:gridSpan w:val="3"/>
            <w:vAlign w:val="center"/>
          </w:tcPr>
          <w:p w14:paraId="7704F236">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color w:val="auto"/>
                <w:spacing w:val="0"/>
                <w:sz w:val="22"/>
                <w:szCs w:val="22"/>
                <w:highlight w:val="none"/>
              </w:rPr>
            </w:pPr>
            <w:r>
              <w:rPr>
                <w:rFonts w:hint="eastAsia" w:ascii="宋体" w:hAnsi="宋体" w:cs="宋体"/>
                <w:color w:val="000000"/>
                <w:sz w:val="24"/>
                <w:highlight w:val="none"/>
                <w:shd w:val="clear" w:color="auto" w:fill="FFFFFF" w:themeFill="background1"/>
                <w:lang w:val="en-US" w:eastAsia="zh-CN"/>
              </w:rPr>
              <w:t>根据响应人对项目设计过程中的重难点分析全面、深刻；内容详实、考虑周全、分析到位、针对性强得7分；内容基本完整、考虑基本周全、分析有待优化、针对性一般得</w:t>
            </w:r>
            <w:r>
              <w:rPr>
                <w:rFonts w:hint="eastAsia" w:cs="宋体"/>
                <w:color w:val="000000"/>
                <w:sz w:val="24"/>
                <w:highlight w:val="none"/>
                <w:shd w:val="clear" w:color="auto" w:fill="FFFFFF" w:themeFill="background1"/>
                <w:lang w:val="en-US" w:eastAsia="zh-CN"/>
              </w:rPr>
              <w:t>4</w:t>
            </w:r>
            <w:r>
              <w:rPr>
                <w:rFonts w:hint="eastAsia" w:ascii="宋体" w:hAnsi="宋体" w:cs="宋体"/>
                <w:color w:val="000000"/>
                <w:sz w:val="24"/>
                <w:highlight w:val="none"/>
                <w:shd w:val="clear" w:color="auto" w:fill="FFFFFF" w:themeFill="background1"/>
                <w:lang w:val="en-US" w:eastAsia="zh-CN"/>
              </w:rPr>
              <w:t>分；内容基本完整、考虑不周全、分析不到位、针对性差得1分；没有不得分。</w:t>
            </w:r>
          </w:p>
        </w:tc>
      </w:tr>
      <w:tr w14:paraId="5D0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53B70F3C">
            <w:pPr>
              <w:spacing w:line="400" w:lineRule="exact"/>
              <w:ind w:firstLine="28"/>
              <w:jc w:val="center"/>
              <w:rPr>
                <w:color w:val="auto"/>
                <w:szCs w:val="21"/>
              </w:rPr>
            </w:pPr>
          </w:p>
        </w:tc>
        <w:tc>
          <w:tcPr>
            <w:tcW w:w="1123" w:type="dxa"/>
            <w:gridSpan w:val="3"/>
            <w:vMerge w:val="continue"/>
            <w:vAlign w:val="center"/>
          </w:tcPr>
          <w:p w14:paraId="550D5E19">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539D165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default" w:ascii="宋体" w:hAnsi="宋体" w:cs="宋体"/>
                <w:color w:val="000000"/>
                <w:sz w:val="24"/>
                <w:highlight w:val="none"/>
                <w:shd w:val="clear" w:color="auto" w:fill="FFFFFF" w:themeFill="background1"/>
                <w:lang w:val="en-US" w:eastAsia="zh-CN"/>
              </w:rPr>
            </w:pPr>
            <w:r>
              <w:rPr>
                <w:rFonts w:hint="eastAsia" w:ascii="宋体" w:hAnsi="宋体" w:cs="宋体"/>
                <w:color w:val="000000"/>
                <w:sz w:val="24"/>
                <w:highlight w:val="none"/>
                <w:shd w:val="clear" w:color="auto" w:fill="FFFFFF" w:themeFill="background1"/>
                <w:lang w:val="en-US" w:eastAsia="zh-CN"/>
              </w:rPr>
              <w:t>项目机构设置及投入人员、设备情况（5分）</w:t>
            </w:r>
          </w:p>
          <w:p w14:paraId="2854A554">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snapToGrid w:val="0"/>
                <w:color w:val="000000"/>
                <w:sz w:val="22"/>
                <w:szCs w:val="22"/>
                <w:highlight w:val="none"/>
                <w:lang w:val="en-US" w:eastAsia="zh-CN" w:bidi="ar"/>
              </w:rPr>
            </w:pPr>
          </w:p>
        </w:tc>
        <w:tc>
          <w:tcPr>
            <w:tcW w:w="5087" w:type="dxa"/>
            <w:gridSpan w:val="3"/>
            <w:vAlign w:val="center"/>
          </w:tcPr>
          <w:p w14:paraId="5FD80474">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snapToGrid w:val="0"/>
                <w:color w:val="000000"/>
                <w:sz w:val="22"/>
                <w:szCs w:val="22"/>
                <w:highlight w:val="none"/>
                <w:lang w:val="en-US" w:eastAsia="zh-CN" w:bidi="ar"/>
              </w:rPr>
            </w:pPr>
            <w:r>
              <w:rPr>
                <w:rFonts w:hint="eastAsia" w:ascii="宋体" w:hAnsi="宋体" w:cs="宋体"/>
                <w:color w:val="000000"/>
                <w:sz w:val="24"/>
                <w:highlight w:val="none"/>
                <w:shd w:val="clear" w:color="auto" w:fill="FFFFFF" w:themeFill="background1"/>
                <w:lang w:val="zh-CN" w:eastAsia="zh-CN"/>
              </w:rPr>
              <w:t>人员、</w:t>
            </w:r>
            <w:r>
              <w:rPr>
                <w:rFonts w:hint="eastAsia" w:ascii="宋体" w:hAnsi="宋体" w:cs="宋体"/>
                <w:color w:val="000000"/>
                <w:sz w:val="24"/>
                <w:highlight w:val="none"/>
                <w:shd w:val="clear" w:color="auto" w:fill="FFFFFF" w:themeFill="background1"/>
                <w:lang w:val="en-US" w:eastAsia="zh-CN"/>
              </w:rPr>
              <w:t>设备、</w:t>
            </w:r>
            <w:r>
              <w:rPr>
                <w:rFonts w:hint="eastAsia" w:ascii="宋体" w:hAnsi="宋体" w:cs="宋体"/>
                <w:color w:val="000000"/>
                <w:sz w:val="24"/>
                <w:highlight w:val="none"/>
                <w:shd w:val="clear" w:color="auto" w:fill="FFFFFF" w:themeFill="background1"/>
                <w:lang w:val="zh-CN" w:eastAsia="zh-CN"/>
              </w:rPr>
              <w:t>专业配置计划；保证项目实施的技术力量、人力资源、</w:t>
            </w:r>
            <w:r>
              <w:rPr>
                <w:rFonts w:hint="eastAsia" w:ascii="宋体" w:hAnsi="宋体" w:cs="宋体"/>
                <w:color w:val="000000"/>
                <w:sz w:val="24"/>
                <w:highlight w:val="none"/>
                <w:shd w:val="clear" w:color="auto" w:fill="FFFFFF" w:themeFill="background1"/>
                <w:lang w:val="en-US" w:eastAsia="zh-CN"/>
              </w:rPr>
              <w:t>设备</w:t>
            </w:r>
            <w:r>
              <w:rPr>
                <w:rFonts w:hint="eastAsia" w:ascii="宋体" w:hAnsi="宋体" w:cs="宋体"/>
                <w:color w:val="000000"/>
                <w:sz w:val="24"/>
                <w:highlight w:val="none"/>
                <w:shd w:val="clear" w:color="auto" w:fill="FFFFFF" w:themeFill="background1"/>
                <w:lang w:val="zh-CN" w:eastAsia="zh-CN"/>
              </w:rPr>
              <w:t>安排全面、详细，得</w:t>
            </w:r>
            <w:r>
              <w:rPr>
                <w:rFonts w:hint="eastAsia" w:ascii="宋体" w:hAnsi="宋体" w:cs="宋体"/>
                <w:color w:val="000000"/>
                <w:sz w:val="24"/>
                <w:highlight w:val="none"/>
                <w:shd w:val="clear" w:color="auto" w:fill="FFFFFF" w:themeFill="background1"/>
                <w:lang w:val="en-US" w:eastAsia="zh-CN"/>
              </w:rPr>
              <w:t>5</w:t>
            </w:r>
            <w:r>
              <w:rPr>
                <w:rFonts w:hint="eastAsia" w:ascii="宋体" w:hAnsi="宋体" w:cs="宋体"/>
                <w:color w:val="000000"/>
                <w:sz w:val="24"/>
                <w:highlight w:val="none"/>
                <w:shd w:val="clear" w:color="auto" w:fill="FFFFFF" w:themeFill="background1"/>
                <w:lang w:val="zh-CN" w:eastAsia="zh-CN"/>
              </w:rPr>
              <w:t>分；保证项目实施的技术力量、人力资源、</w:t>
            </w:r>
            <w:r>
              <w:rPr>
                <w:rFonts w:hint="eastAsia" w:ascii="宋体" w:hAnsi="宋体" w:cs="宋体"/>
                <w:color w:val="000000"/>
                <w:sz w:val="24"/>
                <w:highlight w:val="none"/>
                <w:shd w:val="clear" w:color="auto" w:fill="FFFFFF" w:themeFill="background1"/>
                <w:lang w:val="en-US" w:eastAsia="zh-CN"/>
              </w:rPr>
              <w:t>设备</w:t>
            </w:r>
            <w:r>
              <w:rPr>
                <w:rFonts w:hint="eastAsia" w:ascii="宋体" w:hAnsi="宋体" w:cs="宋体"/>
                <w:color w:val="000000"/>
                <w:sz w:val="24"/>
                <w:highlight w:val="none"/>
                <w:shd w:val="clear" w:color="auto" w:fill="FFFFFF" w:themeFill="background1"/>
                <w:lang w:val="zh-CN" w:eastAsia="zh-CN"/>
              </w:rPr>
              <w:t>安排较全面，得</w:t>
            </w:r>
            <w:r>
              <w:rPr>
                <w:rFonts w:hint="eastAsia" w:ascii="宋体" w:hAnsi="宋体" w:cs="宋体"/>
                <w:color w:val="000000"/>
                <w:sz w:val="24"/>
                <w:highlight w:val="none"/>
                <w:shd w:val="clear" w:color="auto" w:fill="FFFFFF" w:themeFill="background1"/>
                <w:lang w:val="en-US" w:eastAsia="zh-CN"/>
              </w:rPr>
              <w:t>3</w:t>
            </w:r>
            <w:r>
              <w:rPr>
                <w:rFonts w:hint="eastAsia" w:ascii="宋体" w:hAnsi="宋体" w:cs="宋体"/>
                <w:color w:val="000000"/>
                <w:sz w:val="24"/>
                <w:highlight w:val="none"/>
                <w:shd w:val="clear" w:color="auto" w:fill="FFFFFF" w:themeFill="background1"/>
                <w:lang w:val="zh-CN" w:eastAsia="zh-CN"/>
              </w:rPr>
              <w:t>分；保证项目实施的技术力量人力资源、</w:t>
            </w:r>
            <w:r>
              <w:rPr>
                <w:rFonts w:hint="eastAsia" w:ascii="宋体" w:hAnsi="宋体" w:cs="宋体"/>
                <w:color w:val="000000"/>
                <w:sz w:val="24"/>
                <w:highlight w:val="none"/>
                <w:shd w:val="clear" w:color="auto" w:fill="FFFFFF" w:themeFill="background1"/>
                <w:lang w:val="en-US" w:eastAsia="zh-CN"/>
              </w:rPr>
              <w:t>设备</w:t>
            </w:r>
            <w:r>
              <w:rPr>
                <w:rFonts w:hint="eastAsia" w:ascii="宋体" w:hAnsi="宋体" w:cs="宋体"/>
                <w:color w:val="000000"/>
                <w:sz w:val="24"/>
                <w:highlight w:val="none"/>
                <w:shd w:val="clear" w:color="auto" w:fill="FFFFFF" w:themeFill="background1"/>
                <w:lang w:val="zh-CN" w:eastAsia="zh-CN"/>
              </w:rPr>
              <w:t>安排一般，不保证效率，一般得1分；</w:t>
            </w:r>
            <w:r>
              <w:rPr>
                <w:rFonts w:hint="eastAsia" w:ascii="宋体" w:hAnsi="宋体" w:cs="宋体"/>
                <w:color w:val="000000"/>
                <w:sz w:val="24"/>
                <w:highlight w:val="none"/>
                <w:shd w:val="clear" w:color="auto" w:fill="FFFFFF" w:themeFill="background1"/>
                <w:lang w:val="en-US" w:eastAsia="zh-CN"/>
              </w:rPr>
              <w:t>没有不得分。</w:t>
            </w:r>
          </w:p>
        </w:tc>
      </w:tr>
      <w:tr w14:paraId="232B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7CEBFAB4">
            <w:pPr>
              <w:spacing w:line="400" w:lineRule="exact"/>
              <w:ind w:firstLine="28"/>
              <w:jc w:val="center"/>
              <w:rPr>
                <w:color w:val="auto"/>
                <w:szCs w:val="21"/>
              </w:rPr>
            </w:pPr>
          </w:p>
        </w:tc>
        <w:tc>
          <w:tcPr>
            <w:tcW w:w="1123" w:type="dxa"/>
            <w:gridSpan w:val="3"/>
            <w:vMerge w:val="continue"/>
            <w:vAlign w:val="center"/>
          </w:tcPr>
          <w:p w14:paraId="36B8A858">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50A1F0DE">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000000"/>
                <w:sz w:val="24"/>
                <w:highlight w:val="none"/>
                <w:shd w:val="clear" w:color="auto" w:fill="FFFFFF" w:themeFill="background1"/>
                <w:lang w:val="zh-CN"/>
              </w:rPr>
            </w:pPr>
            <w:r>
              <w:rPr>
                <w:rFonts w:hint="eastAsia" w:ascii="宋体" w:hAnsi="宋体" w:eastAsia="宋体" w:cs="宋体"/>
                <w:color w:val="000000"/>
                <w:sz w:val="24"/>
                <w:highlight w:val="none"/>
                <w:shd w:val="clear" w:color="auto" w:fill="FFFFFF" w:themeFill="background1"/>
                <w:lang w:val="zh-CN"/>
              </w:rPr>
              <w:t>合理化建议</w:t>
            </w:r>
          </w:p>
          <w:p w14:paraId="600983D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000000"/>
                <w:sz w:val="24"/>
                <w:highlight w:val="none"/>
                <w:shd w:val="clear" w:color="auto" w:fill="FFFFFF" w:themeFill="background1"/>
                <w:lang w:val="zh-CN"/>
              </w:rPr>
            </w:pPr>
            <w:r>
              <w:rPr>
                <w:rFonts w:hint="eastAsia" w:ascii="宋体" w:hAnsi="宋体" w:eastAsia="宋体" w:cs="宋体"/>
                <w:color w:val="000000"/>
                <w:sz w:val="24"/>
                <w:highlight w:val="none"/>
                <w:shd w:val="clear" w:color="auto" w:fill="FFFFFF" w:themeFill="background1"/>
                <w:lang w:val="zh-CN"/>
              </w:rPr>
              <w:t>（5分）</w:t>
            </w:r>
          </w:p>
          <w:p w14:paraId="08898EAB">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snapToGrid w:val="0"/>
                <w:color w:val="000000"/>
                <w:sz w:val="22"/>
                <w:szCs w:val="22"/>
                <w:highlight w:val="none"/>
                <w:lang w:val="en-US" w:eastAsia="zh-CN" w:bidi="ar"/>
              </w:rPr>
            </w:pPr>
          </w:p>
        </w:tc>
        <w:tc>
          <w:tcPr>
            <w:tcW w:w="5087" w:type="dxa"/>
            <w:gridSpan w:val="3"/>
            <w:vAlign w:val="center"/>
          </w:tcPr>
          <w:p w14:paraId="32FD0D5E">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color w:val="000000"/>
                <w:sz w:val="24"/>
                <w:highlight w:val="none"/>
                <w:shd w:val="clear" w:color="auto" w:fill="FFFFFF" w:themeFill="background1"/>
                <w:lang w:val="zh-CN"/>
              </w:rPr>
            </w:pPr>
            <w:r>
              <w:rPr>
                <w:rFonts w:hint="eastAsia" w:ascii="宋体" w:hAnsi="宋体" w:eastAsia="宋体" w:cs="宋体"/>
                <w:color w:val="000000"/>
                <w:sz w:val="24"/>
                <w:highlight w:val="none"/>
                <w:shd w:val="clear" w:color="auto" w:fill="FFFFFF" w:themeFill="background1"/>
                <w:lang w:val="zh-CN"/>
              </w:rPr>
              <w:t>针对项目设计的特点，提出合理化建议。</w:t>
            </w:r>
          </w:p>
          <w:p w14:paraId="588C5431">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snapToGrid w:val="0"/>
                <w:color w:val="000000"/>
                <w:sz w:val="22"/>
                <w:szCs w:val="22"/>
                <w:highlight w:val="none"/>
                <w:lang w:val="en-US" w:eastAsia="zh-CN" w:bidi="ar"/>
              </w:rPr>
            </w:pPr>
            <w:r>
              <w:rPr>
                <w:rFonts w:hint="eastAsia" w:ascii="宋体" w:hAnsi="宋体" w:eastAsia="宋体" w:cs="宋体"/>
                <w:color w:val="000000"/>
                <w:sz w:val="24"/>
                <w:highlight w:val="none"/>
                <w:shd w:val="clear" w:color="auto" w:fill="FFFFFF" w:themeFill="background1"/>
                <w:lang w:val="zh-CN"/>
              </w:rPr>
              <w:t>合理化建议合理、可行，得5分；合理化建议基本合理、可行，得3分；合理化建议不够合理、有缺陷的，得1分；没有不得分。</w:t>
            </w:r>
          </w:p>
        </w:tc>
      </w:tr>
      <w:tr w14:paraId="10DC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192" w:hRule="atLeast"/>
        </w:trPr>
        <w:tc>
          <w:tcPr>
            <w:tcW w:w="806" w:type="dxa"/>
            <w:vMerge w:val="continue"/>
            <w:vAlign w:val="center"/>
          </w:tcPr>
          <w:p w14:paraId="74BE50CC">
            <w:pPr>
              <w:spacing w:line="400" w:lineRule="exact"/>
              <w:ind w:firstLine="28"/>
              <w:jc w:val="center"/>
              <w:rPr>
                <w:color w:val="auto"/>
                <w:szCs w:val="21"/>
              </w:rPr>
            </w:pPr>
          </w:p>
        </w:tc>
        <w:tc>
          <w:tcPr>
            <w:tcW w:w="1123" w:type="dxa"/>
            <w:gridSpan w:val="3"/>
            <w:vMerge w:val="continue"/>
            <w:vAlign w:val="center"/>
          </w:tcPr>
          <w:p w14:paraId="1904D0BA">
            <w:pPr>
              <w:spacing w:line="400" w:lineRule="exact"/>
              <w:ind w:firstLine="28"/>
              <w:jc w:val="center"/>
              <w:rPr>
                <w:rFonts w:hint="eastAsia" w:ascii="宋体" w:hAnsi="宋体" w:eastAsia="宋体" w:cs="宋体"/>
                <w:color w:val="auto"/>
                <w:sz w:val="22"/>
                <w:szCs w:val="22"/>
                <w:highlight w:val="none"/>
              </w:rPr>
            </w:pPr>
          </w:p>
        </w:tc>
        <w:tc>
          <w:tcPr>
            <w:tcW w:w="2173" w:type="dxa"/>
            <w:vAlign w:val="center"/>
          </w:tcPr>
          <w:p w14:paraId="77846693">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000000"/>
                <w:sz w:val="24"/>
                <w:highlight w:val="none"/>
                <w:shd w:val="clear" w:color="auto" w:fill="FFFFFF" w:themeFill="background1"/>
              </w:rPr>
            </w:pPr>
          </w:p>
          <w:p w14:paraId="2DF5885D">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color w:val="000000"/>
                <w:sz w:val="24"/>
                <w:highlight w:val="none"/>
                <w:shd w:val="clear" w:color="auto" w:fill="FFFFFF" w:themeFill="background1"/>
              </w:rPr>
            </w:pPr>
            <w:r>
              <w:rPr>
                <w:rFonts w:hint="eastAsia" w:ascii="宋体" w:hAnsi="宋体" w:eastAsia="宋体" w:cs="宋体"/>
                <w:color w:val="000000"/>
                <w:sz w:val="24"/>
                <w:highlight w:val="none"/>
                <w:shd w:val="clear" w:color="auto" w:fill="FFFFFF" w:themeFill="background1"/>
              </w:rPr>
              <w:t>项目设计过程中工程实施成本的控制保证措施(</w:t>
            </w:r>
            <w:r>
              <w:rPr>
                <w:rFonts w:hint="eastAsia" w:ascii="宋体" w:hAnsi="宋体" w:eastAsia="宋体" w:cs="宋体"/>
                <w:color w:val="000000"/>
                <w:sz w:val="24"/>
                <w:highlight w:val="none"/>
                <w:shd w:val="clear" w:color="auto" w:fill="FFFFFF" w:themeFill="background1"/>
                <w:lang w:val="en-US" w:eastAsia="zh-CN"/>
              </w:rPr>
              <w:t>5</w:t>
            </w:r>
            <w:r>
              <w:rPr>
                <w:rFonts w:hint="eastAsia" w:ascii="宋体" w:hAnsi="宋体" w:eastAsia="宋体" w:cs="宋体"/>
                <w:color w:val="000000"/>
                <w:sz w:val="24"/>
                <w:highlight w:val="none"/>
                <w:shd w:val="clear" w:color="auto" w:fill="FFFFFF" w:themeFill="background1"/>
              </w:rPr>
              <w:t>分)</w:t>
            </w:r>
          </w:p>
          <w:p w14:paraId="1CE7865D">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center"/>
              <w:textAlignment w:val="auto"/>
              <w:rPr>
                <w:rFonts w:hint="eastAsia" w:ascii="宋体" w:hAnsi="宋体" w:eastAsia="宋体" w:cs="宋体"/>
                <w:b w:val="0"/>
                <w:bCs w:val="0"/>
                <w:color w:val="auto"/>
                <w:spacing w:val="-6"/>
                <w:sz w:val="22"/>
                <w:szCs w:val="22"/>
                <w:highlight w:val="none"/>
                <w:lang w:val="en-US" w:eastAsia="zh-CN" w:bidi="zh-CN"/>
              </w:rPr>
            </w:pPr>
          </w:p>
        </w:tc>
        <w:tc>
          <w:tcPr>
            <w:tcW w:w="5087" w:type="dxa"/>
            <w:gridSpan w:val="3"/>
            <w:vAlign w:val="center"/>
          </w:tcPr>
          <w:p w14:paraId="41EF238A">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textAlignment w:val="auto"/>
              <w:rPr>
                <w:rFonts w:hint="eastAsia" w:ascii="宋体" w:hAnsi="宋体" w:eastAsia="宋体" w:cs="宋体"/>
                <w:b w:val="0"/>
                <w:bCs w:val="0"/>
                <w:color w:val="auto"/>
                <w:spacing w:val="-6"/>
                <w:sz w:val="22"/>
                <w:szCs w:val="22"/>
                <w:highlight w:val="none"/>
                <w:lang w:val="en-US" w:eastAsia="zh-CN" w:bidi="zh-CN"/>
              </w:rPr>
            </w:pPr>
            <w:r>
              <w:rPr>
                <w:rFonts w:hint="eastAsia" w:ascii="宋体" w:hAnsi="宋体" w:eastAsia="宋体" w:cs="宋体"/>
                <w:color w:val="000000"/>
                <w:sz w:val="24"/>
                <w:highlight w:val="none"/>
                <w:shd w:val="clear" w:color="auto" w:fill="FFFFFF" w:themeFill="background1"/>
              </w:rPr>
              <w:t>根据响应人对项目设计过程中工程实施成本的控制有保证措施等；内容详实、考虑周全、措施到位、针对性强得</w:t>
            </w:r>
            <w:r>
              <w:rPr>
                <w:rFonts w:hint="eastAsia" w:ascii="宋体" w:hAnsi="宋体" w:eastAsia="宋体" w:cs="宋体"/>
                <w:color w:val="000000"/>
                <w:sz w:val="24"/>
                <w:highlight w:val="none"/>
                <w:shd w:val="clear" w:color="auto" w:fill="FFFFFF" w:themeFill="background1"/>
                <w:lang w:val="en-US" w:eastAsia="zh-CN"/>
              </w:rPr>
              <w:t>5</w:t>
            </w:r>
            <w:r>
              <w:rPr>
                <w:rFonts w:hint="eastAsia" w:ascii="宋体" w:hAnsi="宋体" w:eastAsia="宋体" w:cs="宋体"/>
                <w:color w:val="000000"/>
                <w:sz w:val="24"/>
                <w:highlight w:val="none"/>
                <w:shd w:val="clear" w:color="auto" w:fill="FFFFFF" w:themeFill="background1"/>
              </w:rPr>
              <w:t>分；内容基本完整、考虑基本周全、措施有待优化、针对性一般得3分；内容基本完整、考虑不周全、措施不到位、针对性差得1分；没有不得分。</w:t>
            </w:r>
          </w:p>
        </w:tc>
      </w:tr>
      <w:tr w14:paraId="17D1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1457" w:hRule="atLeast"/>
        </w:trPr>
        <w:tc>
          <w:tcPr>
            <w:tcW w:w="806" w:type="dxa"/>
            <w:vMerge w:val="restart"/>
            <w:vAlign w:val="center"/>
          </w:tcPr>
          <w:p w14:paraId="3BB613ED">
            <w:pPr>
              <w:spacing w:line="400" w:lineRule="exact"/>
              <w:ind w:firstLine="28"/>
              <w:jc w:val="center"/>
              <w:rPr>
                <w:color w:val="auto"/>
                <w:szCs w:val="21"/>
                <w:lang w:val="en-US"/>
              </w:rPr>
            </w:pPr>
            <w:r>
              <w:rPr>
                <w:rFonts w:hint="eastAsia"/>
                <w:color w:val="auto"/>
                <w:szCs w:val="21"/>
                <w:lang w:val="en-US"/>
              </w:rPr>
              <w:t>2.2.4</w:t>
            </w:r>
          </w:p>
        </w:tc>
        <w:tc>
          <w:tcPr>
            <w:tcW w:w="1123" w:type="dxa"/>
            <w:gridSpan w:val="3"/>
            <w:vMerge w:val="restart"/>
            <w:vAlign w:val="center"/>
          </w:tcPr>
          <w:p w14:paraId="1417F902">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商务标</w:t>
            </w:r>
          </w:p>
          <w:p w14:paraId="78F9033C">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cs="宋体"/>
                <w:color w:val="auto"/>
                <w:sz w:val="22"/>
                <w:szCs w:val="22"/>
                <w:highlight w:val="none"/>
                <w:lang w:val="en-US" w:eastAsia="zh-CN"/>
              </w:rPr>
              <w:t>20</w:t>
            </w:r>
            <w:r>
              <w:rPr>
                <w:rFonts w:hint="eastAsia" w:ascii="宋体" w:hAnsi="宋体" w:eastAsia="宋体" w:cs="宋体"/>
                <w:color w:val="auto"/>
                <w:sz w:val="22"/>
                <w:szCs w:val="22"/>
                <w:highlight w:val="none"/>
                <w:lang w:val="en-US"/>
              </w:rPr>
              <w:t>分</w:t>
            </w:r>
            <w:r>
              <w:rPr>
                <w:rFonts w:hint="eastAsia" w:ascii="宋体" w:hAnsi="宋体" w:eastAsia="宋体" w:cs="宋体"/>
                <w:color w:val="auto"/>
                <w:sz w:val="22"/>
                <w:szCs w:val="22"/>
                <w:highlight w:val="none"/>
              </w:rPr>
              <w:t>）</w:t>
            </w:r>
          </w:p>
        </w:tc>
        <w:tc>
          <w:tcPr>
            <w:tcW w:w="2173" w:type="dxa"/>
            <w:vAlign w:val="center"/>
          </w:tcPr>
          <w:p w14:paraId="15682589">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center"/>
              <w:textAlignment w:val="auto"/>
              <w:rPr>
                <w:rFonts w:hint="eastAsia" w:ascii="宋体" w:hAnsi="宋体" w:eastAsia="宋体" w:cs="宋体"/>
                <w:snapToGrid w:val="0"/>
                <w:kern w:val="2"/>
                <w:sz w:val="22"/>
                <w:szCs w:val="22"/>
                <w:highlight w:val="none"/>
                <w:lang w:val="en-US" w:eastAsia="zh-CN"/>
              </w:rPr>
            </w:pPr>
            <w:r>
              <w:rPr>
                <w:rFonts w:hint="eastAsia" w:cs="宋体"/>
                <w:snapToGrid w:val="0"/>
                <w:kern w:val="2"/>
                <w:sz w:val="22"/>
                <w:szCs w:val="22"/>
                <w:highlight w:val="none"/>
                <w:lang w:val="en-US" w:eastAsia="zh-CN"/>
              </w:rPr>
              <w:t>类似</w:t>
            </w:r>
            <w:r>
              <w:rPr>
                <w:rFonts w:hint="eastAsia" w:ascii="宋体" w:hAnsi="宋体" w:eastAsia="宋体" w:cs="宋体"/>
                <w:snapToGrid w:val="0"/>
                <w:kern w:val="2"/>
                <w:sz w:val="22"/>
                <w:szCs w:val="22"/>
                <w:highlight w:val="none"/>
                <w:lang w:val="en-US" w:eastAsia="zh-CN"/>
              </w:rPr>
              <w:t>业绩</w:t>
            </w:r>
          </w:p>
          <w:p w14:paraId="3B503E3C">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center"/>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snapToGrid w:val="0"/>
                <w:kern w:val="2"/>
                <w:sz w:val="22"/>
                <w:szCs w:val="22"/>
                <w:highlight w:val="none"/>
                <w:lang w:val="en-US" w:eastAsia="zh-CN"/>
              </w:rPr>
              <w:t>(</w:t>
            </w:r>
            <w:r>
              <w:rPr>
                <w:rFonts w:hint="eastAsia" w:cs="宋体"/>
                <w:snapToGrid w:val="0"/>
                <w:kern w:val="2"/>
                <w:sz w:val="22"/>
                <w:szCs w:val="22"/>
                <w:highlight w:val="none"/>
                <w:lang w:val="en-US" w:eastAsia="zh-CN"/>
              </w:rPr>
              <w:t>8</w:t>
            </w:r>
            <w:r>
              <w:rPr>
                <w:rFonts w:hint="eastAsia" w:ascii="宋体" w:hAnsi="宋体" w:eastAsia="宋体" w:cs="宋体"/>
                <w:snapToGrid w:val="0"/>
                <w:kern w:val="2"/>
                <w:sz w:val="22"/>
                <w:szCs w:val="22"/>
                <w:highlight w:val="none"/>
                <w:lang w:val="en-US" w:eastAsia="zh-CN"/>
              </w:rPr>
              <w:t>分)</w:t>
            </w:r>
          </w:p>
        </w:tc>
        <w:tc>
          <w:tcPr>
            <w:tcW w:w="5087" w:type="dxa"/>
            <w:gridSpan w:val="3"/>
            <w:vAlign w:val="center"/>
          </w:tcPr>
          <w:p w14:paraId="3F5557A0">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both"/>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snapToGrid w:val="0"/>
                <w:kern w:val="2"/>
                <w:sz w:val="22"/>
                <w:szCs w:val="22"/>
                <w:highlight w:val="none"/>
                <w:lang w:val="en-US" w:eastAsia="zh-CN"/>
              </w:rPr>
              <w:t>供应商自202</w:t>
            </w:r>
            <w:r>
              <w:rPr>
                <w:rFonts w:hint="eastAsia" w:cs="宋体"/>
                <w:snapToGrid w:val="0"/>
                <w:kern w:val="2"/>
                <w:sz w:val="22"/>
                <w:szCs w:val="22"/>
                <w:highlight w:val="none"/>
                <w:lang w:val="en-US" w:eastAsia="zh-CN"/>
              </w:rPr>
              <w:t>3</w:t>
            </w:r>
            <w:r>
              <w:rPr>
                <w:rFonts w:hint="eastAsia" w:ascii="宋体" w:hAnsi="宋体" w:eastAsia="宋体" w:cs="宋体"/>
                <w:snapToGrid w:val="0"/>
                <w:kern w:val="2"/>
                <w:sz w:val="22"/>
                <w:szCs w:val="22"/>
                <w:highlight w:val="none"/>
                <w:lang w:val="en-US" w:eastAsia="zh-CN"/>
              </w:rPr>
              <w:t>年1月1日以来（以合同签订时间为准）承担过类似业绩的，提供1个业绩得2分，最高得</w:t>
            </w:r>
            <w:r>
              <w:rPr>
                <w:rFonts w:hint="eastAsia" w:cs="宋体"/>
                <w:snapToGrid w:val="0"/>
                <w:kern w:val="2"/>
                <w:sz w:val="22"/>
                <w:szCs w:val="22"/>
                <w:highlight w:val="none"/>
                <w:lang w:val="en-US" w:eastAsia="zh-CN"/>
              </w:rPr>
              <w:t>8</w:t>
            </w:r>
            <w:r>
              <w:rPr>
                <w:rFonts w:hint="eastAsia" w:ascii="宋体" w:hAnsi="宋体" w:eastAsia="宋体" w:cs="宋体"/>
                <w:snapToGrid w:val="0"/>
                <w:kern w:val="2"/>
                <w:sz w:val="22"/>
                <w:szCs w:val="22"/>
                <w:highlight w:val="none"/>
                <w:lang w:val="en-US" w:eastAsia="zh-CN"/>
              </w:rPr>
              <w:t>分；注：须提供项目合同扫描件</w:t>
            </w:r>
            <w:r>
              <w:rPr>
                <w:rFonts w:hint="eastAsia" w:cs="宋体"/>
                <w:snapToGrid w:val="0"/>
                <w:kern w:val="2"/>
                <w:sz w:val="22"/>
                <w:szCs w:val="22"/>
                <w:highlight w:val="none"/>
                <w:lang w:val="en-US" w:eastAsia="zh-CN"/>
              </w:rPr>
              <w:t>或</w:t>
            </w:r>
            <w:r>
              <w:rPr>
                <w:rFonts w:hint="eastAsia" w:ascii="宋体" w:hAnsi="宋体" w:eastAsia="宋体" w:cs="宋体"/>
                <w:snapToGrid w:val="0"/>
                <w:kern w:val="2"/>
                <w:sz w:val="22"/>
                <w:szCs w:val="22"/>
                <w:highlight w:val="none"/>
                <w:lang w:val="en-US" w:eastAsia="zh-CN"/>
              </w:rPr>
              <w:t>中标通知书并加盖供应商公章。</w:t>
            </w:r>
          </w:p>
        </w:tc>
      </w:tr>
      <w:tr w14:paraId="0C4F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807" w:hRule="atLeast"/>
        </w:trPr>
        <w:tc>
          <w:tcPr>
            <w:tcW w:w="806" w:type="dxa"/>
            <w:vMerge w:val="continue"/>
            <w:vAlign w:val="center"/>
          </w:tcPr>
          <w:p w14:paraId="4CF8FD95">
            <w:pPr>
              <w:spacing w:line="400" w:lineRule="exact"/>
              <w:ind w:firstLine="28"/>
              <w:jc w:val="center"/>
              <w:rPr>
                <w:color w:val="auto"/>
                <w:szCs w:val="21"/>
              </w:rPr>
            </w:pPr>
          </w:p>
        </w:tc>
        <w:tc>
          <w:tcPr>
            <w:tcW w:w="1123" w:type="dxa"/>
            <w:gridSpan w:val="3"/>
            <w:vMerge w:val="continue"/>
            <w:vAlign w:val="center"/>
          </w:tcPr>
          <w:p w14:paraId="28E6B8FD">
            <w:pPr>
              <w:spacing w:line="400" w:lineRule="exact"/>
              <w:ind w:firstLine="28"/>
              <w:jc w:val="center"/>
              <w:rPr>
                <w:rFonts w:hint="eastAsia" w:ascii="宋体" w:hAnsi="宋体" w:eastAsia="宋体" w:cs="宋体"/>
                <w:color w:val="auto"/>
                <w:sz w:val="22"/>
                <w:szCs w:val="22"/>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2DE5212E">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center"/>
              <w:textAlignment w:val="auto"/>
              <w:rPr>
                <w:rFonts w:hint="eastAsia" w:ascii="宋体" w:hAnsi="宋体" w:eastAsia="宋体" w:cs="宋体"/>
                <w:snapToGrid w:val="0"/>
                <w:kern w:val="2"/>
                <w:sz w:val="22"/>
                <w:szCs w:val="22"/>
                <w:highlight w:val="none"/>
                <w:lang w:val="en-US" w:eastAsia="zh-CN"/>
              </w:rPr>
            </w:pPr>
            <w:r>
              <w:rPr>
                <w:rFonts w:hint="eastAsia" w:ascii="宋体" w:hAnsi="宋体" w:eastAsia="宋体" w:cs="宋体"/>
                <w:snapToGrid w:val="0"/>
                <w:kern w:val="2"/>
                <w:sz w:val="22"/>
                <w:szCs w:val="22"/>
                <w:highlight w:val="none"/>
                <w:lang w:val="en-US" w:eastAsia="zh-CN"/>
              </w:rPr>
              <w:t>项目组成员</w:t>
            </w:r>
          </w:p>
          <w:p w14:paraId="1ADA9FFF">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center"/>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snapToGrid w:val="0"/>
                <w:kern w:val="2"/>
                <w:sz w:val="22"/>
                <w:szCs w:val="22"/>
                <w:highlight w:val="none"/>
                <w:lang w:val="en-US" w:eastAsia="zh-CN"/>
              </w:rPr>
              <w:t>（</w:t>
            </w:r>
            <w:r>
              <w:rPr>
                <w:rFonts w:hint="eastAsia" w:cs="宋体"/>
                <w:snapToGrid w:val="0"/>
                <w:kern w:val="2"/>
                <w:sz w:val="22"/>
                <w:szCs w:val="22"/>
                <w:highlight w:val="none"/>
                <w:lang w:val="en-US" w:eastAsia="zh-CN"/>
              </w:rPr>
              <w:t>4</w:t>
            </w:r>
            <w:r>
              <w:rPr>
                <w:rFonts w:hint="eastAsia" w:ascii="宋体" w:hAnsi="宋体" w:eastAsia="宋体" w:cs="宋体"/>
                <w:snapToGrid w:val="0"/>
                <w:kern w:val="2"/>
                <w:sz w:val="22"/>
                <w:szCs w:val="22"/>
                <w:highlight w:val="none"/>
                <w:lang w:val="en-US" w:eastAsia="zh-CN"/>
              </w:rPr>
              <w:t>分）</w:t>
            </w:r>
          </w:p>
        </w:tc>
        <w:tc>
          <w:tcPr>
            <w:tcW w:w="5087" w:type="dxa"/>
            <w:gridSpan w:val="3"/>
            <w:tcBorders>
              <w:top w:val="single" w:color="auto" w:sz="4" w:space="0"/>
              <w:left w:val="single" w:color="auto" w:sz="4" w:space="0"/>
              <w:bottom w:val="single" w:color="auto" w:sz="4" w:space="0"/>
              <w:right w:val="single" w:color="auto" w:sz="4" w:space="0"/>
            </w:tcBorders>
            <w:vAlign w:val="center"/>
          </w:tcPr>
          <w:p w14:paraId="08ABBBF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both"/>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snapToGrid w:val="0"/>
                <w:kern w:val="2"/>
                <w:sz w:val="22"/>
                <w:szCs w:val="22"/>
                <w:highlight w:val="none"/>
                <w:lang w:val="en-US" w:eastAsia="zh-CN"/>
              </w:rPr>
              <w:t>项目组成员（除项目负责人外）具备相关专业中级及以上技术职称的每个得1分，最多4分；</w:t>
            </w:r>
          </w:p>
        </w:tc>
      </w:tr>
      <w:tr w14:paraId="5BF4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4165" w:hRule="atLeast"/>
        </w:trPr>
        <w:tc>
          <w:tcPr>
            <w:tcW w:w="806" w:type="dxa"/>
            <w:vMerge w:val="continue"/>
            <w:vAlign w:val="center"/>
          </w:tcPr>
          <w:p w14:paraId="159D11C0">
            <w:pPr>
              <w:spacing w:line="400" w:lineRule="exact"/>
              <w:ind w:firstLine="28"/>
              <w:jc w:val="center"/>
              <w:rPr>
                <w:color w:val="auto"/>
                <w:szCs w:val="21"/>
              </w:rPr>
            </w:pPr>
          </w:p>
        </w:tc>
        <w:tc>
          <w:tcPr>
            <w:tcW w:w="1123" w:type="dxa"/>
            <w:gridSpan w:val="3"/>
            <w:vMerge w:val="continue"/>
            <w:vAlign w:val="center"/>
          </w:tcPr>
          <w:p w14:paraId="36ECFD2E">
            <w:pPr>
              <w:spacing w:line="400" w:lineRule="exact"/>
              <w:ind w:firstLine="28"/>
              <w:jc w:val="center"/>
              <w:rPr>
                <w:rFonts w:hint="eastAsia" w:ascii="宋体" w:hAnsi="宋体" w:eastAsia="宋体" w:cs="宋体"/>
                <w:color w:val="auto"/>
                <w:sz w:val="22"/>
                <w:szCs w:val="22"/>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19497017">
            <w:pPr>
              <w:pStyle w:val="25"/>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firstLine="0" w:firstLineChars="0"/>
              <w:jc w:val="center"/>
              <w:textAlignment w:val="auto"/>
              <w:rPr>
                <w:rFonts w:hint="eastAsia" w:ascii="宋体" w:hAnsi="宋体" w:eastAsia="宋体" w:cs="宋体"/>
                <w:snapToGrid w:val="0"/>
                <w:kern w:val="2"/>
                <w:sz w:val="22"/>
                <w:szCs w:val="22"/>
                <w:highlight w:val="none"/>
                <w:lang w:val="en-US" w:eastAsia="zh-CN" w:bidi="ar-SA"/>
              </w:rPr>
            </w:pPr>
            <w:r>
              <w:rPr>
                <w:rFonts w:hint="eastAsia" w:ascii="宋体" w:hAnsi="宋体" w:eastAsia="宋体" w:cs="宋体"/>
                <w:snapToGrid w:val="0"/>
                <w:kern w:val="2"/>
                <w:sz w:val="22"/>
                <w:szCs w:val="22"/>
                <w:highlight w:val="none"/>
                <w:lang w:val="en-US" w:eastAsia="zh-CN" w:bidi="ar-SA"/>
              </w:rPr>
              <w:t>服务承诺</w:t>
            </w:r>
          </w:p>
          <w:p w14:paraId="216B6F61">
            <w:pPr>
              <w:pStyle w:val="25"/>
              <w:keepNext w:val="0"/>
              <w:keepLines w:val="0"/>
              <w:pageBreakBefore w:val="0"/>
              <w:widowControl w:val="0"/>
              <w:kinsoku/>
              <w:wordWrap/>
              <w:overflowPunct/>
              <w:topLinePunct w:val="0"/>
              <w:autoSpaceDE w:val="0"/>
              <w:autoSpaceDN w:val="0"/>
              <w:bidi w:val="0"/>
              <w:adjustRightInd w:val="0"/>
              <w:snapToGrid w:val="0"/>
              <w:spacing w:beforeAutospacing="0" w:afterAutospacing="0" w:line="312" w:lineRule="auto"/>
              <w:ind w:left="0" w:leftChars="0" w:right="0" w:rightChars="0" w:firstLine="0" w:firstLineChars="0"/>
              <w:jc w:val="center"/>
              <w:textAlignment w:val="auto"/>
              <w:rPr>
                <w:rFonts w:hint="eastAsia" w:ascii="宋体" w:hAnsi="宋体" w:eastAsia="宋体" w:cs="宋体"/>
                <w:color w:val="auto"/>
                <w:spacing w:val="-6"/>
                <w:sz w:val="22"/>
                <w:szCs w:val="22"/>
                <w:highlight w:val="none"/>
                <w:lang w:val="en-US" w:eastAsia="zh-CN"/>
              </w:rPr>
            </w:pPr>
            <w:r>
              <w:rPr>
                <w:rFonts w:hint="eastAsia" w:ascii="宋体" w:hAnsi="宋体" w:eastAsia="宋体" w:cs="宋体"/>
                <w:snapToGrid w:val="0"/>
                <w:kern w:val="2"/>
                <w:sz w:val="22"/>
                <w:szCs w:val="22"/>
                <w:highlight w:val="none"/>
                <w:lang w:val="en-US" w:eastAsia="zh-CN" w:bidi="ar-SA"/>
              </w:rPr>
              <w:t>（</w:t>
            </w:r>
            <w:r>
              <w:rPr>
                <w:rFonts w:hint="eastAsia" w:cs="宋体"/>
                <w:snapToGrid w:val="0"/>
                <w:kern w:val="2"/>
                <w:sz w:val="22"/>
                <w:szCs w:val="22"/>
                <w:highlight w:val="none"/>
                <w:lang w:val="en-US" w:eastAsia="zh-CN" w:bidi="ar-SA"/>
              </w:rPr>
              <w:t>8</w:t>
            </w:r>
            <w:r>
              <w:rPr>
                <w:rFonts w:hint="eastAsia" w:ascii="宋体" w:hAnsi="宋体" w:eastAsia="宋体" w:cs="宋体"/>
                <w:snapToGrid w:val="0"/>
                <w:kern w:val="2"/>
                <w:sz w:val="22"/>
                <w:szCs w:val="22"/>
                <w:highlight w:val="none"/>
                <w:lang w:val="en-US" w:eastAsia="zh-CN" w:bidi="ar-SA"/>
              </w:rPr>
              <w:t>分）</w:t>
            </w:r>
          </w:p>
        </w:tc>
        <w:tc>
          <w:tcPr>
            <w:tcW w:w="5087" w:type="dxa"/>
            <w:gridSpan w:val="3"/>
            <w:tcBorders>
              <w:top w:val="single" w:color="auto" w:sz="4" w:space="0"/>
              <w:left w:val="single" w:color="auto" w:sz="4" w:space="0"/>
              <w:bottom w:val="single" w:color="auto" w:sz="4" w:space="0"/>
              <w:right w:val="single" w:color="auto" w:sz="4" w:space="0"/>
            </w:tcBorders>
            <w:vAlign w:val="center"/>
          </w:tcPr>
          <w:p w14:paraId="6A289F9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left"/>
              <w:textAlignment w:val="auto"/>
              <w:rPr>
                <w:rFonts w:hint="eastAsia" w:ascii="宋体" w:hAnsi="宋体" w:eastAsia="宋体" w:cs="宋体"/>
                <w:snapToGrid w:val="0"/>
                <w:kern w:val="2"/>
                <w:sz w:val="22"/>
                <w:szCs w:val="22"/>
                <w:highlight w:val="none"/>
                <w:lang w:val="en-US" w:eastAsia="zh-CN" w:bidi="ar-SA"/>
              </w:rPr>
            </w:pPr>
            <w:r>
              <w:rPr>
                <w:rFonts w:hint="eastAsia" w:ascii="宋体" w:hAnsi="宋体" w:eastAsia="宋体" w:cs="宋体"/>
                <w:snapToGrid w:val="0"/>
                <w:kern w:val="2"/>
                <w:sz w:val="22"/>
                <w:szCs w:val="22"/>
                <w:highlight w:val="none"/>
                <w:lang w:val="en-US" w:eastAsia="zh-CN" w:bidi="ar-SA"/>
              </w:rPr>
              <w:t>满足采购人要求，并对项目进行所需承诺；</w:t>
            </w:r>
          </w:p>
          <w:p w14:paraId="4DE7A54E">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left"/>
              <w:textAlignment w:val="auto"/>
              <w:rPr>
                <w:rFonts w:hint="eastAsia" w:ascii="宋体" w:hAnsi="宋体" w:eastAsia="宋体" w:cs="宋体"/>
                <w:snapToGrid w:val="0"/>
                <w:kern w:val="2"/>
                <w:sz w:val="22"/>
                <w:szCs w:val="22"/>
                <w:highlight w:val="none"/>
                <w:lang w:val="en-US" w:eastAsia="zh-CN" w:bidi="ar-SA"/>
              </w:rPr>
            </w:pPr>
            <w:r>
              <w:rPr>
                <w:rFonts w:hint="eastAsia" w:ascii="宋体" w:hAnsi="宋体" w:eastAsia="宋体" w:cs="宋体"/>
                <w:snapToGrid w:val="0"/>
                <w:kern w:val="2"/>
                <w:sz w:val="22"/>
                <w:szCs w:val="22"/>
                <w:highlight w:val="none"/>
                <w:lang w:val="en-US" w:eastAsia="zh-CN" w:bidi="ar-SA"/>
              </w:rPr>
              <w:t>1、</w:t>
            </w:r>
            <w:r>
              <w:rPr>
                <w:rFonts w:hint="eastAsia" w:cs="宋体"/>
                <w:snapToGrid w:val="0"/>
                <w:kern w:val="2"/>
                <w:sz w:val="22"/>
                <w:szCs w:val="22"/>
                <w:highlight w:val="none"/>
                <w:lang w:val="en-US" w:eastAsia="zh-CN" w:bidi="ar-SA"/>
              </w:rPr>
              <w:t>承诺</w:t>
            </w:r>
            <w:r>
              <w:rPr>
                <w:rFonts w:hint="eastAsia" w:ascii="宋体" w:hAnsi="宋体" w:eastAsia="宋体" w:cs="宋体"/>
                <w:snapToGrid w:val="0"/>
                <w:kern w:val="2"/>
                <w:sz w:val="22"/>
                <w:szCs w:val="22"/>
                <w:highlight w:val="none"/>
                <w:lang w:val="en-US" w:eastAsia="zh-CN" w:bidi="ar-SA"/>
              </w:rPr>
              <w:t>服务过程中与相关各方的配合、沟通措施，确保</w:t>
            </w:r>
            <w:r>
              <w:rPr>
                <w:rFonts w:hint="eastAsia" w:cs="宋体"/>
                <w:snapToGrid w:val="0"/>
                <w:kern w:val="2"/>
                <w:sz w:val="22"/>
                <w:szCs w:val="22"/>
                <w:highlight w:val="none"/>
                <w:lang w:val="en-US" w:eastAsia="zh-CN" w:bidi="ar-SA"/>
              </w:rPr>
              <w:t>设计方案</w:t>
            </w:r>
            <w:r>
              <w:rPr>
                <w:rFonts w:hint="eastAsia" w:ascii="宋体" w:hAnsi="宋体" w:eastAsia="宋体" w:cs="宋体"/>
                <w:snapToGrid w:val="0"/>
                <w:kern w:val="2"/>
                <w:sz w:val="22"/>
                <w:szCs w:val="22"/>
                <w:highlight w:val="none"/>
                <w:lang w:val="en-US" w:eastAsia="zh-CN" w:bidi="ar-SA"/>
              </w:rPr>
              <w:t>审批通过的保证措施。承诺较详细、较合理得</w:t>
            </w:r>
            <w:r>
              <w:rPr>
                <w:rFonts w:hint="eastAsia" w:cs="宋体"/>
                <w:snapToGrid w:val="0"/>
                <w:kern w:val="2"/>
                <w:sz w:val="22"/>
                <w:szCs w:val="22"/>
                <w:highlight w:val="none"/>
                <w:lang w:val="en-US" w:eastAsia="zh-CN" w:bidi="ar-SA"/>
              </w:rPr>
              <w:t>3</w:t>
            </w:r>
            <w:r>
              <w:rPr>
                <w:rFonts w:hint="eastAsia" w:ascii="宋体" w:hAnsi="宋体" w:eastAsia="宋体" w:cs="宋体"/>
                <w:snapToGrid w:val="0"/>
                <w:kern w:val="2"/>
                <w:sz w:val="22"/>
                <w:szCs w:val="22"/>
                <w:highlight w:val="none"/>
                <w:lang w:val="en-US" w:eastAsia="zh-CN" w:bidi="ar-SA"/>
              </w:rPr>
              <w:t>分，承诺一般得1分。</w:t>
            </w:r>
          </w:p>
          <w:p w14:paraId="6D866C98">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left"/>
              <w:textAlignment w:val="auto"/>
              <w:rPr>
                <w:rFonts w:hint="eastAsia" w:ascii="宋体" w:hAnsi="宋体" w:eastAsia="宋体" w:cs="宋体"/>
                <w:snapToGrid w:val="0"/>
                <w:kern w:val="2"/>
                <w:sz w:val="22"/>
                <w:szCs w:val="22"/>
                <w:highlight w:val="none"/>
                <w:lang w:val="en-US" w:eastAsia="zh-CN" w:bidi="ar-SA"/>
              </w:rPr>
            </w:pPr>
            <w:r>
              <w:rPr>
                <w:rFonts w:hint="eastAsia" w:ascii="宋体" w:hAnsi="宋体" w:eastAsia="宋体" w:cs="宋体"/>
                <w:snapToGrid w:val="0"/>
                <w:kern w:val="2"/>
                <w:sz w:val="22"/>
                <w:szCs w:val="22"/>
                <w:highlight w:val="none"/>
                <w:lang w:val="en-US" w:eastAsia="zh-CN" w:bidi="ar-SA"/>
              </w:rPr>
              <w:t>2、对后续服务列出具体措施，评委根据其后续服务方案的完善及合理性进行评分，方案完善、合理得</w:t>
            </w:r>
            <w:r>
              <w:rPr>
                <w:rFonts w:hint="eastAsia" w:cs="宋体"/>
                <w:snapToGrid w:val="0"/>
                <w:kern w:val="2"/>
                <w:sz w:val="22"/>
                <w:szCs w:val="22"/>
                <w:highlight w:val="none"/>
                <w:lang w:val="en-US" w:eastAsia="zh-CN" w:bidi="ar-SA"/>
              </w:rPr>
              <w:t>2</w:t>
            </w:r>
            <w:r>
              <w:rPr>
                <w:rFonts w:hint="eastAsia" w:ascii="宋体" w:hAnsi="宋体" w:eastAsia="宋体" w:cs="宋体"/>
                <w:snapToGrid w:val="0"/>
                <w:kern w:val="2"/>
                <w:sz w:val="22"/>
                <w:szCs w:val="22"/>
                <w:highlight w:val="none"/>
                <w:lang w:val="en-US" w:eastAsia="zh-CN" w:bidi="ar-SA"/>
              </w:rPr>
              <w:t>分，方案一般得1分。</w:t>
            </w:r>
          </w:p>
          <w:p w14:paraId="156EE595">
            <w:pPr>
              <w:keepNext w:val="0"/>
              <w:keepLines w:val="0"/>
              <w:pageBreakBefore w:val="0"/>
              <w:widowControl w:val="0"/>
              <w:kinsoku/>
              <w:wordWrap/>
              <w:overflowPunct/>
              <w:topLinePunct w:val="0"/>
              <w:autoSpaceDE w:val="0"/>
              <w:autoSpaceDN w:val="0"/>
              <w:bidi w:val="0"/>
              <w:adjustRightInd w:val="0"/>
              <w:snapToGrid w:val="0"/>
              <w:spacing w:line="312" w:lineRule="auto"/>
              <w:ind w:left="0" w:firstLine="0" w:firstLineChars="0"/>
              <w:jc w:val="left"/>
              <w:textAlignment w:val="auto"/>
              <w:rPr>
                <w:rFonts w:hint="eastAsia" w:ascii="宋体" w:hAnsi="宋体" w:eastAsia="宋体" w:cs="宋体"/>
                <w:color w:val="auto"/>
                <w:spacing w:val="-6"/>
                <w:sz w:val="22"/>
                <w:szCs w:val="22"/>
                <w:highlight w:val="none"/>
                <w:lang w:val="en-US" w:eastAsia="zh-CN"/>
              </w:rPr>
            </w:pPr>
            <w:r>
              <w:rPr>
                <w:rFonts w:hint="eastAsia" w:ascii="宋体" w:hAnsi="宋体"/>
                <w:color w:val="000000"/>
                <w:highlight w:val="none"/>
                <w:lang w:val="en-US" w:eastAsia="zh-CN"/>
              </w:rPr>
              <w:t>3、</w:t>
            </w:r>
            <w:r>
              <w:rPr>
                <w:rFonts w:hint="eastAsia" w:ascii="宋体" w:hAnsi="宋体"/>
                <w:color w:val="000000"/>
                <w:highlight w:val="none"/>
              </w:rPr>
              <w:t>承诺在项目后期招标及施工时的技术交底和设计变更等相关配合，将及时安排人员进行服务和免费技术咨询支持，承诺详细、合理得</w:t>
            </w:r>
            <w:r>
              <w:rPr>
                <w:rFonts w:hint="eastAsia"/>
                <w:color w:val="000000"/>
                <w:highlight w:val="none"/>
                <w:lang w:val="en-US" w:eastAsia="zh-CN"/>
              </w:rPr>
              <w:t>3</w:t>
            </w:r>
            <w:r>
              <w:rPr>
                <w:rFonts w:hint="eastAsia" w:ascii="宋体" w:hAnsi="宋体"/>
                <w:color w:val="000000"/>
                <w:highlight w:val="none"/>
              </w:rPr>
              <w:t>分，承诺一般得1分。</w:t>
            </w:r>
          </w:p>
        </w:tc>
      </w:tr>
      <w:tr w14:paraId="3BBF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cantSplit/>
          <w:trHeight w:val="1790" w:hRule="atLeast"/>
        </w:trPr>
        <w:tc>
          <w:tcPr>
            <w:tcW w:w="9189" w:type="dxa"/>
            <w:gridSpan w:val="8"/>
            <w:tcBorders>
              <w:top w:val="single" w:color="auto" w:sz="4" w:space="0"/>
              <w:left w:val="single" w:color="auto" w:sz="4" w:space="0"/>
              <w:bottom w:val="single" w:color="auto" w:sz="4" w:space="0"/>
              <w:right w:val="single" w:color="auto" w:sz="4" w:space="0"/>
            </w:tcBorders>
            <w:vAlign w:val="center"/>
          </w:tcPr>
          <w:p w14:paraId="1A1DA2A5">
            <w:pPr>
              <w:spacing w:line="400" w:lineRule="exact"/>
              <w:rPr>
                <w:color w:val="auto"/>
                <w:szCs w:val="21"/>
                <w:lang w:val="en-US"/>
              </w:rPr>
            </w:pPr>
            <w:r>
              <w:rPr>
                <w:rFonts w:hint="eastAsia"/>
                <w:color w:val="auto"/>
                <w:szCs w:val="21"/>
                <w:lang w:val="en-US"/>
              </w:rPr>
              <w:t>供应商综合得分﹦报价得分+技术标＋</w:t>
            </w:r>
            <w:r>
              <w:rPr>
                <w:rFonts w:hint="eastAsia"/>
                <w:color w:val="auto"/>
                <w:szCs w:val="21"/>
                <w:lang w:val="en-US" w:eastAsia="zh-CN"/>
              </w:rPr>
              <w:t>商务</w:t>
            </w:r>
            <w:r>
              <w:rPr>
                <w:rFonts w:hint="eastAsia"/>
                <w:color w:val="auto"/>
                <w:szCs w:val="21"/>
                <w:lang w:val="en-US"/>
              </w:rPr>
              <w:t>标</w:t>
            </w:r>
          </w:p>
          <w:p w14:paraId="0262D3E7">
            <w:pPr>
              <w:spacing w:line="400" w:lineRule="exact"/>
              <w:rPr>
                <w:color w:val="auto"/>
                <w:szCs w:val="21"/>
                <w:lang w:val="en-US"/>
              </w:rPr>
            </w:pPr>
            <w:r>
              <w:rPr>
                <w:rFonts w:hint="eastAsia"/>
                <w:color w:val="auto"/>
                <w:szCs w:val="21"/>
                <w:lang w:val="en-US"/>
              </w:rPr>
              <w:t>1．</w:t>
            </w:r>
            <w:r>
              <w:rPr>
                <w:rFonts w:hint="eastAsia"/>
                <w:color w:val="auto"/>
                <w:szCs w:val="21"/>
                <w:lang w:val="en-US" w:eastAsia="zh-CN"/>
              </w:rPr>
              <w:t>磋商小组</w:t>
            </w:r>
            <w:r>
              <w:rPr>
                <w:rFonts w:hint="eastAsia"/>
                <w:color w:val="auto"/>
                <w:szCs w:val="21"/>
                <w:lang w:val="en-US"/>
              </w:rPr>
              <w:t>对所有评审项得分的算术平均值，作为该供应商的最终得分。</w:t>
            </w:r>
          </w:p>
          <w:p w14:paraId="6A813C99">
            <w:pPr>
              <w:spacing w:line="400" w:lineRule="exact"/>
              <w:rPr>
                <w:color w:val="auto"/>
                <w:szCs w:val="21"/>
                <w:lang w:val="en-US"/>
              </w:rPr>
            </w:pPr>
            <w:r>
              <w:rPr>
                <w:rFonts w:hint="eastAsia"/>
                <w:color w:val="auto"/>
                <w:szCs w:val="21"/>
                <w:lang w:val="en-US"/>
              </w:rPr>
              <w:t>2．计分过程中按四舍五入的法则，取至小数点后3位，最终结果取至小数点后2位，</w:t>
            </w:r>
            <w:r>
              <w:rPr>
                <w:rFonts w:hint="eastAsia"/>
                <w:color w:val="auto"/>
                <w:szCs w:val="21"/>
                <w:lang w:val="en-US" w:eastAsia="zh-CN"/>
              </w:rPr>
              <w:t>磋商小组</w:t>
            </w:r>
            <w:r>
              <w:rPr>
                <w:rFonts w:hint="eastAsia"/>
                <w:color w:val="auto"/>
                <w:szCs w:val="21"/>
                <w:lang w:val="en-US"/>
              </w:rPr>
              <w:t>将按供应商得分高低排序向招标人推荐3名成交候选人。</w:t>
            </w:r>
          </w:p>
        </w:tc>
      </w:tr>
    </w:tbl>
    <w:p w14:paraId="6A1780C1">
      <w:pPr>
        <w:pStyle w:val="26"/>
        <w:ind w:left="0" w:firstLine="482" w:firstLineChars="200"/>
        <w:outlineLvl w:val="0"/>
        <w:rPr>
          <w:rFonts w:ascii="宋体" w:hAnsi="宋体"/>
          <w:color w:val="auto"/>
          <w:sz w:val="24"/>
          <w:szCs w:val="24"/>
        </w:rPr>
      </w:pPr>
      <w:bookmarkStart w:id="162" w:name="_Toc9678"/>
      <w:bookmarkStart w:id="163" w:name="_Toc1597"/>
      <w:bookmarkStart w:id="164" w:name="_Toc29721_WPSOffice_Level2"/>
      <w:r>
        <w:rPr>
          <w:rFonts w:hint="eastAsia" w:ascii="宋体" w:hAnsi="宋体"/>
          <w:color w:val="auto"/>
          <w:sz w:val="24"/>
          <w:szCs w:val="24"/>
        </w:rPr>
        <w:t>1. 评标方法</w:t>
      </w:r>
      <w:bookmarkEnd w:id="160"/>
      <w:bookmarkEnd w:id="162"/>
      <w:bookmarkEnd w:id="163"/>
      <w:bookmarkEnd w:id="164"/>
    </w:p>
    <w:p w14:paraId="46266A6A">
      <w:pPr>
        <w:spacing w:line="400" w:lineRule="exact"/>
        <w:ind w:firstLine="480" w:firstLineChars="200"/>
        <w:rPr>
          <w:color w:val="auto"/>
          <w:sz w:val="24"/>
        </w:rPr>
      </w:pPr>
      <w:r>
        <w:rPr>
          <w:rFonts w:hint="eastAsia"/>
          <w:color w:val="auto"/>
          <w:sz w:val="24"/>
          <w:lang w:bidi="en-US"/>
        </w:rPr>
        <w:t>本次评标采用综合评分法。磋商小组对满足磋商文件实质性要求的响应文件</w:t>
      </w:r>
      <w:r>
        <w:rPr>
          <w:rFonts w:hint="eastAsia"/>
          <w:color w:val="auto"/>
          <w:sz w:val="24"/>
        </w:rPr>
        <w:t>，按照本章规定的评分标准进行打分，并按得分由高到低顺序推荐成交候选人，综合评分相等时，以报价得分高的优先；报价得分也相等的，由采购人自行确定。</w:t>
      </w:r>
    </w:p>
    <w:p w14:paraId="2606D4BC">
      <w:pPr>
        <w:pStyle w:val="26"/>
        <w:ind w:left="0" w:firstLine="482" w:firstLineChars="200"/>
        <w:outlineLvl w:val="0"/>
        <w:rPr>
          <w:rFonts w:ascii="宋体" w:hAnsi="宋体"/>
          <w:color w:val="auto"/>
          <w:sz w:val="24"/>
          <w:szCs w:val="24"/>
        </w:rPr>
      </w:pPr>
      <w:bookmarkStart w:id="165" w:name="_Toc281405529"/>
      <w:bookmarkStart w:id="166" w:name="_Toc26640_WPSOffice_Level2"/>
      <w:bookmarkStart w:id="167" w:name="_Toc318450723"/>
      <w:bookmarkStart w:id="168" w:name="_Toc152042378"/>
      <w:bookmarkStart w:id="169" w:name="_Toc144974568"/>
      <w:bookmarkStart w:id="170" w:name="_Toc24936"/>
      <w:bookmarkStart w:id="171" w:name="_Toc152045601"/>
      <w:bookmarkStart w:id="172" w:name="_Toc5817"/>
      <w:bookmarkStart w:id="173" w:name="_Toc16578"/>
      <w:bookmarkStart w:id="174" w:name="_Toc20649"/>
      <w:bookmarkStart w:id="175" w:name="_Toc455080157"/>
      <w:bookmarkStart w:id="176" w:name="_Toc487498487"/>
      <w:bookmarkStart w:id="177" w:name="_Toc25492"/>
      <w:bookmarkStart w:id="178" w:name="_Toc281405531"/>
      <w:bookmarkStart w:id="179" w:name="_Toc30189"/>
      <w:bookmarkStart w:id="180" w:name="_Toc464035560"/>
      <w:bookmarkStart w:id="181" w:name="_Toc152042380"/>
      <w:bookmarkStart w:id="182" w:name="_Toc144974570"/>
      <w:bookmarkStart w:id="183" w:name="_Toc11061"/>
      <w:bookmarkStart w:id="184" w:name="_Toc12013"/>
      <w:bookmarkStart w:id="185" w:name="_Toc463701081"/>
      <w:bookmarkStart w:id="186" w:name="_Toc455080159"/>
      <w:bookmarkStart w:id="187" w:name="_Toc152045603"/>
      <w:bookmarkStart w:id="188" w:name="_Toc318450725"/>
      <w:bookmarkStart w:id="189" w:name="_Toc22439"/>
      <w:r>
        <w:rPr>
          <w:rFonts w:hint="eastAsia" w:ascii="宋体" w:hAnsi="宋体"/>
          <w:color w:val="auto"/>
          <w:sz w:val="24"/>
          <w:szCs w:val="24"/>
        </w:rPr>
        <w:t>2. 评审标准</w:t>
      </w:r>
      <w:bookmarkEnd w:id="165"/>
      <w:bookmarkEnd w:id="166"/>
      <w:bookmarkEnd w:id="167"/>
      <w:bookmarkEnd w:id="168"/>
      <w:bookmarkEnd w:id="169"/>
      <w:bookmarkEnd w:id="170"/>
      <w:bookmarkEnd w:id="171"/>
      <w:bookmarkEnd w:id="172"/>
      <w:bookmarkEnd w:id="173"/>
      <w:bookmarkEnd w:id="174"/>
      <w:bookmarkEnd w:id="175"/>
      <w:bookmarkEnd w:id="176"/>
    </w:p>
    <w:bookmarkEnd w:id="177"/>
    <w:bookmarkEnd w:id="178"/>
    <w:bookmarkEnd w:id="179"/>
    <w:bookmarkEnd w:id="180"/>
    <w:bookmarkEnd w:id="181"/>
    <w:bookmarkEnd w:id="182"/>
    <w:bookmarkEnd w:id="183"/>
    <w:bookmarkEnd w:id="184"/>
    <w:bookmarkEnd w:id="185"/>
    <w:bookmarkEnd w:id="186"/>
    <w:bookmarkEnd w:id="187"/>
    <w:bookmarkEnd w:id="188"/>
    <w:bookmarkEnd w:id="189"/>
    <w:p w14:paraId="6F7F4796">
      <w:pPr>
        <w:spacing w:line="400" w:lineRule="exact"/>
        <w:ind w:firstLine="480" w:firstLineChars="200"/>
        <w:rPr>
          <w:rFonts w:hint="eastAsia" w:ascii="宋体" w:hAnsi="宋体" w:eastAsia="宋体" w:cs="宋体"/>
          <w:color w:val="auto"/>
          <w:sz w:val="24"/>
          <w:lang w:bidi="en-US"/>
        </w:rPr>
      </w:pPr>
      <w:bookmarkStart w:id="190" w:name="_Toc16952"/>
      <w:bookmarkStart w:id="191" w:name="_Toc30922_WPSOffice_Level3"/>
      <w:bookmarkStart w:id="192" w:name="_Toc15878"/>
      <w:bookmarkStart w:id="193" w:name="_Toc281405532"/>
      <w:bookmarkStart w:id="194" w:name="_Toc318450726"/>
      <w:bookmarkStart w:id="195" w:name="_Toc17308"/>
      <w:bookmarkStart w:id="196" w:name="_Toc455080160"/>
      <w:r>
        <w:rPr>
          <w:rFonts w:hint="eastAsia" w:ascii="宋体" w:hAnsi="宋体" w:eastAsia="宋体" w:cs="宋体"/>
          <w:color w:val="auto"/>
          <w:sz w:val="24"/>
          <w:lang w:bidi="en-US"/>
        </w:rPr>
        <w:t>2.1 初步评审标准</w:t>
      </w:r>
      <w:bookmarkEnd w:id="190"/>
      <w:bookmarkEnd w:id="191"/>
      <w:bookmarkEnd w:id="192"/>
    </w:p>
    <w:p w14:paraId="597A01F1">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2.1.1 资格评审标准：由磋商小组审核。</w:t>
      </w:r>
    </w:p>
    <w:p w14:paraId="5DD11D6F">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 xml:space="preserve">2.1.2 </w:t>
      </w:r>
      <w:r>
        <w:rPr>
          <w:rFonts w:hint="eastAsia" w:cs="宋体"/>
          <w:color w:val="auto"/>
          <w:sz w:val="24"/>
          <w:lang w:val="en-US" w:eastAsia="zh-CN" w:bidi="en-US"/>
        </w:rPr>
        <w:t>符合</w:t>
      </w:r>
      <w:r>
        <w:rPr>
          <w:rFonts w:hint="eastAsia" w:ascii="宋体" w:hAnsi="宋体" w:eastAsia="宋体" w:cs="宋体"/>
          <w:color w:val="auto"/>
          <w:sz w:val="24"/>
          <w:lang w:bidi="en-US"/>
        </w:rPr>
        <w:t>评审标准：由磋商小组审核。</w:t>
      </w:r>
    </w:p>
    <w:p w14:paraId="65B66673">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2.1.3 响应性评审标准：由磋商小组审核。</w:t>
      </w:r>
    </w:p>
    <w:p w14:paraId="13BAF63D">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以上有一项不符合要求的按无效标处理。</w:t>
      </w:r>
    </w:p>
    <w:p w14:paraId="6FFB5ADB">
      <w:pPr>
        <w:spacing w:line="400" w:lineRule="exact"/>
        <w:ind w:firstLine="480" w:firstLineChars="200"/>
        <w:rPr>
          <w:rFonts w:hint="eastAsia" w:ascii="宋体" w:hAnsi="宋体" w:eastAsia="宋体" w:cs="宋体"/>
          <w:color w:val="auto"/>
          <w:sz w:val="24"/>
          <w:lang w:bidi="en-US"/>
        </w:rPr>
      </w:pPr>
      <w:bookmarkStart w:id="197" w:name="_Toc17292_WPSOffice_Level3"/>
      <w:r>
        <w:rPr>
          <w:rFonts w:hint="eastAsia" w:ascii="宋体" w:hAnsi="宋体" w:eastAsia="宋体" w:cs="宋体"/>
          <w:color w:val="auto"/>
          <w:sz w:val="24"/>
          <w:lang w:bidi="en-US"/>
        </w:rPr>
        <w:t>2.2 分值构成与评分标准</w:t>
      </w:r>
      <w:bookmarkEnd w:id="197"/>
    </w:p>
    <w:p w14:paraId="01E1D6A1">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2.2.1 分值构成</w:t>
      </w:r>
    </w:p>
    <w:p w14:paraId="476D1248">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（1）最后磋商报价：见评标办法前附表</w:t>
      </w:r>
    </w:p>
    <w:p w14:paraId="508967F1">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（2）技术标：见评标办法前附表</w:t>
      </w:r>
    </w:p>
    <w:p w14:paraId="5A7B91A4">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（3）商务标：见评标办法前附表</w:t>
      </w:r>
    </w:p>
    <w:p w14:paraId="3B6DB54B">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2.2.2 评分标准</w:t>
      </w:r>
    </w:p>
    <w:p w14:paraId="587875A2">
      <w:pPr>
        <w:spacing w:line="400" w:lineRule="exact"/>
        <w:ind w:firstLine="480" w:firstLineChars="200"/>
        <w:rPr>
          <w:rFonts w:hint="eastAsia" w:ascii="宋体" w:hAnsi="宋体" w:eastAsia="宋体" w:cs="宋体"/>
          <w:color w:val="auto"/>
          <w:sz w:val="24"/>
          <w:lang w:bidi="en-US"/>
        </w:rPr>
      </w:pPr>
      <w:bookmarkStart w:id="198" w:name="_Toc487498488"/>
      <w:bookmarkStart w:id="199" w:name="_Toc25340"/>
      <w:r>
        <w:rPr>
          <w:rFonts w:hint="eastAsia" w:ascii="宋体" w:hAnsi="宋体" w:eastAsia="宋体" w:cs="宋体"/>
          <w:color w:val="auto"/>
          <w:sz w:val="24"/>
          <w:lang w:bidi="en-US"/>
        </w:rPr>
        <w:t>（1）最后磋商报价：见评标办法前附表</w:t>
      </w:r>
    </w:p>
    <w:p w14:paraId="4852EDED">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（2）技术标：见评标办法前附表</w:t>
      </w:r>
    </w:p>
    <w:p w14:paraId="340156CA">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（3）商务标：见评标办法前附表</w:t>
      </w:r>
    </w:p>
    <w:p w14:paraId="66E74622">
      <w:pPr>
        <w:spacing w:line="400" w:lineRule="exact"/>
        <w:ind w:firstLine="480" w:firstLineChars="200"/>
        <w:rPr>
          <w:rFonts w:hint="eastAsia" w:ascii="宋体" w:hAnsi="宋体" w:eastAsia="宋体" w:cs="宋体"/>
          <w:color w:val="auto"/>
          <w:sz w:val="24"/>
          <w:lang w:bidi="en-US"/>
        </w:rPr>
      </w:pPr>
      <w:bookmarkStart w:id="200" w:name="_Toc15225"/>
      <w:bookmarkStart w:id="201" w:name="_Toc14449_WPSOffice_Level2"/>
      <w:bookmarkStart w:id="202" w:name="_Toc29132"/>
      <w:r>
        <w:rPr>
          <w:rFonts w:hint="eastAsia" w:ascii="宋体" w:hAnsi="宋体"/>
          <w:color w:val="auto"/>
          <w:sz w:val="24"/>
          <w:szCs w:val="24"/>
        </w:rPr>
        <w:t>3. 评审程序</w:t>
      </w:r>
      <w:bookmarkEnd w:id="193"/>
      <w:bookmarkEnd w:id="194"/>
      <w:bookmarkEnd w:id="195"/>
      <w:bookmarkEnd w:id="196"/>
      <w:bookmarkEnd w:id="198"/>
      <w:bookmarkEnd w:id="199"/>
      <w:bookmarkEnd w:id="200"/>
      <w:bookmarkEnd w:id="201"/>
      <w:bookmarkEnd w:id="202"/>
    </w:p>
    <w:p w14:paraId="770DCDA7">
      <w:pPr>
        <w:spacing w:line="400" w:lineRule="exact"/>
        <w:ind w:firstLine="480" w:firstLineChars="200"/>
        <w:rPr>
          <w:rFonts w:hint="eastAsia" w:ascii="宋体" w:hAnsi="宋体" w:eastAsia="宋体" w:cs="宋体"/>
          <w:color w:val="auto"/>
          <w:sz w:val="24"/>
          <w:lang w:bidi="en-US"/>
        </w:rPr>
      </w:pPr>
      <w:bookmarkStart w:id="203" w:name="_Toc281405533"/>
      <w:bookmarkStart w:id="204" w:name="_Toc11862_WPSOffice_Level3"/>
      <w:bookmarkStart w:id="205" w:name="_Toc29614"/>
      <w:bookmarkStart w:id="206" w:name="_Toc5427"/>
      <w:bookmarkStart w:id="207" w:name="_Toc464035562"/>
      <w:bookmarkStart w:id="208" w:name="_Toc30986"/>
      <w:bookmarkStart w:id="209" w:name="_Toc14633"/>
      <w:bookmarkStart w:id="210" w:name="_Toc318450727"/>
      <w:bookmarkStart w:id="211" w:name="_Toc7272"/>
      <w:bookmarkStart w:id="212" w:name="_Toc463701083"/>
      <w:bookmarkStart w:id="213" w:name="_Toc455080161"/>
      <w:bookmarkStart w:id="214" w:name="_Toc18886"/>
      <w:r>
        <w:rPr>
          <w:rFonts w:hint="eastAsia" w:ascii="宋体" w:hAnsi="宋体" w:eastAsia="宋体" w:cs="宋体"/>
          <w:color w:val="auto"/>
          <w:sz w:val="24"/>
          <w:lang w:bidi="en-US"/>
        </w:rPr>
        <w:t>3.1 初步评审</w:t>
      </w:r>
      <w:bookmarkEnd w:id="203"/>
      <w:bookmarkEnd w:id="204"/>
      <w:bookmarkEnd w:id="205"/>
      <w:bookmarkEnd w:id="206"/>
      <w:bookmarkEnd w:id="207"/>
      <w:bookmarkEnd w:id="208"/>
      <w:bookmarkEnd w:id="209"/>
      <w:bookmarkEnd w:id="210"/>
      <w:bookmarkEnd w:id="211"/>
      <w:bookmarkEnd w:id="212"/>
      <w:bookmarkEnd w:id="213"/>
      <w:bookmarkEnd w:id="214"/>
    </w:p>
    <w:p w14:paraId="5268B6FC">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3.1.1 磋商小组依据本章第2.1款规定的标准对响应文件进行初步评审。有一项不符合评审标准的，作废标处理。</w:t>
      </w:r>
    </w:p>
    <w:p w14:paraId="5F301D45">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3.1.2 供应商有以下情形之一的，其投标作废标处理：</w:t>
      </w:r>
    </w:p>
    <w:p w14:paraId="01C46112">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（1）串通投标或弄虚作假或有其他违法行为的；</w:t>
      </w:r>
    </w:p>
    <w:p w14:paraId="354D1EF9">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w:t>
      </w:r>
      <w:r>
        <w:rPr>
          <w:rFonts w:hint="eastAsia" w:ascii="宋体" w:hAnsi="宋体" w:eastAsia="宋体" w:cs="宋体"/>
          <w:color w:val="auto"/>
          <w:sz w:val="24"/>
          <w:lang w:val="en-US" w:eastAsia="zh-CN" w:bidi="en-US"/>
        </w:rPr>
        <w:t>2</w:t>
      </w:r>
      <w:r>
        <w:rPr>
          <w:rFonts w:hint="eastAsia" w:ascii="宋体" w:hAnsi="宋体" w:eastAsia="宋体" w:cs="宋体"/>
          <w:color w:val="auto"/>
          <w:sz w:val="24"/>
          <w:lang w:bidi="en-US"/>
        </w:rPr>
        <w:t>）不按磋商小组要求澄清、说明或补正的；</w:t>
      </w:r>
    </w:p>
    <w:p w14:paraId="53184F67">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w:t>
      </w:r>
      <w:r>
        <w:rPr>
          <w:rFonts w:hint="eastAsia" w:ascii="宋体" w:hAnsi="宋体" w:eastAsia="宋体" w:cs="宋体"/>
          <w:color w:val="auto"/>
          <w:sz w:val="24"/>
          <w:lang w:val="en-US" w:eastAsia="zh-CN" w:bidi="en-US"/>
        </w:rPr>
        <w:t>3</w:t>
      </w:r>
      <w:r>
        <w:rPr>
          <w:rFonts w:hint="eastAsia" w:ascii="宋体" w:hAnsi="宋体" w:eastAsia="宋体" w:cs="宋体"/>
          <w:color w:val="auto"/>
          <w:sz w:val="24"/>
          <w:lang w:bidi="en-US"/>
        </w:rPr>
        <w:t>）未按规定格式填写、内容不全或关键字迹模糊、无法辨认的；</w:t>
      </w:r>
    </w:p>
    <w:p w14:paraId="218739F3">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w:t>
      </w:r>
      <w:r>
        <w:rPr>
          <w:rFonts w:hint="eastAsia" w:ascii="宋体" w:hAnsi="宋体" w:eastAsia="宋体" w:cs="宋体"/>
          <w:color w:val="auto"/>
          <w:sz w:val="24"/>
          <w:lang w:val="en-US" w:eastAsia="zh-CN" w:bidi="en-US"/>
        </w:rPr>
        <w:t>4</w:t>
      </w:r>
      <w:r>
        <w:rPr>
          <w:rFonts w:hint="eastAsia" w:ascii="宋体" w:hAnsi="宋体" w:eastAsia="宋体" w:cs="宋体"/>
          <w:color w:val="auto"/>
          <w:sz w:val="24"/>
          <w:lang w:bidi="en-US"/>
        </w:rPr>
        <w:t>）响应文件附有采购人不能接受的条件；</w:t>
      </w:r>
    </w:p>
    <w:p w14:paraId="7AA2156A">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w:t>
      </w:r>
      <w:r>
        <w:rPr>
          <w:rFonts w:hint="eastAsia" w:ascii="宋体" w:hAnsi="宋体" w:eastAsia="宋体" w:cs="宋体"/>
          <w:color w:val="auto"/>
          <w:sz w:val="24"/>
          <w:lang w:val="en-US" w:eastAsia="zh-CN" w:bidi="en-US"/>
        </w:rPr>
        <w:t>5</w:t>
      </w:r>
      <w:r>
        <w:rPr>
          <w:rFonts w:hint="eastAsia" w:ascii="宋体" w:hAnsi="宋体" w:eastAsia="宋体" w:cs="宋体"/>
          <w:color w:val="auto"/>
          <w:sz w:val="24"/>
          <w:lang w:bidi="en-US"/>
        </w:rPr>
        <w:t>）不符合磋商文件规定的其他实质性要求。</w:t>
      </w:r>
    </w:p>
    <w:p w14:paraId="69049E16">
      <w:pPr>
        <w:spacing w:line="400" w:lineRule="exact"/>
        <w:ind w:firstLine="480" w:firstLineChars="200"/>
        <w:rPr>
          <w:rFonts w:hint="eastAsia" w:ascii="宋体" w:hAnsi="宋体" w:eastAsia="宋体" w:cs="宋体"/>
          <w:color w:val="auto"/>
          <w:sz w:val="24"/>
          <w:lang w:bidi="en-US"/>
        </w:rPr>
      </w:pPr>
      <w:bookmarkStart w:id="215" w:name="_Toc12406"/>
      <w:bookmarkStart w:id="216" w:name="_Toc464035563"/>
      <w:bookmarkStart w:id="217" w:name="_Toc26049"/>
      <w:bookmarkStart w:id="218" w:name="_Toc7121"/>
      <w:bookmarkStart w:id="219" w:name="_Toc21570"/>
      <w:bookmarkStart w:id="220" w:name="_Toc21032"/>
      <w:bookmarkStart w:id="221" w:name="_Toc463701084"/>
      <w:bookmarkStart w:id="222" w:name="_Toc10692"/>
      <w:bookmarkStart w:id="223" w:name="_Toc281405534"/>
      <w:bookmarkStart w:id="224" w:name="_Toc455080162"/>
      <w:bookmarkStart w:id="225" w:name="_Toc10295_WPSOffice_Level3"/>
      <w:bookmarkStart w:id="226" w:name="_Toc318450728"/>
      <w:r>
        <w:rPr>
          <w:rFonts w:hint="eastAsia" w:ascii="宋体" w:hAnsi="宋体" w:eastAsia="宋体" w:cs="宋体"/>
          <w:color w:val="auto"/>
          <w:sz w:val="24"/>
          <w:lang w:bidi="en-US"/>
        </w:rPr>
        <w:t>3.2 详细评审</w:t>
      </w:r>
      <w:bookmarkEnd w:id="215"/>
      <w:bookmarkEnd w:id="216"/>
      <w:bookmarkEnd w:id="217"/>
      <w:bookmarkEnd w:id="218"/>
      <w:bookmarkEnd w:id="219"/>
      <w:bookmarkEnd w:id="220"/>
      <w:bookmarkEnd w:id="221"/>
      <w:bookmarkEnd w:id="222"/>
      <w:bookmarkEnd w:id="223"/>
      <w:bookmarkEnd w:id="224"/>
      <w:bookmarkEnd w:id="225"/>
      <w:bookmarkEnd w:id="226"/>
    </w:p>
    <w:p w14:paraId="79E044A8">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3.2.1 磋商小组邀请通过初步评审的供应商进行磋商报价，磋商报价为供应商最终有效报价。</w:t>
      </w:r>
    </w:p>
    <w:p w14:paraId="5033D5C4">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val="en-US" w:bidi="en-US"/>
        </w:rPr>
        <w:t>3.2.2磋商小组</w:t>
      </w:r>
      <w:r>
        <w:rPr>
          <w:rFonts w:hint="eastAsia" w:ascii="宋体" w:hAnsi="宋体" w:eastAsia="宋体" w:cs="宋体"/>
          <w:color w:val="auto"/>
          <w:sz w:val="24"/>
          <w:lang w:bidi="en-US"/>
        </w:rPr>
        <w:t>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宋体" w:hAnsi="宋体" w:eastAsia="宋体" w:cs="宋体"/>
          <w:color w:val="auto"/>
          <w:sz w:val="24"/>
          <w:lang w:val="en-US" w:bidi="en-US"/>
        </w:rPr>
        <w:t>磋商小组</w:t>
      </w:r>
      <w:r>
        <w:rPr>
          <w:rFonts w:hint="eastAsia" w:ascii="宋体" w:hAnsi="宋体" w:eastAsia="宋体" w:cs="宋体"/>
          <w:color w:val="auto"/>
          <w:sz w:val="24"/>
          <w:lang w:bidi="en-US"/>
        </w:rPr>
        <w:t>应当将其作为无效投标处理。</w:t>
      </w:r>
    </w:p>
    <w:p w14:paraId="53720051">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3.2.</w:t>
      </w:r>
      <w:r>
        <w:rPr>
          <w:rFonts w:hint="eastAsia" w:ascii="宋体" w:hAnsi="宋体" w:eastAsia="宋体" w:cs="宋体"/>
          <w:color w:val="auto"/>
          <w:sz w:val="24"/>
          <w:lang w:val="en-US" w:bidi="en-US"/>
        </w:rPr>
        <w:t>3</w:t>
      </w:r>
      <w:r>
        <w:rPr>
          <w:rFonts w:hint="eastAsia" w:ascii="宋体" w:hAnsi="宋体" w:eastAsia="宋体" w:cs="宋体"/>
          <w:color w:val="auto"/>
          <w:sz w:val="24"/>
          <w:lang w:bidi="en-US"/>
        </w:rPr>
        <w:t>磋商小组按本章第2.2款规定的量化因素和分值进行打分，并计算出综合评分得分。</w:t>
      </w:r>
    </w:p>
    <w:p w14:paraId="34B2A193">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3.2.</w:t>
      </w:r>
      <w:r>
        <w:rPr>
          <w:rFonts w:hint="eastAsia" w:ascii="宋体" w:hAnsi="宋体" w:eastAsia="宋体" w:cs="宋体"/>
          <w:color w:val="auto"/>
          <w:sz w:val="24"/>
          <w:lang w:val="en-US" w:bidi="en-US"/>
        </w:rPr>
        <w:t>4</w:t>
      </w:r>
      <w:r>
        <w:rPr>
          <w:rFonts w:hint="eastAsia" w:ascii="宋体" w:hAnsi="宋体" w:eastAsia="宋体" w:cs="宋体"/>
          <w:color w:val="auto"/>
          <w:sz w:val="24"/>
          <w:lang w:bidi="en-US"/>
        </w:rPr>
        <w:t>评分分值计算保留小数点后两位，小数点后第三位“四舍五入”。</w:t>
      </w:r>
    </w:p>
    <w:p w14:paraId="25947C65">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3.2.</w:t>
      </w:r>
      <w:r>
        <w:rPr>
          <w:rFonts w:hint="eastAsia" w:ascii="宋体" w:hAnsi="宋体" w:eastAsia="宋体" w:cs="宋体"/>
          <w:color w:val="auto"/>
          <w:sz w:val="24"/>
          <w:lang w:val="en-US" w:bidi="en-US"/>
        </w:rPr>
        <w:t>5</w:t>
      </w:r>
      <w:r>
        <w:rPr>
          <w:rFonts w:hint="eastAsia" w:ascii="宋体" w:hAnsi="宋体" w:eastAsia="宋体" w:cs="宋体"/>
          <w:color w:val="auto"/>
          <w:sz w:val="24"/>
          <w:lang w:bidi="en-US"/>
        </w:rPr>
        <w:t>供应商的最终得分以全部小组成员打分的算术平均值为准，作为该供应商的最终得分。</w:t>
      </w:r>
    </w:p>
    <w:p w14:paraId="33090F48">
      <w:pPr>
        <w:spacing w:line="400" w:lineRule="exact"/>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3.2.</w:t>
      </w:r>
      <w:r>
        <w:rPr>
          <w:rFonts w:hint="eastAsia" w:ascii="宋体" w:hAnsi="宋体" w:eastAsia="宋体" w:cs="宋体"/>
          <w:color w:val="auto"/>
          <w:sz w:val="24"/>
          <w:lang w:val="en-US" w:bidi="en-US"/>
        </w:rPr>
        <w:t>6</w:t>
      </w:r>
      <w:r>
        <w:rPr>
          <w:rFonts w:hint="eastAsia" w:ascii="宋体" w:hAnsi="宋体" w:eastAsia="宋体" w:cs="宋体"/>
          <w:color w:val="auto"/>
          <w:sz w:val="24"/>
          <w:lang w:bidi="en-US"/>
        </w:rPr>
        <w:t>在磋商过程中，凡遇到磋商文件中无界定或界定不清、前后不一致使磋商小组意见有分歧且又难以协商一致的问题，均由磋商小组予以表决，获半数以上同意的即为通过，未获半数同意的即为否决。</w:t>
      </w:r>
    </w:p>
    <w:p w14:paraId="509FE08A">
      <w:pPr>
        <w:spacing w:line="400" w:lineRule="exact"/>
        <w:ind w:firstLine="480" w:firstLineChars="200"/>
        <w:rPr>
          <w:rFonts w:hint="eastAsia" w:ascii="宋体" w:hAnsi="宋体" w:eastAsia="宋体" w:cs="宋体"/>
          <w:color w:val="auto"/>
          <w:sz w:val="24"/>
          <w:lang w:val="en-US" w:bidi="en-US"/>
        </w:rPr>
      </w:pPr>
      <w:bookmarkStart w:id="227" w:name="_Toc11958"/>
      <w:bookmarkStart w:id="228" w:name="_Toc318450729"/>
      <w:bookmarkStart w:id="229" w:name="_Toc8813"/>
      <w:bookmarkStart w:id="230" w:name="_Toc464035564"/>
      <w:bookmarkStart w:id="231" w:name="_Toc28633"/>
      <w:bookmarkStart w:id="232" w:name="_Toc10153"/>
      <w:bookmarkStart w:id="233" w:name="_Toc281405535"/>
      <w:bookmarkStart w:id="234" w:name="_Toc463701085"/>
      <w:bookmarkStart w:id="235" w:name="_Toc8342"/>
      <w:bookmarkStart w:id="236" w:name="_Toc31110_WPSOffice_Level3"/>
      <w:bookmarkStart w:id="237" w:name="_Toc455080163"/>
      <w:bookmarkStart w:id="238" w:name="_Toc24862"/>
      <w:r>
        <w:rPr>
          <w:rFonts w:hint="eastAsia" w:ascii="宋体" w:hAnsi="宋体" w:eastAsia="宋体" w:cs="宋体"/>
          <w:color w:val="auto"/>
          <w:sz w:val="24"/>
          <w:lang w:val="en-US" w:bidi="en-US"/>
        </w:rPr>
        <w:t>3.3 响应文件的澄清和补正</w:t>
      </w:r>
      <w:bookmarkEnd w:id="227"/>
      <w:bookmarkEnd w:id="228"/>
      <w:bookmarkEnd w:id="229"/>
      <w:bookmarkEnd w:id="230"/>
      <w:bookmarkEnd w:id="231"/>
      <w:bookmarkEnd w:id="232"/>
      <w:bookmarkEnd w:id="233"/>
      <w:bookmarkEnd w:id="234"/>
      <w:bookmarkEnd w:id="235"/>
      <w:bookmarkEnd w:id="236"/>
      <w:bookmarkEnd w:id="237"/>
      <w:bookmarkEnd w:id="238"/>
    </w:p>
    <w:p w14:paraId="7C6DFC2A">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t>3.3.1在磋商过程中，磋商小组可以书面形式要求供应商对所提交的响应文件中不明确的内容进行书面澄清或说明，或者对细微偏离进行补正。磋商小组不接受供应商主动提出的澄清、说明或补正。</w:t>
      </w:r>
    </w:p>
    <w:p w14:paraId="1B49494E">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t>3.3.2 澄清、说明和补正不得超出响应文件的范围或者改变响应文件的实质性内容（算术性错误修正的除外）。供应商的书面澄清、说明和补正属于响应文件的组成部分。</w:t>
      </w:r>
    </w:p>
    <w:p w14:paraId="3ECC1E9A">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t>3.3.3 磋商小组对供应商提交的澄清、说明或补正有疑问的，可以要求供应商进一步澄清、说明或补正，直至满足磋商小组的要求。</w:t>
      </w:r>
    </w:p>
    <w:p w14:paraId="66090C95">
      <w:pPr>
        <w:spacing w:line="400" w:lineRule="exact"/>
        <w:ind w:firstLine="480" w:firstLineChars="200"/>
        <w:rPr>
          <w:rFonts w:hint="eastAsia" w:ascii="宋体" w:hAnsi="宋体" w:eastAsia="宋体" w:cs="宋体"/>
          <w:color w:val="auto"/>
          <w:sz w:val="24"/>
          <w:lang w:val="en-US" w:bidi="en-US"/>
        </w:rPr>
      </w:pPr>
      <w:bookmarkStart w:id="239" w:name="_Toc26894"/>
      <w:bookmarkStart w:id="240" w:name="_Toc16310_WPSOffice_Level3"/>
      <w:bookmarkStart w:id="241" w:name="_Toc455080164"/>
      <w:bookmarkStart w:id="242" w:name="_Toc5903"/>
      <w:bookmarkStart w:id="243" w:name="_Toc463701086"/>
      <w:bookmarkStart w:id="244" w:name="_Toc19453"/>
      <w:bookmarkStart w:id="245" w:name="_Toc32183"/>
      <w:bookmarkStart w:id="246" w:name="_Toc464035565"/>
      <w:bookmarkStart w:id="247" w:name="_Toc281405536"/>
      <w:bookmarkStart w:id="248" w:name="_Toc1857"/>
      <w:bookmarkStart w:id="249" w:name="_Toc22986"/>
      <w:bookmarkStart w:id="250" w:name="_Toc318450730"/>
      <w:r>
        <w:rPr>
          <w:rFonts w:hint="eastAsia" w:ascii="宋体" w:hAnsi="宋体" w:eastAsia="宋体" w:cs="宋体"/>
          <w:color w:val="auto"/>
          <w:sz w:val="24"/>
          <w:lang w:val="en-US" w:bidi="en-US"/>
        </w:rPr>
        <w:t>3.4 评标结果</w:t>
      </w:r>
      <w:bookmarkEnd w:id="239"/>
      <w:bookmarkEnd w:id="240"/>
      <w:bookmarkEnd w:id="241"/>
      <w:bookmarkEnd w:id="242"/>
      <w:bookmarkEnd w:id="243"/>
      <w:bookmarkEnd w:id="244"/>
      <w:bookmarkEnd w:id="245"/>
      <w:bookmarkEnd w:id="246"/>
      <w:bookmarkEnd w:id="247"/>
      <w:bookmarkEnd w:id="248"/>
      <w:bookmarkEnd w:id="249"/>
      <w:bookmarkEnd w:id="250"/>
    </w:p>
    <w:p w14:paraId="43678CD4">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t>3.4.1除第二章“供应商须知”前附表授权直接确定成交人外，磋商小组按照得分由高到低的顺序推荐成交候选人。</w:t>
      </w:r>
    </w:p>
    <w:p w14:paraId="2462EAEB">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t>3.4.2供磋商小组完成评标后，应当向采购人提交书面评审报告。</w:t>
      </w:r>
    </w:p>
    <w:p w14:paraId="3DB9D6EB">
      <w:pPr>
        <w:spacing w:line="400" w:lineRule="exact"/>
        <w:ind w:firstLine="480" w:firstLineChars="200"/>
        <w:rPr>
          <w:rFonts w:hint="eastAsia" w:ascii="宋体" w:hAnsi="宋体" w:eastAsia="宋体" w:cs="宋体"/>
          <w:color w:val="auto"/>
          <w:sz w:val="24"/>
          <w:lang w:val="en-US" w:bidi="en-US"/>
        </w:rPr>
      </w:pPr>
      <w:r>
        <w:rPr>
          <w:rFonts w:hint="eastAsia" w:ascii="宋体" w:hAnsi="宋体" w:eastAsia="宋体" w:cs="宋体"/>
          <w:color w:val="auto"/>
          <w:sz w:val="24"/>
          <w:lang w:val="en-US" w:bidi="en-US"/>
        </w:rPr>
        <w:br w:type="page"/>
      </w:r>
    </w:p>
    <w:p w14:paraId="4D377D57">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rFonts w:hint="eastAsia" w:ascii="宋体" w:hAnsi="宋体" w:eastAsia="宋体" w:cs="宋体"/>
          <w:b/>
          <w:bCs/>
          <w:color w:val="auto"/>
          <w:sz w:val="36"/>
          <w:szCs w:val="28"/>
          <w:lang w:val="en-US" w:eastAsia="zh-CN"/>
        </w:rPr>
      </w:pPr>
      <w:bookmarkStart w:id="251" w:name="_Toc20625"/>
      <w:r>
        <w:rPr>
          <w:rFonts w:hint="eastAsia" w:ascii="宋体" w:hAnsi="宋体" w:eastAsia="宋体" w:cs="宋体"/>
          <w:b/>
          <w:bCs/>
          <w:color w:val="auto"/>
          <w:sz w:val="36"/>
          <w:szCs w:val="28"/>
          <w:lang w:val="en-US" w:eastAsia="zh-CN"/>
        </w:rPr>
        <w:t>第五章 合同主要条款及格式</w:t>
      </w:r>
      <w:bookmarkEnd w:id="251"/>
    </w:p>
    <w:p w14:paraId="6F615F62">
      <w:pPr>
        <w:keepNext w:val="0"/>
        <w:keepLines w:val="0"/>
        <w:pageBreakBefore w:val="0"/>
        <w:kinsoku/>
        <w:wordWrap/>
        <w:overflowPunct/>
        <w:topLinePunct w:val="0"/>
        <w:autoSpaceDE w:val="0"/>
        <w:autoSpaceDN w:val="0"/>
        <w:bidi w:val="0"/>
        <w:snapToGrid/>
        <w:spacing w:line="560" w:lineRule="exact"/>
        <w:jc w:val="center"/>
        <w:textAlignment w:val="auto"/>
        <w:rPr>
          <w:rFonts w:ascii="宋体" w:hAnsi="宋体" w:cs="宋体"/>
          <w:color w:val="auto"/>
          <w:sz w:val="24"/>
        </w:rPr>
      </w:pPr>
      <w:bookmarkStart w:id="252" w:name="_Toc2461"/>
      <w:r>
        <w:rPr>
          <w:rFonts w:hint="eastAsia" w:ascii="宋体" w:hAnsi="宋体" w:cs="宋体"/>
          <w:color w:val="auto"/>
          <w:sz w:val="24"/>
        </w:rPr>
        <w:t>注：本合同仅为合同的参考文本</w:t>
      </w:r>
    </w:p>
    <w:p w14:paraId="5171B048">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甲方（需方）：_________</w:t>
      </w:r>
    </w:p>
    <w:p w14:paraId="11D8CF88">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乙方（供方）：_________</w:t>
      </w:r>
    </w:p>
    <w:p w14:paraId="2DF89370">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经过双方友好协商，依据《中华人民共和国合同法》，双方同意签订以下合同条款，以便双方共同遵守、履行合同。</w:t>
      </w:r>
    </w:p>
    <w:p w14:paraId="5DE31AEB">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一、合同金额</w:t>
      </w:r>
    </w:p>
    <w:p w14:paraId="7F04ED87">
      <w:pPr>
        <w:keepNext w:val="0"/>
        <w:keepLines w:val="0"/>
        <w:pageBreakBefore w:val="0"/>
        <w:widowControl w:val="0"/>
        <w:kinsoku/>
        <w:wordWrap/>
        <w:overflowPunct/>
        <w:topLinePunct w:val="0"/>
        <w:autoSpaceDE w:val="0"/>
        <w:autoSpaceDN w:val="0"/>
        <w:bidi w:val="0"/>
        <w:snapToGrid/>
        <w:spacing w:line="560" w:lineRule="exact"/>
        <w:ind w:firstLine="480" w:firstLineChars="200"/>
        <w:textAlignment w:val="auto"/>
        <w:rPr>
          <w:rFonts w:ascii="宋体" w:hAnsi="宋体" w:cs="宋体"/>
          <w:color w:val="auto"/>
          <w:kern w:val="0"/>
          <w:sz w:val="24"/>
        </w:rPr>
      </w:pPr>
      <w:r>
        <w:rPr>
          <w:rFonts w:hint="eastAsia" w:ascii="宋体" w:hAnsi="宋体" w:cs="宋体"/>
          <w:color w:val="auto"/>
          <w:kern w:val="0"/>
          <w:sz w:val="24"/>
        </w:rPr>
        <w:t>合同金额为（</w:t>
      </w:r>
      <w:r>
        <w:rPr>
          <w:rFonts w:hint="eastAsia" w:cs="宋体"/>
          <w:color w:val="auto"/>
          <w:kern w:val="0"/>
          <w:sz w:val="24"/>
          <w:lang w:val="en-US" w:eastAsia="zh-CN"/>
        </w:rPr>
        <w:t>元</w:t>
      </w:r>
      <w:r>
        <w:rPr>
          <w:rFonts w:hint="eastAsia" w:ascii="宋体" w:hAnsi="宋体" w:cs="宋体"/>
          <w:color w:val="auto"/>
          <w:kern w:val="0"/>
          <w:sz w:val="24"/>
        </w:rPr>
        <w:t>）：</w:t>
      </w:r>
      <w:r>
        <w:rPr>
          <w:rFonts w:hint="eastAsia" w:ascii="宋体" w:hAnsi="宋体" w:cs="宋体"/>
          <w:color w:val="auto"/>
          <w:kern w:val="0"/>
          <w:sz w:val="24"/>
          <w:u w:val="single"/>
        </w:rPr>
        <w:t>_</w:t>
      </w:r>
      <w:r>
        <w:rPr>
          <w:rFonts w:hint="eastAsia" w:cs="宋体"/>
          <w:color w:val="auto"/>
          <w:kern w:val="0"/>
          <w:sz w:val="24"/>
          <w:u w:val="single"/>
          <w:lang w:val="en-US" w:eastAsia="zh-CN"/>
        </w:rPr>
        <w:t xml:space="preserve">大写：    小写：    </w:t>
      </w:r>
      <w:r>
        <w:rPr>
          <w:rFonts w:hint="eastAsia" w:ascii="宋体" w:hAnsi="宋体" w:cs="宋体"/>
          <w:color w:val="auto"/>
          <w:kern w:val="0"/>
          <w:sz w:val="24"/>
        </w:rPr>
        <w:t>。</w:t>
      </w:r>
    </w:p>
    <w:p w14:paraId="1A912E55">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二、服务范围</w:t>
      </w:r>
    </w:p>
    <w:p w14:paraId="34067C86">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乙方提供以下服务：</w:t>
      </w:r>
    </w:p>
    <w:p w14:paraId="314DAB37">
      <w:pPr>
        <w:keepNext w:val="0"/>
        <w:keepLines w:val="0"/>
        <w:pageBreakBefore w:val="0"/>
        <w:widowControl w:val="0"/>
        <w:kinsoku/>
        <w:wordWrap/>
        <w:overflowPunct/>
        <w:topLinePunct w:val="0"/>
        <w:autoSpaceDE w:val="0"/>
        <w:autoSpaceDN w:val="0"/>
        <w:bidi w:val="0"/>
        <w:snapToGrid/>
        <w:spacing w:line="560" w:lineRule="exact"/>
        <w:ind w:firstLine="480" w:firstLineChars="200"/>
        <w:textAlignment w:val="auto"/>
        <w:rPr>
          <w:rFonts w:ascii="宋体" w:hAnsi="宋体" w:cs="宋体"/>
          <w:bCs/>
          <w:color w:val="auto"/>
          <w:sz w:val="24"/>
        </w:rPr>
      </w:pPr>
      <w:r>
        <w:rPr>
          <w:rFonts w:hint="eastAsia" w:ascii="宋体" w:hAnsi="宋体" w:cs="宋体"/>
          <w:bCs/>
          <w:color w:val="auto"/>
          <w:sz w:val="24"/>
        </w:rPr>
        <w:t>1.__________________________</w:t>
      </w:r>
    </w:p>
    <w:p w14:paraId="58A2FD1A">
      <w:pPr>
        <w:keepNext w:val="0"/>
        <w:keepLines w:val="0"/>
        <w:pageBreakBefore w:val="0"/>
        <w:widowControl w:val="0"/>
        <w:kinsoku/>
        <w:wordWrap/>
        <w:overflowPunct/>
        <w:topLinePunct w:val="0"/>
        <w:autoSpaceDE w:val="0"/>
        <w:autoSpaceDN w:val="0"/>
        <w:bidi w:val="0"/>
        <w:snapToGrid/>
        <w:spacing w:line="560" w:lineRule="exact"/>
        <w:ind w:firstLine="480" w:firstLineChars="200"/>
        <w:textAlignment w:val="auto"/>
        <w:rPr>
          <w:rFonts w:ascii="宋体" w:hAnsi="宋体" w:cs="宋体"/>
          <w:bCs/>
          <w:color w:val="auto"/>
          <w:sz w:val="24"/>
        </w:rPr>
      </w:pPr>
      <w:r>
        <w:rPr>
          <w:rFonts w:hint="eastAsia" w:ascii="宋体" w:hAnsi="宋体" w:cs="宋体"/>
          <w:bCs/>
          <w:color w:val="auto"/>
          <w:sz w:val="24"/>
        </w:rPr>
        <w:t>2.__________________________</w:t>
      </w:r>
    </w:p>
    <w:p w14:paraId="6E9A3369">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w:t>
      </w:r>
    </w:p>
    <w:p w14:paraId="07BBEE33">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三、甲方乙方的权利和义务</w:t>
      </w:r>
    </w:p>
    <w:p w14:paraId="11EA9627">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1.甲方的权利和义务</w:t>
      </w:r>
    </w:p>
    <w:p w14:paraId="06353481">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2.乙方的权利和义务</w:t>
      </w:r>
    </w:p>
    <w:p w14:paraId="6BA1B531">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四、服务期限（项目完成期限）</w:t>
      </w:r>
    </w:p>
    <w:p w14:paraId="08EDDA77">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委托服务期限自____年____月至____年____月止。</w:t>
      </w:r>
    </w:p>
    <w:p w14:paraId="32A36E80">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五、付款方式</w:t>
      </w:r>
    </w:p>
    <w:p w14:paraId="29C4FD17">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highlight w:val="green"/>
        </w:rPr>
      </w:pPr>
      <w:r>
        <w:rPr>
          <w:rFonts w:hint="eastAsia" w:ascii="宋体" w:hAnsi="宋体" w:cs="宋体"/>
          <w:color w:val="auto"/>
          <w:kern w:val="0"/>
          <w:sz w:val="24"/>
        </w:rPr>
        <w:t>合同签订之后，甲方负责对乙方进行全过程监管，并支付其工程款：</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w:t>
      </w:r>
    </w:p>
    <w:p w14:paraId="5ABF6BB9">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color w:val="auto"/>
          <w:sz w:val="24"/>
        </w:rPr>
      </w:pPr>
      <w:r>
        <w:rPr>
          <w:rFonts w:hint="eastAsia" w:ascii="宋体" w:hAnsi="宋体" w:cs="宋体"/>
          <w:b/>
          <w:color w:val="auto"/>
          <w:sz w:val="24"/>
        </w:rPr>
        <w:t>六、 知识产权归属</w:t>
      </w:r>
    </w:p>
    <w:p w14:paraId="646647AF">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 xml:space="preserve">七、 保密 </w:t>
      </w:r>
    </w:p>
    <w:p w14:paraId="100CCC6B">
      <w:pPr>
        <w:keepNext w:val="0"/>
        <w:keepLines w:val="0"/>
        <w:pageBreakBefore w:val="0"/>
        <w:widowControl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 xml:space="preserve">八、 违约责任与赔偿损失 </w:t>
      </w:r>
    </w:p>
    <w:p w14:paraId="7E43C6EF">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1. 乙方提供的服务不符合本合同规定的，甲方有权拒收，并且乙方须向甲方方支付本合同总价__%的违约金。 </w:t>
      </w:r>
    </w:p>
    <w:p w14:paraId="7DD76353">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2.乙方未能按本合同规定的交货时间提供服务，从逾期之日起每日按本合同总价__%的数额向甲方支付违约金；逾期半个月以上的，甲方有权终止合同，由此造成的甲方经济损失由乙方承担。 </w:t>
      </w:r>
    </w:p>
    <w:p w14:paraId="0C078379">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3. 甲方无正当理由拒收接受服务，到期拒付服务款项的，甲方向乙方偿付本合同总的__%的违约金。甲方人逾期付款，则每日按本合同总价的__%向乙方偿付违约金。 </w:t>
      </w:r>
    </w:p>
    <w:p w14:paraId="5FFC5983">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4. 其它违约责任按《中华人民共和国合同法》处理。 </w:t>
      </w:r>
    </w:p>
    <w:p w14:paraId="356C2205">
      <w:pPr>
        <w:keepNext w:val="0"/>
        <w:keepLines w:val="0"/>
        <w:pageBreakBefore w:val="0"/>
        <w:kinsoku/>
        <w:wordWrap/>
        <w:overflowPunct/>
        <w:topLinePunct w:val="0"/>
        <w:autoSpaceDE w:val="0"/>
        <w:autoSpaceDN w:val="0"/>
        <w:bidi w:val="0"/>
        <w:snapToGrid/>
        <w:spacing w:line="560" w:lineRule="exact"/>
        <w:ind w:firstLine="482" w:firstLineChars="200"/>
        <w:textAlignment w:val="auto"/>
        <w:rPr>
          <w:rFonts w:ascii="宋体" w:hAnsi="宋体" w:cs="宋体"/>
          <w:color w:val="auto"/>
          <w:sz w:val="24"/>
        </w:rPr>
      </w:pPr>
      <w:r>
        <w:rPr>
          <w:rFonts w:hint="eastAsia" w:ascii="宋体" w:hAnsi="宋体" w:cs="宋体"/>
          <w:b/>
          <w:color w:val="auto"/>
          <w:sz w:val="24"/>
        </w:rPr>
        <w:t>九、 争议的解决</w:t>
      </w:r>
    </w:p>
    <w:p w14:paraId="1909C9D0">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1. 合同执行过程中发生的任何争议，如双方不能通过友好协商解决，按相关法律法规处理。 </w:t>
      </w:r>
    </w:p>
    <w:p w14:paraId="32A48559">
      <w:pPr>
        <w:keepNext w:val="0"/>
        <w:keepLines w:val="0"/>
        <w:pageBreakBefore w:val="0"/>
        <w:kinsoku/>
        <w:wordWrap/>
        <w:overflowPunct/>
        <w:topLinePunct w:val="0"/>
        <w:autoSpaceDE w:val="0"/>
        <w:autoSpaceDN w:val="0"/>
        <w:bidi w:val="0"/>
        <w:snapToGrid/>
        <w:spacing w:line="560" w:lineRule="exact"/>
        <w:ind w:firstLine="482" w:firstLineChars="200"/>
        <w:textAlignment w:val="auto"/>
        <w:rPr>
          <w:rFonts w:ascii="宋体" w:hAnsi="宋体" w:cs="宋体"/>
          <w:color w:val="auto"/>
          <w:sz w:val="24"/>
        </w:rPr>
      </w:pPr>
      <w:r>
        <w:rPr>
          <w:rFonts w:hint="eastAsia" w:ascii="宋体" w:hAnsi="宋体" w:cs="宋体"/>
          <w:b/>
          <w:color w:val="auto"/>
          <w:sz w:val="24"/>
        </w:rPr>
        <w:t>十、 不可抗力</w:t>
      </w:r>
    </w:p>
    <w:p w14:paraId="2A30AEA1">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1. 任何一方由于不可抗力原因不能履行合同时，应在不可抗力事件结束后__日内向对方通报，以减轻可能给对方造成的损失，在取得有关机构的不可抗力证明或双方谅解确认后，允许延期履行或修订合同，并根据情况可部分或全部免于承担违约责任。 </w:t>
      </w:r>
    </w:p>
    <w:p w14:paraId="4C4197B7">
      <w:pPr>
        <w:keepNext w:val="0"/>
        <w:keepLines w:val="0"/>
        <w:pageBreakBefore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 xml:space="preserve">十一、 税费 </w:t>
      </w:r>
    </w:p>
    <w:p w14:paraId="60B0641A">
      <w:pPr>
        <w:keepNext w:val="0"/>
        <w:keepLines w:val="0"/>
        <w:pageBreakBefore w:val="0"/>
        <w:kinsoku/>
        <w:wordWrap/>
        <w:overflowPunct/>
        <w:topLinePunct w:val="0"/>
        <w:autoSpaceDE w:val="0"/>
        <w:autoSpaceDN w:val="0"/>
        <w:bidi w:val="0"/>
        <w:snapToGrid/>
        <w:spacing w:line="560" w:lineRule="exact"/>
        <w:ind w:firstLine="480" w:firstLineChars="200"/>
        <w:textAlignment w:val="auto"/>
        <w:rPr>
          <w:rFonts w:ascii="宋体" w:hAnsi="宋体" w:cs="宋体"/>
          <w:color w:val="auto"/>
          <w:sz w:val="24"/>
        </w:rPr>
      </w:pPr>
      <w:r>
        <w:rPr>
          <w:rFonts w:hint="eastAsia" w:ascii="宋体" w:hAnsi="宋体" w:cs="宋体"/>
          <w:color w:val="auto"/>
          <w:kern w:val="0"/>
          <w:sz w:val="24"/>
        </w:rPr>
        <w:t>1. 在中国境内、外发生的与本合同执行有关的一切税费均由乙方负担。</w:t>
      </w:r>
    </w:p>
    <w:p w14:paraId="54B6EE5B">
      <w:pPr>
        <w:keepNext w:val="0"/>
        <w:keepLines w:val="0"/>
        <w:pageBreakBefore w:val="0"/>
        <w:kinsoku/>
        <w:wordWrap/>
        <w:overflowPunct/>
        <w:topLinePunct w:val="0"/>
        <w:autoSpaceDE w:val="0"/>
        <w:autoSpaceDN w:val="0"/>
        <w:bidi w:val="0"/>
        <w:snapToGrid/>
        <w:spacing w:line="560" w:lineRule="exact"/>
        <w:ind w:firstLine="482" w:firstLineChars="200"/>
        <w:textAlignment w:val="auto"/>
        <w:rPr>
          <w:rFonts w:ascii="宋体" w:hAnsi="宋体" w:cs="宋体"/>
          <w:b/>
          <w:color w:val="auto"/>
          <w:sz w:val="24"/>
        </w:rPr>
      </w:pPr>
      <w:r>
        <w:rPr>
          <w:rFonts w:hint="eastAsia" w:ascii="宋体" w:hAnsi="宋体" w:cs="宋体"/>
          <w:b/>
          <w:color w:val="auto"/>
          <w:sz w:val="24"/>
        </w:rPr>
        <w:t xml:space="preserve">十二、 其它 </w:t>
      </w:r>
    </w:p>
    <w:p w14:paraId="3D274AEA">
      <w:pPr>
        <w:keepNext w:val="0"/>
        <w:keepLines w:val="0"/>
        <w:pageBreakBefore w:val="0"/>
        <w:widowControl/>
        <w:kinsoku/>
        <w:wordWrap/>
        <w:overflowPunct/>
        <w:topLinePunct w:val="0"/>
        <w:autoSpaceDE w:val="0"/>
        <w:autoSpaceDN w:val="0"/>
        <w:bidi w:val="0"/>
        <w:snapToGrid/>
        <w:spacing w:line="560" w:lineRule="exact"/>
        <w:ind w:firstLine="480" w:firstLineChars="200"/>
        <w:jc w:val="left"/>
        <w:textAlignment w:val="auto"/>
        <w:rPr>
          <w:rFonts w:ascii="宋体" w:hAnsi="宋体" w:cs="宋体"/>
          <w:color w:val="auto"/>
          <w:sz w:val="24"/>
        </w:rPr>
      </w:pPr>
      <w:r>
        <w:rPr>
          <w:rFonts w:hint="eastAsia" w:ascii="宋体" w:hAnsi="宋体" w:cs="宋体"/>
          <w:color w:val="auto"/>
          <w:sz w:val="24"/>
        </w:rPr>
        <w:t>1. 本合同所有附件、</w:t>
      </w:r>
      <w:r>
        <w:rPr>
          <w:rFonts w:hint="eastAsia" w:ascii="宋体" w:hAnsi="宋体" w:cs="宋体"/>
          <w:color w:val="auto"/>
          <w:sz w:val="24"/>
          <w:lang w:eastAsia="zh-CN"/>
        </w:rPr>
        <w:t>磋商</w:t>
      </w:r>
      <w:r>
        <w:rPr>
          <w:rFonts w:hint="eastAsia" w:ascii="宋体" w:hAnsi="宋体" w:cs="宋体"/>
          <w:color w:val="auto"/>
          <w:sz w:val="24"/>
        </w:rPr>
        <w:t>文件、</w:t>
      </w:r>
      <w:r>
        <w:rPr>
          <w:rFonts w:hint="eastAsia" w:ascii="宋体" w:hAnsi="宋体" w:cs="宋体"/>
          <w:color w:val="auto"/>
          <w:sz w:val="24"/>
          <w:lang w:eastAsia="zh-CN"/>
        </w:rPr>
        <w:t>响应</w:t>
      </w:r>
      <w:r>
        <w:rPr>
          <w:rFonts w:hint="eastAsia" w:ascii="宋体" w:hAnsi="宋体" w:cs="宋体"/>
          <w:color w:val="auto"/>
          <w:sz w:val="24"/>
        </w:rPr>
        <w:t>文件、中标通知书均为合同的有效组成部分，与本合</w:t>
      </w:r>
    </w:p>
    <w:p w14:paraId="2089BC3E">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同具有同等法律效力。</w:t>
      </w:r>
    </w:p>
    <w:p w14:paraId="3DC7385F">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 2. 在执行本合同的过程中，所有经双方签署确认的文件（包括会议纪要、补充协议、往来信函）即成为本合同的有效组成部分。 </w:t>
      </w:r>
    </w:p>
    <w:p w14:paraId="316DBE0A">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如一方地址、电话、传真号码有变更，应在变更当日内书面通知对方，否则，应承担相应责任。</w:t>
      </w:r>
    </w:p>
    <w:p w14:paraId="0AA4A80E">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 4. 除甲方事先书面同意外，乙方不得部分或全部转让其应履行的合同项下的义务。 </w:t>
      </w:r>
    </w:p>
    <w:p w14:paraId="307A7A46">
      <w:pPr>
        <w:keepNext w:val="0"/>
        <w:keepLines w:val="0"/>
        <w:pageBreakBefore w:val="0"/>
        <w:kinsoku/>
        <w:wordWrap/>
        <w:overflowPunct/>
        <w:topLinePunct w:val="0"/>
        <w:autoSpaceDE w:val="0"/>
        <w:autoSpaceDN w:val="0"/>
        <w:bidi w:val="0"/>
        <w:adjustRightInd w:val="0"/>
        <w:snapToGrid/>
        <w:spacing w:line="560" w:lineRule="exact"/>
        <w:ind w:firstLine="482" w:firstLineChars="200"/>
        <w:jc w:val="left"/>
        <w:textAlignment w:val="auto"/>
        <w:rPr>
          <w:rFonts w:ascii="宋体" w:hAnsi="宋体" w:cs="宋体"/>
          <w:b/>
          <w:color w:val="auto"/>
          <w:kern w:val="0"/>
          <w:sz w:val="24"/>
        </w:rPr>
      </w:pPr>
      <w:r>
        <w:rPr>
          <w:rFonts w:hint="eastAsia" w:ascii="宋体" w:hAnsi="宋体" w:cs="宋体"/>
          <w:b/>
          <w:color w:val="auto"/>
          <w:kern w:val="0"/>
          <w:sz w:val="24"/>
        </w:rPr>
        <w:t xml:space="preserve">十三、 合同生效： </w:t>
      </w:r>
    </w:p>
    <w:p w14:paraId="48679BBC">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1.本合同在甲乙双方法人代表或其授权代表签字盖章后生效。 </w:t>
      </w:r>
    </w:p>
    <w:p w14:paraId="61F43587">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2. 合同一式__份。 </w:t>
      </w:r>
    </w:p>
    <w:p w14:paraId="2CE8E3D8">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甲方（盖章）：                   </w:t>
      </w:r>
      <w:r>
        <w:rPr>
          <w:rFonts w:hint="eastAsia" w:cs="宋体"/>
          <w:color w:val="auto"/>
          <w:kern w:val="0"/>
          <w:sz w:val="24"/>
          <w:lang w:val="en-US" w:eastAsia="zh-CN"/>
        </w:rPr>
        <w:t xml:space="preserve">     </w:t>
      </w: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乙方（盖章）： </w:t>
      </w:r>
    </w:p>
    <w:p w14:paraId="18C21510">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代表：                           </w:t>
      </w:r>
      <w:r>
        <w:rPr>
          <w:rFonts w:hint="eastAsia" w:cs="宋体"/>
          <w:color w:val="auto"/>
          <w:kern w:val="0"/>
          <w:sz w:val="24"/>
          <w:lang w:val="en-US" w:eastAsia="zh-CN"/>
        </w:rPr>
        <w:t xml:space="preserve">     </w:t>
      </w: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代表： </w:t>
      </w:r>
    </w:p>
    <w:p w14:paraId="0E8FD491">
      <w:pPr>
        <w:keepNext w:val="0"/>
        <w:keepLines w:val="0"/>
        <w:pageBreakBefore w:val="0"/>
        <w:kinsoku/>
        <w:wordWrap/>
        <w:overflowPunct/>
        <w:topLinePunct w:val="0"/>
        <w:autoSpaceDE w:val="0"/>
        <w:autoSpaceDN w:val="0"/>
        <w:bidi w:val="0"/>
        <w:adjustRightInd w:val="0"/>
        <w:snapToGrid/>
        <w:spacing w:line="560" w:lineRule="exact"/>
        <w:ind w:firstLine="480" w:firstLineChars="200"/>
        <w:jc w:val="left"/>
        <w:textAlignment w:val="auto"/>
        <w:rPr>
          <w:rFonts w:ascii="宋体" w:hAnsi="宋体" w:cs="宋体"/>
          <w:color w:val="auto"/>
          <w:kern w:val="0"/>
          <w:sz w:val="24"/>
        </w:rPr>
      </w:pPr>
      <w:r>
        <w:rPr>
          <w:rFonts w:hint="eastAsia" w:ascii="宋体" w:hAnsi="宋体" w:cs="宋体"/>
          <w:color w:val="auto"/>
          <w:kern w:val="0"/>
          <w:sz w:val="24"/>
        </w:rPr>
        <w:t xml:space="preserve">签定日期： 年 月 日               </w:t>
      </w:r>
      <w:r>
        <w:rPr>
          <w:rFonts w:hint="eastAsia" w:cs="宋体"/>
          <w:color w:val="auto"/>
          <w:kern w:val="0"/>
          <w:sz w:val="24"/>
          <w:lang w:val="en-US" w:eastAsia="zh-CN"/>
        </w:rPr>
        <w:t xml:space="preserve">    </w:t>
      </w: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签定日期： 年 月 日 </w:t>
      </w:r>
    </w:p>
    <w:p w14:paraId="33EF4DF6">
      <w:pPr>
        <w:keepNext w:val="0"/>
        <w:keepLines w:val="0"/>
        <w:pageBreakBefore w:val="0"/>
        <w:kinsoku/>
        <w:wordWrap/>
        <w:overflowPunct/>
        <w:topLinePunct w:val="0"/>
        <w:autoSpaceDE w:val="0"/>
        <w:autoSpaceDN w:val="0"/>
        <w:bidi w:val="0"/>
        <w:adjustRightInd w:val="0"/>
        <w:snapToGrid/>
        <w:spacing w:line="560" w:lineRule="exact"/>
        <w:jc w:val="left"/>
        <w:textAlignment w:val="auto"/>
        <w:rPr>
          <w:rFonts w:ascii="宋体" w:hAnsi="宋体" w:cs="宋体"/>
          <w:color w:val="auto"/>
          <w:kern w:val="0"/>
          <w:sz w:val="24"/>
        </w:rPr>
      </w:pP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开户名称： </w:t>
      </w:r>
    </w:p>
    <w:p w14:paraId="244A5938">
      <w:pPr>
        <w:keepNext w:val="0"/>
        <w:keepLines w:val="0"/>
        <w:pageBreakBefore w:val="0"/>
        <w:kinsoku/>
        <w:wordWrap/>
        <w:overflowPunct/>
        <w:topLinePunct w:val="0"/>
        <w:autoSpaceDE w:val="0"/>
        <w:autoSpaceDN w:val="0"/>
        <w:bidi w:val="0"/>
        <w:adjustRightInd w:val="0"/>
        <w:snapToGrid/>
        <w:spacing w:line="560" w:lineRule="exact"/>
        <w:jc w:val="left"/>
        <w:textAlignment w:val="auto"/>
        <w:rPr>
          <w:rFonts w:ascii="宋体" w:hAnsi="宋体" w:cs="宋体"/>
          <w:color w:val="auto"/>
          <w:kern w:val="0"/>
          <w:sz w:val="24"/>
        </w:rPr>
      </w:pP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银行帐号： </w:t>
      </w:r>
    </w:p>
    <w:p w14:paraId="0EBEEA1A">
      <w:pPr>
        <w:keepNext w:val="0"/>
        <w:keepLines w:val="0"/>
        <w:pageBreakBefore w:val="0"/>
        <w:kinsoku/>
        <w:wordWrap/>
        <w:overflowPunct/>
        <w:topLinePunct w:val="0"/>
        <w:autoSpaceDE w:val="0"/>
        <w:autoSpaceDN w:val="0"/>
        <w:bidi w:val="0"/>
        <w:adjustRightInd w:val="0"/>
        <w:snapToGrid/>
        <w:spacing w:line="560" w:lineRule="exact"/>
        <w:jc w:val="left"/>
        <w:textAlignment w:val="auto"/>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cs="宋体"/>
          <w:color w:val="auto"/>
          <w:kern w:val="0"/>
          <w:sz w:val="24"/>
          <w:lang w:val="en-US" w:eastAsia="zh-CN"/>
        </w:rPr>
        <w:t xml:space="preserve">           </w:t>
      </w:r>
      <w:r>
        <w:rPr>
          <w:rFonts w:hint="eastAsia" w:ascii="宋体" w:hAnsi="宋体" w:cs="宋体"/>
          <w:color w:val="auto"/>
          <w:kern w:val="0"/>
          <w:sz w:val="24"/>
        </w:rPr>
        <w:t xml:space="preserve">开 户 行： </w:t>
      </w:r>
    </w:p>
    <w:p w14:paraId="0C332BD4">
      <w:pPr>
        <w:pStyle w:val="2"/>
        <w:keepNext w:val="0"/>
        <w:keepLines w:val="0"/>
        <w:pageBreakBefore w:val="0"/>
        <w:widowControl w:val="0"/>
        <w:kinsoku/>
        <w:wordWrap w:val="0"/>
        <w:overflowPunct/>
        <w:topLinePunct w:val="0"/>
        <w:autoSpaceDE w:val="0"/>
        <w:autoSpaceDN w:val="0"/>
        <w:bidi w:val="0"/>
        <w:adjustRightInd/>
        <w:snapToGrid/>
        <w:spacing w:line="540" w:lineRule="exact"/>
        <w:ind w:left="0"/>
        <w:textAlignment w:val="auto"/>
        <w:rPr>
          <w:color w:val="auto"/>
        </w:rPr>
      </w:pPr>
      <w:r>
        <w:rPr>
          <w:rFonts w:hint="eastAsia"/>
          <w:color w:val="auto"/>
        </w:rPr>
        <w:br w:type="page"/>
      </w:r>
      <w:r>
        <w:rPr>
          <w:rFonts w:hint="eastAsia" w:ascii="宋体" w:hAnsi="宋体" w:eastAsia="宋体" w:cs="宋体"/>
          <w:b/>
          <w:bCs/>
          <w:color w:val="auto"/>
          <w:sz w:val="36"/>
          <w:szCs w:val="28"/>
          <w:lang w:val="en-US" w:eastAsia="zh-CN"/>
        </w:rPr>
        <w:t xml:space="preserve">第六章 </w:t>
      </w:r>
      <w:bookmarkEnd w:id="252"/>
      <w:r>
        <w:rPr>
          <w:rFonts w:hint="eastAsia" w:cs="宋体"/>
          <w:b/>
          <w:bCs/>
          <w:color w:val="auto"/>
          <w:sz w:val="36"/>
          <w:szCs w:val="28"/>
          <w:lang w:val="en-US" w:eastAsia="zh-CN"/>
        </w:rPr>
        <w:t>电子化响应文件内容及格式</w:t>
      </w:r>
    </w:p>
    <w:p w14:paraId="189764D1">
      <w:pPr>
        <w:pStyle w:val="8"/>
        <w:ind w:left="0"/>
        <w:rPr>
          <w:b/>
          <w:color w:val="auto"/>
        </w:rPr>
      </w:pPr>
    </w:p>
    <w:p w14:paraId="52558590">
      <w:pPr>
        <w:pStyle w:val="8"/>
        <w:spacing w:before="3"/>
        <w:ind w:left="0"/>
        <w:rPr>
          <w:b/>
          <w:color w:val="auto"/>
          <w:sz w:val="35"/>
        </w:rPr>
      </w:pPr>
    </w:p>
    <w:p w14:paraId="06BA489C">
      <w:pPr>
        <w:pStyle w:val="8"/>
        <w:ind w:left="0"/>
        <w:jc w:val="center"/>
        <w:rPr>
          <w:rFonts w:hint="eastAsia"/>
          <w:b/>
          <w:color w:val="auto"/>
          <w:sz w:val="48"/>
          <w:szCs w:val="28"/>
          <w:lang w:val="en-US" w:eastAsia="zh-CN"/>
        </w:rPr>
      </w:pPr>
    </w:p>
    <w:p w14:paraId="649F7B5F">
      <w:pPr>
        <w:pStyle w:val="8"/>
        <w:ind w:left="0"/>
        <w:jc w:val="center"/>
        <w:rPr>
          <w:rFonts w:hint="default"/>
          <w:b/>
          <w:bCs w:val="0"/>
          <w:color w:val="auto"/>
          <w:sz w:val="48"/>
          <w:szCs w:val="28"/>
          <w:u w:val="none"/>
          <w:lang w:val="en-US" w:eastAsia="zh-CN"/>
        </w:rPr>
      </w:pPr>
      <w:r>
        <w:rPr>
          <w:rFonts w:hint="eastAsia"/>
          <w:b/>
          <w:bCs w:val="0"/>
          <w:color w:val="auto"/>
          <w:sz w:val="48"/>
          <w:szCs w:val="28"/>
          <w:u w:val="single"/>
          <w:lang w:val="en-US" w:eastAsia="zh-CN"/>
        </w:rPr>
        <w:t xml:space="preserve">     项目名称 </w:t>
      </w:r>
    </w:p>
    <w:p w14:paraId="2AE07A41">
      <w:pPr>
        <w:pStyle w:val="15"/>
        <w:rPr>
          <w:rFonts w:hint="eastAsia"/>
          <w:color w:val="auto"/>
          <w:lang w:val="en-US" w:eastAsia="zh-CN"/>
        </w:rPr>
      </w:pPr>
    </w:p>
    <w:p w14:paraId="7E6DCD1D">
      <w:pPr>
        <w:spacing w:before="375"/>
        <w:jc w:val="center"/>
        <w:outlineLvl w:val="9"/>
        <w:rPr>
          <w:rFonts w:hint="eastAsia" w:ascii="Times New Roman" w:hAnsi="Times New Roman" w:eastAsia="宋体" w:cs="Times New Roman"/>
          <w:b/>
          <w:color w:val="auto"/>
          <w:sz w:val="48"/>
          <w:szCs w:val="28"/>
          <w:lang w:val="en-US" w:eastAsia="zh-CN" w:bidi="ar-SA"/>
        </w:rPr>
      </w:pPr>
      <w:bookmarkStart w:id="253" w:name="_Toc20123_WPSOffice_Level1"/>
      <w:bookmarkStart w:id="254" w:name="_Toc839"/>
    </w:p>
    <w:p w14:paraId="016D35F0">
      <w:pPr>
        <w:pStyle w:val="2"/>
        <w:outlineLvl w:val="9"/>
        <w:rPr>
          <w:rFonts w:hint="eastAsia"/>
          <w:color w:val="auto"/>
          <w:lang w:val="en-US" w:eastAsia="zh-CN"/>
        </w:rPr>
      </w:pPr>
    </w:p>
    <w:p w14:paraId="0DE2ABF9">
      <w:pPr>
        <w:spacing w:before="375"/>
        <w:jc w:val="center"/>
        <w:outlineLvl w:val="0"/>
        <w:rPr>
          <w:b/>
          <w:color w:val="auto"/>
          <w:sz w:val="60"/>
          <w:szCs w:val="21"/>
        </w:rPr>
      </w:pPr>
      <w:bookmarkStart w:id="255" w:name="_Toc15721"/>
      <w:r>
        <w:rPr>
          <w:b/>
          <w:color w:val="auto"/>
          <w:sz w:val="60"/>
          <w:szCs w:val="21"/>
        </w:rPr>
        <w:t>响应文件</w:t>
      </w:r>
      <w:bookmarkEnd w:id="253"/>
      <w:bookmarkEnd w:id="254"/>
      <w:bookmarkEnd w:id="255"/>
    </w:p>
    <w:p w14:paraId="3E0DC3D5">
      <w:pPr>
        <w:pStyle w:val="8"/>
        <w:spacing w:before="3"/>
        <w:ind w:left="0"/>
        <w:jc w:val="center"/>
        <w:rPr>
          <w:b/>
          <w:color w:val="auto"/>
          <w:sz w:val="60"/>
        </w:rPr>
      </w:pPr>
    </w:p>
    <w:p w14:paraId="705DB91C">
      <w:pPr>
        <w:pStyle w:val="8"/>
        <w:ind w:left="0"/>
        <w:jc w:val="center"/>
        <w:outlineLvl w:val="0"/>
        <w:rPr>
          <w:b/>
          <w:color w:val="auto"/>
          <w:sz w:val="30"/>
        </w:rPr>
      </w:pPr>
      <w:bookmarkStart w:id="256" w:name="_Toc25794"/>
      <w:bookmarkStart w:id="257" w:name="_Toc7912"/>
      <w:bookmarkStart w:id="258" w:name="_Toc12366_WPSOffice_Level1"/>
      <w:r>
        <w:rPr>
          <w:b/>
          <w:color w:val="auto"/>
          <w:sz w:val="32"/>
        </w:rPr>
        <w:t>项目编号：</w:t>
      </w:r>
      <w:bookmarkEnd w:id="256"/>
      <w:bookmarkEnd w:id="257"/>
      <w:bookmarkEnd w:id="258"/>
    </w:p>
    <w:p w14:paraId="5085600A">
      <w:pPr>
        <w:pStyle w:val="8"/>
        <w:ind w:left="0"/>
        <w:rPr>
          <w:b/>
          <w:color w:val="auto"/>
          <w:sz w:val="30"/>
        </w:rPr>
      </w:pPr>
    </w:p>
    <w:p w14:paraId="3BB5F37D">
      <w:pPr>
        <w:pStyle w:val="8"/>
        <w:ind w:left="0"/>
        <w:rPr>
          <w:b/>
          <w:color w:val="auto"/>
          <w:sz w:val="30"/>
        </w:rPr>
      </w:pPr>
    </w:p>
    <w:p w14:paraId="437CC1BF">
      <w:pPr>
        <w:pStyle w:val="8"/>
        <w:ind w:left="0"/>
        <w:rPr>
          <w:b/>
          <w:color w:val="auto"/>
          <w:sz w:val="30"/>
        </w:rPr>
      </w:pPr>
    </w:p>
    <w:p w14:paraId="56B518A7">
      <w:pPr>
        <w:pStyle w:val="8"/>
        <w:ind w:left="0"/>
        <w:rPr>
          <w:b/>
          <w:color w:val="auto"/>
          <w:sz w:val="30"/>
        </w:rPr>
      </w:pPr>
    </w:p>
    <w:p w14:paraId="4ED01261">
      <w:pPr>
        <w:pStyle w:val="8"/>
        <w:ind w:left="0"/>
        <w:rPr>
          <w:b/>
          <w:color w:val="auto"/>
          <w:sz w:val="30"/>
        </w:rPr>
      </w:pPr>
    </w:p>
    <w:p w14:paraId="61E4DB19">
      <w:pPr>
        <w:pStyle w:val="8"/>
        <w:ind w:left="0"/>
        <w:rPr>
          <w:b/>
          <w:color w:val="auto"/>
          <w:sz w:val="30"/>
        </w:rPr>
      </w:pPr>
    </w:p>
    <w:p w14:paraId="40492A83">
      <w:pPr>
        <w:pStyle w:val="8"/>
        <w:ind w:left="0"/>
        <w:rPr>
          <w:b/>
          <w:color w:val="auto"/>
          <w:sz w:val="30"/>
        </w:rPr>
      </w:pPr>
    </w:p>
    <w:p w14:paraId="00F72801">
      <w:pPr>
        <w:pStyle w:val="15"/>
        <w:rPr>
          <w:b/>
          <w:color w:val="auto"/>
          <w:sz w:val="30"/>
        </w:rPr>
      </w:pPr>
    </w:p>
    <w:p w14:paraId="6D32E608">
      <w:pPr>
        <w:pStyle w:val="10"/>
        <w:rPr>
          <w:color w:val="auto"/>
        </w:rPr>
      </w:pPr>
    </w:p>
    <w:p w14:paraId="28C47299">
      <w:pPr>
        <w:pStyle w:val="8"/>
        <w:keepNext w:val="0"/>
        <w:keepLines w:val="0"/>
        <w:pageBreakBefore w:val="0"/>
        <w:widowControl w:val="0"/>
        <w:kinsoku/>
        <w:wordWrap/>
        <w:overflowPunct/>
        <w:topLinePunct w:val="0"/>
        <w:autoSpaceDE w:val="0"/>
        <w:autoSpaceDN w:val="0"/>
        <w:bidi w:val="0"/>
        <w:adjustRightInd/>
        <w:snapToGrid/>
        <w:spacing w:line="480" w:lineRule="auto"/>
        <w:ind w:left="0" w:firstLine="0" w:firstLineChars="0"/>
        <w:textAlignment w:val="auto"/>
        <w:rPr>
          <w:b/>
          <w:color w:val="auto"/>
          <w:sz w:val="30"/>
        </w:rPr>
      </w:pPr>
    </w:p>
    <w:p w14:paraId="286BC0FD">
      <w:pPr>
        <w:keepNext w:val="0"/>
        <w:keepLines w:val="0"/>
        <w:pageBreakBefore w:val="0"/>
        <w:widowControl w:val="0"/>
        <w:kinsoku/>
        <w:wordWrap/>
        <w:overflowPunct/>
        <w:topLinePunct w:val="0"/>
        <w:autoSpaceDE w:val="0"/>
        <w:autoSpaceDN w:val="0"/>
        <w:bidi w:val="0"/>
        <w:adjustRightInd/>
        <w:snapToGrid/>
        <w:spacing w:line="480" w:lineRule="auto"/>
        <w:ind w:firstLine="0" w:firstLineChars="0"/>
        <w:jc w:val="center"/>
        <w:textAlignment w:val="auto"/>
        <w:rPr>
          <w:rFonts w:hint="eastAsia"/>
          <w:color w:val="auto"/>
          <w:sz w:val="28"/>
          <w:szCs w:val="28"/>
        </w:rPr>
      </w:pPr>
      <w:bookmarkStart w:id="259" w:name="_Toc30532_WPSOffice_Level2"/>
    </w:p>
    <w:p w14:paraId="490FFC89">
      <w:pPr>
        <w:keepNext w:val="0"/>
        <w:keepLines w:val="0"/>
        <w:pageBreakBefore w:val="0"/>
        <w:widowControl w:val="0"/>
        <w:kinsoku/>
        <w:wordWrap/>
        <w:overflowPunct/>
        <w:topLinePunct w:val="0"/>
        <w:autoSpaceDE w:val="0"/>
        <w:autoSpaceDN w:val="0"/>
        <w:bidi w:val="0"/>
        <w:adjustRightInd/>
        <w:snapToGrid/>
        <w:spacing w:line="480" w:lineRule="auto"/>
        <w:ind w:firstLine="0" w:firstLineChars="0"/>
        <w:jc w:val="center"/>
        <w:textAlignment w:val="auto"/>
        <w:rPr>
          <w:b/>
          <w:bCs/>
          <w:color w:val="auto"/>
          <w:sz w:val="28"/>
          <w:szCs w:val="28"/>
        </w:rPr>
      </w:pPr>
      <w:r>
        <w:rPr>
          <w:rFonts w:hint="eastAsia"/>
          <w:b/>
          <w:bCs/>
          <w:color w:val="auto"/>
          <w:sz w:val="28"/>
          <w:szCs w:val="28"/>
        </w:rPr>
        <w:t>供应商：（</w:t>
      </w:r>
      <w:r>
        <w:rPr>
          <w:rFonts w:hint="eastAsia" w:ascii="宋体" w:hAnsi="宋体" w:eastAsia="宋体" w:cs="宋体"/>
          <w:b/>
          <w:bCs/>
          <w:sz w:val="24"/>
          <w:szCs w:val="24"/>
          <w:lang w:val="en-US" w:eastAsia="zh-CN"/>
        </w:rPr>
        <w:t>电子签</w:t>
      </w:r>
      <w:r>
        <w:rPr>
          <w:rFonts w:hint="eastAsia" w:ascii="宋体" w:hAnsi="宋体" w:eastAsia="宋体" w:cs="宋体"/>
          <w:b/>
          <w:bCs/>
          <w:sz w:val="24"/>
          <w:szCs w:val="24"/>
        </w:rPr>
        <w:t>章</w:t>
      </w:r>
      <w:r>
        <w:rPr>
          <w:rFonts w:hint="eastAsia"/>
          <w:b/>
          <w:bCs/>
          <w:color w:val="auto"/>
          <w:sz w:val="28"/>
          <w:szCs w:val="28"/>
        </w:rPr>
        <w:t>）</w:t>
      </w:r>
      <w:bookmarkEnd w:id="259"/>
    </w:p>
    <w:p w14:paraId="2E49E3A0">
      <w:pPr>
        <w:keepNext w:val="0"/>
        <w:keepLines w:val="0"/>
        <w:pageBreakBefore w:val="0"/>
        <w:widowControl w:val="0"/>
        <w:kinsoku/>
        <w:wordWrap/>
        <w:overflowPunct/>
        <w:topLinePunct w:val="0"/>
        <w:autoSpaceDE w:val="0"/>
        <w:autoSpaceDN w:val="0"/>
        <w:bidi w:val="0"/>
        <w:adjustRightInd/>
        <w:snapToGrid/>
        <w:spacing w:line="480" w:lineRule="auto"/>
        <w:ind w:firstLine="0" w:firstLineChars="0"/>
        <w:jc w:val="center"/>
        <w:textAlignment w:val="auto"/>
        <w:rPr>
          <w:b/>
          <w:bCs/>
          <w:color w:val="auto"/>
          <w:sz w:val="28"/>
          <w:szCs w:val="28"/>
        </w:rPr>
      </w:pPr>
      <w:bookmarkStart w:id="260" w:name="_Toc1100_WPSOffice_Level3"/>
      <w:r>
        <w:rPr>
          <w:rFonts w:hint="eastAsia"/>
          <w:b/>
          <w:bCs/>
          <w:color w:val="auto"/>
          <w:sz w:val="28"/>
          <w:szCs w:val="28"/>
        </w:rPr>
        <w:t>法定代表人或其委托代理人：（</w:t>
      </w:r>
      <w:r>
        <w:rPr>
          <w:rFonts w:hint="eastAsia" w:ascii="宋体" w:hAnsi="宋体" w:eastAsia="宋体" w:cs="宋体"/>
          <w:b/>
          <w:bCs/>
          <w:sz w:val="24"/>
          <w:szCs w:val="24"/>
          <w:lang w:val="en-US" w:eastAsia="zh-CN"/>
        </w:rPr>
        <w:t>电子签</w:t>
      </w:r>
      <w:r>
        <w:rPr>
          <w:rFonts w:hint="eastAsia" w:ascii="宋体" w:hAnsi="宋体" w:eastAsia="宋体" w:cs="宋体"/>
          <w:b/>
          <w:bCs/>
          <w:sz w:val="24"/>
          <w:szCs w:val="24"/>
        </w:rPr>
        <w:t>章</w:t>
      </w:r>
      <w:r>
        <w:rPr>
          <w:rFonts w:hint="eastAsia" w:cs="宋体"/>
          <w:b/>
          <w:bCs/>
          <w:sz w:val="24"/>
          <w:szCs w:val="24"/>
          <w:lang w:val="en-US" w:eastAsia="zh-CN"/>
        </w:rPr>
        <w:t>或签字</w:t>
      </w:r>
      <w:r>
        <w:rPr>
          <w:rFonts w:hint="eastAsia"/>
          <w:b/>
          <w:bCs/>
          <w:color w:val="auto"/>
          <w:sz w:val="28"/>
          <w:szCs w:val="28"/>
        </w:rPr>
        <w:t>）</w:t>
      </w:r>
      <w:bookmarkEnd w:id="260"/>
    </w:p>
    <w:p w14:paraId="1357E6B0">
      <w:pPr>
        <w:keepNext w:val="0"/>
        <w:keepLines w:val="0"/>
        <w:pageBreakBefore w:val="0"/>
        <w:widowControl w:val="0"/>
        <w:kinsoku/>
        <w:wordWrap/>
        <w:overflowPunct/>
        <w:topLinePunct w:val="0"/>
        <w:autoSpaceDE w:val="0"/>
        <w:autoSpaceDN w:val="0"/>
        <w:bidi w:val="0"/>
        <w:adjustRightInd/>
        <w:snapToGrid/>
        <w:spacing w:line="480" w:lineRule="auto"/>
        <w:ind w:firstLine="0" w:firstLineChars="0"/>
        <w:jc w:val="center"/>
        <w:textAlignment w:val="auto"/>
        <w:rPr>
          <w:b/>
          <w:bCs/>
          <w:color w:val="auto"/>
          <w:sz w:val="28"/>
          <w:szCs w:val="28"/>
        </w:rPr>
      </w:pPr>
      <w:bookmarkStart w:id="261" w:name="_Toc31948_WPSOffice_Level2"/>
      <w:r>
        <w:rPr>
          <w:rFonts w:hint="eastAsia"/>
          <w:b/>
          <w:bCs/>
          <w:color w:val="auto"/>
          <w:sz w:val="28"/>
          <w:szCs w:val="28"/>
        </w:rPr>
        <w:t>年</w:t>
      </w:r>
      <w:r>
        <w:rPr>
          <w:rFonts w:hint="eastAsia"/>
          <w:b/>
          <w:bCs/>
          <w:color w:val="auto"/>
          <w:sz w:val="28"/>
          <w:szCs w:val="28"/>
          <w:lang w:val="en-US" w:eastAsia="zh-CN"/>
        </w:rPr>
        <w:t xml:space="preserve"> </w:t>
      </w:r>
      <w:r>
        <w:rPr>
          <w:rFonts w:hint="eastAsia"/>
          <w:b/>
          <w:bCs/>
          <w:color w:val="auto"/>
          <w:sz w:val="28"/>
          <w:szCs w:val="28"/>
        </w:rPr>
        <w:t>月</w:t>
      </w:r>
      <w:r>
        <w:rPr>
          <w:rFonts w:hint="eastAsia"/>
          <w:b/>
          <w:bCs/>
          <w:color w:val="auto"/>
          <w:sz w:val="28"/>
          <w:szCs w:val="28"/>
          <w:lang w:val="en-US" w:eastAsia="zh-CN"/>
        </w:rPr>
        <w:t xml:space="preserve"> </w:t>
      </w:r>
      <w:r>
        <w:rPr>
          <w:rFonts w:hint="eastAsia"/>
          <w:b/>
          <w:bCs/>
          <w:color w:val="auto"/>
          <w:sz w:val="28"/>
          <w:szCs w:val="28"/>
        </w:rPr>
        <w:t>日</w:t>
      </w:r>
      <w:bookmarkEnd w:id="261"/>
    </w:p>
    <w:p w14:paraId="7CE6B3A6">
      <w:pPr>
        <w:spacing w:before="13"/>
        <w:ind w:right="446"/>
        <w:jc w:val="center"/>
        <w:rPr>
          <w:b/>
          <w:bCs/>
          <w:color w:val="auto"/>
          <w:sz w:val="44"/>
          <w:szCs w:val="21"/>
        </w:rPr>
      </w:pPr>
      <w:r>
        <w:rPr>
          <w:color w:val="auto"/>
          <w:sz w:val="48"/>
        </w:rPr>
        <w:br w:type="page"/>
      </w:r>
      <w:bookmarkStart w:id="262" w:name="_Toc28927_WPSOffice_Level3"/>
      <w:r>
        <w:rPr>
          <w:b/>
          <w:bCs/>
          <w:color w:val="auto"/>
          <w:sz w:val="40"/>
          <w:szCs w:val="20"/>
        </w:rPr>
        <w:t>目</w:t>
      </w:r>
      <w:r>
        <w:rPr>
          <w:rFonts w:hint="eastAsia"/>
          <w:b/>
          <w:bCs/>
          <w:color w:val="auto"/>
          <w:sz w:val="40"/>
          <w:szCs w:val="20"/>
          <w:lang w:val="en-US" w:eastAsia="zh-CN"/>
        </w:rPr>
        <w:t xml:space="preserve"> </w:t>
      </w:r>
      <w:r>
        <w:rPr>
          <w:b/>
          <w:bCs/>
          <w:color w:val="auto"/>
          <w:sz w:val="40"/>
          <w:szCs w:val="20"/>
        </w:rPr>
        <w:t>录</w:t>
      </w:r>
      <w:bookmarkEnd w:id="262"/>
    </w:p>
    <w:p w14:paraId="1556422B">
      <w:pPr>
        <w:ind w:firstLine="3373" w:firstLineChars="1200"/>
        <w:jc w:val="both"/>
        <w:rPr>
          <w:rFonts w:hint="eastAsia" w:eastAsia="宋体"/>
          <w:b/>
          <w:bCs/>
          <w:color w:val="auto"/>
          <w:sz w:val="28"/>
          <w:szCs w:val="28"/>
          <w:lang w:eastAsia="zh-CN"/>
        </w:rPr>
        <w:sectPr>
          <w:footerReference r:id="rId7" w:type="default"/>
          <w:pgSz w:w="11910" w:h="16840"/>
          <w:pgMar w:top="1440" w:right="1440" w:bottom="1440" w:left="1440" w:header="867" w:footer="867" w:gutter="0"/>
          <w:pgNumType w:fmt="decimal"/>
          <w:cols w:space="720" w:num="1"/>
        </w:sectPr>
      </w:pPr>
      <w:r>
        <w:rPr>
          <w:rFonts w:hint="eastAsia"/>
          <w:b/>
          <w:bCs/>
          <w:color w:val="auto"/>
          <w:sz w:val="28"/>
          <w:szCs w:val="28"/>
          <w:lang w:eastAsia="zh-CN"/>
        </w:rPr>
        <w:t>（自拟）</w:t>
      </w:r>
    </w:p>
    <w:p w14:paraId="376D1CF1">
      <w:pPr>
        <w:spacing w:line="360" w:lineRule="auto"/>
        <w:jc w:val="center"/>
        <w:outlineLvl w:val="0"/>
        <w:rPr>
          <w:b/>
          <w:bCs/>
          <w:color w:val="auto"/>
          <w:sz w:val="28"/>
          <w:szCs w:val="20"/>
          <w:lang w:val="en-US"/>
        </w:rPr>
      </w:pPr>
      <w:bookmarkStart w:id="263" w:name="_Toc144974857"/>
      <w:bookmarkStart w:id="264" w:name="_Toc152042577"/>
      <w:bookmarkStart w:id="265" w:name="_Toc152045788"/>
      <w:bookmarkStart w:id="266" w:name="_Toc28978"/>
      <w:bookmarkStart w:id="267" w:name="_Toc487498495"/>
      <w:bookmarkStart w:id="268" w:name="_Toc25215"/>
      <w:bookmarkStart w:id="269" w:name="_Toc8655_WPSOffice_Level1"/>
      <w:bookmarkStart w:id="270" w:name="_Toc17559"/>
      <w:r>
        <w:rPr>
          <w:rFonts w:hint="eastAsia"/>
          <w:b/>
          <w:bCs/>
          <w:color w:val="auto"/>
          <w:sz w:val="28"/>
          <w:szCs w:val="20"/>
          <w:lang w:val="en-US"/>
        </w:rPr>
        <w:t>一、磋商函及</w:t>
      </w:r>
      <w:bookmarkEnd w:id="263"/>
      <w:bookmarkEnd w:id="264"/>
      <w:bookmarkEnd w:id="265"/>
      <w:r>
        <w:rPr>
          <w:rFonts w:hint="eastAsia"/>
          <w:b/>
          <w:bCs/>
          <w:color w:val="auto"/>
          <w:sz w:val="28"/>
          <w:szCs w:val="20"/>
          <w:lang w:val="en-US"/>
        </w:rPr>
        <w:t>磋商函附录</w:t>
      </w:r>
      <w:bookmarkEnd w:id="266"/>
      <w:bookmarkEnd w:id="267"/>
      <w:bookmarkEnd w:id="268"/>
      <w:bookmarkEnd w:id="269"/>
      <w:bookmarkEnd w:id="270"/>
    </w:p>
    <w:p w14:paraId="40172D89">
      <w:pPr>
        <w:spacing w:line="360" w:lineRule="auto"/>
        <w:jc w:val="center"/>
        <w:outlineLvl w:val="2"/>
        <w:rPr>
          <w:b/>
          <w:bCs/>
          <w:color w:val="auto"/>
          <w:sz w:val="28"/>
          <w:szCs w:val="20"/>
          <w:lang w:val="en-US"/>
        </w:rPr>
      </w:pPr>
      <w:bookmarkStart w:id="271" w:name="_Toc152042578"/>
      <w:bookmarkStart w:id="272" w:name="_Toc7366_WPSOffice_Level2"/>
      <w:bookmarkStart w:id="273" w:name="_Toc26765"/>
      <w:bookmarkStart w:id="274" w:name="_Toc464035571"/>
      <w:bookmarkStart w:id="275" w:name="_Toc152045789"/>
      <w:bookmarkStart w:id="276" w:name="_Toc463701092"/>
      <w:bookmarkStart w:id="277" w:name="_Toc488504497"/>
      <w:bookmarkStart w:id="278" w:name="_Toc23888"/>
      <w:bookmarkStart w:id="279" w:name="_Toc144974858"/>
      <w:bookmarkStart w:id="280" w:name="_Toc455080170"/>
      <w:bookmarkStart w:id="281" w:name="_Toc30581"/>
      <w:bookmarkStart w:id="282" w:name="_Toc11855"/>
      <w:bookmarkStart w:id="283" w:name="_Toc26262"/>
      <w:bookmarkStart w:id="284" w:name="_Toc8915"/>
      <w:bookmarkStart w:id="285" w:name="_Toc18705"/>
      <w:bookmarkStart w:id="286" w:name="_Toc487498496"/>
      <w:bookmarkStart w:id="287" w:name="_Toc318450744"/>
      <w:r>
        <w:rPr>
          <w:rFonts w:hint="eastAsia"/>
          <w:b/>
          <w:bCs/>
          <w:color w:val="auto"/>
          <w:sz w:val="28"/>
          <w:szCs w:val="20"/>
          <w:lang w:val="en-US"/>
        </w:rPr>
        <w:t>（一）磋商函</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510C773B">
      <w:pPr>
        <w:pStyle w:val="8"/>
        <w:spacing w:before="166"/>
        <w:ind w:left="212"/>
        <w:rPr>
          <w:rFonts w:hint="eastAsia" w:ascii="宋体" w:hAnsi="宋体" w:eastAsia="宋体" w:cs="宋体"/>
          <w:sz w:val="24"/>
          <w:szCs w:val="24"/>
        </w:rPr>
      </w:pPr>
      <w:r>
        <w:rPr>
          <w:rFonts w:hint="eastAsia" w:ascii="宋体" w:hAnsi="宋体" w:eastAsia="宋体" w:cs="宋体"/>
          <w:sz w:val="24"/>
          <w:szCs w:val="24"/>
          <w:u w:val="single"/>
        </w:rPr>
        <w:t>（采购人名称）</w:t>
      </w:r>
      <w:r>
        <w:rPr>
          <w:rFonts w:hint="eastAsia" w:ascii="宋体" w:hAnsi="宋体" w:eastAsia="宋体" w:cs="宋体"/>
          <w:sz w:val="24"/>
          <w:szCs w:val="24"/>
        </w:rPr>
        <w:t>：</w:t>
      </w:r>
    </w:p>
    <w:p w14:paraId="3EE8EBEC">
      <w:pPr>
        <w:pStyle w:val="27"/>
        <w:numPr>
          <w:ilvl w:val="0"/>
          <w:numId w:val="0"/>
        </w:numPr>
        <w:tabs>
          <w:tab w:val="left" w:pos="844"/>
          <w:tab w:val="left" w:pos="2101"/>
          <w:tab w:val="left" w:pos="2439"/>
          <w:tab w:val="left" w:pos="3503"/>
          <w:tab w:val="left" w:pos="3729"/>
          <w:tab w:val="left" w:pos="5451"/>
          <w:tab w:val="left" w:pos="7527"/>
        </w:tabs>
        <w:spacing w:before="170" w:after="0" w:line="393" w:lineRule="auto"/>
        <w:ind w:left="212" w:leftChars="0" w:right="312" w:rightChars="0" w:firstLine="420" w:firstLineChars="0"/>
        <w:jc w:val="both"/>
        <w:rPr>
          <w:rFonts w:hint="eastAsia" w:ascii="宋体" w:hAnsi="宋体" w:eastAsia="宋体" w:cs="宋体"/>
          <w:sz w:val="24"/>
          <w:szCs w:val="24"/>
          <w:highlight w:val="none"/>
        </w:rPr>
      </w:pPr>
      <w:r>
        <w:rPr>
          <w:rFonts w:hint="eastAsia" w:ascii="宋体" w:hAnsi="宋体" w:eastAsia="宋体" w:cs="宋体"/>
          <w:spacing w:val="-9"/>
          <w:sz w:val="24"/>
          <w:szCs w:val="24"/>
          <w:highlight w:val="none"/>
          <w:lang w:val="en-US" w:eastAsia="zh-CN"/>
        </w:rPr>
        <w:t>1</w:t>
      </w:r>
      <w:r>
        <w:rPr>
          <w:rFonts w:hint="eastAsia" w:ascii="宋体" w:hAnsi="宋体" w:eastAsia="宋体" w:cs="宋体"/>
          <w:spacing w:val="-9"/>
          <w:sz w:val="24"/>
          <w:szCs w:val="24"/>
          <w:highlight w:val="none"/>
          <w:lang w:val="zh-CN" w:eastAsia="zh-CN"/>
        </w:rPr>
        <w:t>.</w:t>
      </w:r>
      <w:r>
        <w:rPr>
          <w:rFonts w:hint="eastAsia" w:ascii="宋体" w:hAnsi="宋体" w:eastAsia="宋体" w:cs="宋体"/>
          <w:sz w:val="24"/>
          <w:szCs w:val="24"/>
          <w:highlight w:val="none"/>
        </w:rPr>
        <w:t>我方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（响应人名称</w:t>
      </w:r>
      <w:r>
        <w:rPr>
          <w:rFonts w:hint="eastAsia" w:ascii="宋体" w:hAnsi="宋体" w:eastAsia="宋体" w:cs="宋体"/>
          <w:spacing w:val="-3"/>
          <w:sz w:val="24"/>
          <w:szCs w:val="24"/>
          <w:highlight w:val="none"/>
          <w:u w:val="single"/>
        </w:rPr>
        <w:t>）</w:t>
      </w:r>
      <w:r>
        <w:rPr>
          <w:rFonts w:hint="eastAsia" w:ascii="宋体" w:hAnsi="宋体" w:eastAsia="宋体" w:cs="宋体"/>
          <w:sz w:val="24"/>
          <w:szCs w:val="24"/>
          <w:highlight w:val="none"/>
        </w:rPr>
        <w:t>已仔细研究了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（项目名称</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文件的全部内容</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rPr>
        <w:t>愿意以</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rPr>
        <w:t>人民币（大</w:t>
      </w:r>
      <w:r>
        <w:rPr>
          <w:rFonts w:hint="eastAsia" w:ascii="宋体" w:hAnsi="宋体" w:eastAsia="宋体" w:cs="宋体"/>
          <w:spacing w:val="4"/>
          <w:sz w:val="24"/>
          <w:szCs w:val="24"/>
          <w:highlight w:val="none"/>
        </w:rPr>
        <w:t>写</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none"/>
        </w:rPr>
        <w:t>元</w:t>
      </w:r>
      <w:r>
        <w:rPr>
          <w:rFonts w:hint="eastAsia" w:ascii="宋体" w:hAnsi="宋体" w:eastAsia="宋体" w:cs="宋体"/>
          <w:sz w:val="24"/>
          <w:szCs w:val="24"/>
          <w:highlight w:val="none"/>
        </w:rPr>
        <w:t>）为投标</w:t>
      </w:r>
      <w:r>
        <w:rPr>
          <w:rFonts w:hint="eastAsia" w:ascii="宋体" w:hAnsi="宋体" w:eastAsia="宋体" w:cs="宋体"/>
          <w:spacing w:val="4"/>
          <w:sz w:val="24"/>
          <w:szCs w:val="24"/>
          <w:highlight w:val="none"/>
        </w:rPr>
        <w:t>总</w:t>
      </w:r>
      <w:r>
        <w:rPr>
          <w:rFonts w:hint="eastAsia" w:ascii="宋体" w:hAnsi="宋体" w:eastAsia="宋体" w:cs="宋体"/>
          <w:sz w:val="24"/>
          <w:szCs w:val="24"/>
          <w:highlight w:val="none"/>
        </w:rPr>
        <w:t>报价、合同履行</w:t>
      </w:r>
      <w:r>
        <w:rPr>
          <w:rFonts w:hint="eastAsia" w:ascii="宋体" w:hAnsi="宋体" w:eastAsia="宋体" w:cs="宋体"/>
          <w:spacing w:val="4"/>
          <w:sz w:val="24"/>
          <w:szCs w:val="24"/>
          <w:highlight w:val="none"/>
        </w:rPr>
        <w:t>期</w:t>
      </w:r>
      <w:r>
        <w:rPr>
          <w:rFonts w:hint="eastAsia" w:ascii="宋体" w:hAnsi="宋体" w:eastAsia="宋体" w:cs="宋体"/>
          <w:sz w:val="24"/>
          <w:szCs w:val="24"/>
          <w:highlight w:val="none"/>
        </w:rPr>
        <w:t>限</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，按合同</w:t>
      </w:r>
      <w:r>
        <w:rPr>
          <w:rFonts w:hint="eastAsia" w:ascii="宋体" w:hAnsi="宋体" w:eastAsia="宋体" w:cs="宋体"/>
          <w:spacing w:val="4"/>
          <w:sz w:val="24"/>
          <w:szCs w:val="24"/>
          <w:highlight w:val="none"/>
        </w:rPr>
        <w:t>约</w:t>
      </w:r>
      <w:r>
        <w:rPr>
          <w:rFonts w:hint="eastAsia" w:ascii="宋体" w:hAnsi="宋体" w:eastAsia="宋体" w:cs="宋体"/>
          <w:sz w:val="24"/>
          <w:szCs w:val="24"/>
          <w:highlight w:val="none"/>
        </w:rPr>
        <w:t>定完成该项</w:t>
      </w:r>
      <w:r>
        <w:rPr>
          <w:rFonts w:hint="eastAsia" w:ascii="宋体" w:hAnsi="宋体" w:eastAsia="宋体" w:cs="宋体"/>
          <w:spacing w:val="-14"/>
          <w:sz w:val="24"/>
          <w:szCs w:val="24"/>
          <w:highlight w:val="none"/>
        </w:rPr>
        <w:t>目</w:t>
      </w:r>
      <w:r>
        <w:rPr>
          <w:rFonts w:hint="eastAsia" w:ascii="宋体" w:hAnsi="宋体" w:eastAsia="宋体" w:cs="宋体"/>
          <w:sz w:val="24"/>
          <w:szCs w:val="24"/>
          <w:highlight w:val="none"/>
        </w:rPr>
        <w:t>服务工作，服务质量</w:t>
      </w:r>
      <w:r>
        <w:rPr>
          <w:rFonts w:hint="eastAsia" w:ascii="宋体" w:hAnsi="宋体" w:eastAsia="宋体" w:cs="宋体"/>
          <w:sz w:val="24"/>
          <w:szCs w:val="24"/>
          <w:highlight w:val="none"/>
          <w:lang w:val="en-US" w:eastAsia="zh-CN"/>
        </w:rPr>
        <w:t>要求</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w:t>
      </w:r>
    </w:p>
    <w:p w14:paraId="77F832A2">
      <w:pPr>
        <w:pStyle w:val="27"/>
        <w:keepNext w:val="0"/>
        <w:keepLines w:val="0"/>
        <w:pageBreakBefore w:val="0"/>
        <w:widowControl w:val="0"/>
        <w:numPr>
          <w:ilvl w:val="0"/>
          <w:numId w:val="0"/>
        </w:numPr>
        <w:tabs>
          <w:tab w:val="left" w:pos="1458"/>
        </w:tabs>
        <w:kinsoku/>
        <w:wordWrap/>
        <w:overflowPunct/>
        <w:topLinePunct w:val="0"/>
        <w:autoSpaceDE w:val="0"/>
        <w:autoSpaceDN w:val="0"/>
        <w:bidi w:val="0"/>
        <w:adjustRightInd w:val="0"/>
        <w:snapToGrid w:val="0"/>
        <w:spacing w:after="0" w:line="360" w:lineRule="auto"/>
        <w:ind w:left="0" w:right="0" w:rightChars="0" w:firstLine="444" w:firstLineChars="200"/>
        <w:jc w:val="left"/>
        <w:textAlignment w:val="auto"/>
        <w:rPr>
          <w:rFonts w:hint="eastAsia" w:ascii="宋体" w:hAnsi="宋体" w:eastAsia="宋体" w:cs="宋体"/>
          <w:spacing w:val="-9"/>
          <w:sz w:val="24"/>
          <w:szCs w:val="24"/>
          <w:lang w:eastAsia="zh-CN"/>
        </w:rPr>
      </w:pPr>
      <w:r>
        <w:rPr>
          <w:rFonts w:hint="eastAsia" w:ascii="宋体" w:hAnsi="宋体" w:eastAsia="宋体" w:cs="宋体"/>
          <w:spacing w:val="-9"/>
          <w:sz w:val="24"/>
          <w:szCs w:val="24"/>
          <w:lang w:val="zh-CN" w:eastAsia="zh-CN"/>
        </w:rPr>
        <w:t>2.</w:t>
      </w:r>
      <w:r>
        <w:rPr>
          <w:rFonts w:hint="eastAsia" w:ascii="宋体" w:hAnsi="宋体" w:eastAsia="宋体" w:cs="宋体"/>
          <w:spacing w:val="-9"/>
          <w:sz w:val="24"/>
          <w:szCs w:val="24"/>
          <w:lang w:eastAsia="zh-CN"/>
        </w:rPr>
        <w:t>我方承诺在投标有效期内不修改、撤销响应文件。</w:t>
      </w:r>
    </w:p>
    <w:p w14:paraId="5138662E">
      <w:pPr>
        <w:pStyle w:val="27"/>
        <w:keepNext w:val="0"/>
        <w:keepLines w:val="0"/>
        <w:pageBreakBefore w:val="0"/>
        <w:widowControl w:val="0"/>
        <w:numPr>
          <w:ilvl w:val="0"/>
          <w:numId w:val="0"/>
        </w:numPr>
        <w:tabs>
          <w:tab w:val="left" w:pos="1458"/>
        </w:tabs>
        <w:kinsoku/>
        <w:wordWrap/>
        <w:overflowPunct/>
        <w:topLinePunct w:val="0"/>
        <w:autoSpaceDE w:val="0"/>
        <w:autoSpaceDN w:val="0"/>
        <w:bidi w:val="0"/>
        <w:adjustRightInd w:val="0"/>
        <w:snapToGrid w:val="0"/>
        <w:spacing w:after="0" w:line="360" w:lineRule="auto"/>
        <w:ind w:left="0" w:right="0" w:rightChars="0" w:firstLine="444" w:firstLineChars="200"/>
        <w:jc w:val="left"/>
        <w:textAlignment w:val="auto"/>
        <w:rPr>
          <w:rFonts w:hint="eastAsia" w:ascii="宋体" w:hAnsi="宋体" w:eastAsia="宋体" w:cs="宋体"/>
          <w:spacing w:val="-9"/>
          <w:sz w:val="24"/>
          <w:szCs w:val="24"/>
          <w:lang w:eastAsia="zh-CN"/>
        </w:rPr>
      </w:pPr>
      <w:r>
        <w:rPr>
          <w:rFonts w:hint="eastAsia" w:ascii="宋体" w:hAnsi="宋体" w:eastAsia="宋体" w:cs="宋体"/>
          <w:spacing w:val="-9"/>
          <w:sz w:val="24"/>
          <w:szCs w:val="24"/>
          <w:lang w:val="zh-CN" w:eastAsia="zh-CN"/>
        </w:rPr>
        <w:t>3.</w:t>
      </w:r>
      <w:r>
        <w:rPr>
          <w:rFonts w:hint="eastAsia" w:ascii="宋体" w:hAnsi="宋体" w:eastAsia="宋体" w:cs="宋体"/>
          <w:spacing w:val="-9"/>
          <w:sz w:val="24"/>
          <w:szCs w:val="24"/>
          <w:lang w:eastAsia="zh-CN"/>
        </w:rPr>
        <w:t>如我方中标：</w:t>
      </w:r>
    </w:p>
    <w:p w14:paraId="0F862C8E">
      <w:pPr>
        <w:pStyle w:val="27"/>
        <w:keepNext w:val="0"/>
        <w:keepLines w:val="0"/>
        <w:pageBreakBefore w:val="0"/>
        <w:widowControl w:val="0"/>
        <w:numPr>
          <w:ilvl w:val="0"/>
          <w:numId w:val="0"/>
        </w:numPr>
        <w:tabs>
          <w:tab w:val="left" w:pos="1458"/>
        </w:tabs>
        <w:kinsoku/>
        <w:wordWrap/>
        <w:overflowPunct/>
        <w:topLinePunct w:val="0"/>
        <w:autoSpaceDE w:val="0"/>
        <w:autoSpaceDN w:val="0"/>
        <w:bidi w:val="0"/>
        <w:adjustRightInd w:val="0"/>
        <w:snapToGrid w:val="0"/>
        <w:spacing w:after="0" w:line="360" w:lineRule="auto"/>
        <w:ind w:left="0" w:right="0" w:rightChars="0" w:firstLine="444" w:firstLineChars="200"/>
        <w:jc w:val="left"/>
        <w:textAlignment w:val="auto"/>
        <w:rPr>
          <w:rFonts w:hint="eastAsia" w:ascii="宋体" w:hAnsi="宋体" w:eastAsia="宋体" w:cs="宋体"/>
          <w:sz w:val="24"/>
          <w:szCs w:val="24"/>
        </w:rPr>
      </w:pPr>
      <w:r>
        <w:rPr>
          <w:rFonts w:hint="eastAsia" w:ascii="宋体" w:hAnsi="宋体" w:eastAsia="宋体" w:cs="宋体"/>
          <w:spacing w:val="-9"/>
          <w:sz w:val="24"/>
          <w:szCs w:val="24"/>
          <w:lang w:eastAsia="zh-CN"/>
        </w:rPr>
        <w:t>（</w:t>
      </w:r>
      <w:r>
        <w:rPr>
          <w:rFonts w:hint="eastAsia" w:ascii="宋体" w:hAnsi="宋体" w:eastAsia="宋体" w:cs="宋体"/>
          <w:spacing w:val="-9"/>
          <w:sz w:val="24"/>
          <w:szCs w:val="24"/>
          <w:lang w:val="en-US" w:eastAsia="zh-CN"/>
        </w:rPr>
        <w:t>1</w:t>
      </w:r>
      <w:r>
        <w:rPr>
          <w:rFonts w:hint="eastAsia" w:ascii="宋体" w:hAnsi="宋体" w:eastAsia="宋体" w:cs="宋体"/>
          <w:spacing w:val="-9"/>
          <w:sz w:val="24"/>
          <w:szCs w:val="24"/>
          <w:lang w:eastAsia="zh-CN"/>
        </w:rPr>
        <w:t>）我方承诺在收到</w:t>
      </w:r>
      <w:r>
        <w:rPr>
          <w:rFonts w:hint="eastAsia" w:ascii="宋体" w:hAnsi="宋体" w:eastAsia="宋体" w:cs="宋体"/>
          <w:spacing w:val="-9"/>
          <w:sz w:val="24"/>
          <w:szCs w:val="24"/>
          <w:lang w:val="en-US" w:eastAsia="zh-CN"/>
        </w:rPr>
        <w:t>成交</w:t>
      </w:r>
      <w:r>
        <w:rPr>
          <w:rFonts w:hint="eastAsia" w:ascii="宋体" w:hAnsi="宋体" w:eastAsia="宋体" w:cs="宋体"/>
          <w:spacing w:val="-9"/>
          <w:sz w:val="24"/>
          <w:szCs w:val="24"/>
          <w:lang w:eastAsia="zh-CN"/>
        </w:rPr>
        <w:t>通</w:t>
      </w:r>
      <w:r>
        <w:rPr>
          <w:rFonts w:hint="eastAsia" w:ascii="宋体" w:hAnsi="宋体" w:eastAsia="宋体" w:cs="宋体"/>
          <w:sz w:val="24"/>
          <w:szCs w:val="24"/>
        </w:rPr>
        <w:t>知书后，在</w:t>
      </w:r>
      <w:r>
        <w:rPr>
          <w:rFonts w:hint="eastAsia" w:cs="宋体"/>
          <w:sz w:val="24"/>
          <w:szCs w:val="24"/>
          <w:lang w:val="en-US" w:eastAsia="zh-CN"/>
        </w:rPr>
        <w:t>成交</w:t>
      </w:r>
      <w:r>
        <w:rPr>
          <w:rFonts w:hint="eastAsia" w:ascii="宋体" w:hAnsi="宋体" w:eastAsia="宋体" w:cs="宋体"/>
          <w:sz w:val="24"/>
          <w:szCs w:val="24"/>
        </w:rPr>
        <w:t>通知书规定的期限内与你方签订合同。</w:t>
      </w:r>
    </w:p>
    <w:p w14:paraId="30546E33">
      <w:pPr>
        <w:pStyle w:val="27"/>
        <w:keepNext w:val="0"/>
        <w:keepLines w:val="0"/>
        <w:pageBreakBefore w:val="0"/>
        <w:widowControl w:val="0"/>
        <w:numPr>
          <w:ilvl w:val="0"/>
          <w:numId w:val="0"/>
        </w:numPr>
        <w:tabs>
          <w:tab w:val="left" w:pos="1464"/>
        </w:tabs>
        <w:kinsoku/>
        <w:wordWrap/>
        <w:overflowPunct/>
        <w:topLinePunct w:val="0"/>
        <w:autoSpaceDE w:val="0"/>
        <w:autoSpaceDN w:val="0"/>
        <w:bidi w:val="0"/>
        <w:adjustRightInd w:val="0"/>
        <w:snapToGrid w:val="0"/>
        <w:spacing w:after="0" w:line="360" w:lineRule="auto"/>
        <w:ind w:left="0" w:right="0" w:rightChars="0" w:firstLine="480" w:firstLineChars="200"/>
        <w:jc w:val="left"/>
        <w:textAlignment w:val="auto"/>
        <w:rPr>
          <w:rFonts w:hint="eastAsia" w:ascii="宋体" w:hAnsi="宋体" w:eastAsia="宋体" w:cs="宋体"/>
          <w:sz w:val="24"/>
          <w:szCs w:val="24"/>
        </w:rPr>
      </w:pPr>
      <w:r>
        <w:rPr>
          <w:rFonts w:hint="eastAsia" w:cs="宋体"/>
          <w:sz w:val="24"/>
          <w:szCs w:val="24"/>
          <w:lang w:eastAsia="zh-CN"/>
        </w:rPr>
        <w:t>（</w:t>
      </w:r>
      <w:r>
        <w:rPr>
          <w:rFonts w:hint="eastAsia" w:cs="宋体"/>
          <w:sz w:val="24"/>
          <w:szCs w:val="24"/>
          <w:lang w:val="en-US" w:eastAsia="zh-CN"/>
        </w:rPr>
        <w:t>2</w:t>
      </w:r>
      <w:r>
        <w:rPr>
          <w:rFonts w:hint="eastAsia" w:cs="宋体"/>
          <w:sz w:val="24"/>
          <w:szCs w:val="24"/>
          <w:lang w:eastAsia="zh-CN"/>
        </w:rPr>
        <w:t>）</w:t>
      </w:r>
      <w:r>
        <w:rPr>
          <w:rFonts w:hint="eastAsia" w:ascii="宋体" w:hAnsi="宋体" w:eastAsia="宋体" w:cs="宋体"/>
          <w:sz w:val="24"/>
          <w:szCs w:val="24"/>
        </w:rPr>
        <w:t>我单位愿意履行</w:t>
      </w:r>
      <w:r>
        <w:rPr>
          <w:rFonts w:hint="eastAsia" w:cs="宋体"/>
          <w:sz w:val="24"/>
          <w:szCs w:val="24"/>
          <w:lang w:eastAsia="zh-CN"/>
        </w:rPr>
        <w:t>响应文件</w:t>
      </w:r>
      <w:r>
        <w:rPr>
          <w:rFonts w:hint="eastAsia" w:ascii="宋体" w:hAnsi="宋体" w:eastAsia="宋体" w:cs="宋体"/>
          <w:sz w:val="24"/>
          <w:szCs w:val="24"/>
        </w:rPr>
        <w:t>中的一切优惠条件和承诺措施,提供优质高效的服务，并承诺在合同约定的期限内完成并移交全部工作内容。</w:t>
      </w:r>
    </w:p>
    <w:p w14:paraId="056F0670">
      <w:pPr>
        <w:pStyle w:val="27"/>
        <w:keepNext w:val="0"/>
        <w:keepLines w:val="0"/>
        <w:pageBreakBefore w:val="0"/>
        <w:widowControl w:val="0"/>
        <w:numPr>
          <w:ilvl w:val="0"/>
          <w:numId w:val="0"/>
        </w:numPr>
        <w:tabs>
          <w:tab w:val="left" w:pos="1458"/>
        </w:tabs>
        <w:kinsoku/>
        <w:wordWrap/>
        <w:overflowPunct/>
        <w:topLinePunct w:val="0"/>
        <w:autoSpaceDE w:val="0"/>
        <w:autoSpaceDN w:val="0"/>
        <w:bidi w:val="0"/>
        <w:adjustRightInd w:val="0"/>
        <w:snapToGrid w:val="0"/>
        <w:spacing w:after="0" w:line="360" w:lineRule="auto"/>
        <w:ind w:left="0" w:right="0" w:rightChars="0" w:firstLine="464" w:firstLineChars="200"/>
        <w:jc w:val="left"/>
        <w:textAlignment w:val="auto"/>
        <w:rPr>
          <w:rFonts w:hint="eastAsia" w:ascii="宋体" w:hAnsi="宋体" w:eastAsia="宋体" w:cs="宋体"/>
          <w:sz w:val="24"/>
          <w:szCs w:val="24"/>
        </w:rPr>
      </w:pPr>
      <w:r>
        <w:rPr>
          <w:rFonts w:hint="eastAsia" w:cs="宋体"/>
          <w:spacing w:val="-4"/>
          <w:sz w:val="24"/>
          <w:szCs w:val="24"/>
          <w:lang w:eastAsia="zh-CN"/>
        </w:rPr>
        <w:t>（</w:t>
      </w:r>
      <w:r>
        <w:rPr>
          <w:rFonts w:hint="eastAsia" w:cs="宋体"/>
          <w:spacing w:val="-4"/>
          <w:sz w:val="24"/>
          <w:szCs w:val="24"/>
          <w:lang w:val="en-US" w:eastAsia="zh-CN"/>
        </w:rPr>
        <w:t>3</w:t>
      </w:r>
      <w:r>
        <w:rPr>
          <w:rFonts w:hint="eastAsia" w:cs="宋体"/>
          <w:spacing w:val="-4"/>
          <w:sz w:val="24"/>
          <w:szCs w:val="24"/>
          <w:lang w:eastAsia="zh-CN"/>
        </w:rPr>
        <w:t>）</w:t>
      </w:r>
      <w:r>
        <w:rPr>
          <w:rFonts w:hint="eastAsia" w:ascii="宋体" w:hAnsi="宋体" w:eastAsia="宋体" w:cs="宋体"/>
          <w:spacing w:val="-4"/>
          <w:sz w:val="24"/>
          <w:szCs w:val="24"/>
        </w:rPr>
        <w:t xml:space="preserve">我方承诺在从规定的自开标之日起 </w:t>
      </w:r>
      <w:r>
        <w:rPr>
          <w:rFonts w:hint="eastAsia" w:ascii="宋体" w:hAnsi="宋体" w:eastAsia="宋体" w:cs="宋体"/>
          <w:sz w:val="24"/>
          <w:szCs w:val="24"/>
        </w:rPr>
        <w:t>60</w:t>
      </w:r>
      <w:r>
        <w:rPr>
          <w:rFonts w:hint="eastAsia" w:ascii="宋体" w:hAnsi="宋体" w:eastAsia="宋体" w:cs="宋体"/>
          <w:spacing w:val="-9"/>
          <w:sz w:val="24"/>
          <w:szCs w:val="24"/>
        </w:rPr>
        <w:t xml:space="preserve"> 日历天的投标有效期内不修改、撤销</w:t>
      </w:r>
      <w:r>
        <w:rPr>
          <w:rFonts w:hint="eastAsia" w:cs="宋体"/>
          <w:spacing w:val="-9"/>
          <w:sz w:val="24"/>
          <w:szCs w:val="24"/>
          <w:lang w:eastAsia="zh-CN"/>
        </w:rPr>
        <w:t>响应文件</w:t>
      </w:r>
      <w:r>
        <w:rPr>
          <w:rFonts w:hint="eastAsia" w:ascii="宋体" w:hAnsi="宋体" w:eastAsia="宋体" w:cs="宋体"/>
          <w:spacing w:val="-9"/>
          <w:sz w:val="24"/>
          <w:szCs w:val="24"/>
        </w:rPr>
        <w:t>。</w:t>
      </w:r>
    </w:p>
    <w:p w14:paraId="48F78425">
      <w:pPr>
        <w:pStyle w:val="27"/>
        <w:keepNext w:val="0"/>
        <w:keepLines w:val="0"/>
        <w:pageBreakBefore w:val="0"/>
        <w:widowControl w:val="0"/>
        <w:numPr>
          <w:ilvl w:val="0"/>
          <w:numId w:val="0"/>
        </w:numPr>
        <w:tabs>
          <w:tab w:val="left" w:pos="844"/>
          <w:tab w:val="left" w:pos="2101"/>
          <w:tab w:val="left" w:pos="2439"/>
          <w:tab w:val="left" w:pos="3503"/>
          <w:tab w:val="left" w:pos="3729"/>
          <w:tab w:val="left" w:pos="5451"/>
          <w:tab w:val="left" w:pos="7527"/>
        </w:tabs>
        <w:kinsoku/>
        <w:wordWrap/>
        <w:overflowPunct/>
        <w:topLinePunct w:val="0"/>
        <w:autoSpaceDE w:val="0"/>
        <w:autoSpaceDN w:val="0"/>
        <w:bidi w:val="0"/>
        <w:adjustRightInd w:val="0"/>
        <w:snapToGrid w:val="0"/>
        <w:spacing w:after="0" w:line="360" w:lineRule="auto"/>
        <w:ind w:left="0" w:right="0" w:righ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我单位同意提供与招标有关的一切数据和资料,完全理解最低报价不是中标唯一条件。</w:t>
      </w:r>
    </w:p>
    <w:p w14:paraId="1BA4B18F">
      <w:pPr>
        <w:pStyle w:val="27"/>
        <w:keepNext w:val="0"/>
        <w:keepLines w:val="0"/>
        <w:pageBreakBefore w:val="0"/>
        <w:widowControl w:val="0"/>
        <w:numPr>
          <w:ilvl w:val="0"/>
          <w:numId w:val="0"/>
        </w:numPr>
        <w:tabs>
          <w:tab w:val="left" w:pos="844"/>
          <w:tab w:val="left" w:pos="2101"/>
          <w:tab w:val="left" w:pos="2439"/>
          <w:tab w:val="left" w:pos="3503"/>
          <w:tab w:val="left" w:pos="3729"/>
          <w:tab w:val="left" w:pos="5451"/>
          <w:tab w:val="left" w:pos="7527"/>
        </w:tabs>
        <w:kinsoku/>
        <w:wordWrap/>
        <w:overflowPunct/>
        <w:topLinePunct w:val="0"/>
        <w:autoSpaceDE w:val="0"/>
        <w:autoSpaceDN w:val="0"/>
        <w:bidi w:val="0"/>
        <w:adjustRightInd w:val="0"/>
        <w:snapToGrid w:val="0"/>
        <w:spacing w:after="0" w:line="360" w:lineRule="auto"/>
        <w:ind w:left="0" w:right="0" w:righ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我方承诺若我方有幸中标，在领取</w:t>
      </w:r>
      <w:r>
        <w:rPr>
          <w:rFonts w:hint="eastAsia" w:cs="宋体"/>
          <w:sz w:val="24"/>
          <w:szCs w:val="24"/>
          <w:lang w:val="en-US" w:eastAsia="zh-CN"/>
        </w:rPr>
        <w:t>成交</w:t>
      </w:r>
      <w:r>
        <w:rPr>
          <w:rFonts w:hint="eastAsia" w:ascii="宋体" w:hAnsi="宋体" w:eastAsia="宋体" w:cs="宋体"/>
          <w:sz w:val="24"/>
          <w:szCs w:val="24"/>
        </w:rPr>
        <w:t xml:space="preserve">通知书前向代理机构支付代理服务费及相关费用。   </w:t>
      </w:r>
    </w:p>
    <w:p w14:paraId="0500B4C5">
      <w:pPr>
        <w:pStyle w:val="27"/>
        <w:keepNext w:val="0"/>
        <w:keepLines w:val="0"/>
        <w:pageBreakBefore w:val="0"/>
        <w:widowControl w:val="0"/>
        <w:numPr>
          <w:ilvl w:val="0"/>
          <w:numId w:val="0"/>
        </w:numPr>
        <w:tabs>
          <w:tab w:val="left" w:pos="844"/>
          <w:tab w:val="left" w:pos="2101"/>
          <w:tab w:val="left" w:pos="2439"/>
          <w:tab w:val="left" w:pos="3503"/>
          <w:tab w:val="left" w:pos="3729"/>
          <w:tab w:val="left" w:pos="5451"/>
          <w:tab w:val="left" w:pos="7527"/>
        </w:tabs>
        <w:kinsoku/>
        <w:wordWrap/>
        <w:overflowPunct/>
        <w:topLinePunct w:val="0"/>
        <w:autoSpaceDE w:val="0"/>
        <w:autoSpaceDN w:val="0"/>
        <w:bidi w:val="0"/>
        <w:adjustRightInd w:val="0"/>
        <w:snapToGrid w:val="0"/>
        <w:spacing w:after="0" w:line="360" w:lineRule="auto"/>
        <w:ind w:left="0" w:leftChars="0" w:right="0" w:righ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4.我方在此声明，所递交的</w:t>
      </w:r>
      <w:r>
        <w:rPr>
          <w:rFonts w:hint="eastAsia" w:cs="宋体"/>
          <w:sz w:val="24"/>
          <w:szCs w:val="24"/>
          <w:lang w:eastAsia="zh-CN"/>
        </w:rPr>
        <w:t>响应文件</w:t>
      </w:r>
      <w:r>
        <w:rPr>
          <w:rFonts w:hint="eastAsia" w:ascii="宋体" w:hAnsi="宋体" w:eastAsia="宋体" w:cs="宋体"/>
          <w:sz w:val="24"/>
          <w:szCs w:val="24"/>
        </w:rPr>
        <w:t>及有关资料内容完整、真实和准确。</w:t>
      </w:r>
    </w:p>
    <w:p w14:paraId="2FB8A722">
      <w:pPr>
        <w:pStyle w:val="8"/>
        <w:rPr>
          <w:rFonts w:hint="eastAsia" w:ascii="宋体" w:hAnsi="宋体" w:eastAsia="宋体" w:cs="宋体"/>
          <w:sz w:val="24"/>
          <w:szCs w:val="24"/>
        </w:rPr>
      </w:pPr>
    </w:p>
    <w:p w14:paraId="1F7D899D">
      <w:pPr>
        <w:pStyle w:val="8"/>
        <w:spacing w:before="7"/>
        <w:rPr>
          <w:rFonts w:hint="eastAsia" w:ascii="宋体" w:hAnsi="宋体" w:eastAsia="宋体" w:cs="宋体"/>
          <w:sz w:val="24"/>
          <w:szCs w:val="24"/>
        </w:rPr>
      </w:pPr>
    </w:p>
    <w:p w14:paraId="4BB6BB55">
      <w:pPr>
        <w:pStyle w:val="8"/>
        <w:spacing w:line="240" w:lineRule="auto"/>
        <w:ind w:firstLine="3120" w:firstLineChars="1300"/>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none"/>
        </w:rPr>
        <w:t xml:space="preserve"> （</w:t>
      </w:r>
      <w:r>
        <w:rPr>
          <w:rFonts w:hint="eastAsia" w:ascii="宋体" w:hAnsi="宋体" w:eastAsia="宋体" w:cs="宋体"/>
          <w:sz w:val="24"/>
          <w:szCs w:val="24"/>
          <w:u w:val="none"/>
          <w:lang w:val="en-US" w:eastAsia="zh-CN"/>
        </w:rPr>
        <w:t>电子签</w:t>
      </w:r>
      <w:r>
        <w:rPr>
          <w:rFonts w:hint="eastAsia" w:ascii="宋体" w:hAnsi="宋体" w:eastAsia="宋体" w:cs="宋体"/>
          <w:sz w:val="24"/>
          <w:szCs w:val="24"/>
          <w:u w:val="none"/>
        </w:rPr>
        <w:t>章）</w:t>
      </w:r>
    </w:p>
    <w:p w14:paraId="05FA5DCB">
      <w:pPr>
        <w:pStyle w:val="27"/>
        <w:numPr>
          <w:ilvl w:val="0"/>
          <w:numId w:val="0"/>
        </w:numPr>
        <w:tabs>
          <w:tab w:val="left" w:pos="1464"/>
        </w:tabs>
        <w:spacing w:before="170" w:after="0" w:line="240" w:lineRule="auto"/>
        <w:ind w:right="312" w:rightChars="0"/>
        <w:jc w:val="right"/>
        <w:rPr>
          <w:rFonts w:hint="eastAsia" w:ascii="宋体" w:hAnsi="宋体" w:eastAsia="宋体" w:cs="宋体"/>
          <w:sz w:val="24"/>
          <w:szCs w:val="24"/>
        </w:rPr>
      </w:pPr>
      <w:r>
        <w:rPr>
          <w:rFonts w:hint="eastAsia" w:ascii="宋体" w:hAnsi="宋体" w:eastAsia="宋体" w:cs="宋体"/>
          <w:sz w:val="24"/>
          <w:szCs w:val="24"/>
        </w:rPr>
        <w:t>法定代表人或或其委托代理人：（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章或签字）</w:t>
      </w:r>
    </w:p>
    <w:p w14:paraId="65094ED7">
      <w:pPr>
        <w:pStyle w:val="2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rPr>
      </w:pPr>
      <w:r>
        <w:rPr>
          <w:rFonts w:hint="eastAsia" w:ascii="宋体" w:hAnsi="宋体" w:eastAsia="宋体" w:cs="宋体"/>
          <w:sz w:val="24"/>
          <w:szCs w:val="24"/>
        </w:rPr>
        <w:t xml:space="preserve">地址： </w:t>
      </w:r>
      <w:r>
        <w:rPr>
          <w:rFonts w:hint="eastAsia" w:ascii="宋体" w:hAnsi="宋体" w:eastAsia="宋体" w:cs="宋体"/>
          <w:sz w:val="24"/>
          <w:szCs w:val="24"/>
        </w:rPr>
        <w:tab/>
      </w:r>
    </w:p>
    <w:p w14:paraId="6C58AC43">
      <w:pPr>
        <w:pStyle w:val="2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rPr>
      </w:pPr>
      <w:r>
        <w:rPr>
          <w:rFonts w:hint="eastAsia" w:ascii="宋体" w:hAnsi="宋体" w:eastAsia="宋体" w:cs="宋体"/>
          <w:sz w:val="24"/>
          <w:szCs w:val="24"/>
        </w:rPr>
        <w:t xml:space="preserve">电话： </w:t>
      </w:r>
      <w:r>
        <w:rPr>
          <w:rFonts w:hint="eastAsia" w:ascii="宋体" w:hAnsi="宋体" w:eastAsia="宋体" w:cs="宋体"/>
          <w:sz w:val="24"/>
          <w:szCs w:val="24"/>
        </w:rPr>
        <w:tab/>
      </w:r>
    </w:p>
    <w:p w14:paraId="18406DC1">
      <w:pPr>
        <w:pStyle w:val="2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rPr>
      </w:pPr>
      <w:r>
        <w:rPr>
          <w:rFonts w:hint="eastAsia" w:ascii="宋体" w:hAnsi="宋体" w:eastAsia="宋体" w:cs="宋体"/>
          <w:sz w:val="24"/>
          <w:szCs w:val="24"/>
        </w:rPr>
        <w:t xml:space="preserve">邮政编码： </w:t>
      </w:r>
      <w:r>
        <w:rPr>
          <w:rFonts w:hint="eastAsia" w:ascii="宋体" w:hAnsi="宋体" w:eastAsia="宋体" w:cs="宋体"/>
          <w:sz w:val="24"/>
          <w:szCs w:val="24"/>
        </w:rPr>
        <w:tab/>
      </w:r>
    </w:p>
    <w:p w14:paraId="6E1F1E75">
      <w:pPr>
        <w:spacing w:before="38" w:line="240" w:lineRule="auto"/>
        <w:ind w:left="887" w:right="909" w:firstLine="2133" w:firstLineChars="900"/>
        <w:jc w:val="both"/>
        <w:rPr>
          <w:b/>
          <w:color w:val="auto"/>
          <w:sz w:val="32"/>
        </w:rPr>
      </w:pPr>
      <w:r>
        <w:rPr>
          <w:rFonts w:hint="eastAsia" w:ascii="宋体" w:hAnsi="宋体" w:eastAsia="宋体" w:cs="宋体"/>
          <w:w w:val="99"/>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日</w:t>
      </w:r>
      <w:r>
        <w:rPr>
          <w:b/>
          <w:color w:val="auto"/>
          <w:sz w:val="32"/>
        </w:rPr>
        <w:br w:type="page"/>
      </w:r>
    </w:p>
    <w:p w14:paraId="3734CFD8">
      <w:pPr>
        <w:spacing w:line="360" w:lineRule="auto"/>
        <w:jc w:val="center"/>
        <w:outlineLvl w:val="2"/>
        <w:rPr>
          <w:b/>
          <w:bCs/>
          <w:color w:val="auto"/>
          <w:sz w:val="28"/>
          <w:szCs w:val="20"/>
          <w:lang w:val="en-US"/>
        </w:rPr>
      </w:pPr>
      <w:bookmarkStart w:id="288" w:name="_Toc403418420"/>
      <w:bookmarkStart w:id="289" w:name="_Toc403418354"/>
      <w:bookmarkStart w:id="290" w:name="_Toc216842529"/>
      <w:bookmarkStart w:id="291" w:name="_Toc25194"/>
      <w:bookmarkStart w:id="292" w:name="_Toc14822"/>
      <w:bookmarkStart w:id="293" w:name="_Toc13604_WPSOffice_Level2"/>
      <w:bookmarkStart w:id="294" w:name="_Toc20293"/>
      <w:r>
        <w:rPr>
          <w:rFonts w:hint="eastAsia"/>
          <w:b/>
          <w:bCs/>
          <w:color w:val="auto"/>
          <w:sz w:val="28"/>
          <w:szCs w:val="20"/>
          <w:lang w:val="en-US"/>
        </w:rPr>
        <w:t>（二）</w:t>
      </w:r>
      <w:bookmarkEnd w:id="288"/>
      <w:bookmarkEnd w:id="289"/>
      <w:bookmarkEnd w:id="290"/>
      <w:r>
        <w:rPr>
          <w:rFonts w:hint="eastAsia"/>
          <w:b/>
          <w:bCs/>
          <w:color w:val="auto"/>
          <w:sz w:val="28"/>
          <w:szCs w:val="20"/>
          <w:lang w:val="en-US"/>
        </w:rPr>
        <w:t>磋商函附录</w:t>
      </w:r>
      <w:bookmarkEnd w:id="291"/>
      <w:bookmarkEnd w:id="292"/>
      <w:bookmarkEnd w:id="293"/>
      <w:bookmarkEnd w:id="294"/>
    </w:p>
    <w:tbl>
      <w:tblPr>
        <w:tblStyle w:val="20"/>
        <w:tblW w:w="9539" w:type="dxa"/>
        <w:tblInd w:w="-4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4"/>
        <w:gridCol w:w="1509"/>
        <w:gridCol w:w="2086"/>
        <w:gridCol w:w="1434"/>
        <w:gridCol w:w="1285"/>
        <w:gridCol w:w="1511"/>
      </w:tblGrid>
      <w:tr w14:paraId="77AD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714" w:type="dxa"/>
            <w:vAlign w:val="center"/>
          </w:tcPr>
          <w:p w14:paraId="14A57C71">
            <w:pPr>
              <w:adjustRightInd w:val="0"/>
              <w:snapToGrid w:val="0"/>
              <w:spacing w:line="300" w:lineRule="exact"/>
              <w:jc w:val="center"/>
              <w:rPr>
                <w:rFonts w:ascii="宋体" w:hAnsi="宋体" w:cs="宋体"/>
                <w:color w:val="auto"/>
                <w:sz w:val="24"/>
              </w:rPr>
            </w:pPr>
            <w:r>
              <w:rPr>
                <w:rFonts w:hint="eastAsia" w:ascii="宋体" w:hAnsi="宋体" w:cs="宋体"/>
                <w:color w:val="auto"/>
                <w:sz w:val="24"/>
              </w:rPr>
              <w:t>项目名称</w:t>
            </w:r>
          </w:p>
        </w:tc>
        <w:tc>
          <w:tcPr>
            <w:tcW w:w="7825" w:type="dxa"/>
            <w:gridSpan w:val="5"/>
            <w:vAlign w:val="center"/>
          </w:tcPr>
          <w:p w14:paraId="5C6B0D97">
            <w:pPr>
              <w:adjustRightInd w:val="0"/>
              <w:snapToGrid w:val="0"/>
              <w:spacing w:line="300" w:lineRule="exact"/>
              <w:jc w:val="center"/>
              <w:rPr>
                <w:rFonts w:ascii="宋体" w:hAnsi="宋体" w:cs="宋体"/>
                <w:color w:val="auto"/>
                <w:sz w:val="24"/>
              </w:rPr>
            </w:pPr>
          </w:p>
        </w:tc>
      </w:tr>
      <w:tr w14:paraId="07D5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714" w:type="dxa"/>
            <w:vAlign w:val="center"/>
          </w:tcPr>
          <w:p w14:paraId="5E34E8F3">
            <w:pPr>
              <w:adjustRightInd w:val="0"/>
              <w:snapToGrid w:val="0"/>
              <w:spacing w:line="300" w:lineRule="exact"/>
              <w:jc w:val="center"/>
              <w:rPr>
                <w:rFonts w:hint="eastAsia" w:ascii="宋体" w:hAnsi="宋体" w:eastAsia="宋体" w:cs="宋体"/>
                <w:color w:val="auto"/>
                <w:sz w:val="24"/>
                <w:lang w:eastAsia="zh-CN"/>
              </w:rPr>
            </w:pPr>
            <w:r>
              <w:rPr>
                <w:rFonts w:hint="eastAsia" w:ascii="宋体" w:hAnsi="宋体" w:cs="宋体"/>
                <w:color w:val="auto"/>
                <w:sz w:val="24"/>
              </w:rPr>
              <w:t>供应商</w:t>
            </w:r>
            <w:r>
              <w:rPr>
                <w:rFonts w:hint="eastAsia" w:ascii="宋体" w:hAnsi="宋体" w:cs="宋体"/>
                <w:color w:val="auto"/>
                <w:sz w:val="24"/>
                <w:lang w:eastAsia="zh-CN"/>
              </w:rPr>
              <w:t>名称</w:t>
            </w:r>
          </w:p>
        </w:tc>
        <w:tc>
          <w:tcPr>
            <w:tcW w:w="7825" w:type="dxa"/>
            <w:gridSpan w:val="5"/>
            <w:vAlign w:val="center"/>
          </w:tcPr>
          <w:p w14:paraId="2308F270">
            <w:pPr>
              <w:adjustRightInd w:val="0"/>
              <w:snapToGrid w:val="0"/>
              <w:spacing w:line="300" w:lineRule="exact"/>
              <w:jc w:val="center"/>
              <w:rPr>
                <w:rFonts w:ascii="宋体" w:hAnsi="宋体" w:cs="宋体"/>
                <w:color w:val="auto"/>
                <w:sz w:val="24"/>
              </w:rPr>
            </w:pPr>
          </w:p>
        </w:tc>
      </w:tr>
      <w:tr w14:paraId="1048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714" w:type="dxa"/>
            <w:vAlign w:val="center"/>
          </w:tcPr>
          <w:p w14:paraId="6D714050">
            <w:pPr>
              <w:adjustRightInd w:val="0"/>
              <w:snapToGrid w:val="0"/>
              <w:spacing w:line="300" w:lineRule="exact"/>
              <w:jc w:val="center"/>
              <w:rPr>
                <w:rFonts w:hint="eastAsia" w:ascii="宋体" w:hAnsi="宋体" w:eastAsia="宋体" w:cs="宋体"/>
                <w:color w:val="auto"/>
                <w:sz w:val="24"/>
                <w:lang w:eastAsia="zh-CN"/>
              </w:rPr>
            </w:pPr>
            <w:r>
              <w:rPr>
                <w:rFonts w:hint="eastAsia" w:ascii="宋体" w:hAnsi="宋体" w:cs="宋体"/>
                <w:color w:val="auto"/>
                <w:sz w:val="24"/>
              </w:rPr>
              <w:t>投标报价</w:t>
            </w:r>
          </w:p>
        </w:tc>
        <w:tc>
          <w:tcPr>
            <w:tcW w:w="7825" w:type="dxa"/>
            <w:gridSpan w:val="5"/>
            <w:vAlign w:val="center"/>
          </w:tcPr>
          <w:p w14:paraId="2177841B">
            <w:pPr>
              <w:adjustRightInd w:val="0"/>
              <w:snapToGrid w:val="0"/>
              <w:spacing w:line="380" w:lineRule="exact"/>
              <w:jc w:val="both"/>
              <w:rPr>
                <w:rFonts w:hint="eastAsia" w:cs="宋体"/>
                <w:color w:val="auto"/>
                <w:sz w:val="24"/>
                <w:u w:val="none"/>
                <w:lang w:val="en-US" w:eastAsia="zh-CN"/>
              </w:rPr>
            </w:pPr>
            <w:r>
              <w:rPr>
                <w:rFonts w:hint="eastAsia" w:cs="宋体"/>
                <w:color w:val="auto"/>
                <w:sz w:val="24"/>
                <w:u w:val="none"/>
                <w:lang w:val="en-US" w:eastAsia="zh-CN"/>
              </w:rPr>
              <w:t>大写：</w:t>
            </w:r>
          </w:p>
          <w:p w14:paraId="16846264">
            <w:pPr>
              <w:adjustRightInd w:val="0"/>
              <w:snapToGrid w:val="0"/>
              <w:spacing w:line="380" w:lineRule="exact"/>
              <w:jc w:val="both"/>
              <w:rPr>
                <w:rFonts w:hint="default"/>
                <w:lang w:val="en-US" w:eastAsia="zh-CN"/>
              </w:rPr>
            </w:pPr>
            <w:r>
              <w:rPr>
                <w:rFonts w:hint="eastAsia" w:cs="宋体"/>
                <w:color w:val="auto"/>
                <w:sz w:val="24"/>
                <w:u w:val="single"/>
                <w:lang w:val="en-US" w:eastAsia="zh-CN"/>
              </w:rPr>
              <w:t>小写：  元</w:t>
            </w:r>
          </w:p>
        </w:tc>
      </w:tr>
      <w:tr w14:paraId="07F3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714" w:type="dxa"/>
            <w:vAlign w:val="center"/>
          </w:tcPr>
          <w:p w14:paraId="0DCDB7BE">
            <w:pPr>
              <w:adjustRightInd w:val="0"/>
              <w:snapToGrid w:val="0"/>
              <w:spacing w:line="300" w:lineRule="exact"/>
              <w:jc w:val="center"/>
              <w:rPr>
                <w:rFonts w:ascii="宋体" w:hAnsi="宋体" w:cs="宋体"/>
                <w:color w:val="auto"/>
                <w:sz w:val="24"/>
              </w:rPr>
            </w:pPr>
            <w:r>
              <w:rPr>
                <w:rFonts w:hint="eastAsia" w:ascii="宋体" w:hAnsi="宋体" w:cs="宋体"/>
                <w:color w:val="auto"/>
                <w:sz w:val="24"/>
              </w:rPr>
              <w:t>项目负责人</w:t>
            </w:r>
          </w:p>
        </w:tc>
        <w:tc>
          <w:tcPr>
            <w:tcW w:w="1509" w:type="dxa"/>
            <w:vAlign w:val="center"/>
          </w:tcPr>
          <w:p w14:paraId="01168C60">
            <w:pPr>
              <w:adjustRightInd w:val="0"/>
              <w:snapToGrid w:val="0"/>
              <w:spacing w:line="300" w:lineRule="exact"/>
              <w:jc w:val="center"/>
              <w:rPr>
                <w:rFonts w:ascii="宋体" w:hAnsi="宋体" w:cs="宋体"/>
                <w:color w:val="auto"/>
                <w:sz w:val="24"/>
              </w:rPr>
            </w:pPr>
          </w:p>
        </w:tc>
        <w:tc>
          <w:tcPr>
            <w:tcW w:w="2086" w:type="dxa"/>
            <w:vAlign w:val="center"/>
          </w:tcPr>
          <w:p w14:paraId="48E78F32">
            <w:pPr>
              <w:adjustRightInd w:val="0"/>
              <w:snapToGrid w:val="0"/>
              <w:spacing w:line="300" w:lineRule="exact"/>
              <w:jc w:val="center"/>
              <w:rPr>
                <w:rFonts w:hint="default" w:ascii="宋体" w:hAnsi="宋体" w:eastAsia="宋体" w:cs="宋体"/>
                <w:color w:val="auto"/>
                <w:sz w:val="24"/>
                <w:lang w:val="en-US" w:eastAsia="zh-CN"/>
              </w:rPr>
            </w:pPr>
            <w:r>
              <w:rPr>
                <w:rFonts w:hint="eastAsia" w:cs="宋体"/>
                <w:color w:val="auto"/>
                <w:sz w:val="24"/>
                <w:lang w:val="en-US" w:eastAsia="zh-CN"/>
              </w:rPr>
              <w:t>证书名称及编号</w:t>
            </w:r>
          </w:p>
        </w:tc>
        <w:tc>
          <w:tcPr>
            <w:tcW w:w="1434" w:type="dxa"/>
            <w:vAlign w:val="center"/>
          </w:tcPr>
          <w:p w14:paraId="14BE6798">
            <w:pPr>
              <w:adjustRightInd w:val="0"/>
              <w:snapToGrid w:val="0"/>
              <w:spacing w:line="300" w:lineRule="exact"/>
              <w:jc w:val="center"/>
              <w:rPr>
                <w:rFonts w:ascii="宋体" w:hAnsi="宋体" w:cs="宋体"/>
                <w:color w:val="auto"/>
                <w:sz w:val="24"/>
              </w:rPr>
            </w:pPr>
          </w:p>
        </w:tc>
        <w:tc>
          <w:tcPr>
            <w:tcW w:w="1285" w:type="dxa"/>
            <w:vAlign w:val="center"/>
          </w:tcPr>
          <w:p w14:paraId="69988DD2">
            <w:pPr>
              <w:adjustRightInd w:val="0"/>
              <w:snapToGrid w:val="0"/>
              <w:spacing w:line="300" w:lineRule="exact"/>
              <w:jc w:val="center"/>
              <w:rPr>
                <w:rFonts w:hint="eastAsia" w:ascii="宋体" w:hAnsi="宋体" w:cs="宋体"/>
                <w:color w:val="auto"/>
                <w:sz w:val="24"/>
              </w:rPr>
            </w:pPr>
            <w:r>
              <w:rPr>
                <w:rFonts w:hint="eastAsia" w:ascii="宋体" w:hAnsi="宋体" w:cs="宋体"/>
                <w:color w:val="auto"/>
                <w:sz w:val="24"/>
              </w:rPr>
              <w:t>联系方式</w:t>
            </w:r>
          </w:p>
        </w:tc>
        <w:tc>
          <w:tcPr>
            <w:tcW w:w="1511" w:type="dxa"/>
            <w:vAlign w:val="center"/>
          </w:tcPr>
          <w:p w14:paraId="5EA50754">
            <w:pPr>
              <w:adjustRightInd w:val="0"/>
              <w:snapToGrid w:val="0"/>
              <w:spacing w:line="300" w:lineRule="exact"/>
              <w:jc w:val="center"/>
              <w:rPr>
                <w:rFonts w:ascii="宋体" w:hAnsi="宋体" w:cs="宋体"/>
                <w:color w:val="auto"/>
                <w:sz w:val="24"/>
              </w:rPr>
            </w:pPr>
          </w:p>
        </w:tc>
      </w:tr>
      <w:tr w14:paraId="4A17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714" w:type="dxa"/>
            <w:vAlign w:val="center"/>
          </w:tcPr>
          <w:p w14:paraId="53645B6E">
            <w:pPr>
              <w:adjustRightInd w:val="0"/>
              <w:snapToGrid w:val="0"/>
              <w:spacing w:line="300" w:lineRule="exact"/>
              <w:jc w:val="center"/>
              <w:rPr>
                <w:rFonts w:ascii="宋体" w:hAnsi="宋体" w:cs="宋体"/>
                <w:color w:val="auto"/>
                <w:sz w:val="24"/>
              </w:rPr>
            </w:pPr>
            <w:r>
              <w:rPr>
                <w:rFonts w:hint="eastAsia" w:cs="宋体"/>
                <w:color w:val="auto"/>
                <w:sz w:val="24"/>
                <w:lang w:eastAsia="zh-CN"/>
              </w:rPr>
              <w:t>服务期限</w:t>
            </w:r>
          </w:p>
        </w:tc>
        <w:tc>
          <w:tcPr>
            <w:tcW w:w="7825" w:type="dxa"/>
            <w:gridSpan w:val="5"/>
            <w:vAlign w:val="center"/>
          </w:tcPr>
          <w:p w14:paraId="76EED3F9">
            <w:pPr>
              <w:adjustRightInd w:val="0"/>
              <w:snapToGrid w:val="0"/>
              <w:spacing w:line="300" w:lineRule="exact"/>
              <w:jc w:val="center"/>
              <w:rPr>
                <w:rFonts w:ascii="宋体" w:hAnsi="宋体" w:cs="宋体"/>
                <w:color w:val="auto"/>
                <w:sz w:val="24"/>
              </w:rPr>
            </w:pPr>
          </w:p>
        </w:tc>
      </w:tr>
      <w:tr w14:paraId="4092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714" w:type="dxa"/>
            <w:vAlign w:val="center"/>
          </w:tcPr>
          <w:p w14:paraId="75717850">
            <w:pPr>
              <w:adjustRightInd w:val="0"/>
              <w:snapToGrid w:val="0"/>
              <w:spacing w:line="300" w:lineRule="exact"/>
              <w:jc w:val="center"/>
              <w:rPr>
                <w:rFonts w:hint="eastAsia" w:ascii="宋体" w:hAnsi="宋体" w:eastAsia="宋体" w:cs="宋体"/>
                <w:color w:val="auto"/>
                <w:sz w:val="24"/>
                <w:lang w:val="en-US" w:eastAsia="zh-CN"/>
              </w:rPr>
            </w:pPr>
            <w:r>
              <w:rPr>
                <w:rFonts w:hint="eastAsia" w:ascii="宋体" w:hAnsi="宋体" w:cs="宋体"/>
                <w:color w:val="auto"/>
                <w:sz w:val="24"/>
              </w:rPr>
              <w:t>质量</w:t>
            </w:r>
            <w:r>
              <w:rPr>
                <w:rFonts w:hint="eastAsia" w:cs="宋体"/>
                <w:color w:val="auto"/>
                <w:sz w:val="24"/>
                <w:lang w:val="en-US" w:eastAsia="zh-CN"/>
              </w:rPr>
              <w:t>要求</w:t>
            </w:r>
          </w:p>
        </w:tc>
        <w:tc>
          <w:tcPr>
            <w:tcW w:w="7825" w:type="dxa"/>
            <w:gridSpan w:val="5"/>
            <w:vAlign w:val="center"/>
          </w:tcPr>
          <w:p w14:paraId="0C482792">
            <w:pPr>
              <w:adjustRightInd w:val="0"/>
              <w:snapToGrid w:val="0"/>
              <w:spacing w:line="300" w:lineRule="exact"/>
              <w:jc w:val="center"/>
              <w:rPr>
                <w:rFonts w:ascii="宋体" w:hAnsi="宋体" w:cs="宋体"/>
                <w:color w:val="auto"/>
                <w:sz w:val="24"/>
              </w:rPr>
            </w:pPr>
          </w:p>
        </w:tc>
      </w:tr>
      <w:tr w14:paraId="7863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714" w:type="dxa"/>
            <w:vAlign w:val="center"/>
          </w:tcPr>
          <w:p w14:paraId="1C97E9F6">
            <w:pPr>
              <w:adjustRightInd w:val="0"/>
              <w:snapToGrid w:val="0"/>
              <w:spacing w:line="300" w:lineRule="exact"/>
              <w:jc w:val="center"/>
              <w:rPr>
                <w:rFonts w:ascii="宋体" w:hAnsi="宋体" w:cs="宋体"/>
                <w:color w:val="auto"/>
                <w:sz w:val="24"/>
              </w:rPr>
            </w:pPr>
            <w:r>
              <w:rPr>
                <w:rFonts w:hint="eastAsia" w:ascii="宋体" w:hAnsi="宋体" w:cs="宋体"/>
                <w:color w:val="auto"/>
                <w:sz w:val="24"/>
              </w:rPr>
              <w:t>投标有效期</w:t>
            </w:r>
          </w:p>
        </w:tc>
        <w:tc>
          <w:tcPr>
            <w:tcW w:w="7825" w:type="dxa"/>
            <w:gridSpan w:val="5"/>
            <w:vAlign w:val="center"/>
          </w:tcPr>
          <w:p w14:paraId="09B89CAB">
            <w:pPr>
              <w:adjustRightInd w:val="0"/>
              <w:snapToGrid w:val="0"/>
              <w:spacing w:line="300" w:lineRule="exact"/>
              <w:jc w:val="center"/>
              <w:rPr>
                <w:rFonts w:ascii="宋体" w:hAnsi="宋体" w:cs="宋体"/>
                <w:color w:val="auto"/>
                <w:sz w:val="24"/>
              </w:rPr>
            </w:pPr>
          </w:p>
        </w:tc>
      </w:tr>
      <w:tr w14:paraId="4EAE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1714" w:type="dxa"/>
            <w:vAlign w:val="center"/>
          </w:tcPr>
          <w:p w14:paraId="2150C237">
            <w:pPr>
              <w:adjustRightInd w:val="0"/>
              <w:snapToGrid w:val="0"/>
              <w:spacing w:line="300" w:lineRule="exact"/>
              <w:jc w:val="center"/>
              <w:rPr>
                <w:rFonts w:ascii="宋体" w:hAnsi="宋体" w:cs="宋体"/>
                <w:color w:val="auto"/>
                <w:sz w:val="24"/>
              </w:rPr>
            </w:pPr>
            <w:r>
              <w:rPr>
                <w:rFonts w:hint="eastAsia" w:ascii="宋体" w:hAnsi="宋体" w:cs="宋体"/>
                <w:color w:val="auto"/>
                <w:sz w:val="24"/>
              </w:rPr>
              <w:t>备注</w:t>
            </w:r>
          </w:p>
        </w:tc>
        <w:tc>
          <w:tcPr>
            <w:tcW w:w="7825" w:type="dxa"/>
            <w:gridSpan w:val="5"/>
            <w:vAlign w:val="center"/>
          </w:tcPr>
          <w:p w14:paraId="3254869A">
            <w:pPr>
              <w:adjustRightInd w:val="0"/>
              <w:snapToGrid w:val="0"/>
              <w:spacing w:line="300" w:lineRule="exact"/>
              <w:jc w:val="center"/>
              <w:rPr>
                <w:rFonts w:ascii="宋体" w:hAnsi="宋体" w:cs="宋体"/>
                <w:color w:val="auto"/>
                <w:sz w:val="24"/>
              </w:rPr>
            </w:pPr>
          </w:p>
        </w:tc>
      </w:tr>
    </w:tbl>
    <w:p w14:paraId="7BA3E6D0">
      <w:pPr>
        <w:spacing w:line="300" w:lineRule="exact"/>
        <w:rPr>
          <w:color w:val="auto"/>
          <w:szCs w:val="21"/>
        </w:rPr>
      </w:pPr>
    </w:p>
    <w:p w14:paraId="0EB070D6">
      <w:pPr>
        <w:spacing w:line="300" w:lineRule="exact"/>
        <w:rPr>
          <w:color w:val="auto"/>
          <w:szCs w:val="21"/>
        </w:rPr>
      </w:pPr>
    </w:p>
    <w:p w14:paraId="39A19EDE">
      <w:pPr>
        <w:spacing w:line="300" w:lineRule="exact"/>
        <w:ind w:firstLine="3600" w:firstLineChars="1500"/>
        <w:rPr>
          <w:color w:val="auto"/>
          <w:sz w:val="24"/>
        </w:rPr>
      </w:pPr>
      <w:r>
        <w:rPr>
          <w:rFonts w:hint="eastAsia"/>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color w:val="auto"/>
          <w:sz w:val="24"/>
        </w:rPr>
        <w:t>）</w:t>
      </w:r>
    </w:p>
    <w:p w14:paraId="100E6BC2">
      <w:pPr>
        <w:spacing w:line="300" w:lineRule="exact"/>
        <w:rPr>
          <w:color w:val="auto"/>
          <w:sz w:val="24"/>
        </w:rPr>
      </w:pPr>
    </w:p>
    <w:p w14:paraId="16891685">
      <w:pPr>
        <w:spacing w:line="300" w:lineRule="exact"/>
        <w:ind w:firstLine="3600" w:firstLineChars="1500"/>
        <w:rPr>
          <w:color w:val="auto"/>
          <w:sz w:val="24"/>
        </w:rPr>
      </w:pPr>
      <w:r>
        <w:rPr>
          <w:rFonts w:hint="eastAsia"/>
          <w:color w:val="auto"/>
          <w:sz w:val="24"/>
        </w:rPr>
        <w:t>联系人：          电话 ：</w:t>
      </w:r>
    </w:p>
    <w:p w14:paraId="29E1AF74">
      <w:pPr>
        <w:spacing w:line="300" w:lineRule="exact"/>
        <w:rPr>
          <w:color w:val="auto"/>
          <w:sz w:val="24"/>
        </w:rPr>
      </w:pPr>
    </w:p>
    <w:p w14:paraId="256DA17F">
      <w:pPr>
        <w:spacing w:line="300" w:lineRule="exact"/>
        <w:jc w:val="right"/>
        <w:rPr>
          <w:color w:val="auto"/>
          <w:sz w:val="24"/>
        </w:rPr>
      </w:pPr>
      <w:r>
        <w:rPr>
          <w:rFonts w:hint="eastAsia"/>
          <w:color w:val="auto"/>
          <w:sz w:val="24"/>
        </w:rPr>
        <w:t>法定代表人或其委托代理人：（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cs="宋体"/>
          <w:sz w:val="24"/>
          <w:szCs w:val="24"/>
          <w:lang w:val="en-US" w:eastAsia="zh-CN"/>
        </w:rPr>
        <w:t>或签字</w:t>
      </w:r>
      <w:r>
        <w:rPr>
          <w:rFonts w:hint="eastAsia"/>
          <w:color w:val="auto"/>
          <w:sz w:val="24"/>
        </w:rPr>
        <w:t>）</w:t>
      </w:r>
    </w:p>
    <w:p w14:paraId="27F01E1E">
      <w:pPr>
        <w:spacing w:line="300" w:lineRule="exact"/>
        <w:rPr>
          <w:color w:val="auto"/>
          <w:sz w:val="24"/>
        </w:rPr>
      </w:pPr>
    </w:p>
    <w:p w14:paraId="37B7E871">
      <w:pPr>
        <w:spacing w:line="300" w:lineRule="exact"/>
        <w:ind w:firstLine="3600" w:firstLineChars="1500"/>
        <w:rPr>
          <w:color w:val="auto"/>
          <w:sz w:val="24"/>
        </w:rPr>
      </w:pPr>
      <w:r>
        <w:rPr>
          <w:rFonts w:hint="eastAsia"/>
          <w:color w:val="auto"/>
          <w:sz w:val="24"/>
        </w:rPr>
        <w:t>日期：     年   月   日</w:t>
      </w:r>
    </w:p>
    <w:p w14:paraId="61A7A266">
      <w:pPr>
        <w:spacing w:before="38"/>
        <w:ind w:right="909"/>
        <w:jc w:val="both"/>
        <w:rPr>
          <w:b/>
          <w:color w:val="auto"/>
          <w:sz w:val="32"/>
        </w:rPr>
      </w:pPr>
      <w:r>
        <w:rPr>
          <w:b/>
          <w:color w:val="auto"/>
          <w:sz w:val="32"/>
        </w:rPr>
        <w:br w:type="page"/>
      </w:r>
    </w:p>
    <w:p w14:paraId="0ADA3E2B">
      <w:pPr>
        <w:pStyle w:val="26"/>
        <w:ind w:left="0"/>
        <w:jc w:val="center"/>
        <w:outlineLvl w:val="0"/>
        <w:rPr>
          <w:rFonts w:ascii="宋体" w:hAnsi="宋体"/>
          <w:color w:val="auto"/>
        </w:rPr>
      </w:pPr>
      <w:bookmarkStart w:id="295" w:name="_Toc424308521"/>
      <w:bookmarkStart w:id="296" w:name="_Toc30441"/>
      <w:bookmarkStart w:id="297" w:name="_Toc4976_WPSOffice_Level1"/>
      <w:bookmarkStart w:id="298" w:name="_Toc465887466"/>
      <w:bookmarkStart w:id="299" w:name="_Toc118"/>
      <w:bookmarkStart w:id="300" w:name="_Toc467255652"/>
      <w:bookmarkStart w:id="301" w:name="_Toc29682"/>
      <w:r>
        <w:rPr>
          <w:rFonts w:hint="eastAsia" w:ascii="宋体" w:hAnsi="宋体"/>
          <w:color w:val="auto"/>
        </w:rPr>
        <w:t>二、法定代表人身份证明</w:t>
      </w:r>
      <w:bookmarkEnd w:id="295"/>
      <w:bookmarkEnd w:id="296"/>
      <w:bookmarkEnd w:id="297"/>
      <w:bookmarkEnd w:id="298"/>
      <w:bookmarkEnd w:id="299"/>
      <w:bookmarkEnd w:id="300"/>
      <w:bookmarkEnd w:id="301"/>
    </w:p>
    <w:p w14:paraId="56DDEAD2">
      <w:pPr>
        <w:pStyle w:val="3"/>
        <w:tabs>
          <w:tab w:val="left" w:pos="720"/>
        </w:tabs>
        <w:snapToGrid w:val="0"/>
        <w:spacing w:before="0"/>
        <w:ind w:left="0"/>
        <w:outlineLvl w:val="9"/>
        <w:rPr>
          <w:b w:val="0"/>
          <w:color w:val="auto"/>
          <w:sz w:val="24"/>
          <w:szCs w:val="24"/>
        </w:rPr>
      </w:pPr>
      <w:bookmarkStart w:id="302" w:name="_Toc424308522"/>
      <w:bookmarkStart w:id="303" w:name="_Toc32377"/>
      <w:bookmarkStart w:id="304" w:name="_Toc465887467"/>
      <w:bookmarkStart w:id="305" w:name="_Toc467255653"/>
    </w:p>
    <w:p w14:paraId="107BDBE6">
      <w:pPr>
        <w:pStyle w:val="3"/>
        <w:tabs>
          <w:tab w:val="left" w:pos="720"/>
        </w:tabs>
        <w:snapToGrid w:val="0"/>
        <w:spacing w:before="0"/>
        <w:ind w:left="0"/>
        <w:rPr>
          <w:b w:val="0"/>
          <w:color w:val="auto"/>
          <w:sz w:val="24"/>
          <w:szCs w:val="24"/>
        </w:rPr>
      </w:pPr>
      <w:r>
        <w:rPr>
          <w:rFonts w:hint="eastAsia"/>
          <w:b w:val="0"/>
          <w:color w:val="auto"/>
          <w:sz w:val="24"/>
          <w:szCs w:val="24"/>
        </w:rPr>
        <w:t>单位名称：</w:t>
      </w:r>
      <w:bookmarkEnd w:id="302"/>
      <w:bookmarkEnd w:id="303"/>
      <w:bookmarkEnd w:id="304"/>
      <w:bookmarkEnd w:id="305"/>
    </w:p>
    <w:p w14:paraId="1C5AACAA">
      <w:pPr>
        <w:snapToGrid w:val="0"/>
        <w:rPr>
          <w:color w:val="auto"/>
          <w:sz w:val="24"/>
        </w:rPr>
      </w:pPr>
    </w:p>
    <w:p w14:paraId="2D3BEF2A">
      <w:pPr>
        <w:snapToGrid w:val="0"/>
        <w:rPr>
          <w:color w:val="auto"/>
          <w:sz w:val="24"/>
        </w:rPr>
      </w:pPr>
      <w:r>
        <w:rPr>
          <w:rFonts w:hint="eastAsia"/>
          <w:color w:val="auto"/>
          <w:sz w:val="24"/>
        </w:rPr>
        <w:t>单位性质：</w:t>
      </w:r>
    </w:p>
    <w:p w14:paraId="63A67E75">
      <w:pPr>
        <w:snapToGrid w:val="0"/>
        <w:rPr>
          <w:color w:val="auto"/>
          <w:sz w:val="24"/>
        </w:rPr>
      </w:pPr>
    </w:p>
    <w:p w14:paraId="1DDCF181">
      <w:pPr>
        <w:snapToGrid w:val="0"/>
        <w:rPr>
          <w:color w:val="auto"/>
          <w:sz w:val="24"/>
        </w:rPr>
      </w:pPr>
      <w:r>
        <w:rPr>
          <w:rFonts w:hint="eastAsia"/>
          <w:color w:val="auto"/>
          <w:sz w:val="24"/>
        </w:rPr>
        <w:t>地   址：</w:t>
      </w:r>
    </w:p>
    <w:p w14:paraId="48638871">
      <w:pPr>
        <w:snapToGrid w:val="0"/>
        <w:rPr>
          <w:color w:val="auto"/>
          <w:sz w:val="24"/>
        </w:rPr>
      </w:pPr>
    </w:p>
    <w:p w14:paraId="606735E7">
      <w:pPr>
        <w:snapToGrid w:val="0"/>
        <w:rPr>
          <w:color w:val="auto"/>
          <w:sz w:val="24"/>
        </w:rPr>
      </w:pPr>
      <w:r>
        <w:rPr>
          <w:rFonts w:hint="eastAsia"/>
          <w:color w:val="auto"/>
          <w:sz w:val="24"/>
        </w:rPr>
        <w:t>成立时间：</w:t>
      </w:r>
    </w:p>
    <w:p w14:paraId="4525B86B">
      <w:pPr>
        <w:snapToGrid w:val="0"/>
        <w:rPr>
          <w:color w:val="auto"/>
          <w:sz w:val="24"/>
        </w:rPr>
      </w:pPr>
    </w:p>
    <w:p w14:paraId="4676F5A3">
      <w:pPr>
        <w:snapToGrid w:val="0"/>
        <w:rPr>
          <w:color w:val="auto"/>
          <w:sz w:val="24"/>
        </w:rPr>
      </w:pPr>
      <w:r>
        <w:rPr>
          <w:rFonts w:hint="eastAsia"/>
          <w:color w:val="auto"/>
          <w:sz w:val="24"/>
        </w:rPr>
        <w:t>经营期限：</w:t>
      </w:r>
    </w:p>
    <w:p w14:paraId="015D24ED">
      <w:pPr>
        <w:snapToGrid w:val="0"/>
        <w:rPr>
          <w:color w:val="auto"/>
          <w:sz w:val="24"/>
        </w:rPr>
      </w:pPr>
    </w:p>
    <w:p w14:paraId="26B60C68">
      <w:pPr>
        <w:snapToGrid w:val="0"/>
        <w:rPr>
          <w:color w:val="auto"/>
          <w:sz w:val="24"/>
          <w:u w:val="single"/>
        </w:rPr>
      </w:pPr>
      <w:r>
        <w:rPr>
          <w:rFonts w:hint="eastAsia"/>
          <w:color w:val="auto"/>
          <w:sz w:val="24"/>
        </w:rPr>
        <w:t>姓  名：</w:t>
      </w:r>
      <w:r>
        <w:rPr>
          <w:rFonts w:hint="eastAsia"/>
          <w:color w:val="auto"/>
          <w:sz w:val="24"/>
          <w:lang w:val="en-US" w:eastAsia="zh-CN"/>
        </w:rPr>
        <w:t xml:space="preserve">     </w:t>
      </w:r>
      <w:r>
        <w:rPr>
          <w:rFonts w:hint="eastAsia"/>
          <w:color w:val="auto"/>
          <w:sz w:val="24"/>
        </w:rPr>
        <w:t xml:space="preserve"> 性 别：</w:t>
      </w:r>
    </w:p>
    <w:p w14:paraId="6A262ECC">
      <w:pPr>
        <w:snapToGrid w:val="0"/>
        <w:rPr>
          <w:color w:val="auto"/>
          <w:sz w:val="24"/>
          <w:u w:val="single"/>
        </w:rPr>
      </w:pPr>
    </w:p>
    <w:p w14:paraId="2F12FB71">
      <w:pPr>
        <w:snapToGrid w:val="0"/>
        <w:rPr>
          <w:color w:val="auto"/>
          <w:sz w:val="24"/>
        </w:rPr>
      </w:pPr>
      <w:r>
        <w:rPr>
          <w:rFonts w:hint="eastAsia"/>
          <w:color w:val="auto"/>
          <w:sz w:val="24"/>
        </w:rPr>
        <w:t xml:space="preserve">年 龄：  </w:t>
      </w:r>
      <w:r>
        <w:rPr>
          <w:rFonts w:hint="eastAsia"/>
          <w:color w:val="auto"/>
          <w:sz w:val="24"/>
          <w:lang w:val="en-US" w:eastAsia="zh-CN"/>
        </w:rPr>
        <w:t xml:space="preserve">    </w:t>
      </w:r>
      <w:r>
        <w:rPr>
          <w:rFonts w:hint="eastAsia"/>
          <w:color w:val="auto"/>
          <w:sz w:val="24"/>
        </w:rPr>
        <w:t xml:space="preserve"> 职务：</w:t>
      </w:r>
    </w:p>
    <w:p w14:paraId="0370BEA4">
      <w:pPr>
        <w:snapToGrid w:val="0"/>
        <w:rPr>
          <w:color w:val="auto"/>
          <w:sz w:val="24"/>
        </w:rPr>
      </w:pPr>
    </w:p>
    <w:p w14:paraId="66F24F80">
      <w:pPr>
        <w:snapToGrid w:val="0"/>
        <w:rPr>
          <w:color w:val="auto"/>
          <w:sz w:val="24"/>
        </w:rPr>
      </w:pPr>
      <w:r>
        <w:rPr>
          <w:rFonts w:hint="eastAsia"/>
          <w:color w:val="auto"/>
          <w:sz w:val="24"/>
        </w:rPr>
        <w:t>系（投标供应商名称）的法定代表人。</w:t>
      </w:r>
    </w:p>
    <w:p w14:paraId="5F7C9F8A">
      <w:pPr>
        <w:snapToGrid w:val="0"/>
        <w:spacing w:line="360" w:lineRule="auto"/>
        <w:rPr>
          <w:color w:val="auto"/>
          <w:sz w:val="24"/>
        </w:rPr>
      </w:pPr>
    </w:p>
    <w:p w14:paraId="2EC90B05">
      <w:pPr>
        <w:snapToGrid w:val="0"/>
        <w:spacing w:line="360" w:lineRule="auto"/>
        <w:rPr>
          <w:color w:val="auto"/>
          <w:sz w:val="24"/>
        </w:rPr>
      </w:pPr>
    </w:p>
    <w:p w14:paraId="060E32DD">
      <w:pPr>
        <w:snapToGrid w:val="0"/>
        <w:rPr>
          <w:rFonts w:hint="eastAsia"/>
          <w:color w:val="auto"/>
          <w:sz w:val="24"/>
        </w:rPr>
      </w:pPr>
      <w:r>
        <w:rPr>
          <w:rFonts w:hint="eastAsia"/>
          <w:color w:val="auto"/>
          <w:sz w:val="24"/>
        </w:rPr>
        <w:t xml:space="preserve">特此证明   </w:t>
      </w:r>
    </w:p>
    <w:p w14:paraId="17A84035">
      <w:pPr>
        <w:snapToGrid w:val="0"/>
        <w:rPr>
          <w:rFonts w:hint="eastAsia"/>
          <w:color w:val="auto"/>
          <w:sz w:val="24"/>
        </w:rPr>
      </w:pPr>
    </w:p>
    <w:p w14:paraId="0CB66372">
      <w:pPr>
        <w:pStyle w:val="8"/>
        <w:ind w:left="0" w:leftChars="0" w:firstLine="0" w:firstLineChars="0"/>
        <w:rPr>
          <w:sz w:val="24"/>
          <w:szCs w:val="24"/>
        </w:rPr>
      </w:pPr>
      <w:r>
        <w:rPr>
          <w:sz w:val="24"/>
          <w:szCs w:val="24"/>
        </w:rPr>
        <w:t>附：法定代表人身份证复印件</w:t>
      </w:r>
    </w:p>
    <w:p w14:paraId="14A568E2">
      <w:pPr>
        <w:snapToGrid w:val="0"/>
        <w:rPr>
          <w:rFonts w:hint="eastAsia"/>
          <w:color w:val="auto"/>
          <w:sz w:val="24"/>
        </w:rPr>
      </w:pPr>
    </w:p>
    <w:p w14:paraId="7D9C4043">
      <w:pPr>
        <w:snapToGrid w:val="0"/>
        <w:rPr>
          <w:rFonts w:hint="eastAsia"/>
          <w:color w:val="auto"/>
          <w:sz w:val="24"/>
        </w:rPr>
      </w:pPr>
    </w:p>
    <w:p w14:paraId="41C03F37">
      <w:pPr>
        <w:snapToGrid w:val="0"/>
        <w:rPr>
          <w:rFonts w:hint="eastAsia"/>
          <w:color w:val="auto"/>
          <w:sz w:val="24"/>
        </w:rPr>
      </w:pPr>
    </w:p>
    <w:p w14:paraId="48279C51">
      <w:pPr>
        <w:snapToGrid w:val="0"/>
        <w:jc w:val="center"/>
        <w:rPr>
          <w:rFonts w:hint="eastAsia"/>
          <w:color w:val="auto"/>
          <w:sz w:val="24"/>
        </w:rPr>
      </w:pPr>
      <w:r>
        <w:rPr>
          <w:rFonts w:hint="eastAsia"/>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color w:val="auto"/>
          <w:sz w:val="24"/>
        </w:rPr>
        <w:t>）</w:t>
      </w:r>
    </w:p>
    <w:p w14:paraId="05095FCD">
      <w:pPr>
        <w:snapToGrid w:val="0"/>
        <w:spacing w:line="360" w:lineRule="auto"/>
        <w:rPr>
          <w:color w:val="auto"/>
        </w:rPr>
      </w:pPr>
    </w:p>
    <w:p w14:paraId="350142F9">
      <w:pPr>
        <w:snapToGrid w:val="0"/>
        <w:spacing w:line="360" w:lineRule="auto"/>
        <w:jc w:val="center"/>
        <w:rPr>
          <w:color w:val="auto"/>
          <w:sz w:val="24"/>
        </w:rPr>
      </w:pPr>
      <w:bookmarkStart w:id="306" w:name="_Toc11862_WPSOffice_Level2"/>
      <w:r>
        <w:rPr>
          <w:rFonts w:hint="eastAsia"/>
          <w:color w:val="auto"/>
          <w:sz w:val="24"/>
        </w:rPr>
        <w:t>年    月    日</w:t>
      </w:r>
      <w:bookmarkEnd w:id="306"/>
    </w:p>
    <w:p w14:paraId="0F7F1325">
      <w:pPr>
        <w:pStyle w:val="4"/>
        <w:tabs>
          <w:tab w:val="left" w:pos="425"/>
          <w:tab w:val="left" w:pos="720"/>
        </w:tabs>
        <w:ind w:left="288"/>
        <w:jc w:val="center"/>
        <w:outlineLvl w:val="9"/>
        <w:rPr>
          <w:color w:val="auto"/>
        </w:rPr>
      </w:pPr>
      <w:r>
        <w:rPr>
          <w:rFonts w:hint="eastAsia"/>
          <w:bCs w:val="0"/>
          <w:color w:val="auto"/>
          <w:sz w:val="36"/>
          <w:szCs w:val="36"/>
        </w:rPr>
        <w:br w:type="page"/>
      </w:r>
    </w:p>
    <w:p w14:paraId="182E5559">
      <w:pPr>
        <w:pStyle w:val="26"/>
        <w:ind w:left="0"/>
        <w:jc w:val="center"/>
        <w:outlineLvl w:val="0"/>
        <w:rPr>
          <w:rFonts w:ascii="宋体" w:hAnsi="宋体"/>
          <w:color w:val="auto"/>
        </w:rPr>
      </w:pPr>
      <w:bookmarkStart w:id="307" w:name="_Toc424308523"/>
      <w:bookmarkStart w:id="308" w:name="_Toc13521"/>
      <w:bookmarkStart w:id="309" w:name="_Toc465887468"/>
      <w:bookmarkStart w:id="310" w:name="_Toc3669_WPSOffice_Level1"/>
      <w:bookmarkStart w:id="311" w:name="_Toc467255654"/>
      <w:bookmarkStart w:id="312" w:name="_Toc25543"/>
      <w:bookmarkStart w:id="313" w:name="_Toc29749"/>
      <w:r>
        <w:rPr>
          <w:rFonts w:hint="eastAsia" w:ascii="宋体" w:hAnsi="宋体"/>
          <w:color w:val="auto"/>
        </w:rPr>
        <w:t>三、授权</w:t>
      </w:r>
      <w:r>
        <w:rPr>
          <w:rFonts w:hint="eastAsia" w:ascii="宋体" w:hAnsi="宋体"/>
          <w:color w:val="auto"/>
          <w:lang w:val="en-US" w:eastAsia="zh-CN"/>
        </w:rPr>
        <w:t>委托</w:t>
      </w:r>
      <w:r>
        <w:rPr>
          <w:rFonts w:hint="eastAsia" w:ascii="宋体" w:hAnsi="宋体"/>
          <w:color w:val="auto"/>
        </w:rPr>
        <w:t>书</w:t>
      </w:r>
      <w:bookmarkEnd w:id="307"/>
      <w:bookmarkEnd w:id="308"/>
      <w:bookmarkEnd w:id="309"/>
      <w:bookmarkEnd w:id="310"/>
      <w:bookmarkEnd w:id="311"/>
      <w:bookmarkEnd w:id="312"/>
      <w:bookmarkEnd w:id="313"/>
    </w:p>
    <w:p w14:paraId="0A0D4D38">
      <w:pPr>
        <w:snapToGrid w:val="0"/>
        <w:spacing w:line="360" w:lineRule="auto"/>
        <w:ind w:firstLine="480" w:firstLineChars="200"/>
        <w:rPr>
          <w:color w:val="auto"/>
          <w:sz w:val="24"/>
        </w:rPr>
      </w:pPr>
    </w:p>
    <w:p w14:paraId="6AAD4EE1">
      <w:pPr>
        <w:spacing w:line="600" w:lineRule="auto"/>
        <w:ind w:firstLine="480" w:firstLineChars="200"/>
        <w:rPr>
          <w:color w:val="auto"/>
          <w:sz w:val="24"/>
          <w:szCs w:val="24"/>
        </w:rPr>
      </w:pPr>
      <w:r>
        <w:rPr>
          <w:rFonts w:hint="eastAsia"/>
          <w:color w:val="auto"/>
          <w:sz w:val="24"/>
          <w:szCs w:val="24"/>
        </w:rPr>
        <w:t>本人</w:t>
      </w:r>
      <w:r>
        <w:rPr>
          <w:rFonts w:hint="eastAsia"/>
          <w:color w:val="auto"/>
          <w:sz w:val="24"/>
          <w:szCs w:val="24"/>
          <w:u w:val="single"/>
        </w:rPr>
        <w:t>（姓名）</w:t>
      </w:r>
      <w:r>
        <w:rPr>
          <w:rFonts w:hint="eastAsia"/>
          <w:color w:val="auto"/>
          <w:sz w:val="24"/>
          <w:szCs w:val="24"/>
        </w:rPr>
        <w:t>系</w:t>
      </w:r>
      <w:r>
        <w:rPr>
          <w:rFonts w:hint="eastAsia"/>
          <w:color w:val="auto"/>
          <w:sz w:val="24"/>
          <w:szCs w:val="24"/>
          <w:u w:val="single"/>
        </w:rPr>
        <w:t>（供应商人名称）</w:t>
      </w:r>
      <w:r>
        <w:rPr>
          <w:rFonts w:hint="eastAsia"/>
          <w:color w:val="auto"/>
          <w:sz w:val="24"/>
          <w:szCs w:val="24"/>
        </w:rPr>
        <w:t>的法定代表人，现委托</w:t>
      </w:r>
      <w:r>
        <w:rPr>
          <w:rFonts w:hint="eastAsia"/>
          <w:color w:val="auto"/>
          <w:sz w:val="24"/>
          <w:szCs w:val="24"/>
          <w:u w:val="single"/>
        </w:rPr>
        <w:t>（姓名）</w:t>
      </w:r>
      <w:r>
        <w:rPr>
          <w:rFonts w:hint="eastAsia"/>
          <w:color w:val="auto"/>
          <w:sz w:val="24"/>
          <w:szCs w:val="24"/>
        </w:rPr>
        <w:t>为我方代理人。代理人根据授权，以我方名义签署、澄清、说明、补正、递交、撤回、修改</w:t>
      </w:r>
      <w:r>
        <w:rPr>
          <w:rFonts w:hint="eastAsia"/>
          <w:color w:val="auto"/>
          <w:sz w:val="24"/>
          <w:szCs w:val="24"/>
          <w:u w:val="single"/>
        </w:rPr>
        <w:t>（项目名称</w:t>
      </w:r>
      <w:r>
        <w:rPr>
          <w:rFonts w:hint="eastAsia"/>
          <w:color w:val="auto"/>
          <w:sz w:val="24"/>
          <w:szCs w:val="24"/>
          <w:u w:val="single"/>
          <w:lang w:eastAsia="zh-CN"/>
        </w:rPr>
        <w:t>）</w:t>
      </w:r>
      <w:r>
        <w:rPr>
          <w:rFonts w:hint="eastAsia"/>
          <w:color w:val="auto"/>
          <w:sz w:val="24"/>
          <w:szCs w:val="24"/>
        </w:rPr>
        <w:t>的响应文件、签订合同和处理有关事宜，其法律后果由我方承担。</w:t>
      </w:r>
    </w:p>
    <w:p w14:paraId="28964D5C">
      <w:pPr>
        <w:spacing w:line="480" w:lineRule="auto"/>
        <w:ind w:firstLine="567"/>
        <w:textAlignment w:val="baseline"/>
        <w:rPr>
          <w:rFonts w:hint="eastAsia" w:ascii="宋体" w:hAnsi="宋体" w:eastAsia="宋体" w:cs="宋体"/>
          <w:sz w:val="24"/>
          <w:szCs w:val="24"/>
        </w:rPr>
      </w:pPr>
      <w:r>
        <w:rPr>
          <w:rFonts w:hint="eastAsia" w:ascii="宋体" w:hAnsi="宋体" w:eastAsia="宋体" w:cs="宋体"/>
          <w:sz w:val="24"/>
          <w:szCs w:val="24"/>
        </w:rPr>
        <w:t>委托期限</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w:t>
      </w:r>
    </w:p>
    <w:p w14:paraId="65F6265A">
      <w:pPr>
        <w:spacing w:line="480" w:lineRule="auto"/>
        <w:ind w:firstLine="567"/>
        <w:textAlignment w:val="baseline"/>
        <w:rPr>
          <w:color w:val="auto"/>
          <w:sz w:val="24"/>
          <w:szCs w:val="24"/>
        </w:rPr>
      </w:pPr>
      <w:r>
        <w:rPr>
          <w:rFonts w:hint="eastAsia" w:ascii="宋体" w:hAnsi="宋体" w:eastAsia="宋体" w:cs="宋体"/>
          <w:sz w:val="24"/>
          <w:szCs w:val="24"/>
        </w:rPr>
        <w:t>代理人无转委托权。</w:t>
      </w:r>
    </w:p>
    <w:p w14:paraId="7A5235AF">
      <w:pPr>
        <w:ind w:firstLine="480" w:firstLineChars="200"/>
        <w:rPr>
          <w:color w:val="auto"/>
          <w:sz w:val="24"/>
          <w:szCs w:val="24"/>
        </w:rPr>
      </w:pPr>
      <w:r>
        <w:rPr>
          <w:rFonts w:hint="eastAsia"/>
          <w:color w:val="auto"/>
          <w:sz w:val="24"/>
          <w:szCs w:val="24"/>
        </w:rPr>
        <w:t>附：法定代表人身份证和委托人身份证</w:t>
      </w:r>
      <w:r>
        <w:rPr>
          <w:sz w:val="24"/>
          <w:szCs w:val="24"/>
        </w:rPr>
        <w:t>复印件</w:t>
      </w:r>
    </w:p>
    <w:p w14:paraId="19C4E3CE">
      <w:pPr>
        <w:spacing w:line="740" w:lineRule="exact"/>
        <w:ind w:firstLine="480" w:firstLineChars="200"/>
        <w:rPr>
          <w:color w:val="auto"/>
          <w:sz w:val="24"/>
        </w:rPr>
      </w:pPr>
    </w:p>
    <w:p w14:paraId="3A1FAA15">
      <w:pPr>
        <w:spacing w:line="740" w:lineRule="exact"/>
        <w:rPr>
          <w:color w:val="auto"/>
          <w:sz w:val="24"/>
        </w:rPr>
      </w:pPr>
      <w:r>
        <w:rPr>
          <w:rFonts w:hint="eastAsia"/>
          <w:color w:val="auto"/>
          <w:sz w:val="24"/>
          <w:lang w:val="en-US" w:eastAsia="zh-CN"/>
        </w:rPr>
        <w:t>供应商</w:t>
      </w:r>
      <w:r>
        <w:rPr>
          <w:rFonts w:hint="eastAsia"/>
          <w:color w:val="auto"/>
          <w:sz w:val="24"/>
        </w:rPr>
        <w:t>： （</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color w:val="auto"/>
          <w:sz w:val="24"/>
        </w:rPr>
        <w:t>）</w:t>
      </w:r>
    </w:p>
    <w:p w14:paraId="36B991A8">
      <w:pPr>
        <w:spacing w:line="740" w:lineRule="exact"/>
        <w:rPr>
          <w:color w:val="auto"/>
          <w:sz w:val="24"/>
          <w:u w:val="single"/>
        </w:rPr>
      </w:pPr>
      <w:r>
        <w:rPr>
          <w:rFonts w:hint="eastAsia"/>
          <w:color w:val="auto"/>
          <w:sz w:val="24"/>
        </w:rPr>
        <w:t>法定代表人：（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cs="宋体"/>
          <w:sz w:val="24"/>
          <w:szCs w:val="24"/>
          <w:lang w:val="en-US" w:eastAsia="zh-CN"/>
        </w:rPr>
        <w:t>或签字</w:t>
      </w:r>
      <w:r>
        <w:rPr>
          <w:rFonts w:hint="eastAsia"/>
          <w:color w:val="auto"/>
          <w:sz w:val="24"/>
        </w:rPr>
        <w:t>）</w:t>
      </w:r>
    </w:p>
    <w:p w14:paraId="151BB1D3">
      <w:pPr>
        <w:spacing w:line="740" w:lineRule="exact"/>
        <w:rPr>
          <w:rFonts w:hint="eastAsia" w:eastAsia="宋体"/>
          <w:color w:val="auto"/>
          <w:sz w:val="24"/>
          <w:u w:val="single"/>
          <w:lang w:eastAsia="zh-CN"/>
        </w:rPr>
      </w:pPr>
      <w:r>
        <w:rPr>
          <w:rFonts w:hint="eastAsia"/>
          <w:color w:val="auto"/>
          <w:sz w:val="24"/>
        </w:rPr>
        <w:t>委托代理人：</w:t>
      </w:r>
      <w:r>
        <w:rPr>
          <w:rFonts w:hint="eastAsia"/>
          <w:color w:val="auto"/>
          <w:sz w:val="24"/>
          <w:lang w:eastAsia="zh-CN"/>
        </w:rPr>
        <w:t>（</w:t>
      </w:r>
      <w:r>
        <w:rPr>
          <w:rFonts w:hint="eastAsia"/>
          <w:color w:val="auto"/>
          <w:sz w:val="24"/>
          <w:lang w:val="en-US" w:eastAsia="zh-CN"/>
        </w:rPr>
        <w:t>签字</w:t>
      </w:r>
      <w:r>
        <w:rPr>
          <w:rFonts w:hint="eastAsia"/>
          <w:color w:val="auto"/>
          <w:sz w:val="24"/>
          <w:lang w:eastAsia="zh-CN"/>
        </w:rPr>
        <w:t>）</w:t>
      </w:r>
    </w:p>
    <w:p w14:paraId="10FCA5F9">
      <w:pPr>
        <w:spacing w:line="740" w:lineRule="exact"/>
        <w:rPr>
          <w:rFonts w:hint="eastAsia"/>
          <w:color w:val="auto"/>
          <w:sz w:val="24"/>
          <w:u w:val="single"/>
        </w:rPr>
      </w:pPr>
      <w:r>
        <w:rPr>
          <w:rFonts w:hint="eastAsia" w:ascii="宋体" w:hAnsi="宋体" w:eastAsia="宋体" w:cs="宋体"/>
          <w:color w:val="auto"/>
          <w:sz w:val="24"/>
        </w:rPr>
        <w:t>日</w:t>
      </w:r>
      <w:r>
        <w:rPr>
          <w:rFonts w:hint="eastAsia" w:ascii="宋体" w:hAnsi="宋体" w:eastAsia="宋体" w:cs="宋体"/>
          <w:color w:val="auto"/>
          <w:sz w:val="24"/>
        </w:rPr>
        <w:tab/>
      </w:r>
      <w:r>
        <w:rPr>
          <w:rFonts w:hint="eastAsia" w:ascii="宋体" w:hAnsi="宋体" w:eastAsia="宋体" w:cs="宋体"/>
          <w:color w:val="auto"/>
          <w:sz w:val="24"/>
        </w:rPr>
        <w:t>期</w:t>
      </w:r>
      <w:r>
        <w:rPr>
          <w:rFonts w:hint="eastAsia" w:ascii="宋体" w:hAnsi="宋体" w:eastAsia="宋体" w:cs="宋体"/>
          <w:sz w:val="24"/>
          <w:szCs w:val="24"/>
        </w:rPr>
        <w:t>：</w:t>
      </w:r>
      <w:r>
        <w:rPr>
          <w:sz w:val="24"/>
          <w:szCs w:val="24"/>
          <w:u w:val="single"/>
        </w:rPr>
        <w:tab/>
      </w:r>
      <w:r>
        <w:rPr>
          <w:rFonts w:hint="eastAsia"/>
          <w:sz w:val="24"/>
          <w:szCs w:val="24"/>
          <w:u w:val="single"/>
          <w:lang w:val="en-US" w:eastAsia="zh-CN"/>
        </w:rPr>
        <w:t xml:space="preserve">  年      月     日</w:t>
      </w:r>
    </w:p>
    <w:p w14:paraId="33C89D1A">
      <w:pPr>
        <w:pStyle w:val="4"/>
        <w:ind w:left="892" w:right="909"/>
        <w:jc w:val="center"/>
        <w:outlineLvl w:val="9"/>
        <w:rPr>
          <w:color w:val="auto"/>
        </w:rPr>
      </w:pPr>
    </w:p>
    <w:p w14:paraId="1245BE7B">
      <w:pPr>
        <w:jc w:val="center"/>
        <w:rPr>
          <w:color w:val="auto"/>
        </w:rPr>
      </w:pPr>
      <w:r>
        <w:rPr>
          <w:color w:val="auto"/>
        </w:rPr>
        <w:br w:type="page"/>
      </w:r>
    </w:p>
    <w:p w14:paraId="2677B714">
      <w:pPr>
        <w:spacing w:line="400" w:lineRule="exact"/>
        <w:ind w:firstLine="562" w:firstLineChars="200"/>
        <w:jc w:val="center"/>
        <w:outlineLvl w:val="0"/>
        <w:rPr>
          <w:rFonts w:hint="eastAsia" w:ascii="宋体" w:hAnsi="宋体" w:eastAsia="宋体" w:cs="宋体"/>
          <w:b/>
          <w:bCs w:val="0"/>
          <w:sz w:val="28"/>
          <w:szCs w:val="28"/>
          <w:lang w:eastAsia="zh-CN"/>
        </w:rPr>
      </w:pPr>
      <w:bookmarkStart w:id="314" w:name="_Toc25188"/>
      <w:bookmarkStart w:id="315" w:name="_Toc27582"/>
      <w:bookmarkStart w:id="316" w:name="_Toc23548"/>
      <w:bookmarkStart w:id="317" w:name="_Toc31152"/>
      <w:r>
        <w:rPr>
          <w:rFonts w:hint="eastAsia"/>
          <w:b/>
          <w:bCs/>
          <w:color w:val="auto"/>
          <w:sz w:val="28"/>
          <w:szCs w:val="28"/>
        </w:rPr>
        <w:t>四、</w:t>
      </w:r>
      <w:bookmarkEnd w:id="314"/>
      <w:bookmarkEnd w:id="315"/>
      <w:bookmarkEnd w:id="316"/>
      <w:bookmarkEnd w:id="317"/>
      <w:r>
        <w:rPr>
          <w:rFonts w:hint="eastAsia" w:ascii="宋体" w:hAnsi="宋体" w:eastAsia="宋体" w:cs="宋体"/>
          <w:b/>
          <w:bCs w:val="0"/>
          <w:sz w:val="28"/>
          <w:szCs w:val="28"/>
          <w:lang w:eastAsia="zh-CN"/>
        </w:rPr>
        <w:t>磋商承诺函</w:t>
      </w:r>
    </w:p>
    <w:p w14:paraId="18F45D5F">
      <w:pPr>
        <w:pStyle w:val="8"/>
        <w:spacing w:before="184" w:line="360" w:lineRule="auto"/>
        <w:ind w:left="220"/>
        <w:rPr>
          <w:rFonts w:hint="eastAsia" w:ascii="宋体" w:hAnsi="宋体" w:eastAsia="宋体" w:cs="宋体"/>
          <w:sz w:val="24"/>
          <w:szCs w:val="24"/>
        </w:rPr>
      </w:pPr>
      <w:r>
        <w:rPr>
          <w:rFonts w:hint="eastAsia" w:ascii="宋体" w:hAnsi="宋体" w:eastAsia="宋体" w:cs="宋体"/>
          <w:sz w:val="24"/>
          <w:szCs w:val="24"/>
        </w:rPr>
        <w:t>致 （采购人）：</w:t>
      </w:r>
    </w:p>
    <w:p w14:paraId="4EB87662">
      <w:pPr>
        <w:pStyle w:val="8"/>
        <w:spacing w:before="2" w:line="360" w:lineRule="auto"/>
        <w:ind w:left="700" w:right="865"/>
        <w:rPr>
          <w:rFonts w:hint="eastAsia" w:ascii="宋体" w:hAnsi="宋体" w:eastAsia="宋体" w:cs="宋体"/>
          <w:sz w:val="24"/>
          <w:szCs w:val="24"/>
        </w:rPr>
      </w:pPr>
      <w:r>
        <w:rPr>
          <w:rFonts w:hint="eastAsia" w:ascii="宋体" w:hAnsi="宋体" w:eastAsia="宋体" w:cs="宋体"/>
          <w:sz w:val="24"/>
          <w:szCs w:val="24"/>
        </w:rPr>
        <w:t>我公司作为本次采购项目的供应商，根据竞争性磋商文件要求，</w:t>
      </w:r>
    </w:p>
    <w:p w14:paraId="0AE6D0C6">
      <w:pPr>
        <w:pStyle w:val="8"/>
        <w:spacing w:before="2" w:line="360" w:lineRule="auto"/>
        <w:ind w:left="0" w:leftChars="0" w:right="865" w:firstLine="0" w:firstLineChars="0"/>
        <w:rPr>
          <w:rFonts w:hint="eastAsia" w:ascii="宋体" w:hAnsi="宋体" w:eastAsia="宋体" w:cs="宋体"/>
          <w:sz w:val="24"/>
          <w:szCs w:val="24"/>
        </w:rPr>
      </w:pPr>
      <w:r>
        <w:rPr>
          <w:rFonts w:hint="eastAsia" w:ascii="宋体" w:hAnsi="宋体" w:eastAsia="宋体" w:cs="宋体"/>
          <w:sz w:val="24"/>
          <w:szCs w:val="24"/>
        </w:rPr>
        <w:t>现郑重承诺如下：</w:t>
      </w:r>
    </w:p>
    <w:p w14:paraId="4A846754">
      <w:pPr>
        <w:pStyle w:val="8"/>
        <w:spacing w:before="2" w:line="360" w:lineRule="auto"/>
        <w:ind w:left="0" w:leftChars="0" w:right="865" w:firstLine="0" w:firstLineChars="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一、具备《中华人民共和国政府采购法》第</w:t>
      </w:r>
      <w:r>
        <w:rPr>
          <w:rFonts w:hint="eastAsia" w:ascii="宋体" w:hAnsi="宋体" w:eastAsia="宋体" w:cs="宋体"/>
          <w:sz w:val="24"/>
          <w:szCs w:val="24"/>
          <w:lang w:val="en-US" w:eastAsia="zh-CN"/>
        </w:rPr>
        <w:t>二</w:t>
      </w:r>
      <w:r>
        <w:rPr>
          <w:rFonts w:hint="eastAsia" w:ascii="宋体" w:hAnsi="宋体" w:eastAsia="宋体" w:cs="宋体"/>
          <w:sz w:val="24"/>
          <w:szCs w:val="24"/>
        </w:rPr>
        <w:t>十二条第一款和本项目规定的条件：</w:t>
      </w:r>
    </w:p>
    <w:p w14:paraId="432ACDC2">
      <w:pPr>
        <w:pStyle w:val="8"/>
        <w:spacing w:before="3" w:line="360" w:lineRule="auto"/>
        <w:ind w:left="700"/>
        <w:rPr>
          <w:rFonts w:hint="eastAsia" w:ascii="宋体" w:hAnsi="宋体" w:eastAsia="宋体" w:cs="宋体"/>
          <w:sz w:val="24"/>
          <w:szCs w:val="24"/>
        </w:rPr>
      </w:pPr>
      <w:r>
        <w:rPr>
          <w:rFonts w:hint="eastAsia" w:ascii="宋体" w:hAnsi="宋体" w:eastAsia="宋体" w:cs="宋体"/>
          <w:sz w:val="24"/>
          <w:szCs w:val="24"/>
        </w:rPr>
        <w:t>（一）具有独立承担民事责任的能力；</w:t>
      </w:r>
    </w:p>
    <w:p w14:paraId="7A3A7617">
      <w:pPr>
        <w:pStyle w:val="8"/>
        <w:spacing w:before="2" w:line="360" w:lineRule="auto"/>
        <w:ind w:left="700"/>
        <w:rPr>
          <w:rFonts w:hint="eastAsia" w:ascii="宋体" w:hAnsi="宋体" w:eastAsia="宋体" w:cs="宋体"/>
          <w:sz w:val="24"/>
          <w:szCs w:val="24"/>
        </w:rPr>
      </w:pPr>
      <w:r>
        <w:rPr>
          <w:rFonts w:hint="eastAsia" w:ascii="宋体" w:hAnsi="宋体" w:eastAsia="宋体" w:cs="宋体"/>
          <w:sz w:val="24"/>
          <w:szCs w:val="24"/>
        </w:rPr>
        <w:t>（二）具有良好的商业信誉和健全的财务会计制度；</w:t>
      </w:r>
    </w:p>
    <w:p w14:paraId="78095D5F">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（三）具有履行合同所必需的设备和专业技术能力；</w:t>
      </w:r>
    </w:p>
    <w:p w14:paraId="1A952902">
      <w:pPr>
        <w:pStyle w:val="8"/>
        <w:spacing w:before="4" w:line="360" w:lineRule="auto"/>
        <w:ind w:left="700"/>
        <w:rPr>
          <w:rFonts w:hint="eastAsia" w:ascii="宋体" w:hAnsi="宋体" w:eastAsia="宋体" w:cs="宋体"/>
          <w:sz w:val="24"/>
          <w:szCs w:val="24"/>
        </w:rPr>
      </w:pPr>
      <w:r>
        <w:rPr>
          <w:rFonts w:hint="eastAsia" w:ascii="宋体" w:hAnsi="宋体" w:eastAsia="宋体" w:cs="宋体"/>
          <w:sz w:val="24"/>
          <w:szCs w:val="24"/>
        </w:rPr>
        <w:t>（四）有依法缴纳税收和社会保障资金的良好记录；</w:t>
      </w:r>
    </w:p>
    <w:p w14:paraId="6B6A421E">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（五）参加政府采购活动前三年内，在经营活动中没有重大违法记录；</w:t>
      </w:r>
    </w:p>
    <w:p w14:paraId="2E80BD7F">
      <w:pPr>
        <w:pStyle w:val="8"/>
        <w:spacing w:before="2" w:line="360" w:lineRule="auto"/>
        <w:ind w:left="700"/>
        <w:rPr>
          <w:rFonts w:hint="eastAsia" w:ascii="宋体" w:hAnsi="宋体" w:eastAsia="宋体" w:cs="宋体"/>
          <w:sz w:val="24"/>
          <w:szCs w:val="24"/>
        </w:rPr>
      </w:pPr>
      <w:r>
        <w:rPr>
          <w:rFonts w:hint="eastAsia" w:ascii="宋体" w:hAnsi="宋体" w:eastAsia="宋体" w:cs="宋体"/>
          <w:sz w:val="24"/>
          <w:szCs w:val="24"/>
        </w:rPr>
        <w:t>（六）法律、行政法规规定的其他条件；</w:t>
      </w:r>
    </w:p>
    <w:p w14:paraId="777DB67A">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（七）根据采购项目提出的特殊条件。</w:t>
      </w:r>
    </w:p>
    <w:p w14:paraId="65C4DE3C">
      <w:pPr>
        <w:pStyle w:val="8"/>
        <w:spacing w:before="4" w:line="360" w:lineRule="auto"/>
        <w:ind w:left="220" w:right="237" w:firstLine="480"/>
        <w:jc w:val="both"/>
        <w:rPr>
          <w:rFonts w:hint="eastAsia" w:ascii="宋体" w:hAnsi="宋体" w:eastAsia="宋体" w:cs="宋体"/>
          <w:sz w:val="24"/>
          <w:szCs w:val="24"/>
        </w:rPr>
      </w:pPr>
      <w:r>
        <w:rPr>
          <w:rFonts w:hint="eastAsia" w:ascii="宋体" w:hAnsi="宋体" w:eastAsia="宋体" w:cs="宋体"/>
          <w:spacing w:val="-10"/>
          <w:sz w:val="24"/>
          <w:szCs w:val="24"/>
        </w:rPr>
        <w:t>二、完全接受和满足本项目竞争性磋商文件中规定的实质性要求，如对竞争性磋商文件有异议，已经在投标截止时间届满前依法进行维权救济，不存在对竞争性磋商文件有异议的同时</w:t>
      </w:r>
      <w:r>
        <w:rPr>
          <w:rFonts w:hint="eastAsia" w:ascii="宋体" w:hAnsi="宋体" w:eastAsia="宋体" w:cs="宋体"/>
          <w:sz w:val="24"/>
          <w:szCs w:val="24"/>
        </w:rPr>
        <w:t>又参加投标以求侥幸中标或者为实现其他非法目的的行为。</w:t>
      </w:r>
    </w:p>
    <w:p w14:paraId="6F4DCD42">
      <w:pPr>
        <w:pStyle w:val="8"/>
        <w:spacing w:line="360" w:lineRule="auto"/>
        <w:ind w:left="220" w:right="237" w:firstLine="480"/>
        <w:rPr>
          <w:rFonts w:hint="eastAsia" w:ascii="宋体" w:hAnsi="宋体" w:eastAsia="宋体" w:cs="宋体"/>
          <w:sz w:val="24"/>
          <w:szCs w:val="24"/>
        </w:rPr>
      </w:pPr>
      <w:r>
        <w:rPr>
          <w:rFonts w:hint="eastAsia" w:ascii="宋体" w:hAnsi="宋体" w:eastAsia="宋体" w:cs="宋体"/>
          <w:spacing w:val="-10"/>
          <w:sz w:val="24"/>
          <w:szCs w:val="24"/>
        </w:rPr>
        <w:t>三、参加本次招标采购活动，不存在与单位负责人为同一人或者存在直接控股、管理关系</w:t>
      </w:r>
      <w:r>
        <w:rPr>
          <w:rFonts w:hint="eastAsia" w:ascii="宋体" w:hAnsi="宋体" w:eastAsia="宋体" w:cs="宋体"/>
          <w:sz w:val="24"/>
          <w:szCs w:val="24"/>
        </w:rPr>
        <w:t>的其他供应商参与同一合同项下的政府采购活动的行为。</w:t>
      </w:r>
    </w:p>
    <w:p w14:paraId="4FDBFE59">
      <w:pPr>
        <w:pStyle w:val="8"/>
        <w:spacing w:before="2" w:line="360" w:lineRule="auto"/>
        <w:ind w:left="220" w:right="145" w:firstLine="480"/>
        <w:rPr>
          <w:rFonts w:hint="eastAsia" w:ascii="宋体" w:hAnsi="宋体" w:eastAsia="宋体" w:cs="宋体"/>
          <w:sz w:val="24"/>
          <w:szCs w:val="24"/>
        </w:rPr>
      </w:pPr>
      <w:r>
        <w:rPr>
          <w:rFonts w:hint="eastAsia" w:ascii="宋体" w:hAnsi="宋体" w:eastAsia="宋体" w:cs="宋体"/>
          <w:sz w:val="24"/>
          <w:szCs w:val="24"/>
        </w:rPr>
        <w:t>四、参加本次招标采购活动，不存在为采购项目提供整体设计、规范编制或者项目管理、监理、检测等服务的行为。</w:t>
      </w:r>
    </w:p>
    <w:p w14:paraId="7AE474D1">
      <w:pPr>
        <w:pStyle w:val="8"/>
        <w:spacing w:before="1" w:line="360" w:lineRule="auto"/>
        <w:ind w:left="220" w:right="237" w:firstLine="480"/>
        <w:rPr>
          <w:rFonts w:hint="eastAsia" w:ascii="宋体" w:hAnsi="宋体" w:eastAsia="宋体" w:cs="宋体"/>
          <w:sz w:val="24"/>
          <w:szCs w:val="24"/>
        </w:rPr>
      </w:pPr>
      <w:r>
        <w:rPr>
          <w:rFonts w:hint="eastAsia" w:ascii="宋体" w:hAnsi="宋体" w:eastAsia="宋体" w:cs="宋体"/>
          <w:spacing w:val="-10"/>
          <w:sz w:val="24"/>
          <w:szCs w:val="24"/>
        </w:rPr>
        <w:t>五、参加本次招标采购活动，不存在和其他供应商在同一合同项下的采购项目中，同时委</w:t>
      </w:r>
      <w:r>
        <w:rPr>
          <w:rFonts w:hint="eastAsia" w:ascii="宋体" w:hAnsi="宋体" w:eastAsia="宋体" w:cs="宋体"/>
          <w:sz w:val="24"/>
          <w:szCs w:val="24"/>
        </w:rPr>
        <w:t>托同一个自然人、同一家庭的人员、同一单位的人员作为代理人的行为。</w:t>
      </w:r>
    </w:p>
    <w:p w14:paraId="11849893">
      <w:pPr>
        <w:pStyle w:val="8"/>
        <w:spacing w:before="3" w:line="360" w:lineRule="auto"/>
        <w:ind w:left="220" w:right="237" w:firstLine="480"/>
        <w:rPr>
          <w:rFonts w:hint="eastAsia" w:ascii="宋体" w:hAnsi="宋体" w:eastAsia="宋体" w:cs="宋体"/>
          <w:sz w:val="24"/>
          <w:szCs w:val="24"/>
        </w:rPr>
      </w:pPr>
      <w:r>
        <w:rPr>
          <w:rFonts w:hint="eastAsia" w:ascii="宋体" w:hAnsi="宋体" w:eastAsia="宋体" w:cs="宋体"/>
          <w:spacing w:val="-12"/>
          <w:sz w:val="24"/>
          <w:szCs w:val="24"/>
        </w:rPr>
        <w:t>六、供应商参加本次政府采购活动要求在近三年内供应商和其法定代表人没有行贿犯罪行</w:t>
      </w:r>
      <w:r>
        <w:rPr>
          <w:rFonts w:hint="eastAsia" w:ascii="宋体" w:hAnsi="宋体" w:eastAsia="宋体" w:cs="宋体"/>
          <w:sz w:val="24"/>
          <w:szCs w:val="24"/>
        </w:rPr>
        <w:t>为。</w:t>
      </w:r>
    </w:p>
    <w:p w14:paraId="343289E5">
      <w:pPr>
        <w:pStyle w:val="8"/>
        <w:spacing w:line="360" w:lineRule="auto"/>
        <w:ind w:left="700"/>
        <w:rPr>
          <w:rFonts w:hint="eastAsia" w:ascii="宋体" w:hAnsi="宋体" w:eastAsia="宋体" w:cs="宋体"/>
          <w:sz w:val="24"/>
          <w:szCs w:val="24"/>
        </w:rPr>
      </w:pPr>
      <w:r>
        <w:rPr>
          <w:rFonts w:hint="eastAsia" w:ascii="宋体" w:hAnsi="宋体" w:eastAsia="宋体" w:cs="宋体"/>
          <w:sz w:val="24"/>
          <w:szCs w:val="24"/>
        </w:rPr>
        <w:t>七、参加本次招标采购活动，不存在联合体投标。</w:t>
      </w:r>
    </w:p>
    <w:p w14:paraId="2942BB31">
      <w:pPr>
        <w:pStyle w:val="8"/>
        <w:spacing w:before="5" w:line="360" w:lineRule="auto"/>
        <w:ind w:left="220" w:right="237" w:firstLine="480"/>
        <w:rPr>
          <w:rFonts w:hint="eastAsia" w:ascii="宋体" w:hAnsi="宋体" w:eastAsia="宋体" w:cs="宋体"/>
          <w:sz w:val="24"/>
          <w:szCs w:val="24"/>
        </w:rPr>
      </w:pPr>
      <w:r>
        <w:rPr>
          <w:rFonts w:hint="eastAsia" w:ascii="宋体" w:hAnsi="宋体" w:eastAsia="宋体" w:cs="宋体"/>
          <w:spacing w:val="-9"/>
          <w:sz w:val="24"/>
          <w:szCs w:val="24"/>
        </w:rPr>
        <w:t>八、响应文件中提供的能够给予我公司带来优惠、好处的任何材料资料和技术、服务、商</w:t>
      </w:r>
      <w:r>
        <w:rPr>
          <w:rFonts w:hint="eastAsia" w:ascii="宋体" w:hAnsi="宋体" w:eastAsia="宋体" w:cs="宋体"/>
          <w:sz w:val="24"/>
          <w:szCs w:val="24"/>
        </w:rPr>
        <w:t>务等响应承诺情况都是真实的、有效的、合法的。</w:t>
      </w:r>
    </w:p>
    <w:p w14:paraId="62EEF2A5">
      <w:pPr>
        <w:pStyle w:val="8"/>
        <w:spacing w:line="360" w:lineRule="auto"/>
        <w:ind w:left="700"/>
        <w:rPr>
          <w:rFonts w:hint="eastAsia" w:ascii="宋体" w:hAnsi="宋体" w:eastAsia="宋体" w:cs="宋体"/>
          <w:sz w:val="24"/>
          <w:szCs w:val="24"/>
        </w:rPr>
      </w:pPr>
      <w:r>
        <w:rPr>
          <w:rFonts w:hint="eastAsia" w:ascii="宋体" w:hAnsi="宋体" w:eastAsia="宋体" w:cs="宋体"/>
          <w:sz w:val="24"/>
          <w:szCs w:val="24"/>
        </w:rPr>
        <w:t>九、存在以下行为之一的愿意接受相关部门的处理：</w:t>
      </w:r>
    </w:p>
    <w:p w14:paraId="29CB54C9">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val="en-US" w:eastAsia="zh-CN"/>
        </w:rPr>
        <w:t>磋商</w:t>
      </w:r>
      <w:r>
        <w:rPr>
          <w:rFonts w:hint="eastAsia" w:ascii="宋体" w:hAnsi="宋体" w:eastAsia="宋体" w:cs="宋体"/>
          <w:sz w:val="24"/>
          <w:szCs w:val="24"/>
        </w:rPr>
        <w:t>有效期内撤销响应文件的；</w:t>
      </w:r>
    </w:p>
    <w:p w14:paraId="181665F7">
      <w:pPr>
        <w:pStyle w:val="8"/>
        <w:spacing w:before="4" w:line="360" w:lineRule="auto"/>
        <w:ind w:left="700"/>
        <w:rPr>
          <w:rFonts w:hint="eastAsia" w:ascii="宋体" w:hAnsi="宋体" w:eastAsia="宋体" w:cs="宋体"/>
          <w:sz w:val="24"/>
          <w:szCs w:val="24"/>
        </w:rPr>
      </w:pPr>
      <w:r>
        <w:rPr>
          <w:rFonts w:hint="eastAsia" w:ascii="宋体" w:hAnsi="宋体" w:eastAsia="宋体" w:cs="宋体"/>
          <w:sz w:val="24"/>
          <w:szCs w:val="24"/>
        </w:rPr>
        <w:t>（二）在采购人确定中标人以前放弃中标候选资格的；</w:t>
      </w:r>
    </w:p>
    <w:p w14:paraId="49BA1A86">
      <w:pPr>
        <w:pStyle w:val="8"/>
        <w:spacing w:before="2" w:line="360" w:lineRule="auto"/>
        <w:ind w:left="700"/>
        <w:rPr>
          <w:rFonts w:hint="eastAsia" w:ascii="宋体" w:hAnsi="宋体" w:eastAsia="宋体" w:cs="宋体"/>
          <w:sz w:val="24"/>
          <w:szCs w:val="24"/>
        </w:rPr>
      </w:pPr>
      <w:r>
        <w:rPr>
          <w:rFonts w:hint="eastAsia" w:ascii="宋体" w:hAnsi="宋体" w:eastAsia="宋体" w:cs="宋体"/>
          <w:sz w:val="24"/>
          <w:szCs w:val="24"/>
        </w:rPr>
        <w:t>（三）由于</w:t>
      </w:r>
      <w:r>
        <w:rPr>
          <w:rFonts w:hint="eastAsia" w:ascii="宋体" w:hAnsi="宋体" w:eastAsia="宋体" w:cs="宋体"/>
          <w:sz w:val="24"/>
          <w:szCs w:val="24"/>
          <w:lang w:val="en-US" w:eastAsia="zh-CN"/>
        </w:rPr>
        <w:t>成交人</w:t>
      </w:r>
      <w:r>
        <w:rPr>
          <w:rFonts w:hint="eastAsia" w:ascii="宋体" w:hAnsi="宋体" w:eastAsia="宋体" w:cs="宋体"/>
          <w:sz w:val="24"/>
          <w:szCs w:val="24"/>
        </w:rPr>
        <w:t>的原因未能按照竞争性磋商文件的规定与采购人签订合同；</w:t>
      </w:r>
    </w:p>
    <w:p w14:paraId="38E0A647">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（四）由于</w:t>
      </w:r>
      <w:r>
        <w:rPr>
          <w:rFonts w:hint="eastAsia" w:ascii="宋体" w:hAnsi="宋体" w:eastAsia="宋体" w:cs="宋体"/>
          <w:sz w:val="24"/>
          <w:szCs w:val="24"/>
          <w:lang w:val="en-US" w:eastAsia="zh-CN"/>
        </w:rPr>
        <w:t>成交人</w:t>
      </w:r>
      <w:r>
        <w:rPr>
          <w:rFonts w:hint="eastAsia" w:ascii="宋体" w:hAnsi="宋体" w:eastAsia="宋体" w:cs="宋体"/>
          <w:sz w:val="24"/>
          <w:szCs w:val="24"/>
        </w:rPr>
        <w:t>的原因未能按照竞争性磋商文件的规定交纳履约保证金；</w:t>
      </w:r>
    </w:p>
    <w:p w14:paraId="5729DA11">
      <w:pPr>
        <w:pStyle w:val="8"/>
        <w:spacing w:before="2" w:line="360" w:lineRule="auto"/>
        <w:ind w:left="700"/>
        <w:rPr>
          <w:rFonts w:hint="eastAsia" w:ascii="宋体" w:hAnsi="宋体" w:eastAsia="宋体" w:cs="宋体"/>
          <w:sz w:val="24"/>
          <w:szCs w:val="24"/>
        </w:rPr>
      </w:pPr>
      <w:r>
        <w:rPr>
          <w:rFonts w:hint="eastAsia" w:ascii="宋体" w:hAnsi="宋体" w:eastAsia="宋体" w:cs="宋体"/>
          <w:sz w:val="24"/>
          <w:szCs w:val="24"/>
        </w:rPr>
        <w:t>（五）在响应文件中提供虚假材料谋取中标；</w:t>
      </w:r>
    </w:p>
    <w:p w14:paraId="76F3B53E">
      <w:pPr>
        <w:pStyle w:val="8"/>
        <w:spacing w:before="4" w:line="360" w:lineRule="auto"/>
        <w:ind w:left="700"/>
        <w:rPr>
          <w:rFonts w:hint="eastAsia" w:ascii="宋体" w:hAnsi="宋体" w:eastAsia="宋体" w:cs="宋体"/>
          <w:sz w:val="24"/>
          <w:szCs w:val="24"/>
        </w:rPr>
      </w:pPr>
      <w:r>
        <w:rPr>
          <w:rFonts w:hint="eastAsia" w:ascii="宋体" w:hAnsi="宋体" w:eastAsia="宋体" w:cs="宋体"/>
          <w:sz w:val="24"/>
          <w:szCs w:val="24"/>
        </w:rPr>
        <w:t>（六）与采购人、其他供应商或者采购代理机构恶意串通的；</w:t>
      </w:r>
    </w:p>
    <w:p w14:paraId="77D931DA">
      <w:pPr>
        <w:pStyle w:val="8"/>
        <w:spacing w:before="5" w:line="360" w:lineRule="auto"/>
        <w:ind w:left="700"/>
        <w:rPr>
          <w:rFonts w:hint="eastAsia"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sz w:val="24"/>
          <w:szCs w:val="24"/>
          <w:lang w:val="en-US" w:eastAsia="zh-CN"/>
        </w:rPr>
        <w:t>磋商</w:t>
      </w:r>
      <w:r>
        <w:rPr>
          <w:rFonts w:hint="eastAsia" w:ascii="宋体" w:hAnsi="宋体" w:eastAsia="宋体" w:cs="宋体"/>
          <w:sz w:val="24"/>
          <w:szCs w:val="24"/>
        </w:rPr>
        <w:t>有效期内，供应商在政府采购活动中有违法、违规、违纪行为。</w:t>
      </w:r>
    </w:p>
    <w:p w14:paraId="2F5532E6">
      <w:pPr>
        <w:pStyle w:val="8"/>
        <w:spacing w:before="4" w:line="360" w:lineRule="auto"/>
        <w:ind w:left="220" w:right="237" w:firstLine="480"/>
        <w:rPr>
          <w:rFonts w:hint="eastAsia" w:ascii="宋体" w:hAnsi="宋体" w:eastAsia="宋体" w:cs="宋体"/>
          <w:sz w:val="24"/>
          <w:szCs w:val="24"/>
        </w:rPr>
      </w:pPr>
      <w:r>
        <w:rPr>
          <w:rFonts w:hint="eastAsia" w:ascii="宋体" w:hAnsi="宋体" w:eastAsia="宋体" w:cs="宋体"/>
          <w:spacing w:val="-6"/>
          <w:sz w:val="24"/>
          <w:szCs w:val="24"/>
        </w:rPr>
        <w:t>由此产生的一切法律后果和责任由我公司承担。我公司声明放弃对此提出任何异议和追索</w:t>
      </w:r>
      <w:r>
        <w:rPr>
          <w:rFonts w:hint="eastAsia" w:ascii="宋体" w:hAnsi="宋体" w:eastAsia="宋体" w:cs="宋体"/>
          <w:sz w:val="24"/>
          <w:szCs w:val="24"/>
        </w:rPr>
        <w:t>的权利。</w:t>
      </w:r>
    </w:p>
    <w:p w14:paraId="63A18CF5">
      <w:pPr>
        <w:pStyle w:val="8"/>
        <w:spacing w:before="1" w:line="360" w:lineRule="auto"/>
        <w:ind w:left="220" w:right="237" w:firstLine="480"/>
        <w:rPr>
          <w:rFonts w:hint="eastAsia" w:ascii="宋体" w:hAnsi="宋体" w:eastAsia="宋体" w:cs="宋体"/>
          <w:sz w:val="24"/>
          <w:szCs w:val="24"/>
        </w:rPr>
      </w:pPr>
      <w:r>
        <w:rPr>
          <w:rFonts w:hint="eastAsia" w:ascii="宋体" w:hAnsi="宋体" w:eastAsia="宋体" w:cs="宋体"/>
          <w:spacing w:val="-6"/>
          <w:sz w:val="24"/>
          <w:szCs w:val="24"/>
        </w:rPr>
        <w:t>本公司对上述承诺的内容事项真实性负责。如经查实上述承诺的内容事项存在虚假，我公</w:t>
      </w:r>
      <w:r>
        <w:rPr>
          <w:rFonts w:hint="eastAsia" w:ascii="宋体" w:hAnsi="宋体" w:eastAsia="宋体" w:cs="宋体"/>
          <w:sz w:val="24"/>
          <w:szCs w:val="24"/>
        </w:rPr>
        <w:t>司愿意接受以提供虚假材料谋取中标追究法律责任。</w:t>
      </w:r>
    </w:p>
    <w:p w14:paraId="5BE9E10C">
      <w:pPr>
        <w:pStyle w:val="28"/>
        <w:spacing w:line="500" w:lineRule="exact"/>
        <w:ind w:firstLine="564" w:firstLineChars="235"/>
        <w:rPr>
          <w:rFonts w:hAnsi="宋体"/>
          <w:b w:val="0"/>
          <w:bCs w:val="0"/>
          <w:color w:val="auto"/>
        </w:rPr>
      </w:pPr>
    </w:p>
    <w:p w14:paraId="5255DAE7">
      <w:pPr>
        <w:pStyle w:val="28"/>
        <w:spacing w:line="500" w:lineRule="exact"/>
        <w:ind w:firstLine="566" w:firstLineChars="235"/>
        <w:rPr>
          <w:rFonts w:hAnsi="宋体"/>
          <w:color w:val="auto"/>
        </w:rPr>
      </w:pPr>
    </w:p>
    <w:p w14:paraId="33E29794">
      <w:pPr>
        <w:spacing w:line="500" w:lineRule="exact"/>
        <w:ind w:firstLine="4252" w:firstLineChars="1772"/>
        <w:rPr>
          <w:bCs/>
          <w:color w:val="auto"/>
          <w:sz w:val="24"/>
        </w:rPr>
      </w:pPr>
      <w:r>
        <w:rPr>
          <w:rFonts w:hint="eastAsia"/>
          <w:bCs/>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bCs/>
          <w:color w:val="auto"/>
          <w:sz w:val="24"/>
        </w:rPr>
        <w:t>）</w:t>
      </w:r>
    </w:p>
    <w:p w14:paraId="3970D5B7">
      <w:pPr>
        <w:spacing w:line="500" w:lineRule="exact"/>
        <w:ind w:firstLine="4252" w:firstLineChars="1772"/>
        <w:rPr>
          <w:bCs/>
          <w:color w:val="auto"/>
          <w:sz w:val="24"/>
        </w:rPr>
      </w:pPr>
      <w:r>
        <w:rPr>
          <w:rFonts w:hint="eastAsia"/>
          <w:bCs/>
          <w:color w:val="auto"/>
          <w:sz w:val="24"/>
        </w:rPr>
        <w:t>法定代表人：（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章或签字</w:t>
      </w:r>
      <w:r>
        <w:rPr>
          <w:rFonts w:hint="eastAsia"/>
          <w:bCs/>
          <w:color w:val="auto"/>
          <w:sz w:val="24"/>
        </w:rPr>
        <w:t>）</w:t>
      </w:r>
    </w:p>
    <w:p w14:paraId="1BBDB785">
      <w:pPr>
        <w:spacing w:line="500" w:lineRule="exact"/>
        <w:ind w:firstLine="4252" w:firstLineChars="1772"/>
        <w:rPr>
          <w:bCs/>
          <w:color w:val="auto"/>
          <w:sz w:val="24"/>
        </w:rPr>
      </w:pPr>
      <w:r>
        <w:rPr>
          <w:rFonts w:hint="eastAsia"/>
          <w:bCs/>
          <w:color w:val="auto"/>
          <w:sz w:val="24"/>
        </w:rPr>
        <w:t>日期：</w:t>
      </w:r>
    </w:p>
    <w:p w14:paraId="574F17DF">
      <w:pPr>
        <w:pStyle w:val="8"/>
        <w:rPr>
          <w:color w:val="auto"/>
        </w:rPr>
      </w:pPr>
      <w:r>
        <w:rPr>
          <w:color w:val="auto"/>
        </w:rPr>
        <w:br w:type="page"/>
      </w:r>
    </w:p>
    <w:p w14:paraId="6ABA69C3">
      <w:pPr>
        <w:pStyle w:val="26"/>
        <w:numPr>
          <w:ilvl w:val="0"/>
          <w:numId w:val="0"/>
        </w:numPr>
        <w:ind w:left="0" w:leftChars="0"/>
        <w:jc w:val="center"/>
        <w:outlineLvl w:val="0"/>
        <w:rPr>
          <w:rFonts w:hint="eastAsia" w:ascii="宋体" w:hAnsi="宋体"/>
          <w:color w:val="auto"/>
          <w:lang w:eastAsia="zh-CN"/>
        </w:rPr>
      </w:pPr>
      <w:bookmarkStart w:id="318" w:name="_Toc30303"/>
      <w:bookmarkStart w:id="319" w:name="_Toc6163"/>
      <w:bookmarkStart w:id="320" w:name="_Toc25743"/>
      <w:bookmarkStart w:id="321" w:name="_Toc4328_WPSOffice_Level1"/>
      <w:r>
        <w:rPr>
          <w:rFonts w:hint="eastAsia" w:ascii="宋体" w:hAnsi="宋体" w:eastAsia="宋体" w:cs="宋体"/>
          <w:b/>
          <w:bCs/>
          <w:color w:val="auto"/>
          <w:sz w:val="28"/>
          <w:szCs w:val="20"/>
          <w:lang w:val="zh-CN" w:eastAsia="zh-CN" w:bidi="zh-CN"/>
        </w:rPr>
        <w:t>五、</w:t>
      </w:r>
      <w:r>
        <w:rPr>
          <w:rFonts w:hint="eastAsia" w:ascii="宋体" w:hAnsi="宋体"/>
          <w:color w:val="auto"/>
        </w:rPr>
        <w:t>资格审查资料</w:t>
      </w:r>
      <w:bookmarkEnd w:id="318"/>
      <w:bookmarkEnd w:id="319"/>
      <w:bookmarkEnd w:id="320"/>
      <w:bookmarkEnd w:id="321"/>
    </w:p>
    <w:p w14:paraId="0668605E">
      <w:pPr>
        <w:jc w:val="center"/>
        <w:rPr>
          <w:rFonts w:hint="eastAsia"/>
          <w:color w:val="auto"/>
          <w:sz w:val="24"/>
          <w:szCs w:val="32"/>
        </w:rPr>
      </w:pPr>
      <w:bookmarkStart w:id="322" w:name="_Toc10295_WPSOffice_Level2"/>
      <w:r>
        <w:rPr>
          <w:rFonts w:hint="eastAsia"/>
          <w:color w:val="auto"/>
          <w:sz w:val="24"/>
          <w:szCs w:val="32"/>
        </w:rPr>
        <w:t>（</w:t>
      </w:r>
      <w:r>
        <w:rPr>
          <w:rFonts w:hint="eastAsia"/>
          <w:color w:val="auto"/>
          <w:sz w:val="24"/>
          <w:szCs w:val="32"/>
          <w:lang w:eastAsia="zh-CN"/>
        </w:rPr>
        <w:t>一</w:t>
      </w:r>
      <w:r>
        <w:rPr>
          <w:rFonts w:hint="eastAsia"/>
          <w:color w:val="auto"/>
          <w:sz w:val="24"/>
          <w:szCs w:val="32"/>
        </w:rPr>
        <w:t>）供应商基本情况表</w:t>
      </w:r>
      <w:bookmarkEnd w:id="322"/>
    </w:p>
    <w:tbl>
      <w:tblPr>
        <w:tblStyle w:val="20"/>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961"/>
        <w:gridCol w:w="741"/>
        <w:gridCol w:w="135"/>
        <w:gridCol w:w="834"/>
        <w:gridCol w:w="1362"/>
        <w:gridCol w:w="916"/>
        <w:gridCol w:w="5"/>
        <w:gridCol w:w="1655"/>
      </w:tblGrid>
      <w:tr w14:paraId="0B33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4E019F5A">
            <w:pPr>
              <w:spacing w:line="360" w:lineRule="auto"/>
              <w:jc w:val="center"/>
              <w:rPr>
                <w:color w:val="auto"/>
                <w:sz w:val="24"/>
              </w:rPr>
            </w:pPr>
            <w:r>
              <w:rPr>
                <w:rFonts w:hint="eastAsia"/>
                <w:color w:val="auto"/>
                <w:sz w:val="24"/>
              </w:rPr>
              <w:t>供应商名称</w:t>
            </w:r>
          </w:p>
        </w:tc>
        <w:tc>
          <w:tcPr>
            <w:tcW w:w="6609" w:type="dxa"/>
            <w:gridSpan w:val="8"/>
            <w:tcBorders>
              <w:top w:val="single" w:color="auto" w:sz="4" w:space="0"/>
              <w:left w:val="single" w:color="auto" w:sz="4" w:space="0"/>
              <w:bottom w:val="single" w:color="auto" w:sz="4" w:space="0"/>
              <w:right w:val="single" w:color="auto" w:sz="4" w:space="0"/>
            </w:tcBorders>
            <w:vAlign w:val="center"/>
          </w:tcPr>
          <w:p w14:paraId="2FB20A14">
            <w:pPr>
              <w:spacing w:line="360" w:lineRule="auto"/>
              <w:jc w:val="center"/>
              <w:rPr>
                <w:color w:val="auto"/>
                <w:sz w:val="24"/>
              </w:rPr>
            </w:pPr>
          </w:p>
        </w:tc>
      </w:tr>
      <w:tr w14:paraId="4A82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12C4DF0C">
            <w:pPr>
              <w:spacing w:line="360" w:lineRule="auto"/>
              <w:jc w:val="center"/>
              <w:rPr>
                <w:color w:val="auto"/>
                <w:sz w:val="24"/>
              </w:rPr>
            </w:pPr>
            <w:r>
              <w:rPr>
                <w:rFonts w:hint="eastAsia"/>
                <w:color w:val="auto"/>
                <w:sz w:val="24"/>
              </w:rPr>
              <w:t>注册地址</w:t>
            </w:r>
          </w:p>
        </w:tc>
        <w:tc>
          <w:tcPr>
            <w:tcW w:w="4033" w:type="dxa"/>
            <w:gridSpan w:val="5"/>
            <w:tcBorders>
              <w:top w:val="single" w:color="auto" w:sz="4" w:space="0"/>
              <w:left w:val="single" w:color="auto" w:sz="4" w:space="0"/>
              <w:bottom w:val="single" w:color="auto" w:sz="4" w:space="0"/>
              <w:right w:val="single" w:color="auto" w:sz="4" w:space="0"/>
            </w:tcBorders>
            <w:vAlign w:val="center"/>
          </w:tcPr>
          <w:p w14:paraId="3F508159">
            <w:pPr>
              <w:spacing w:line="360" w:lineRule="auto"/>
              <w:jc w:val="center"/>
              <w:rPr>
                <w:color w:val="auto"/>
                <w:sz w:val="24"/>
              </w:rPr>
            </w:pPr>
          </w:p>
        </w:tc>
        <w:tc>
          <w:tcPr>
            <w:tcW w:w="916" w:type="dxa"/>
            <w:tcBorders>
              <w:top w:val="single" w:color="auto" w:sz="4" w:space="0"/>
              <w:left w:val="single" w:color="auto" w:sz="4" w:space="0"/>
              <w:bottom w:val="single" w:color="auto" w:sz="4" w:space="0"/>
              <w:right w:val="single" w:color="auto" w:sz="4" w:space="0"/>
            </w:tcBorders>
            <w:vAlign w:val="center"/>
          </w:tcPr>
          <w:p w14:paraId="6E853EE0">
            <w:pPr>
              <w:spacing w:line="360" w:lineRule="auto"/>
              <w:jc w:val="center"/>
              <w:rPr>
                <w:color w:val="auto"/>
                <w:sz w:val="24"/>
              </w:rPr>
            </w:pPr>
            <w:r>
              <w:rPr>
                <w:rFonts w:hint="eastAsia"/>
                <w:color w:val="auto"/>
                <w:sz w:val="24"/>
              </w:rPr>
              <w:t>邮政编码</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1AA8D6AA">
            <w:pPr>
              <w:spacing w:line="360" w:lineRule="auto"/>
              <w:jc w:val="center"/>
              <w:rPr>
                <w:color w:val="auto"/>
                <w:sz w:val="24"/>
              </w:rPr>
            </w:pPr>
          </w:p>
        </w:tc>
      </w:tr>
      <w:tr w14:paraId="1CEC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710" w:type="dxa"/>
            <w:vMerge w:val="restart"/>
            <w:tcBorders>
              <w:top w:val="single" w:color="auto" w:sz="4" w:space="0"/>
              <w:left w:val="single" w:color="auto" w:sz="4" w:space="0"/>
              <w:bottom w:val="single" w:color="auto" w:sz="4" w:space="0"/>
              <w:right w:val="single" w:color="auto" w:sz="4" w:space="0"/>
            </w:tcBorders>
            <w:vAlign w:val="center"/>
          </w:tcPr>
          <w:p w14:paraId="51045703">
            <w:pPr>
              <w:spacing w:line="360" w:lineRule="auto"/>
              <w:jc w:val="center"/>
              <w:rPr>
                <w:color w:val="auto"/>
                <w:sz w:val="24"/>
              </w:rPr>
            </w:pPr>
            <w:r>
              <w:rPr>
                <w:rFonts w:hint="eastAsia"/>
                <w:color w:val="auto"/>
                <w:sz w:val="24"/>
              </w:rPr>
              <w:t>联系方式</w:t>
            </w:r>
          </w:p>
        </w:tc>
        <w:tc>
          <w:tcPr>
            <w:tcW w:w="961" w:type="dxa"/>
            <w:tcBorders>
              <w:top w:val="single" w:color="auto" w:sz="4" w:space="0"/>
              <w:left w:val="single" w:color="auto" w:sz="4" w:space="0"/>
              <w:bottom w:val="single" w:color="auto" w:sz="4" w:space="0"/>
              <w:right w:val="single" w:color="auto" w:sz="4" w:space="0"/>
            </w:tcBorders>
            <w:vAlign w:val="center"/>
          </w:tcPr>
          <w:p w14:paraId="464082D0">
            <w:pPr>
              <w:spacing w:line="360" w:lineRule="auto"/>
              <w:jc w:val="center"/>
              <w:rPr>
                <w:color w:val="auto"/>
                <w:sz w:val="24"/>
              </w:rPr>
            </w:pPr>
            <w:r>
              <w:rPr>
                <w:rFonts w:hint="eastAsia"/>
                <w:color w:val="auto"/>
                <w:sz w:val="24"/>
              </w:rPr>
              <w:t>联系人</w:t>
            </w:r>
          </w:p>
        </w:tc>
        <w:tc>
          <w:tcPr>
            <w:tcW w:w="3072" w:type="dxa"/>
            <w:gridSpan w:val="4"/>
            <w:tcBorders>
              <w:top w:val="single" w:color="auto" w:sz="4" w:space="0"/>
              <w:left w:val="single" w:color="auto" w:sz="4" w:space="0"/>
              <w:bottom w:val="single" w:color="auto" w:sz="4" w:space="0"/>
              <w:right w:val="single" w:color="auto" w:sz="4" w:space="0"/>
            </w:tcBorders>
            <w:vAlign w:val="center"/>
          </w:tcPr>
          <w:p w14:paraId="2E088B0C">
            <w:pPr>
              <w:spacing w:line="360" w:lineRule="auto"/>
              <w:jc w:val="center"/>
              <w:rPr>
                <w:color w:val="auto"/>
                <w:sz w:val="24"/>
              </w:rPr>
            </w:pPr>
          </w:p>
        </w:tc>
        <w:tc>
          <w:tcPr>
            <w:tcW w:w="916" w:type="dxa"/>
            <w:tcBorders>
              <w:top w:val="single" w:color="auto" w:sz="4" w:space="0"/>
              <w:left w:val="single" w:color="auto" w:sz="4" w:space="0"/>
              <w:bottom w:val="single" w:color="auto" w:sz="4" w:space="0"/>
              <w:right w:val="single" w:color="auto" w:sz="4" w:space="0"/>
            </w:tcBorders>
            <w:vAlign w:val="center"/>
          </w:tcPr>
          <w:p w14:paraId="60FFFFA9">
            <w:pPr>
              <w:spacing w:line="360" w:lineRule="auto"/>
              <w:jc w:val="center"/>
              <w:rPr>
                <w:color w:val="auto"/>
                <w:sz w:val="24"/>
              </w:rPr>
            </w:pPr>
            <w:r>
              <w:rPr>
                <w:rFonts w:hint="eastAsia"/>
                <w:color w:val="auto"/>
                <w:sz w:val="24"/>
              </w:rPr>
              <w:t>电话</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3BF3EDA6">
            <w:pPr>
              <w:spacing w:line="360" w:lineRule="auto"/>
              <w:jc w:val="center"/>
              <w:rPr>
                <w:color w:val="auto"/>
                <w:sz w:val="24"/>
              </w:rPr>
            </w:pPr>
          </w:p>
        </w:tc>
      </w:tr>
      <w:tr w14:paraId="5B85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10" w:type="dxa"/>
            <w:vMerge w:val="continue"/>
            <w:tcBorders>
              <w:top w:val="single" w:color="auto" w:sz="4" w:space="0"/>
              <w:left w:val="single" w:color="auto" w:sz="4" w:space="0"/>
              <w:bottom w:val="single" w:color="auto" w:sz="4" w:space="0"/>
              <w:right w:val="single" w:color="auto" w:sz="4" w:space="0"/>
            </w:tcBorders>
            <w:vAlign w:val="center"/>
          </w:tcPr>
          <w:p w14:paraId="00E08CB3">
            <w:pPr>
              <w:jc w:val="center"/>
              <w:rPr>
                <w:color w:val="auto"/>
                <w:sz w:val="20"/>
                <w:szCs w:val="20"/>
              </w:rPr>
            </w:pPr>
          </w:p>
        </w:tc>
        <w:tc>
          <w:tcPr>
            <w:tcW w:w="961" w:type="dxa"/>
            <w:tcBorders>
              <w:top w:val="single" w:color="auto" w:sz="4" w:space="0"/>
              <w:left w:val="single" w:color="auto" w:sz="4" w:space="0"/>
              <w:bottom w:val="single" w:color="auto" w:sz="4" w:space="0"/>
              <w:right w:val="single" w:color="auto" w:sz="4" w:space="0"/>
            </w:tcBorders>
            <w:vAlign w:val="center"/>
          </w:tcPr>
          <w:p w14:paraId="1E4E0698">
            <w:pPr>
              <w:spacing w:line="360" w:lineRule="auto"/>
              <w:jc w:val="center"/>
              <w:rPr>
                <w:color w:val="auto"/>
                <w:sz w:val="24"/>
              </w:rPr>
            </w:pPr>
            <w:r>
              <w:rPr>
                <w:rFonts w:hint="eastAsia"/>
                <w:color w:val="auto"/>
                <w:sz w:val="24"/>
              </w:rPr>
              <w:t>传真</w:t>
            </w:r>
          </w:p>
        </w:tc>
        <w:tc>
          <w:tcPr>
            <w:tcW w:w="3072" w:type="dxa"/>
            <w:gridSpan w:val="4"/>
            <w:tcBorders>
              <w:top w:val="single" w:color="auto" w:sz="4" w:space="0"/>
              <w:left w:val="single" w:color="auto" w:sz="4" w:space="0"/>
              <w:bottom w:val="single" w:color="auto" w:sz="4" w:space="0"/>
              <w:right w:val="single" w:color="auto" w:sz="4" w:space="0"/>
            </w:tcBorders>
            <w:vAlign w:val="center"/>
          </w:tcPr>
          <w:p w14:paraId="6924E1F7">
            <w:pPr>
              <w:spacing w:line="360" w:lineRule="auto"/>
              <w:jc w:val="center"/>
              <w:rPr>
                <w:color w:val="auto"/>
                <w:sz w:val="24"/>
              </w:rPr>
            </w:pPr>
          </w:p>
        </w:tc>
        <w:tc>
          <w:tcPr>
            <w:tcW w:w="916" w:type="dxa"/>
            <w:tcBorders>
              <w:top w:val="single" w:color="auto" w:sz="4" w:space="0"/>
              <w:left w:val="single" w:color="auto" w:sz="4" w:space="0"/>
              <w:bottom w:val="single" w:color="auto" w:sz="4" w:space="0"/>
              <w:right w:val="single" w:color="auto" w:sz="4" w:space="0"/>
            </w:tcBorders>
            <w:vAlign w:val="center"/>
          </w:tcPr>
          <w:p w14:paraId="316D558B">
            <w:pPr>
              <w:spacing w:line="360" w:lineRule="auto"/>
              <w:jc w:val="center"/>
              <w:rPr>
                <w:color w:val="auto"/>
                <w:sz w:val="24"/>
              </w:rPr>
            </w:pPr>
            <w:r>
              <w:rPr>
                <w:rFonts w:hint="eastAsia"/>
                <w:color w:val="auto"/>
                <w:sz w:val="24"/>
              </w:rPr>
              <w:t>网址</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7DCA3F0E">
            <w:pPr>
              <w:spacing w:line="360" w:lineRule="auto"/>
              <w:jc w:val="center"/>
              <w:rPr>
                <w:color w:val="auto"/>
                <w:sz w:val="24"/>
              </w:rPr>
            </w:pPr>
          </w:p>
        </w:tc>
      </w:tr>
      <w:tr w14:paraId="4283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5E428816">
            <w:pPr>
              <w:spacing w:line="360" w:lineRule="auto"/>
              <w:jc w:val="center"/>
              <w:rPr>
                <w:color w:val="auto"/>
                <w:sz w:val="24"/>
              </w:rPr>
            </w:pPr>
            <w:r>
              <w:rPr>
                <w:rFonts w:hint="eastAsia"/>
                <w:color w:val="auto"/>
                <w:sz w:val="24"/>
              </w:rPr>
              <w:t>法定代表人</w:t>
            </w:r>
          </w:p>
        </w:tc>
        <w:tc>
          <w:tcPr>
            <w:tcW w:w="961" w:type="dxa"/>
            <w:tcBorders>
              <w:top w:val="single" w:color="auto" w:sz="4" w:space="0"/>
              <w:left w:val="single" w:color="auto" w:sz="4" w:space="0"/>
              <w:bottom w:val="single" w:color="auto" w:sz="4" w:space="0"/>
              <w:right w:val="single" w:color="auto" w:sz="4" w:space="0"/>
            </w:tcBorders>
            <w:vAlign w:val="center"/>
          </w:tcPr>
          <w:p w14:paraId="2427B8BB">
            <w:pPr>
              <w:spacing w:line="360" w:lineRule="auto"/>
              <w:jc w:val="center"/>
              <w:rPr>
                <w:color w:val="auto"/>
                <w:sz w:val="24"/>
              </w:rPr>
            </w:pPr>
            <w:r>
              <w:rPr>
                <w:rFonts w:hint="eastAsia"/>
                <w:color w:val="auto"/>
                <w:sz w:val="24"/>
              </w:rPr>
              <w:t>姓名</w:t>
            </w:r>
          </w:p>
        </w:tc>
        <w:tc>
          <w:tcPr>
            <w:tcW w:w="876" w:type="dxa"/>
            <w:gridSpan w:val="2"/>
            <w:tcBorders>
              <w:top w:val="single" w:color="auto" w:sz="4" w:space="0"/>
              <w:left w:val="single" w:color="auto" w:sz="4" w:space="0"/>
              <w:bottom w:val="single" w:color="auto" w:sz="4" w:space="0"/>
              <w:right w:val="single" w:color="auto" w:sz="4" w:space="0"/>
            </w:tcBorders>
            <w:vAlign w:val="center"/>
          </w:tcPr>
          <w:p w14:paraId="4A5166CE">
            <w:pPr>
              <w:spacing w:line="360" w:lineRule="auto"/>
              <w:jc w:val="center"/>
              <w:rPr>
                <w:color w:val="auto"/>
                <w:sz w:val="24"/>
              </w:rPr>
            </w:pPr>
          </w:p>
        </w:tc>
        <w:tc>
          <w:tcPr>
            <w:tcW w:w="834" w:type="dxa"/>
            <w:tcBorders>
              <w:top w:val="single" w:color="auto" w:sz="4" w:space="0"/>
              <w:left w:val="single" w:color="auto" w:sz="4" w:space="0"/>
              <w:bottom w:val="single" w:color="auto" w:sz="4" w:space="0"/>
              <w:right w:val="single" w:color="auto" w:sz="4" w:space="0"/>
            </w:tcBorders>
            <w:vAlign w:val="center"/>
          </w:tcPr>
          <w:p w14:paraId="45580619">
            <w:pPr>
              <w:spacing w:line="360" w:lineRule="auto"/>
              <w:jc w:val="center"/>
              <w:rPr>
                <w:rFonts w:hint="eastAsia"/>
                <w:color w:val="auto"/>
                <w:sz w:val="24"/>
                <w:lang w:val="en-US" w:eastAsia="zh-CN"/>
              </w:rPr>
            </w:pPr>
            <w:r>
              <w:rPr>
                <w:rFonts w:hint="eastAsia"/>
                <w:color w:val="auto"/>
                <w:sz w:val="24"/>
                <w:lang w:val="en-US" w:eastAsia="zh-CN"/>
              </w:rPr>
              <w:t>技术</w:t>
            </w:r>
          </w:p>
          <w:p w14:paraId="632E9CD7">
            <w:pPr>
              <w:spacing w:line="360" w:lineRule="auto"/>
              <w:jc w:val="center"/>
              <w:rPr>
                <w:rFonts w:hint="eastAsia" w:eastAsia="宋体"/>
                <w:color w:val="auto"/>
                <w:sz w:val="24"/>
                <w:lang w:val="en-US" w:eastAsia="zh-CN"/>
              </w:rPr>
            </w:pPr>
            <w:r>
              <w:rPr>
                <w:rFonts w:hint="eastAsia"/>
                <w:color w:val="auto"/>
                <w:sz w:val="24"/>
                <w:lang w:val="en-US" w:eastAsia="zh-CN"/>
              </w:rPr>
              <w:t>职称</w:t>
            </w:r>
          </w:p>
        </w:tc>
        <w:tc>
          <w:tcPr>
            <w:tcW w:w="1362" w:type="dxa"/>
            <w:tcBorders>
              <w:top w:val="single" w:color="auto" w:sz="4" w:space="0"/>
              <w:left w:val="single" w:color="auto" w:sz="4" w:space="0"/>
              <w:bottom w:val="single" w:color="auto" w:sz="4" w:space="0"/>
              <w:right w:val="single" w:color="auto" w:sz="4" w:space="0"/>
            </w:tcBorders>
            <w:vAlign w:val="center"/>
          </w:tcPr>
          <w:p w14:paraId="0232EEF0">
            <w:pPr>
              <w:spacing w:line="360" w:lineRule="auto"/>
              <w:jc w:val="center"/>
              <w:rPr>
                <w:color w:val="auto"/>
                <w:sz w:val="24"/>
              </w:rPr>
            </w:pPr>
          </w:p>
        </w:tc>
        <w:tc>
          <w:tcPr>
            <w:tcW w:w="916" w:type="dxa"/>
            <w:tcBorders>
              <w:top w:val="single" w:color="auto" w:sz="4" w:space="0"/>
              <w:left w:val="single" w:color="auto" w:sz="4" w:space="0"/>
              <w:bottom w:val="single" w:color="auto" w:sz="4" w:space="0"/>
              <w:right w:val="single" w:color="auto" w:sz="4" w:space="0"/>
            </w:tcBorders>
            <w:vAlign w:val="center"/>
          </w:tcPr>
          <w:p w14:paraId="1096217A">
            <w:pPr>
              <w:spacing w:line="360" w:lineRule="auto"/>
              <w:jc w:val="center"/>
              <w:rPr>
                <w:color w:val="auto"/>
                <w:sz w:val="24"/>
              </w:rPr>
            </w:pPr>
            <w:r>
              <w:rPr>
                <w:rFonts w:hint="eastAsia"/>
                <w:color w:val="auto"/>
                <w:sz w:val="24"/>
              </w:rPr>
              <w:t>电话</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720DCBEE">
            <w:pPr>
              <w:spacing w:line="360" w:lineRule="auto"/>
              <w:jc w:val="center"/>
              <w:rPr>
                <w:color w:val="auto"/>
                <w:sz w:val="24"/>
              </w:rPr>
            </w:pPr>
          </w:p>
        </w:tc>
      </w:tr>
      <w:tr w14:paraId="0131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61942E73">
            <w:pPr>
              <w:spacing w:line="360" w:lineRule="auto"/>
              <w:jc w:val="center"/>
              <w:rPr>
                <w:rFonts w:hint="eastAsia" w:eastAsia="宋体"/>
                <w:color w:val="auto"/>
                <w:sz w:val="24"/>
                <w:lang w:val="en-US" w:eastAsia="zh-CN"/>
              </w:rPr>
            </w:pPr>
            <w:r>
              <w:rPr>
                <w:rFonts w:hint="eastAsia"/>
                <w:color w:val="auto"/>
                <w:sz w:val="24"/>
                <w:lang w:val="en-US" w:eastAsia="zh-CN"/>
              </w:rPr>
              <w:t>项目负责人</w:t>
            </w:r>
          </w:p>
        </w:tc>
        <w:tc>
          <w:tcPr>
            <w:tcW w:w="961" w:type="dxa"/>
            <w:tcBorders>
              <w:top w:val="single" w:color="auto" w:sz="4" w:space="0"/>
              <w:left w:val="single" w:color="auto" w:sz="4" w:space="0"/>
              <w:bottom w:val="single" w:color="auto" w:sz="4" w:space="0"/>
              <w:right w:val="single" w:color="auto" w:sz="4" w:space="0"/>
            </w:tcBorders>
            <w:vAlign w:val="center"/>
          </w:tcPr>
          <w:p w14:paraId="42FB0AD8">
            <w:pPr>
              <w:spacing w:line="360" w:lineRule="auto"/>
              <w:jc w:val="center"/>
              <w:rPr>
                <w:rFonts w:hint="eastAsia"/>
                <w:color w:val="auto"/>
                <w:sz w:val="24"/>
              </w:rPr>
            </w:pPr>
            <w:r>
              <w:rPr>
                <w:rFonts w:hint="eastAsia"/>
                <w:color w:val="auto"/>
                <w:sz w:val="24"/>
              </w:rPr>
              <w:t>姓名</w:t>
            </w:r>
          </w:p>
        </w:tc>
        <w:tc>
          <w:tcPr>
            <w:tcW w:w="876" w:type="dxa"/>
            <w:gridSpan w:val="2"/>
            <w:tcBorders>
              <w:top w:val="single" w:color="auto" w:sz="4" w:space="0"/>
              <w:left w:val="single" w:color="auto" w:sz="4" w:space="0"/>
              <w:bottom w:val="single" w:color="auto" w:sz="4" w:space="0"/>
              <w:right w:val="single" w:color="auto" w:sz="4" w:space="0"/>
            </w:tcBorders>
            <w:vAlign w:val="center"/>
          </w:tcPr>
          <w:p w14:paraId="17DEDB4F">
            <w:pPr>
              <w:spacing w:line="360" w:lineRule="auto"/>
              <w:jc w:val="center"/>
              <w:rPr>
                <w:color w:val="auto"/>
                <w:sz w:val="24"/>
              </w:rPr>
            </w:pPr>
          </w:p>
        </w:tc>
        <w:tc>
          <w:tcPr>
            <w:tcW w:w="834" w:type="dxa"/>
            <w:tcBorders>
              <w:top w:val="single" w:color="auto" w:sz="4" w:space="0"/>
              <w:left w:val="single" w:color="auto" w:sz="4" w:space="0"/>
              <w:bottom w:val="single" w:color="auto" w:sz="4" w:space="0"/>
              <w:right w:val="single" w:color="auto" w:sz="4" w:space="0"/>
            </w:tcBorders>
            <w:vAlign w:val="center"/>
          </w:tcPr>
          <w:p w14:paraId="49C91B50">
            <w:pPr>
              <w:spacing w:line="360" w:lineRule="auto"/>
              <w:jc w:val="center"/>
              <w:rPr>
                <w:rFonts w:hint="eastAsia"/>
                <w:color w:val="auto"/>
                <w:sz w:val="24"/>
                <w:lang w:val="en-US" w:eastAsia="zh-CN"/>
              </w:rPr>
            </w:pPr>
            <w:r>
              <w:rPr>
                <w:rFonts w:hint="eastAsia"/>
                <w:color w:val="auto"/>
                <w:sz w:val="24"/>
                <w:lang w:val="en-US" w:eastAsia="zh-CN"/>
              </w:rPr>
              <w:t>技术</w:t>
            </w:r>
          </w:p>
          <w:p w14:paraId="1EA116BE">
            <w:pPr>
              <w:spacing w:line="360" w:lineRule="auto"/>
              <w:jc w:val="center"/>
              <w:rPr>
                <w:rFonts w:hint="eastAsia"/>
                <w:color w:val="auto"/>
                <w:sz w:val="24"/>
                <w:lang w:val="en-US" w:eastAsia="zh-CN"/>
              </w:rPr>
            </w:pPr>
            <w:r>
              <w:rPr>
                <w:rFonts w:hint="eastAsia"/>
                <w:color w:val="auto"/>
                <w:sz w:val="24"/>
                <w:lang w:val="en-US" w:eastAsia="zh-CN"/>
              </w:rPr>
              <w:t>职称</w:t>
            </w:r>
          </w:p>
        </w:tc>
        <w:tc>
          <w:tcPr>
            <w:tcW w:w="1362" w:type="dxa"/>
            <w:tcBorders>
              <w:top w:val="single" w:color="auto" w:sz="4" w:space="0"/>
              <w:left w:val="single" w:color="auto" w:sz="4" w:space="0"/>
              <w:bottom w:val="single" w:color="auto" w:sz="4" w:space="0"/>
              <w:right w:val="single" w:color="auto" w:sz="4" w:space="0"/>
            </w:tcBorders>
            <w:vAlign w:val="center"/>
          </w:tcPr>
          <w:p w14:paraId="4A5BBB85">
            <w:pPr>
              <w:spacing w:line="360" w:lineRule="auto"/>
              <w:jc w:val="center"/>
              <w:rPr>
                <w:color w:val="auto"/>
                <w:sz w:val="24"/>
              </w:rPr>
            </w:pPr>
          </w:p>
        </w:tc>
        <w:tc>
          <w:tcPr>
            <w:tcW w:w="916" w:type="dxa"/>
            <w:tcBorders>
              <w:top w:val="single" w:color="auto" w:sz="4" w:space="0"/>
              <w:left w:val="single" w:color="auto" w:sz="4" w:space="0"/>
              <w:bottom w:val="single" w:color="auto" w:sz="4" w:space="0"/>
              <w:right w:val="single" w:color="auto" w:sz="4" w:space="0"/>
            </w:tcBorders>
            <w:vAlign w:val="center"/>
          </w:tcPr>
          <w:p w14:paraId="10013A24">
            <w:pPr>
              <w:spacing w:line="360" w:lineRule="auto"/>
              <w:jc w:val="center"/>
              <w:rPr>
                <w:rFonts w:hint="eastAsia"/>
                <w:color w:val="auto"/>
                <w:sz w:val="24"/>
              </w:rPr>
            </w:pPr>
            <w:r>
              <w:rPr>
                <w:rFonts w:hint="eastAsia"/>
                <w:color w:val="auto"/>
                <w:sz w:val="24"/>
              </w:rPr>
              <w:t>电话</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1F2C8B16">
            <w:pPr>
              <w:spacing w:line="360" w:lineRule="auto"/>
              <w:jc w:val="center"/>
              <w:rPr>
                <w:color w:val="auto"/>
                <w:sz w:val="24"/>
              </w:rPr>
            </w:pPr>
          </w:p>
        </w:tc>
      </w:tr>
      <w:tr w14:paraId="12E2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70F29CD0">
            <w:pPr>
              <w:spacing w:line="360" w:lineRule="auto"/>
              <w:jc w:val="center"/>
              <w:rPr>
                <w:color w:val="auto"/>
                <w:sz w:val="24"/>
              </w:rPr>
            </w:pPr>
            <w:r>
              <w:rPr>
                <w:rFonts w:hint="eastAsia"/>
                <w:color w:val="auto"/>
                <w:sz w:val="24"/>
              </w:rPr>
              <w:t>营业执照号</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45DA3ACE">
            <w:pPr>
              <w:spacing w:line="360" w:lineRule="auto"/>
              <w:jc w:val="center"/>
              <w:rPr>
                <w:color w:val="auto"/>
                <w:sz w:val="24"/>
              </w:rPr>
            </w:pPr>
          </w:p>
        </w:tc>
        <w:tc>
          <w:tcPr>
            <w:tcW w:w="4907" w:type="dxa"/>
            <w:gridSpan w:val="6"/>
            <w:tcBorders>
              <w:top w:val="single" w:color="auto" w:sz="4" w:space="0"/>
              <w:left w:val="single" w:color="auto" w:sz="4" w:space="0"/>
              <w:bottom w:val="single" w:color="auto" w:sz="4" w:space="0"/>
              <w:right w:val="single" w:color="auto" w:sz="4" w:space="0"/>
            </w:tcBorders>
            <w:vAlign w:val="center"/>
          </w:tcPr>
          <w:p w14:paraId="49732B4E">
            <w:pPr>
              <w:spacing w:line="360" w:lineRule="auto"/>
              <w:jc w:val="center"/>
              <w:rPr>
                <w:color w:val="auto"/>
                <w:sz w:val="24"/>
              </w:rPr>
            </w:pPr>
            <w:r>
              <w:rPr>
                <w:rFonts w:hint="eastAsia"/>
                <w:color w:val="auto"/>
                <w:sz w:val="24"/>
              </w:rPr>
              <w:t>员工总人数：</w:t>
            </w:r>
          </w:p>
        </w:tc>
      </w:tr>
      <w:tr w14:paraId="1BBC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0D6D522A">
            <w:pPr>
              <w:spacing w:line="360" w:lineRule="auto"/>
              <w:jc w:val="center"/>
              <w:rPr>
                <w:color w:val="auto"/>
                <w:sz w:val="24"/>
              </w:rPr>
            </w:pPr>
            <w:r>
              <w:rPr>
                <w:rFonts w:hint="eastAsia"/>
                <w:color w:val="auto"/>
                <w:sz w:val="24"/>
              </w:rPr>
              <w:t>注册资金</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017F575E">
            <w:pPr>
              <w:spacing w:line="360" w:lineRule="auto"/>
              <w:jc w:val="center"/>
              <w:rPr>
                <w:color w:val="auto"/>
                <w:sz w:val="24"/>
              </w:rPr>
            </w:pPr>
          </w:p>
        </w:tc>
        <w:tc>
          <w:tcPr>
            <w:tcW w:w="969" w:type="dxa"/>
            <w:gridSpan w:val="2"/>
            <w:vMerge w:val="restart"/>
            <w:tcBorders>
              <w:top w:val="single" w:color="auto" w:sz="4" w:space="0"/>
              <w:left w:val="single" w:color="auto" w:sz="4" w:space="0"/>
              <w:right w:val="single" w:color="auto" w:sz="4" w:space="0"/>
            </w:tcBorders>
            <w:vAlign w:val="center"/>
          </w:tcPr>
          <w:p w14:paraId="496FE968">
            <w:pPr>
              <w:spacing w:line="360" w:lineRule="auto"/>
              <w:jc w:val="center"/>
              <w:rPr>
                <w:rFonts w:hint="eastAsia" w:eastAsia="宋体"/>
                <w:color w:val="auto"/>
                <w:sz w:val="24"/>
                <w:lang w:val="en-US" w:eastAsia="zh-CN"/>
              </w:rPr>
            </w:pPr>
            <w:r>
              <w:rPr>
                <w:rFonts w:hint="eastAsia"/>
                <w:color w:val="auto"/>
                <w:sz w:val="24"/>
                <w:lang w:val="en-US" w:eastAsia="zh-CN"/>
              </w:rPr>
              <w:t>其中</w:t>
            </w:r>
          </w:p>
        </w:tc>
        <w:tc>
          <w:tcPr>
            <w:tcW w:w="2278" w:type="dxa"/>
            <w:gridSpan w:val="2"/>
            <w:tcBorders>
              <w:top w:val="single" w:color="auto" w:sz="4" w:space="0"/>
              <w:left w:val="single" w:color="auto" w:sz="4" w:space="0"/>
              <w:bottom w:val="single" w:color="auto" w:sz="4" w:space="0"/>
              <w:right w:val="single" w:color="auto" w:sz="4" w:space="0"/>
            </w:tcBorders>
            <w:vAlign w:val="center"/>
          </w:tcPr>
          <w:p w14:paraId="303D631F">
            <w:pPr>
              <w:autoSpaceDE w:val="0"/>
              <w:autoSpaceDN w:val="0"/>
              <w:spacing w:before="128"/>
              <w:ind w:left="321" w:leftChars="0"/>
              <w:jc w:val="center"/>
              <w:rPr>
                <w:color w:val="auto"/>
                <w:sz w:val="24"/>
              </w:rPr>
            </w:pPr>
            <w:r>
              <w:rPr>
                <w:rFonts w:hint="default" w:ascii="Times New Roman" w:hAnsi="Times New Roman" w:cs="Times New Roman"/>
                <w:sz w:val="24"/>
                <w:szCs w:val="24"/>
                <w:highlight w:val="none"/>
                <w:lang w:val="zh-CN" w:eastAsia="en-US" w:bidi="zh-CN"/>
              </w:rPr>
              <w:t>高级职称人员</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4DA2829B">
            <w:pPr>
              <w:spacing w:line="360" w:lineRule="auto"/>
              <w:jc w:val="center"/>
              <w:rPr>
                <w:color w:val="auto"/>
                <w:sz w:val="24"/>
              </w:rPr>
            </w:pPr>
          </w:p>
        </w:tc>
      </w:tr>
      <w:tr w14:paraId="2795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34831733">
            <w:pPr>
              <w:spacing w:line="360" w:lineRule="auto"/>
              <w:jc w:val="center"/>
              <w:rPr>
                <w:rFonts w:hint="eastAsia" w:eastAsia="宋体"/>
                <w:color w:val="auto"/>
                <w:sz w:val="24"/>
                <w:lang w:eastAsia="zh-CN"/>
              </w:rPr>
            </w:pPr>
            <w:r>
              <w:rPr>
                <w:rFonts w:hint="eastAsia"/>
                <w:color w:val="auto"/>
                <w:sz w:val="24"/>
              </w:rPr>
              <w:t>成立</w:t>
            </w:r>
            <w:r>
              <w:rPr>
                <w:rFonts w:hint="eastAsia"/>
                <w:color w:val="auto"/>
                <w:sz w:val="24"/>
                <w:lang w:val="en-US" w:eastAsia="zh-CN"/>
              </w:rPr>
              <w:t>日期</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093C5737">
            <w:pPr>
              <w:spacing w:line="360" w:lineRule="auto"/>
              <w:jc w:val="center"/>
              <w:rPr>
                <w:color w:val="auto"/>
                <w:sz w:val="24"/>
              </w:rPr>
            </w:pPr>
          </w:p>
        </w:tc>
        <w:tc>
          <w:tcPr>
            <w:tcW w:w="969" w:type="dxa"/>
            <w:gridSpan w:val="2"/>
            <w:vMerge w:val="continue"/>
            <w:tcBorders>
              <w:left w:val="single" w:color="auto" w:sz="4" w:space="0"/>
              <w:right w:val="single" w:color="auto" w:sz="4" w:space="0"/>
            </w:tcBorders>
            <w:vAlign w:val="center"/>
          </w:tcPr>
          <w:p w14:paraId="5B01E148">
            <w:pPr>
              <w:spacing w:line="360" w:lineRule="auto"/>
              <w:jc w:val="center"/>
              <w:rPr>
                <w:color w:val="auto"/>
                <w:sz w:val="24"/>
              </w:rPr>
            </w:pPr>
          </w:p>
        </w:tc>
        <w:tc>
          <w:tcPr>
            <w:tcW w:w="2278" w:type="dxa"/>
            <w:gridSpan w:val="2"/>
            <w:tcBorders>
              <w:top w:val="single" w:color="auto" w:sz="4" w:space="0"/>
              <w:left w:val="single" w:color="auto" w:sz="4" w:space="0"/>
              <w:bottom w:val="single" w:color="auto" w:sz="4" w:space="0"/>
              <w:right w:val="single" w:color="auto" w:sz="4" w:space="0"/>
            </w:tcBorders>
            <w:vAlign w:val="center"/>
          </w:tcPr>
          <w:p w14:paraId="64570822">
            <w:pPr>
              <w:autoSpaceDE w:val="0"/>
              <w:autoSpaceDN w:val="0"/>
              <w:spacing w:before="130"/>
              <w:ind w:left="321" w:leftChars="0"/>
              <w:jc w:val="center"/>
              <w:rPr>
                <w:rFonts w:hint="eastAsia"/>
                <w:color w:val="auto"/>
                <w:sz w:val="24"/>
              </w:rPr>
            </w:pPr>
            <w:r>
              <w:rPr>
                <w:rFonts w:hint="default" w:ascii="Times New Roman" w:hAnsi="Times New Roman" w:cs="Times New Roman"/>
                <w:sz w:val="24"/>
                <w:szCs w:val="24"/>
                <w:highlight w:val="none"/>
                <w:lang w:val="zh-CN" w:eastAsia="en-US" w:bidi="zh-CN"/>
              </w:rPr>
              <w:t>中级职称人员</w:t>
            </w:r>
          </w:p>
        </w:tc>
        <w:tc>
          <w:tcPr>
            <w:tcW w:w="1660" w:type="dxa"/>
            <w:gridSpan w:val="2"/>
            <w:tcBorders>
              <w:top w:val="single" w:color="auto" w:sz="4" w:space="0"/>
              <w:left w:val="single" w:color="auto" w:sz="4" w:space="0"/>
              <w:bottom w:val="single" w:color="auto" w:sz="4" w:space="0"/>
              <w:right w:val="single" w:color="auto" w:sz="4" w:space="0"/>
            </w:tcBorders>
            <w:vAlign w:val="center"/>
          </w:tcPr>
          <w:p w14:paraId="6376CBBC">
            <w:pPr>
              <w:spacing w:line="360" w:lineRule="auto"/>
              <w:jc w:val="center"/>
              <w:rPr>
                <w:color w:val="auto"/>
                <w:sz w:val="24"/>
              </w:rPr>
            </w:pPr>
          </w:p>
        </w:tc>
      </w:tr>
      <w:tr w14:paraId="2EB3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5EF56276">
            <w:pPr>
              <w:autoSpaceDE w:val="0"/>
              <w:autoSpaceDN w:val="0"/>
              <w:spacing w:before="128"/>
              <w:ind w:left="182" w:leftChars="0"/>
              <w:jc w:val="center"/>
              <w:rPr>
                <w:color w:val="auto"/>
                <w:sz w:val="24"/>
              </w:rPr>
            </w:pPr>
            <w:r>
              <w:rPr>
                <w:rFonts w:hint="default" w:ascii="Times New Roman" w:hAnsi="Times New Roman" w:cs="Times New Roman"/>
                <w:sz w:val="24"/>
                <w:szCs w:val="24"/>
                <w:highlight w:val="none"/>
                <w:lang w:val="zh-CN" w:eastAsia="en-US" w:bidi="zh-CN"/>
              </w:rPr>
              <w:t>基本账户开户银行</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0437E82F">
            <w:pPr>
              <w:spacing w:line="360" w:lineRule="auto"/>
              <w:jc w:val="center"/>
              <w:rPr>
                <w:color w:val="auto"/>
                <w:sz w:val="24"/>
              </w:rPr>
            </w:pPr>
          </w:p>
        </w:tc>
        <w:tc>
          <w:tcPr>
            <w:tcW w:w="969" w:type="dxa"/>
            <w:gridSpan w:val="2"/>
            <w:vMerge w:val="continue"/>
            <w:tcBorders>
              <w:left w:val="single" w:color="auto" w:sz="4" w:space="0"/>
              <w:right w:val="single" w:color="auto" w:sz="4" w:space="0"/>
            </w:tcBorders>
            <w:vAlign w:val="center"/>
          </w:tcPr>
          <w:p w14:paraId="379B5E63">
            <w:pPr>
              <w:spacing w:line="360" w:lineRule="auto"/>
              <w:jc w:val="center"/>
              <w:rPr>
                <w:color w:val="auto"/>
                <w:sz w:val="24"/>
              </w:rPr>
            </w:pPr>
          </w:p>
        </w:tc>
        <w:tc>
          <w:tcPr>
            <w:tcW w:w="2283" w:type="dxa"/>
            <w:gridSpan w:val="3"/>
            <w:tcBorders>
              <w:top w:val="single" w:color="auto" w:sz="4" w:space="0"/>
              <w:left w:val="single" w:color="auto" w:sz="4" w:space="0"/>
              <w:bottom w:val="single" w:color="auto" w:sz="4" w:space="0"/>
              <w:right w:val="single" w:color="auto" w:sz="4" w:space="0"/>
            </w:tcBorders>
            <w:vAlign w:val="center"/>
          </w:tcPr>
          <w:p w14:paraId="10B86ABE">
            <w:pPr>
              <w:autoSpaceDE w:val="0"/>
              <w:autoSpaceDN w:val="0"/>
              <w:spacing w:before="128"/>
              <w:ind w:left="321" w:leftChars="0"/>
              <w:jc w:val="center"/>
              <w:rPr>
                <w:color w:val="auto"/>
                <w:sz w:val="24"/>
              </w:rPr>
            </w:pPr>
            <w:r>
              <w:rPr>
                <w:rFonts w:hint="default" w:ascii="Times New Roman" w:hAnsi="Times New Roman" w:cs="Times New Roman"/>
                <w:sz w:val="24"/>
                <w:szCs w:val="24"/>
                <w:highlight w:val="none"/>
                <w:lang w:val="zh-CN" w:eastAsia="en-US" w:bidi="zh-CN"/>
              </w:rPr>
              <w:t>技术人员数量</w:t>
            </w:r>
          </w:p>
        </w:tc>
        <w:tc>
          <w:tcPr>
            <w:tcW w:w="1655" w:type="dxa"/>
            <w:tcBorders>
              <w:top w:val="single" w:color="auto" w:sz="4" w:space="0"/>
              <w:left w:val="single" w:color="auto" w:sz="4" w:space="0"/>
              <w:bottom w:val="single" w:color="auto" w:sz="4" w:space="0"/>
              <w:right w:val="single" w:color="auto" w:sz="4" w:space="0"/>
            </w:tcBorders>
            <w:vAlign w:val="center"/>
          </w:tcPr>
          <w:p w14:paraId="6DB3CB44">
            <w:pPr>
              <w:spacing w:line="360" w:lineRule="auto"/>
              <w:jc w:val="center"/>
              <w:rPr>
                <w:color w:val="auto"/>
                <w:sz w:val="24"/>
              </w:rPr>
            </w:pPr>
          </w:p>
        </w:tc>
      </w:tr>
      <w:tr w14:paraId="089A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4F8844DE">
            <w:pPr>
              <w:autoSpaceDE w:val="0"/>
              <w:autoSpaceDN w:val="0"/>
              <w:spacing w:before="130"/>
              <w:ind w:left="182" w:leftChars="0"/>
              <w:jc w:val="center"/>
              <w:rPr>
                <w:color w:val="auto"/>
                <w:sz w:val="24"/>
              </w:rPr>
            </w:pPr>
            <w:r>
              <w:rPr>
                <w:rFonts w:hint="default" w:ascii="Times New Roman" w:hAnsi="Times New Roman" w:cs="Times New Roman"/>
                <w:sz w:val="24"/>
                <w:szCs w:val="24"/>
                <w:highlight w:val="none"/>
                <w:lang w:val="zh-CN" w:eastAsia="en-US" w:bidi="zh-CN"/>
              </w:rPr>
              <w:t>基本账户银行账号</w:t>
            </w:r>
          </w:p>
        </w:tc>
        <w:tc>
          <w:tcPr>
            <w:tcW w:w="1702" w:type="dxa"/>
            <w:gridSpan w:val="2"/>
            <w:tcBorders>
              <w:top w:val="single" w:color="auto" w:sz="4" w:space="0"/>
              <w:left w:val="single" w:color="auto" w:sz="4" w:space="0"/>
              <w:bottom w:val="single" w:color="auto" w:sz="4" w:space="0"/>
              <w:right w:val="single" w:color="auto" w:sz="4" w:space="0"/>
            </w:tcBorders>
            <w:vAlign w:val="center"/>
          </w:tcPr>
          <w:p w14:paraId="2B2AB778">
            <w:pPr>
              <w:spacing w:line="360" w:lineRule="auto"/>
              <w:jc w:val="center"/>
              <w:rPr>
                <w:color w:val="auto"/>
                <w:sz w:val="24"/>
              </w:rPr>
            </w:pPr>
          </w:p>
        </w:tc>
        <w:tc>
          <w:tcPr>
            <w:tcW w:w="969" w:type="dxa"/>
            <w:gridSpan w:val="2"/>
            <w:vMerge w:val="continue"/>
            <w:tcBorders>
              <w:left w:val="single" w:color="auto" w:sz="4" w:space="0"/>
              <w:right w:val="single" w:color="auto" w:sz="4" w:space="0"/>
            </w:tcBorders>
            <w:vAlign w:val="center"/>
          </w:tcPr>
          <w:p w14:paraId="3C67D852">
            <w:pPr>
              <w:spacing w:line="360" w:lineRule="auto"/>
              <w:jc w:val="center"/>
              <w:rPr>
                <w:color w:val="auto"/>
                <w:sz w:val="24"/>
              </w:rPr>
            </w:pPr>
          </w:p>
        </w:tc>
        <w:tc>
          <w:tcPr>
            <w:tcW w:w="2283" w:type="dxa"/>
            <w:gridSpan w:val="3"/>
            <w:tcBorders>
              <w:top w:val="single" w:color="auto" w:sz="4" w:space="0"/>
              <w:left w:val="single" w:color="auto" w:sz="4" w:space="0"/>
              <w:bottom w:val="single" w:color="auto" w:sz="4" w:space="0"/>
              <w:right w:val="single" w:color="auto" w:sz="4" w:space="0"/>
            </w:tcBorders>
            <w:vAlign w:val="center"/>
          </w:tcPr>
          <w:p w14:paraId="67460860">
            <w:pPr>
              <w:autoSpaceDE w:val="0"/>
              <w:autoSpaceDN w:val="0"/>
              <w:spacing w:before="130"/>
              <w:ind w:left="321" w:leftChars="0"/>
              <w:jc w:val="center"/>
              <w:rPr>
                <w:color w:val="auto"/>
                <w:sz w:val="24"/>
              </w:rPr>
            </w:pPr>
            <w:r>
              <w:rPr>
                <w:rFonts w:hint="default" w:ascii="Times New Roman" w:hAnsi="Times New Roman" w:cs="Times New Roman"/>
                <w:sz w:val="24"/>
                <w:szCs w:val="24"/>
                <w:highlight w:val="none"/>
                <w:lang w:val="zh-CN" w:eastAsia="en-US" w:bidi="zh-CN"/>
              </w:rPr>
              <w:t>各类注册人员</w:t>
            </w:r>
          </w:p>
        </w:tc>
        <w:tc>
          <w:tcPr>
            <w:tcW w:w="1655" w:type="dxa"/>
            <w:tcBorders>
              <w:top w:val="single" w:color="auto" w:sz="4" w:space="0"/>
              <w:left w:val="single" w:color="auto" w:sz="4" w:space="0"/>
              <w:bottom w:val="single" w:color="auto" w:sz="4" w:space="0"/>
              <w:right w:val="single" w:color="auto" w:sz="4" w:space="0"/>
            </w:tcBorders>
            <w:vAlign w:val="center"/>
          </w:tcPr>
          <w:p w14:paraId="545A631A">
            <w:pPr>
              <w:spacing w:line="360" w:lineRule="auto"/>
              <w:jc w:val="center"/>
              <w:rPr>
                <w:color w:val="auto"/>
                <w:sz w:val="24"/>
              </w:rPr>
            </w:pPr>
          </w:p>
        </w:tc>
      </w:tr>
      <w:tr w14:paraId="4A5E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7492BDBA">
            <w:pPr>
              <w:spacing w:line="360" w:lineRule="auto"/>
              <w:jc w:val="center"/>
              <w:rPr>
                <w:rFonts w:hint="default" w:eastAsia="宋体"/>
                <w:color w:val="auto"/>
                <w:sz w:val="24"/>
                <w:lang w:val="en-US" w:eastAsia="zh-CN"/>
              </w:rPr>
            </w:pPr>
            <w:r>
              <w:rPr>
                <w:rFonts w:hint="eastAsia"/>
                <w:color w:val="auto"/>
                <w:sz w:val="24"/>
                <w:lang w:val="en-US" w:eastAsia="zh-CN"/>
              </w:rPr>
              <w:t>经营范围</w:t>
            </w:r>
          </w:p>
        </w:tc>
        <w:tc>
          <w:tcPr>
            <w:tcW w:w="6609" w:type="dxa"/>
            <w:gridSpan w:val="8"/>
            <w:tcBorders>
              <w:top w:val="single" w:color="auto" w:sz="4" w:space="0"/>
              <w:left w:val="single" w:color="auto" w:sz="4" w:space="0"/>
              <w:bottom w:val="single" w:color="auto" w:sz="4" w:space="0"/>
              <w:right w:val="single" w:color="auto" w:sz="4" w:space="0"/>
            </w:tcBorders>
            <w:vAlign w:val="center"/>
          </w:tcPr>
          <w:p w14:paraId="5E386E1F">
            <w:pPr>
              <w:spacing w:line="360" w:lineRule="auto"/>
              <w:jc w:val="center"/>
              <w:rPr>
                <w:color w:val="auto"/>
                <w:sz w:val="24"/>
              </w:rPr>
            </w:pPr>
          </w:p>
        </w:tc>
      </w:tr>
      <w:tr w14:paraId="65E3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14:paraId="58CDAAD0">
            <w:pPr>
              <w:spacing w:line="360" w:lineRule="auto"/>
              <w:jc w:val="center"/>
              <w:rPr>
                <w:rFonts w:hint="eastAsia" w:eastAsia="宋体"/>
                <w:color w:val="auto"/>
                <w:sz w:val="24"/>
                <w:lang w:val="en-US" w:eastAsia="zh-CN"/>
              </w:rPr>
            </w:pPr>
            <w:r>
              <w:rPr>
                <w:rFonts w:hint="eastAsia"/>
                <w:color w:val="auto"/>
                <w:sz w:val="24"/>
                <w:lang w:val="en-US" w:eastAsia="zh-CN"/>
              </w:rPr>
              <w:t>备注</w:t>
            </w:r>
          </w:p>
        </w:tc>
        <w:tc>
          <w:tcPr>
            <w:tcW w:w="6609" w:type="dxa"/>
            <w:gridSpan w:val="8"/>
            <w:tcBorders>
              <w:top w:val="single" w:color="auto" w:sz="4" w:space="0"/>
              <w:left w:val="single" w:color="auto" w:sz="4" w:space="0"/>
              <w:bottom w:val="single" w:color="auto" w:sz="4" w:space="0"/>
              <w:right w:val="single" w:color="auto" w:sz="4" w:space="0"/>
            </w:tcBorders>
            <w:vAlign w:val="center"/>
          </w:tcPr>
          <w:p w14:paraId="53192EB6">
            <w:pPr>
              <w:spacing w:line="360" w:lineRule="auto"/>
              <w:jc w:val="center"/>
              <w:rPr>
                <w:color w:val="auto"/>
                <w:sz w:val="24"/>
              </w:rPr>
            </w:pPr>
          </w:p>
        </w:tc>
      </w:tr>
    </w:tbl>
    <w:p w14:paraId="23264871">
      <w:pPr>
        <w:spacing w:line="360" w:lineRule="auto"/>
        <w:rPr>
          <w:color w:val="auto"/>
          <w:sz w:val="24"/>
        </w:rPr>
      </w:pPr>
    </w:p>
    <w:p w14:paraId="1977B6AA">
      <w:pPr>
        <w:spacing w:line="360" w:lineRule="auto"/>
        <w:rPr>
          <w:color w:val="auto"/>
          <w:sz w:val="24"/>
        </w:rPr>
      </w:pPr>
    </w:p>
    <w:p w14:paraId="7BD5B5EC">
      <w:pPr>
        <w:rPr>
          <w:rFonts w:hint="eastAsia"/>
          <w:color w:val="auto"/>
          <w:sz w:val="24"/>
          <w:szCs w:val="32"/>
        </w:rPr>
      </w:pPr>
      <w:bookmarkStart w:id="323" w:name="_Toc13068_WPSOffice_Level2"/>
    </w:p>
    <w:p w14:paraId="5B082126">
      <w:pPr>
        <w:jc w:val="center"/>
        <w:rPr>
          <w:color w:val="auto"/>
          <w:sz w:val="24"/>
          <w:szCs w:val="32"/>
        </w:rPr>
      </w:pPr>
      <w:r>
        <w:rPr>
          <w:rFonts w:hint="eastAsia"/>
          <w:color w:val="auto"/>
          <w:sz w:val="24"/>
          <w:szCs w:val="32"/>
        </w:rPr>
        <w:t>（二）近三年来完成</w:t>
      </w:r>
      <w:r>
        <w:rPr>
          <w:rFonts w:hint="eastAsia"/>
          <w:color w:val="auto"/>
          <w:sz w:val="24"/>
          <w:szCs w:val="32"/>
          <w:lang w:eastAsia="zh-CN"/>
        </w:rPr>
        <w:t>类似</w:t>
      </w:r>
      <w:r>
        <w:rPr>
          <w:rFonts w:hint="eastAsia"/>
          <w:color w:val="auto"/>
          <w:sz w:val="24"/>
          <w:szCs w:val="32"/>
        </w:rPr>
        <w:t>项目情况表</w:t>
      </w:r>
    </w:p>
    <w:tbl>
      <w:tblPr>
        <w:tblStyle w:val="20"/>
        <w:tblW w:w="8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5"/>
        <w:gridCol w:w="5795"/>
      </w:tblGrid>
      <w:tr w14:paraId="5F08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7A017F2F">
            <w:pPr>
              <w:adjustRightInd w:val="0"/>
              <w:snapToGrid w:val="0"/>
              <w:spacing w:line="480" w:lineRule="exact"/>
              <w:jc w:val="center"/>
              <w:rPr>
                <w:rFonts w:ascii="宋体" w:cs="宋体"/>
                <w:color w:val="auto"/>
              </w:rPr>
            </w:pPr>
            <w:r>
              <w:rPr>
                <w:rFonts w:hint="eastAsia" w:ascii="宋体" w:hAnsi="宋体" w:cs="宋体"/>
                <w:color w:val="auto"/>
              </w:rPr>
              <w:t>建设单位</w:t>
            </w:r>
          </w:p>
          <w:p w14:paraId="521680C3">
            <w:pPr>
              <w:adjustRightInd w:val="0"/>
              <w:snapToGrid w:val="0"/>
              <w:spacing w:line="480" w:lineRule="exact"/>
              <w:jc w:val="center"/>
              <w:rPr>
                <w:rFonts w:ascii="宋体" w:cs="宋体"/>
                <w:color w:val="auto"/>
              </w:rPr>
            </w:pPr>
            <w:r>
              <w:rPr>
                <w:rFonts w:hint="eastAsia" w:ascii="宋体" w:hAnsi="宋体" w:cs="宋体"/>
                <w:color w:val="auto"/>
              </w:rPr>
              <w:t>（业主）</w:t>
            </w:r>
          </w:p>
        </w:tc>
        <w:tc>
          <w:tcPr>
            <w:tcW w:w="5795" w:type="dxa"/>
            <w:vAlign w:val="center"/>
          </w:tcPr>
          <w:p w14:paraId="0F504A3D">
            <w:pPr>
              <w:adjustRightInd w:val="0"/>
              <w:snapToGrid w:val="0"/>
              <w:spacing w:line="480" w:lineRule="exact"/>
              <w:jc w:val="center"/>
              <w:rPr>
                <w:rFonts w:ascii="宋体" w:cs="宋体"/>
                <w:color w:val="auto"/>
              </w:rPr>
            </w:pPr>
          </w:p>
        </w:tc>
      </w:tr>
      <w:tr w14:paraId="0684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1E3A801B">
            <w:pPr>
              <w:adjustRightInd w:val="0"/>
              <w:snapToGrid w:val="0"/>
              <w:spacing w:line="480" w:lineRule="exact"/>
              <w:jc w:val="center"/>
              <w:rPr>
                <w:rFonts w:ascii="宋体" w:cs="宋体"/>
                <w:color w:val="auto"/>
              </w:rPr>
            </w:pPr>
            <w:r>
              <w:rPr>
                <w:rFonts w:hint="eastAsia" w:ascii="宋体" w:hAnsi="宋体" w:cs="宋体"/>
                <w:color w:val="auto"/>
              </w:rPr>
              <w:t>工程名称</w:t>
            </w:r>
          </w:p>
        </w:tc>
        <w:tc>
          <w:tcPr>
            <w:tcW w:w="5795" w:type="dxa"/>
            <w:vAlign w:val="center"/>
          </w:tcPr>
          <w:p w14:paraId="1F1C8C6F">
            <w:pPr>
              <w:adjustRightInd w:val="0"/>
              <w:snapToGrid w:val="0"/>
              <w:spacing w:line="480" w:lineRule="exact"/>
              <w:jc w:val="center"/>
              <w:rPr>
                <w:rFonts w:ascii="宋体" w:cs="宋体"/>
                <w:color w:val="auto"/>
              </w:rPr>
            </w:pPr>
          </w:p>
        </w:tc>
      </w:tr>
      <w:tr w14:paraId="527A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60365725">
            <w:pPr>
              <w:adjustRightInd w:val="0"/>
              <w:snapToGrid w:val="0"/>
              <w:spacing w:line="480" w:lineRule="exact"/>
              <w:jc w:val="center"/>
              <w:rPr>
                <w:rFonts w:ascii="宋体" w:cs="宋体"/>
                <w:color w:val="auto"/>
              </w:rPr>
            </w:pPr>
            <w:r>
              <w:rPr>
                <w:rFonts w:hint="eastAsia" w:ascii="宋体" w:hAnsi="宋体" w:cs="宋体"/>
                <w:color w:val="auto"/>
              </w:rPr>
              <w:t>建设规模</w:t>
            </w:r>
          </w:p>
        </w:tc>
        <w:tc>
          <w:tcPr>
            <w:tcW w:w="5795" w:type="dxa"/>
            <w:vAlign w:val="center"/>
          </w:tcPr>
          <w:p w14:paraId="04947C0F">
            <w:pPr>
              <w:adjustRightInd w:val="0"/>
              <w:snapToGrid w:val="0"/>
              <w:spacing w:line="480" w:lineRule="exact"/>
              <w:jc w:val="center"/>
              <w:rPr>
                <w:rFonts w:ascii="宋体" w:cs="宋体"/>
                <w:color w:val="auto"/>
              </w:rPr>
            </w:pPr>
          </w:p>
        </w:tc>
      </w:tr>
      <w:tr w14:paraId="1003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2A1FD2AC">
            <w:pPr>
              <w:adjustRightInd w:val="0"/>
              <w:snapToGrid w:val="0"/>
              <w:spacing w:line="480" w:lineRule="exact"/>
              <w:jc w:val="center"/>
              <w:rPr>
                <w:rFonts w:ascii="宋体" w:cs="宋体"/>
                <w:color w:val="auto"/>
              </w:rPr>
            </w:pPr>
            <w:r>
              <w:rPr>
                <w:rFonts w:hint="eastAsia" w:ascii="宋体" w:hAnsi="宋体" w:cs="宋体"/>
                <w:color w:val="auto"/>
              </w:rPr>
              <w:t>完成日期</w:t>
            </w:r>
          </w:p>
          <w:p w14:paraId="04214E95">
            <w:pPr>
              <w:adjustRightInd w:val="0"/>
              <w:snapToGrid w:val="0"/>
              <w:spacing w:line="480" w:lineRule="exact"/>
              <w:jc w:val="center"/>
              <w:rPr>
                <w:rFonts w:ascii="宋体" w:cs="宋体"/>
                <w:color w:val="auto"/>
              </w:rPr>
            </w:pPr>
            <w:r>
              <w:rPr>
                <w:rFonts w:hint="eastAsia" w:ascii="宋体" w:hAnsi="宋体" w:cs="宋体"/>
                <w:color w:val="auto"/>
              </w:rPr>
              <w:t>（年</w:t>
            </w:r>
            <w:r>
              <w:rPr>
                <w:rFonts w:ascii="宋体" w:hAnsi="宋体" w:cs="宋体"/>
                <w:color w:val="auto"/>
              </w:rPr>
              <w:t>/</w:t>
            </w:r>
            <w:r>
              <w:rPr>
                <w:rFonts w:hint="eastAsia" w:ascii="宋体" w:hAnsi="宋体" w:cs="宋体"/>
                <w:color w:val="auto"/>
              </w:rPr>
              <w:t>月</w:t>
            </w:r>
            <w:r>
              <w:rPr>
                <w:rFonts w:ascii="宋体" w:hAnsi="宋体" w:cs="宋体"/>
                <w:color w:val="auto"/>
              </w:rPr>
              <w:t>/</w:t>
            </w:r>
            <w:r>
              <w:rPr>
                <w:rFonts w:hint="eastAsia" w:ascii="宋体" w:hAnsi="宋体" w:cs="宋体"/>
                <w:color w:val="auto"/>
              </w:rPr>
              <w:t>日）</w:t>
            </w:r>
          </w:p>
        </w:tc>
        <w:tc>
          <w:tcPr>
            <w:tcW w:w="5795" w:type="dxa"/>
            <w:vAlign w:val="center"/>
          </w:tcPr>
          <w:p w14:paraId="0C37E29D">
            <w:pPr>
              <w:adjustRightInd w:val="0"/>
              <w:snapToGrid w:val="0"/>
              <w:spacing w:line="480" w:lineRule="exact"/>
              <w:jc w:val="center"/>
              <w:rPr>
                <w:rFonts w:ascii="宋体" w:cs="宋体"/>
                <w:color w:val="auto"/>
              </w:rPr>
            </w:pPr>
          </w:p>
        </w:tc>
      </w:tr>
      <w:tr w14:paraId="22C8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678ED3E0">
            <w:pPr>
              <w:adjustRightInd w:val="0"/>
              <w:snapToGrid w:val="0"/>
              <w:spacing w:line="480" w:lineRule="exact"/>
              <w:jc w:val="center"/>
              <w:rPr>
                <w:rFonts w:ascii="宋体" w:cs="宋体"/>
                <w:color w:val="auto"/>
              </w:rPr>
            </w:pPr>
            <w:r>
              <w:rPr>
                <w:rFonts w:hint="eastAsia" w:ascii="宋体" w:hAnsi="宋体" w:cs="宋体"/>
                <w:color w:val="auto"/>
              </w:rPr>
              <w:t>主要设计人员情况</w:t>
            </w:r>
          </w:p>
        </w:tc>
        <w:tc>
          <w:tcPr>
            <w:tcW w:w="5795" w:type="dxa"/>
            <w:vAlign w:val="center"/>
          </w:tcPr>
          <w:p w14:paraId="7DCDE2A7">
            <w:pPr>
              <w:adjustRightInd w:val="0"/>
              <w:snapToGrid w:val="0"/>
              <w:spacing w:line="480" w:lineRule="exact"/>
              <w:jc w:val="center"/>
              <w:rPr>
                <w:rFonts w:ascii="宋体" w:cs="宋体"/>
                <w:color w:val="auto"/>
              </w:rPr>
            </w:pPr>
          </w:p>
        </w:tc>
      </w:tr>
      <w:tr w14:paraId="639F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385" w:type="dxa"/>
            <w:vAlign w:val="center"/>
          </w:tcPr>
          <w:p w14:paraId="400031D4">
            <w:pPr>
              <w:adjustRightInd w:val="0"/>
              <w:snapToGrid w:val="0"/>
              <w:spacing w:line="480" w:lineRule="exact"/>
              <w:jc w:val="center"/>
              <w:rPr>
                <w:rFonts w:ascii="宋体" w:cs="宋体"/>
                <w:color w:val="auto"/>
              </w:rPr>
            </w:pPr>
            <w:r>
              <w:rPr>
                <w:rFonts w:hint="eastAsia" w:ascii="宋体" w:hAnsi="宋体" w:cs="宋体"/>
                <w:color w:val="auto"/>
              </w:rPr>
              <w:t>……</w:t>
            </w:r>
          </w:p>
        </w:tc>
        <w:tc>
          <w:tcPr>
            <w:tcW w:w="5795" w:type="dxa"/>
            <w:vAlign w:val="center"/>
          </w:tcPr>
          <w:p w14:paraId="3F1BEC4C">
            <w:pPr>
              <w:adjustRightInd w:val="0"/>
              <w:snapToGrid w:val="0"/>
              <w:spacing w:line="480" w:lineRule="exact"/>
              <w:jc w:val="center"/>
              <w:rPr>
                <w:rFonts w:ascii="宋体" w:cs="宋体"/>
                <w:color w:val="auto"/>
              </w:rPr>
            </w:pPr>
          </w:p>
          <w:p w14:paraId="461811EC">
            <w:pPr>
              <w:adjustRightInd w:val="0"/>
              <w:snapToGrid w:val="0"/>
              <w:spacing w:line="480" w:lineRule="exact"/>
              <w:jc w:val="both"/>
              <w:rPr>
                <w:rFonts w:ascii="宋体" w:cs="宋体"/>
                <w:color w:val="auto"/>
              </w:rPr>
            </w:pPr>
          </w:p>
        </w:tc>
      </w:tr>
    </w:tbl>
    <w:p w14:paraId="66D616CB">
      <w:pPr>
        <w:spacing w:line="480" w:lineRule="exact"/>
        <w:ind w:left="2750" w:leftChars="1250"/>
        <w:rPr>
          <w:rFonts w:ascii="宋体" w:hAnsi="宋体" w:cs="宋体"/>
          <w:color w:val="auto"/>
        </w:rPr>
      </w:pPr>
    </w:p>
    <w:p w14:paraId="2FE0E9BA">
      <w:pPr>
        <w:adjustRightInd w:val="0"/>
        <w:snapToGrid w:val="0"/>
        <w:spacing w:line="480" w:lineRule="exact"/>
        <w:rPr>
          <w:rFonts w:ascii="宋体" w:cs="宋体"/>
          <w:b/>
          <w:color w:val="auto"/>
        </w:rPr>
      </w:pPr>
      <w:r>
        <w:rPr>
          <w:rFonts w:hint="eastAsia" w:ascii="宋体" w:hAnsi="宋体" w:cs="宋体"/>
          <w:b/>
          <w:color w:val="auto"/>
        </w:rPr>
        <w:t>注：</w:t>
      </w:r>
      <w:r>
        <w:rPr>
          <w:rFonts w:ascii="宋体" w:hAnsi="宋体" w:cs="宋体"/>
          <w:b/>
          <w:color w:val="auto"/>
        </w:rPr>
        <w:t>1</w:t>
      </w:r>
      <w:r>
        <w:rPr>
          <w:rFonts w:hint="eastAsia" w:ascii="宋体" w:hAnsi="宋体" w:cs="宋体"/>
          <w:b/>
          <w:color w:val="auto"/>
        </w:rPr>
        <w:t>、</w:t>
      </w:r>
      <w:r>
        <w:rPr>
          <w:rFonts w:hint="eastAsia" w:ascii="宋体" w:hAnsi="宋体" w:cs="宋体"/>
          <w:b/>
          <w:color w:val="auto"/>
          <w:lang w:eastAsia="zh-CN"/>
        </w:rPr>
        <w:t>供应商</w:t>
      </w:r>
      <w:r>
        <w:rPr>
          <w:rFonts w:hint="eastAsia" w:ascii="宋体" w:hAnsi="宋体" w:cs="宋体"/>
          <w:b/>
          <w:color w:val="auto"/>
        </w:rPr>
        <w:t>应随此表附上相关的业绩证明（合同</w:t>
      </w:r>
      <w:r>
        <w:rPr>
          <w:rFonts w:hint="eastAsia" w:cs="宋体"/>
          <w:b/>
          <w:color w:val="auto"/>
          <w:lang w:eastAsia="zh-CN"/>
        </w:rPr>
        <w:t>或</w:t>
      </w:r>
      <w:r>
        <w:rPr>
          <w:rFonts w:hint="eastAsia" w:ascii="宋体" w:hAnsi="宋体" w:cs="宋体"/>
          <w:b/>
          <w:color w:val="auto"/>
          <w:lang w:eastAsia="zh-CN"/>
        </w:rPr>
        <w:t>中标通知书</w:t>
      </w:r>
      <w:r>
        <w:rPr>
          <w:rFonts w:hint="eastAsia" w:ascii="宋体" w:hAnsi="宋体" w:cs="宋体"/>
          <w:b/>
          <w:color w:val="auto"/>
        </w:rPr>
        <w:t>的</w:t>
      </w:r>
      <w:r>
        <w:rPr>
          <w:rFonts w:hint="eastAsia" w:ascii="宋体" w:hAnsi="宋体" w:cs="宋体"/>
          <w:b/>
          <w:color w:val="auto"/>
          <w:lang w:val="en-US" w:eastAsia="zh-CN"/>
        </w:rPr>
        <w:t>扫描</w:t>
      </w:r>
      <w:r>
        <w:rPr>
          <w:rFonts w:hint="eastAsia" w:ascii="宋体" w:hAnsi="宋体" w:cs="宋体"/>
          <w:b/>
          <w:color w:val="auto"/>
        </w:rPr>
        <w:t>件）。</w:t>
      </w:r>
    </w:p>
    <w:p w14:paraId="275575F4">
      <w:pPr>
        <w:adjustRightInd w:val="0"/>
        <w:snapToGrid w:val="0"/>
        <w:spacing w:line="480" w:lineRule="exact"/>
        <w:rPr>
          <w:rFonts w:ascii="宋体" w:cs="宋体"/>
          <w:b/>
          <w:color w:val="auto"/>
        </w:rPr>
      </w:pPr>
      <w:r>
        <w:rPr>
          <w:rFonts w:ascii="宋体" w:hAnsi="宋体" w:cs="宋体"/>
          <w:b/>
          <w:color w:val="auto"/>
        </w:rPr>
        <w:t xml:space="preserve">    2</w:t>
      </w:r>
      <w:r>
        <w:rPr>
          <w:rFonts w:hint="eastAsia" w:ascii="宋体" w:hAnsi="宋体" w:cs="宋体"/>
          <w:b/>
          <w:color w:val="auto"/>
        </w:rPr>
        <w:t>、如有多个已完成项目，每个项目填一张此表，附后。</w:t>
      </w:r>
    </w:p>
    <w:p w14:paraId="7EF4C552">
      <w:pPr>
        <w:spacing w:line="500" w:lineRule="exact"/>
        <w:ind w:firstLine="4252" w:firstLineChars="1772"/>
        <w:rPr>
          <w:rFonts w:hint="eastAsia"/>
          <w:bCs/>
          <w:color w:val="auto"/>
          <w:sz w:val="24"/>
        </w:rPr>
      </w:pPr>
    </w:p>
    <w:p w14:paraId="3E020F62">
      <w:pPr>
        <w:spacing w:line="500" w:lineRule="exact"/>
        <w:ind w:firstLine="4252" w:firstLineChars="1772"/>
        <w:rPr>
          <w:bCs/>
          <w:color w:val="auto"/>
          <w:sz w:val="24"/>
        </w:rPr>
      </w:pPr>
      <w:r>
        <w:rPr>
          <w:rFonts w:hint="eastAsia"/>
          <w:bCs/>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bCs/>
          <w:color w:val="auto"/>
          <w:sz w:val="24"/>
        </w:rPr>
        <w:t>）</w:t>
      </w:r>
    </w:p>
    <w:p w14:paraId="2F56D3D8">
      <w:pPr>
        <w:spacing w:line="500" w:lineRule="exact"/>
        <w:ind w:firstLine="4252" w:firstLineChars="1772"/>
        <w:rPr>
          <w:bCs/>
          <w:color w:val="auto"/>
          <w:sz w:val="24"/>
        </w:rPr>
      </w:pPr>
      <w:r>
        <w:rPr>
          <w:rFonts w:hint="eastAsia"/>
          <w:bCs/>
          <w:color w:val="auto"/>
          <w:sz w:val="24"/>
        </w:rPr>
        <w:t>法定代表人：（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章或签字</w:t>
      </w:r>
      <w:r>
        <w:rPr>
          <w:rFonts w:hint="eastAsia"/>
          <w:bCs/>
          <w:color w:val="auto"/>
          <w:sz w:val="24"/>
        </w:rPr>
        <w:t>）</w:t>
      </w:r>
    </w:p>
    <w:p w14:paraId="7569028B">
      <w:pPr>
        <w:spacing w:line="500" w:lineRule="exact"/>
        <w:jc w:val="center"/>
        <w:rPr>
          <w:rFonts w:hint="eastAsia" w:ascii="宋体" w:hAnsi="宋体" w:cs="宋体"/>
          <w:b/>
          <w:color w:val="auto"/>
        </w:rPr>
      </w:pPr>
      <w:r>
        <w:rPr>
          <w:rFonts w:hint="eastAsia"/>
          <w:bCs/>
          <w:color w:val="auto"/>
          <w:sz w:val="24"/>
          <w:lang w:val="en-US" w:eastAsia="zh-CN"/>
        </w:rPr>
        <w:t xml:space="preserve"> </w:t>
      </w:r>
      <w:r>
        <w:rPr>
          <w:rFonts w:hint="eastAsia"/>
          <w:bCs/>
          <w:color w:val="auto"/>
          <w:sz w:val="24"/>
        </w:rPr>
        <w:t>日期：</w:t>
      </w:r>
    </w:p>
    <w:p w14:paraId="69013D96">
      <w:pPr>
        <w:pageBreakBefore/>
        <w:spacing w:line="480" w:lineRule="exact"/>
        <w:jc w:val="center"/>
        <w:rPr>
          <w:rFonts w:ascii="宋体" w:cs="宋体"/>
          <w:b/>
          <w:color w:val="auto"/>
          <w:sz w:val="24"/>
        </w:rPr>
      </w:pPr>
      <w:r>
        <w:rPr>
          <w:rFonts w:hint="eastAsia" w:ascii="宋体" w:hAnsi="宋体" w:cs="宋体"/>
          <w:bCs/>
          <w:color w:val="auto"/>
          <w:sz w:val="24"/>
        </w:rPr>
        <w:t>（三）</w:t>
      </w:r>
      <w:r>
        <w:rPr>
          <w:rFonts w:hint="eastAsia" w:ascii="宋体" w:hAnsi="宋体" w:cs="宋体"/>
          <w:color w:val="auto"/>
          <w:kern w:val="1"/>
          <w:sz w:val="24"/>
        </w:rPr>
        <w:t>主要人员简历表</w:t>
      </w:r>
    </w:p>
    <w:p w14:paraId="5EB2F87A">
      <w:pPr>
        <w:adjustRightInd w:val="0"/>
        <w:snapToGrid w:val="0"/>
        <w:spacing w:after="100" w:afterAutospacing="1" w:line="480" w:lineRule="exact"/>
        <w:jc w:val="center"/>
        <w:rPr>
          <w:rFonts w:ascii="宋体" w:cs="宋体"/>
          <w:b/>
          <w:color w:val="auto"/>
        </w:rPr>
      </w:pPr>
      <w:r>
        <w:rPr>
          <w:rFonts w:ascii="宋体" w:hAnsi="宋体" w:cs="宋体"/>
          <w:b/>
          <w:color w:val="auto"/>
        </w:rPr>
        <w:t>1</w:t>
      </w:r>
      <w:r>
        <w:rPr>
          <w:rFonts w:hint="eastAsia" w:ascii="宋体" w:hAnsi="宋体" w:cs="宋体"/>
          <w:b/>
          <w:color w:val="auto"/>
        </w:rPr>
        <w:t>、项目负责人基本情况表</w:t>
      </w:r>
    </w:p>
    <w:tbl>
      <w:tblPr>
        <w:tblStyle w:val="20"/>
        <w:tblW w:w="8380" w:type="dxa"/>
        <w:jc w:val="center"/>
        <w:tblLayout w:type="fixed"/>
        <w:tblCellMar>
          <w:top w:w="0" w:type="dxa"/>
          <w:left w:w="0" w:type="dxa"/>
          <w:bottom w:w="0" w:type="dxa"/>
          <w:right w:w="0" w:type="dxa"/>
        </w:tblCellMar>
      </w:tblPr>
      <w:tblGrid>
        <w:gridCol w:w="1362"/>
        <w:gridCol w:w="245"/>
        <w:gridCol w:w="1132"/>
        <w:gridCol w:w="273"/>
        <w:gridCol w:w="531"/>
        <w:gridCol w:w="982"/>
        <w:gridCol w:w="464"/>
        <w:gridCol w:w="1391"/>
        <w:gridCol w:w="395"/>
        <w:gridCol w:w="1605"/>
      </w:tblGrid>
      <w:tr w14:paraId="13FF046C">
        <w:tblPrEx>
          <w:tblCellMar>
            <w:top w:w="0" w:type="dxa"/>
            <w:left w:w="0" w:type="dxa"/>
            <w:bottom w:w="0" w:type="dxa"/>
            <w:right w:w="0" w:type="dxa"/>
          </w:tblCellMar>
        </w:tblPrEx>
        <w:trPr>
          <w:trHeight w:val="680" w:hRule="exact"/>
          <w:jc w:val="center"/>
        </w:trPr>
        <w:tc>
          <w:tcPr>
            <w:tcW w:w="1362" w:type="dxa"/>
            <w:tcBorders>
              <w:top w:val="single" w:color="auto" w:sz="8" w:space="0"/>
              <w:left w:val="single" w:color="auto" w:sz="8" w:space="0"/>
              <w:bottom w:val="single" w:color="auto" w:sz="8" w:space="0"/>
              <w:right w:val="single" w:color="auto" w:sz="8" w:space="0"/>
            </w:tcBorders>
            <w:vAlign w:val="center"/>
          </w:tcPr>
          <w:p w14:paraId="5CA11329">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姓  名</w:t>
            </w:r>
          </w:p>
        </w:tc>
        <w:tc>
          <w:tcPr>
            <w:tcW w:w="1377" w:type="dxa"/>
            <w:gridSpan w:val="2"/>
            <w:tcBorders>
              <w:top w:val="single" w:color="auto" w:sz="8" w:space="0"/>
              <w:left w:val="single" w:color="auto" w:sz="8" w:space="0"/>
              <w:bottom w:val="single" w:color="auto" w:sz="8" w:space="0"/>
              <w:right w:val="single" w:color="auto" w:sz="8" w:space="0"/>
            </w:tcBorders>
            <w:vAlign w:val="center"/>
          </w:tcPr>
          <w:p w14:paraId="78965BD2">
            <w:pPr>
              <w:widowControl/>
              <w:adjustRightInd w:val="0"/>
              <w:snapToGrid w:val="0"/>
              <w:spacing w:line="360" w:lineRule="auto"/>
              <w:jc w:val="center"/>
              <w:textAlignment w:val="baseline"/>
              <w:rPr>
                <w:rFonts w:hint="eastAsia" w:ascii="宋体" w:hAnsi="宋体" w:eastAsia="宋体" w:cs="宋体"/>
                <w:color w:val="auto"/>
                <w:sz w:val="22"/>
                <w:szCs w:val="22"/>
              </w:rPr>
            </w:pPr>
          </w:p>
        </w:tc>
        <w:tc>
          <w:tcPr>
            <w:tcW w:w="804" w:type="dxa"/>
            <w:gridSpan w:val="2"/>
            <w:tcBorders>
              <w:top w:val="single" w:color="auto" w:sz="8" w:space="0"/>
              <w:left w:val="single" w:color="auto" w:sz="8" w:space="0"/>
              <w:bottom w:val="single" w:color="auto" w:sz="8" w:space="0"/>
              <w:right w:val="single" w:color="auto" w:sz="8" w:space="0"/>
            </w:tcBorders>
            <w:vAlign w:val="center"/>
          </w:tcPr>
          <w:p w14:paraId="717A0893">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性别</w:t>
            </w:r>
          </w:p>
        </w:tc>
        <w:tc>
          <w:tcPr>
            <w:tcW w:w="1446" w:type="dxa"/>
            <w:gridSpan w:val="2"/>
            <w:tcBorders>
              <w:top w:val="single" w:color="auto" w:sz="8" w:space="0"/>
              <w:left w:val="single" w:color="auto" w:sz="8" w:space="0"/>
              <w:bottom w:val="single" w:color="auto" w:sz="8" w:space="0"/>
              <w:right w:val="single" w:color="auto" w:sz="8" w:space="0"/>
            </w:tcBorders>
            <w:vAlign w:val="center"/>
          </w:tcPr>
          <w:p w14:paraId="00819C05">
            <w:pPr>
              <w:widowControl/>
              <w:adjustRightInd w:val="0"/>
              <w:snapToGrid w:val="0"/>
              <w:spacing w:line="360" w:lineRule="auto"/>
              <w:jc w:val="center"/>
              <w:textAlignment w:val="baseline"/>
              <w:rPr>
                <w:rFonts w:hint="eastAsia" w:ascii="宋体" w:hAnsi="宋体" w:eastAsia="宋体" w:cs="宋体"/>
                <w:color w:val="auto"/>
                <w:sz w:val="22"/>
                <w:szCs w:val="22"/>
              </w:rPr>
            </w:pPr>
          </w:p>
        </w:tc>
        <w:tc>
          <w:tcPr>
            <w:tcW w:w="1786" w:type="dxa"/>
            <w:gridSpan w:val="2"/>
            <w:tcBorders>
              <w:top w:val="single" w:color="auto" w:sz="8" w:space="0"/>
              <w:left w:val="single" w:color="auto" w:sz="8" w:space="0"/>
              <w:bottom w:val="single" w:color="auto" w:sz="8" w:space="0"/>
              <w:right w:val="single" w:color="auto" w:sz="8" w:space="0"/>
            </w:tcBorders>
            <w:vAlign w:val="center"/>
          </w:tcPr>
          <w:p w14:paraId="341656AE">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学历</w:t>
            </w:r>
          </w:p>
        </w:tc>
        <w:tc>
          <w:tcPr>
            <w:tcW w:w="1605" w:type="dxa"/>
            <w:tcBorders>
              <w:top w:val="single" w:color="auto" w:sz="8" w:space="0"/>
              <w:left w:val="single" w:color="auto" w:sz="8" w:space="0"/>
              <w:bottom w:val="single" w:color="auto" w:sz="8" w:space="0"/>
              <w:right w:val="single" w:color="auto" w:sz="8" w:space="0"/>
            </w:tcBorders>
            <w:vAlign w:val="center"/>
          </w:tcPr>
          <w:p w14:paraId="472B3D6C">
            <w:pPr>
              <w:widowControl/>
              <w:adjustRightInd w:val="0"/>
              <w:snapToGrid w:val="0"/>
              <w:spacing w:line="360" w:lineRule="auto"/>
              <w:jc w:val="center"/>
              <w:textAlignment w:val="baseline"/>
              <w:rPr>
                <w:rFonts w:hint="eastAsia" w:ascii="宋体" w:hAnsi="宋体" w:eastAsia="宋体" w:cs="宋体"/>
                <w:color w:val="auto"/>
                <w:sz w:val="22"/>
                <w:szCs w:val="22"/>
              </w:rPr>
            </w:pPr>
          </w:p>
        </w:tc>
      </w:tr>
      <w:tr w14:paraId="5A382ED9">
        <w:tblPrEx>
          <w:tblCellMar>
            <w:top w:w="0" w:type="dxa"/>
            <w:left w:w="0" w:type="dxa"/>
            <w:bottom w:w="0" w:type="dxa"/>
            <w:right w:w="0" w:type="dxa"/>
          </w:tblCellMar>
        </w:tblPrEx>
        <w:trPr>
          <w:trHeight w:val="1085" w:hRule="exact"/>
          <w:jc w:val="center"/>
        </w:trPr>
        <w:tc>
          <w:tcPr>
            <w:tcW w:w="1362" w:type="dxa"/>
            <w:tcBorders>
              <w:top w:val="single" w:color="auto" w:sz="8" w:space="0"/>
              <w:left w:val="single" w:color="auto" w:sz="8" w:space="0"/>
              <w:bottom w:val="single" w:color="auto" w:sz="8" w:space="0"/>
              <w:right w:val="single" w:color="auto" w:sz="8" w:space="0"/>
            </w:tcBorders>
            <w:vAlign w:val="center"/>
          </w:tcPr>
          <w:p w14:paraId="5FC47C4A">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职称</w:t>
            </w:r>
          </w:p>
        </w:tc>
        <w:tc>
          <w:tcPr>
            <w:tcW w:w="1377" w:type="dxa"/>
            <w:gridSpan w:val="2"/>
            <w:tcBorders>
              <w:top w:val="single" w:color="auto" w:sz="8" w:space="0"/>
              <w:left w:val="single" w:color="auto" w:sz="8" w:space="0"/>
              <w:bottom w:val="single" w:color="auto" w:sz="8" w:space="0"/>
              <w:right w:val="single" w:color="auto" w:sz="8" w:space="0"/>
            </w:tcBorders>
            <w:vAlign w:val="center"/>
          </w:tcPr>
          <w:p w14:paraId="38A30240">
            <w:pPr>
              <w:widowControl/>
              <w:adjustRightInd w:val="0"/>
              <w:snapToGrid w:val="0"/>
              <w:spacing w:line="360" w:lineRule="auto"/>
              <w:jc w:val="center"/>
              <w:textAlignment w:val="baseline"/>
              <w:rPr>
                <w:rFonts w:hint="eastAsia" w:ascii="宋体" w:hAnsi="宋体" w:eastAsia="宋体" w:cs="宋体"/>
                <w:color w:val="auto"/>
                <w:sz w:val="22"/>
                <w:szCs w:val="22"/>
              </w:rPr>
            </w:pPr>
          </w:p>
        </w:tc>
        <w:tc>
          <w:tcPr>
            <w:tcW w:w="804" w:type="dxa"/>
            <w:gridSpan w:val="2"/>
            <w:tcBorders>
              <w:top w:val="single" w:color="auto" w:sz="8" w:space="0"/>
              <w:left w:val="single" w:color="auto" w:sz="8" w:space="0"/>
              <w:bottom w:val="single" w:color="auto" w:sz="8" w:space="0"/>
              <w:right w:val="single" w:color="auto" w:sz="8" w:space="0"/>
            </w:tcBorders>
            <w:vAlign w:val="center"/>
          </w:tcPr>
          <w:p w14:paraId="5442BE15">
            <w:pPr>
              <w:widowControl/>
              <w:adjustRightInd w:val="0"/>
              <w:snapToGrid w:val="0"/>
              <w:spacing w:line="360" w:lineRule="auto"/>
              <w:jc w:val="center"/>
              <w:textAlignment w:val="baseline"/>
              <w:rPr>
                <w:rFonts w:hint="eastAsia" w:ascii="宋体" w:hAnsi="宋体" w:eastAsia="宋体" w:cs="宋体"/>
                <w:sz w:val="22"/>
                <w:szCs w:val="22"/>
              </w:rPr>
            </w:pPr>
            <w:r>
              <w:rPr>
                <w:rFonts w:hint="eastAsia" w:ascii="宋体" w:hAnsi="宋体" w:eastAsia="宋体" w:cs="宋体"/>
                <w:color w:val="000000"/>
                <w:kern w:val="0"/>
                <w:sz w:val="22"/>
                <w:szCs w:val="22"/>
                <w:highlight w:val="none"/>
                <w:u w:color="000000"/>
              </w:rPr>
              <w:t>职务</w:t>
            </w:r>
          </w:p>
        </w:tc>
        <w:tc>
          <w:tcPr>
            <w:tcW w:w="1446" w:type="dxa"/>
            <w:gridSpan w:val="2"/>
            <w:tcBorders>
              <w:top w:val="single" w:color="auto" w:sz="8" w:space="0"/>
              <w:left w:val="single" w:color="auto" w:sz="8" w:space="0"/>
              <w:bottom w:val="single" w:color="auto" w:sz="8" w:space="0"/>
              <w:right w:val="single" w:color="auto" w:sz="8" w:space="0"/>
            </w:tcBorders>
            <w:vAlign w:val="center"/>
          </w:tcPr>
          <w:p w14:paraId="716C0422">
            <w:pPr>
              <w:widowControl/>
              <w:adjustRightInd w:val="0"/>
              <w:snapToGrid w:val="0"/>
              <w:spacing w:line="360" w:lineRule="auto"/>
              <w:jc w:val="center"/>
              <w:textAlignment w:val="baseline"/>
              <w:rPr>
                <w:rFonts w:hint="eastAsia" w:ascii="宋体" w:hAnsi="宋体" w:eastAsia="宋体" w:cs="宋体"/>
                <w:sz w:val="22"/>
                <w:szCs w:val="22"/>
              </w:rPr>
            </w:pPr>
          </w:p>
        </w:tc>
        <w:tc>
          <w:tcPr>
            <w:tcW w:w="1786" w:type="dxa"/>
            <w:gridSpan w:val="2"/>
            <w:tcBorders>
              <w:top w:val="single" w:color="auto" w:sz="8" w:space="0"/>
              <w:left w:val="single" w:color="auto" w:sz="8" w:space="0"/>
              <w:bottom w:val="single" w:color="auto" w:sz="8" w:space="0"/>
              <w:right w:val="single" w:color="auto" w:sz="8" w:space="0"/>
            </w:tcBorders>
            <w:vAlign w:val="center"/>
          </w:tcPr>
          <w:p w14:paraId="77928264">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拟在本项目任职</w:t>
            </w:r>
          </w:p>
        </w:tc>
        <w:tc>
          <w:tcPr>
            <w:tcW w:w="1605" w:type="dxa"/>
            <w:tcBorders>
              <w:top w:val="single" w:color="auto" w:sz="8" w:space="0"/>
              <w:left w:val="single" w:color="auto" w:sz="8" w:space="0"/>
              <w:bottom w:val="single" w:color="auto" w:sz="8" w:space="0"/>
              <w:right w:val="single" w:color="auto" w:sz="8" w:space="0"/>
            </w:tcBorders>
            <w:vAlign w:val="center"/>
          </w:tcPr>
          <w:p w14:paraId="247C41A3">
            <w:pPr>
              <w:widowControl/>
              <w:adjustRightInd w:val="0"/>
              <w:snapToGrid w:val="0"/>
              <w:spacing w:line="360" w:lineRule="auto"/>
              <w:jc w:val="center"/>
              <w:textAlignment w:val="baseline"/>
              <w:rPr>
                <w:rFonts w:hint="eastAsia" w:ascii="宋体" w:hAnsi="宋体" w:eastAsia="宋体" w:cs="宋体"/>
                <w:color w:val="auto"/>
                <w:sz w:val="22"/>
                <w:szCs w:val="22"/>
              </w:rPr>
            </w:pPr>
          </w:p>
        </w:tc>
      </w:tr>
      <w:tr w14:paraId="3DAED457">
        <w:tblPrEx>
          <w:tblCellMar>
            <w:top w:w="0" w:type="dxa"/>
            <w:left w:w="0" w:type="dxa"/>
            <w:bottom w:w="0" w:type="dxa"/>
            <w:right w:w="0" w:type="dxa"/>
          </w:tblCellMar>
        </w:tblPrEx>
        <w:trPr>
          <w:trHeight w:val="1085" w:hRule="exact"/>
          <w:jc w:val="center"/>
        </w:trPr>
        <w:tc>
          <w:tcPr>
            <w:tcW w:w="1362" w:type="dxa"/>
            <w:tcBorders>
              <w:top w:val="single" w:color="auto" w:sz="8" w:space="0"/>
              <w:left w:val="single" w:color="auto" w:sz="8" w:space="0"/>
              <w:bottom w:val="single" w:color="auto" w:sz="8" w:space="0"/>
              <w:right w:val="single" w:color="auto" w:sz="8" w:space="0"/>
            </w:tcBorders>
            <w:vAlign w:val="center"/>
          </w:tcPr>
          <w:p w14:paraId="479C32DA">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证书编号</w:t>
            </w:r>
          </w:p>
        </w:tc>
        <w:tc>
          <w:tcPr>
            <w:tcW w:w="7018" w:type="dxa"/>
            <w:gridSpan w:val="9"/>
            <w:tcBorders>
              <w:top w:val="single" w:color="auto" w:sz="8" w:space="0"/>
              <w:left w:val="single" w:color="auto" w:sz="8" w:space="0"/>
              <w:bottom w:val="single" w:color="auto" w:sz="8" w:space="0"/>
              <w:right w:val="single" w:color="auto" w:sz="8" w:space="0"/>
            </w:tcBorders>
            <w:vAlign w:val="center"/>
          </w:tcPr>
          <w:p w14:paraId="0B3B7409">
            <w:pPr>
              <w:widowControl/>
              <w:adjustRightInd w:val="0"/>
              <w:snapToGrid w:val="0"/>
              <w:spacing w:line="360" w:lineRule="auto"/>
              <w:jc w:val="center"/>
              <w:textAlignment w:val="baseline"/>
              <w:rPr>
                <w:rFonts w:hint="eastAsia" w:ascii="宋体" w:hAnsi="宋体" w:eastAsia="宋体" w:cs="宋体"/>
                <w:color w:val="auto"/>
                <w:sz w:val="22"/>
                <w:szCs w:val="22"/>
              </w:rPr>
            </w:pPr>
          </w:p>
        </w:tc>
      </w:tr>
      <w:tr w14:paraId="1ED3A245">
        <w:tblPrEx>
          <w:tblCellMar>
            <w:top w:w="0" w:type="dxa"/>
            <w:left w:w="0" w:type="dxa"/>
            <w:bottom w:w="0" w:type="dxa"/>
            <w:right w:w="0" w:type="dxa"/>
          </w:tblCellMar>
        </w:tblPrEx>
        <w:trPr>
          <w:cantSplit/>
          <w:trHeight w:val="516" w:hRule="exact"/>
          <w:jc w:val="center"/>
        </w:trPr>
        <w:tc>
          <w:tcPr>
            <w:tcW w:w="8380" w:type="dxa"/>
            <w:gridSpan w:val="10"/>
            <w:tcBorders>
              <w:top w:val="single" w:color="auto" w:sz="8" w:space="0"/>
              <w:left w:val="single" w:color="auto" w:sz="8" w:space="0"/>
              <w:bottom w:val="single" w:color="auto" w:sz="4" w:space="0"/>
              <w:right w:val="single" w:color="auto" w:sz="8" w:space="0"/>
            </w:tcBorders>
            <w:vAlign w:val="center"/>
          </w:tcPr>
          <w:p w14:paraId="087A341C">
            <w:pPr>
              <w:adjustRightInd w:val="0"/>
              <w:snapToGrid w:val="0"/>
              <w:spacing w:line="48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主要经历</w:t>
            </w:r>
          </w:p>
          <w:p w14:paraId="4D122019">
            <w:pPr>
              <w:adjustRightInd w:val="0"/>
              <w:snapToGrid w:val="0"/>
              <w:spacing w:line="480" w:lineRule="exact"/>
              <w:jc w:val="center"/>
              <w:rPr>
                <w:rFonts w:hint="eastAsia" w:ascii="宋体" w:hAnsi="宋体" w:eastAsia="宋体" w:cs="宋体"/>
                <w:color w:val="auto"/>
                <w:sz w:val="22"/>
                <w:szCs w:val="22"/>
              </w:rPr>
            </w:pPr>
          </w:p>
          <w:p w14:paraId="5CCF3514">
            <w:pPr>
              <w:adjustRightInd w:val="0"/>
              <w:snapToGrid w:val="0"/>
              <w:spacing w:line="48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本人主要设计成果</w:t>
            </w:r>
          </w:p>
        </w:tc>
      </w:tr>
      <w:tr w14:paraId="64081B31">
        <w:tblPrEx>
          <w:tblCellMar>
            <w:top w:w="0" w:type="dxa"/>
            <w:left w:w="0" w:type="dxa"/>
            <w:bottom w:w="0" w:type="dxa"/>
            <w:right w:w="0" w:type="dxa"/>
          </w:tblCellMar>
        </w:tblPrEx>
        <w:trPr>
          <w:cantSplit/>
          <w:trHeight w:val="742" w:hRule="exact"/>
          <w:jc w:val="center"/>
        </w:trPr>
        <w:tc>
          <w:tcPr>
            <w:tcW w:w="1607" w:type="dxa"/>
            <w:gridSpan w:val="2"/>
            <w:tcBorders>
              <w:top w:val="single" w:color="auto" w:sz="4" w:space="0"/>
              <w:left w:val="single" w:color="auto" w:sz="8" w:space="0"/>
              <w:bottom w:val="single" w:color="auto" w:sz="4" w:space="0"/>
              <w:right w:val="single" w:color="auto" w:sz="4" w:space="0"/>
            </w:tcBorders>
            <w:vAlign w:val="center"/>
          </w:tcPr>
          <w:p w14:paraId="6FAA0441">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建设单位</w:t>
            </w:r>
          </w:p>
        </w:tc>
        <w:tc>
          <w:tcPr>
            <w:tcW w:w="1405" w:type="dxa"/>
            <w:gridSpan w:val="2"/>
            <w:tcBorders>
              <w:top w:val="single" w:color="auto" w:sz="4" w:space="0"/>
              <w:left w:val="single" w:color="auto" w:sz="8" w:space="0"/>
              <w:bottom w:val="single" w:color="auto" w:sz="4" w:space="0"/>
              <w:right w:val="single" w:color="auto" w:sz="4" w:space="0"/>
            </w:tcBorders>
            <w:vAlign w:val="center"/>
          </w:tcPr>
          <w:p w14:paraId="27653B7D">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项目名称</w:t>
            </w:r>
          </w:p>
        </w:tc>
        <w:tc>
          <w:tcPr>
            <w:tcW w:w="1513" w:type="dxa"/>
            <w:gridSpan w:val="2"/>
            <w:tcBorders>
              <w:top w:val="single" w:color="auto" w:sz="4" w:space="0"/>
              <w:left w:val="single" w:color="auto" w:sz="4" w:space="0"/>
              <w:bottom w:val="single" w:color="auto" w:sz="4" w:space="0"/>
              <w:right w:val="single" w:color="auto" w:sz="8" w:space="0"/>
            </w:tcBorders>
            <w:vAlign w:val="center"/>
          </w:tcPr>
          <w:p w14:paraId="40852EEA">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项目规模</w:t>
            </w:r>
          </w:p>
        </w:tc>
        <w:tc>
          <w:tcPr>
            <w:tcW w:w="1855" w:type="dxa"/>
            <w:gridSpan w:val="2"/>
            <w:tcBorders>
              <w:top w:val="single" w:color="auto" w:sz="8" w:space="0"/>
              <w:left w:val="single" w:color="auto" w:sz="8" w:space="0"/>
              <w:bottom w:val="single" w:color="auto" w:sz="8" w:space="0"/>
              <w:right w:val="single" w:color="auto" w:sz="8" w:space="0"/>
            </w:tcBorders>
            <w:vAlign w:val="center"/>
          </w:tcPr>
          <w:p w14:paraId="4476602D">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完成年月</w:t>
            </w:r>
          </w:p>
        </w:tc>
        <w:tc>
          <w:tcPr>
            <w:tcW w:w="2000" w:type="dxa"/>
            <w:gridSpan w:val="2"/>
            <w:tcBorders>
              <w:top w:val="single" w:color="auto" w:sz="8" w:space="0"/>
              <w:left w:val="single" w:color="auto" w:sz="8" w:space="0"/>
              <w:bottom w:val="single" w:color="auto" w:sz="8" w:space="0"/>
              <w:right w:val="single" w:color="auto" w:sz="8" w:space="0"/>
            </w:tcBorders>
            <w:vAlign w:val="center"/>
          </w:tcPr>
          <w:p w14:paraId="11CC5F87">
            <w:pPr>
              <w:widowControl/>
              <w:adjustRightInd w:val="0"/>
              <w:snapToGrid w:val="0"/>
              <w:spacing w:line="36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000000"/>
                <w:kern w:val="0"/>
                <w:sz w:val="22"/>
                <w:szCs w:val="22"/>
                <w:highlight w:val="none"/>
                <w:u w:color="000000"/>
              </w:rPr>
              <w:t>在该项目中任何职</w:t>
            </w:r>
          </w:p>
        </w:tc>
      </w:tr>
      <w:tr w14:paraId="0C910F8C">
        <w:tblPrEx>
          <w:tblCellMar>
            <w:top w:w="0" w:type="dxa"/>
            <w:left w:w="0" w:type="dxa"/>
            <w:bottom w:w="0" w:type="dxa"/>
            <w:right w:w="0" w:type="dxa"/>
          </w:tblCellMar>
        </w:tblPrEx>
        <w:trPr>
          <w:cantSplit/>
          <w:trHeight w:val="487" w:hRule="exact"/>
          <w:jc w:val="center"/>
        </w:trPr>
        <w:tc>
          <w:tcPr>
            <w:tcW w:w="1607" w:type="dxa"/>
            <w:gridSpan w:val="2"/>
            <w:tcBorders>
              <w:top w:val="single" w:color="auto" w:sz="4" w:space="0"/>
              <w:left w:val="single" w:color="auto" w:sz="8" w:space="0"/>
              <w:bottom w:val="single" w:color="auto" w:sz="4" w:space="0"/>
              <w:right w:val="single" w:color="auto" w:sz="4" w:space="0"/>
            </w:tcBorders>
            <w:vAlign w:val="center"/>
          </w:tcPr>
          <w:p w14:paraId="28AA6594">
            <w:pPr>
              <w:spacing w:line="480" w:lineRule="exact"/>
              <w:jc w:val="center"/>
              <w:rPr>
                <w:rFonts w:hint="eastAsia" w:ascii="宋体" w:hAnsi="宋体" w:eastAsia="宋体" w:cs="宋体"/>
                <w:color w:val="auto"/>
                <w:sz w:val="22"/>
                <w:szCs w:val="22"/>
              </w:rPr>
            </w:pPr>
          </w:p>
        </w:tc>
        <w:tc>
          <w:tcPr>
            <w:tcW w:w="1405" w:type="dxa"/>
            <w:gridSpan w:val="2"/>
            <w:tcBorders>
              <w:top w:val="single" w:color="auto" w:sz="4" w:space="0"/>
              <w:left w:val="single" w:color="auto" w:sz="8" w:space="0"/>
              <w:bottom w:val="single" w:color="auto" w:sz="4" w:space="0"/>
              <w:right w:val="single" w:color="auto" w:sz="4" w:space="0"/>
            </w:tcBorders>
            <w:vAlign w:val="center"/>
          </w:tcPr>
          <w:p w14:paraId="54F85974">
            <w:pPr>
              <w:spacing w:line="480" w:lineRule="exact"/>
              <w:jc w:val="center"/>
              <w:rPr>
                <w:rFonts w:hint="eastAsia" w:ascii="宋体" w:hAnsi="宋体" w:eastAsia="宋体" w:cs="宋体"/>
                <w:color w:val="auto"/>
                <w:sz w:val="22"/>
                <w:szCs w:val="22"/>
              </w:rPr>
            </w:pPr>
          </w:p>
        </w:tc>
        <w:tc>
          <w:tcPr>
            <w:tcW w:w="1513" w:type="dxa"/>
            <w:gridSpan w:val="2"/>
            <w:tcBorders>
              <w:top w:val="single" w:color="auto" w:sz="4" w:space="0"/>
              <w:left w:val="single" w:color="auto" w:sz="4" w:space="0"/>
              <w:bottom w:val="single" w:color="auto" w:sz="8" w:space="0"/>
              <w:right w:val="single" w:color="auto" w:sz="8" w:space="0"/>
            </w:tcBorders>
            <w:vAlign w:val="center"/>
          </w:tcPr>
          <w:p w14:paraId="0EE062EB">
            <w:pPr>
              <w:adjustRightInd w:val="0"/>
              <w:snapToGrid w:val="0"/>
              <w:spacing w:line="480" w:lineRule="exact"/>
              <w:jc w:val="center"/>
              <w:rPr>
                <w:rFonts w:hint="eastAsia" w:ascii="宋体" w:hAnsi="宋体" w:eastAsia="宋体" w:cs="宋体"/>
                <w:color w:val="auto"/>
                <w:sz w:val="22"/>
                <w:szCs w:val="22"/>
              </w:rPr>
            </w:pPr>
          </w:p>
        </w:tc>
        <w:tc>
          <w:tcPr>
            <w:tcW w:w="1855" w:type="dxa"/>
            <w:gridSpan w:val="2"/>
            <w:tcBorders>
              <w:top w:val="single" w:color="auto" w:sz="8" w:space="0"/>
              <w:left w:val="single" w:color="auto" w:sz="8" w:space="0"/>
              <w:bottom w:val="single" w:color="auto" w:sz="8" w:space="0"/>
              <w:right w:val="single" w:color="auto" w:sz="8" w:space="0"/>
            </w:tcBorders>
            <w:vAlign w:val="center"/>
          </w:tcPr>
          <w:p w14:paraId="72F678AA">
            <w:pPr>
              <w:adjustRightInd w:val="0"/>
              <w:snapToGrid w:val="0"/>
              <w:spacing w:line="480" w:lineRule="exact"/>
              <w:jc w:val="center"/>
              <w:rPr>
                <w:rFonts w:hint="eastAsia" w:ascii="宋体" w:hAnsi="宋体" w:eastAsia="宋体" w:cs="宋体"/>
                <w:color w:val="auto"/>
                <w:sz w:val="22"/>
                <w:szCs w:val="22"/>
              </w:rPr>
            </w:pPr>
          </w:p>
        </w:tc>
        <w:tc>
          <w:tcPr>
            <w:tcW w:w="2000" w:type="dxa"/>
            <w:gridSpan w:val="2"/>
            <w:tcBorders>
              <w:top w:val="single" w:color="auto" w:sz="8" w:space="0"/>
              <w:left w:val="single" w:color="auto" w:sz="8" w:space="0"/>
              <w:bottom w:val="single" w:color="auto" w:sz="8" w:space="0"/>
              <w:right w:val="single" w:color="auto" w:sz="8" w:space="0"/>
            </w:tcBorders>
            <w:vAlign w:val="center"/>
          </w:tcPr>
          <w:p w14:paraId="587000BA">
            <w:pPr>
              <w:adjustRightInd w:val="0"/>
              <w:snapToGrid w:val="0"/>
              <w:spacing w:line="480" w:lineRule="exact"/>
              <w:jc w:val="center"/>
              <w:rPr>
                <w:rFonts w:hint="eastAsia" w:ascii="宋体" w:hAnsi="宋体" w:eastAsia="宋体" w:cs="宋体"/>
                <w:color w:val="auto"/>
                <w:sz w:val="22"/>
                <w:szCs w:val="22"/>
              </w:rPr>
            </w:pPr>
          </w:p>
        </w:tc>
      </w:tr>
      <w:tr w14:paraId="2D14B31D">
        <w:tblPrEx>
          <w:tblCellMar>
            <w:top w:w="0" w:type="dxa"/>
            <w:left w:w="0" w:type="dxa"/>
            <w:bottom w:w="0" w:type="dxa"/>
            <w:right w:w="0" w:type="dxa"/>
          </w:tblCellMar>
        </w:tblPrEx>
        <w:trPr>
          <w:cantSplit/>
          <w:trHeight w:val="504" w:hRule="exact"/>
          <w:jc w:val="center"/>
        </w:trPr>
        <w:tc>
          <w:tcPr>
            <w:tcW w:w="1607" w:type="dxa"/>
            <w:gridSpan w:val="2"/>
            <w:tcBorders>
              <w:top w:val="single" w:color="auto" w:sz="4" w:space="0"/>
              <w:left w:val="single" w:color="auto" w:sz="8" w:space="0"/>
              <w:bottom w:val="single" w:color="auto" w:sz="4" w:space="0"/>
              <w:right w:val="single" w:color="auto" w:sz="8" w:space="0"/>
            </w:tcBorders>
            <w:vAlign w:val="center"/>
          </w:tcPr>
          <w:p w14:paraId="14053BB3">
            <w:pPr>
              <w:spacing w:line="480" w:lineRule="exact"/>
              <w:jc w:val="center"/>
              <w:rPr>
                <w:rFonts w:hint="eastAsia" w:ascii="宋体" w:hAnsi="宋体" w:eastAsia="宋体" w:cs="宋体"/>
                <w:color w:val="auto"/>
                <w:sz w:val="22"/>
                <w:szCs w:val="22"/>
              </w:rPr>
            </w:pPr>
          </w:p>
        </w:tc>
        <w:tc>
          <w:tcPr>
            <w:tcW w:w="1405" w:type="dxa"/>
            <w:gridSpan w:val="2"/>
            <w:tcBorders>
              <w:top w:val="single" w:color="auto" w:sz="4" w:space="0"/>
              <w:left w:val="single" w:color="auto" w:sz="8" w:space="0"/>
              <w:bottom w:val="single" w:color="auto" w:sz="4" w:space="0"/>
              <w:right w:val="single" w:color="auto" w:sz="8" w:space="0"/>
            </w:tcBorders>
            <w:vAlign w:val="center"/>
          </w:tcPr>
          <w:p w14:paraId="20299635">
            <w:pPr>
              <w:spacing w:line="480" w:lineRule="exact"/>
              <w:jc w:val="center"/>
              <w:rPr>
                <w:rFonts w:hint="eastAsia" w:ascii="宋体" w:hAnsi="宋体" w:eastAsia="宋体" w:cs="宋体"/>
                <w:color w:val="auto"/>
                <w:sz w:val="22"/>
                <w:szCs w:val="22"/>
              </w:rPr>
            </w:pPr>
          </w:p>
        </w:tc>
        <w:tc>
          <w:tcPr>
            <w:tcW w:w="1513" w:type="dxa"/>
            <w:gridSpan w:val="2"/>
            <w:tcBorders>
              <w:top w:val="single" w:color="auto" w:sz="8" w:space="0"/>
              <w:left w:val="single" w:color="auto" w:sz="8" w:space="0"/>
              <w:bottom w:val="single" w:color="auto" w:sz="4" w:space="0"/>
              <w:right w:val="single" w:color="auto" w:sz="8" w:space="0"/>
            </w:tcBorders>
            <w:vAlign w:val="center"/>
          </w:tcPr>
          <w:p w14:paraId="533E18B0">
            <w:pPr>
              <w:adjustRightInd w:val="0"/>
              <w:snapToGrid w:val="0"/>
              <w:spacing w:line="480" w:lineRule="exact"/>
              <w:jc w:val="center"/>
              <w:rPr>
                <w:rFonts w:hint="eastAsia" w:ascii="宋体" w:hAnsi="宋体" w:eastAsia="宋体" w:cs="宋体"/>
                <w:color w:val="auto"/>
                <w:sz w:val="22"/>
                <w:szCs w:val="22"/>
              </w:rPr>
            </w:pPr>
          </w:p>
          <w:p w14:paraId="46F8F47E">
            <w:pPr>
              <w:adjustRightInd w:val="0"/>
              <w:snapToGrid w:val="0"/>
              <w:spacing w:line="480" w:lineRule="exact"/>
              <w:jc w:val="center"/>
              <w:rPr>
                <w:rFonts w:hint="eastAsia" w:ascii="宋体" w:hAnsi="宋体" w:eastAsia="宋体" w:cs="宋体"/>
                <w:color w:val="auto"/>
                <w:sz w:val="22"/>
                <w:szCs w:val="22"/>
              </w:rPr>
            </w:pPr>
          </w:p>
        </w:tc>
        <w:tc>
          <w:tcPr>
            <w:tcW w:w="1855" w:type="dxa"/>
            <w:gridSpan w:val="2"/>
            <w:tcBorders>
              <w:top w:val="single" w:color="auto" w:sz="8" w:space="0"/>
              <w:left w:val="single" w:color="auto" w:sz="8" w:space="0"/>
              <w:bottom w:val="single" w:color="auto" w:sz="8" w:space="0"/>
              <w:right w:val="single" w:color="auto" w:sz="8" w:space="0"/>
            </w:tcBorders>
            <w:vAlign w:val="center"/>
          </w:tcPr>
          <w:p w14:paraId="532C1D4C">
            <w:pPr>
              <w:adjustRightInd w:val="0"/>
              <w:snapToGrid w:val="0"/>
              <w:spacing w:line="480" w:lineRule="exact"/>
              <w:jc w:val="center"/>
              <w:rPr>
                <w:rFonts w:hint="eastAsia" w:ascii="宋体" w:hAnsi="宋体" w:eastAsia="宋体" w:cs="宋体"/>
                <w:color w:val="auto"/>
                <w:sz w:val="22"/>
                <w:szCs w:val="22"/>
              </w:rPr>
            </w:pPr>
          </w:p>
        </w:tc>
        <w:tc>
          <w:tcPr>
            <w:tcW w:w="2000" w:type="dxa"/>
            <w:gridSpan w:val="2"/>
            <w:tcBorders>
              <w:top w:val="single" w:color="auto" w:sz="8" w:space="0"/>
              <w:left w:val="single" w:color="auto" w:sz="8" w:space="0"/>
              <w:bottom w:val="single" w:color="auto" w:sz="8" w:space="0"/>
              <w:right w:val="single" w:color="auto" w:sz="8" w:space="0"/>
            </w:tcBorders>
            <w:vAlign w:val="center"/>
          </w:tcPr>
          <w:p w14:paraId="0C8D9126">
            <w:pPr>
              <w:adjustRightInd w:val="0"/>
              <w:snapToGrid w:val="0"/>
              <w:spacing w:line="480" w:lineRule="exact"/>
              <w:jc w:val="center"/>
              <w:rPr>
                <w:rFonts w:hint="eastAsia" w:ascii="宋体" w:hAnsi="宋体" w:eastAsia="宋体" w:cs="宋体"/>
                <w:color w:val="auto"/>
                <w:sz w:val="22"/>
                <w:szCs w:val="22"/>
              </w:rPr>
            </w:pPr>
          </w:p>
        </w:tc>
      </w:tr>
      <w:tr w14:paraId="4664A7AD">
        <w:tblPrEx>
          <w:tblCellMar>
            <w:top w:w="0" w:type="dxa"/>
            <w:left w:w="0" w:type="dxa"/>
            <w:bottom w:w="0" w:type="dxa"/>
            <w:right w:w="0" w:type="dxa"/>
          </w:tblCellMar>
        </w:tblPrEx>
        <w:trPr>
          <w:cantSplit/>
          <w:trHeight w:val="482" w:hRule="exact"/>
          <w:jc w:val="center"/>
        </w:trPr>
        <w:tc>
          <w:tcPr>
            <w:tcW w:w="1607" w:type="dxa"/>
            <w:gridSpan w:val="2"/>
            <w:tcBorders>
              <w:top w:val="single" w:color="auto" w:sz="4" w:space="0"/>
              <w:left w:val="single" w:color="auto" w:sz="8" w:space="0"/>
              <w:bottom w:val="single" w:color="auto" w:sz="8" w:space="0"/>
              <w:right w:val="single" w:color="auto" w:sz="8" w:space="0"/>
            </w:tcBorders>
            <w:vAlign w:val="center"/>
          </w:tcPr>
          <w:p w14:paraId="06BED617">
            <w:pPr>
              <w:spacing w:line="480" w:lineRule="exact"/>
              <w:jc w:val="center"/>
              <w:rPr>
                <w:rFonts w:hint="eastAsia" w:ascii="宋体" w:hAnsi="宋体" w:eastAsia="宋体" w:cs="宋体"/>
                <w:color w:val="auto"/>
                <w:sz w:val="22"/>
                <w:szCs w:val="22"/>
              </w:rPr>
            </w:pPr>
          </w:p>
        </w:tc>
        <w:tc>
          <w:tcPr>
            <w:tcW w:w="1405" w:type="dxa"/>
            <w:gridSpan w:val="2"/>
            <w:tcBorders>
              <w:top w:val="single" w:color="auto" w:sz="4" w:space="0"/>
              <w:left w:val="single" w:color="auto" w:sz="8" w:space="0"/>
              <w:bottom w:val="single" w:color="auto" w:sz="8" w:space="0"/>
              <w:right w:val="single" w:color="auto" w:sz="8" w:space="0"/>
            </w:tcBorders>
            <w:vAlign w:val="center"/>
          </w:tcPr>
          <w:p w14:paraId="04347F31">
            <w:pPr>
              <w:spacing w:line="480" w:lineRule="exact"/>
              <w:jc w:val="center"/>
              <w:rPr>
                <w:rFonts w:hint="eastAsia" w:ascii="宋体" w:hAnsi="宋体" w:eastAsia="宋体" w:cs="宋体"/>
                <w:color w:val="auto"/>
                <w:sz w:val="22"/>
                <w:szCs w:val="22"/>
              </w:rPr>
            </w:pPr>
          </w:p>
        </w:tc>
        <w:tc>
          <w:tcPr>
            <w:tcW w:w="1513" w:type="dxa"/>
            <w:gridSpan w:val="2"/>
            <w:tcBorders>
              <w:top w:val="single" w:color="auto" w:sz="4" w:space="0"/>
              <w:left w:val="single" w:color="auto" w:sz="8" w:space="0"/>
              <w:bottom w:val="single" w:color="auto" w:sz="8" w:space="0"/>
              <w:right w:val="single" w:color="auto" w:sz="8" w:space="0"/>
            </w:tcBorders>
            <w:vAlign w:val="center"/>
          </w:tcPr>
          <w:p w14:paraId="7648BD09">
            <w:pPr>
              <w:adjustRightInd w:val="0"/>
              <w:snapToGrid w:val="0"/>
              <w:spacing w:line="480" w:lineRule="exact"/>
              <w:jc w:val="center"/>
              <w:rPr>
                <w:rFonts w:hint="eastAsia" w:ascii="宋体" w:hAnsi="宋体" w:eastAsia="宋体" w:cs="宋体"/>
                <w:color w:val="auto"/>
                <w:sz w:val="22"/>
                <w:szCs w:val="22"/>
              </w:rPr>
            </w:pPr>
          </w:p>
          <w:p w14:paraId="76B37B15">
            <w:pPr>
              <w:adjustRightInd w:val="0"/>
              <w:snapToGrid w:val="0"/>
              <w:spacing w:line="480" w:lineRule="exact"/>
              <w:jc w:val="center"/>
              <w:rPr>
                <w:rFonts w:hint="eastAsia" w:ascii="宋体" w:hAnsi="宋体" w:eastAsia="宋体" w:cs="宋体"/>
                <w:color w:val="auto"/>
                <w:sz w:val="22"/>
                <w:szCs w:val="22"/>
              </w:rPr>
            </w:pPr>
          </w:p>
        </w:tc>
        <w:tc>
          <w:tcPr>
            <w:tcW w:w="1855" w:type="dxa"/>
            <w:gridSpan w:val="2"/>
            <w:tcBorders>
              <w:top w:val="single" w:color="auto" w:sz="8" w:space="0"/>
              <w:left w:val="single" w:color="auto" w:sz="8" w:space="0"/>
              <w:bottom w:val="single" w:color="auto" w:sz="8" w:space="0"/>
              <w:right w:val="single" w:color="auto" w:sz="8" w:space="0"/>
            </w:tcBorders>
            <w:vAlign w:val="center"/>
          </w:tcPr>
          <w:p w14:paraId="2106BDF7">
            <w:pPr>
              <w:adjustRightInd w:val="0"/>
              <w:snapToGrid w:val="0"/>
              <w:spacing w:line="480" w:lineRule="exact"/>
              <w:jc w:val="center"/>
              <w:rPr>
                <w:rFonts w:hint="eastAsia" w:ascii="宋体" w:hAnsi="宋体" w:eastAsia="宋体" w:cs="宋体"/>
                <w:color w:val="auto"/>
                <w:sz w:val="22"/>
                <w:szCs w:val="22"/>
              </w:rPr>
            </w:pPr>
          </w:p>
        </w:tc>
        <w:tc>
          <w:tcPr>
            <w:tcW w:w="2000" w:type="dxa"/>
            <w:gridSpan w:val="2"/>
            <w:tcBorders>
              <w:top w:val="single" w:color="auto" w:sz="8" w:space="0"/>
              <w:left w:val="single" w:color="auto" w:sz="8" w:space="0"/>
              <w:bottom w:val="single" w:color="auto" w:sz="8" w:space="0"/>
              <w:right w:val="single" w:color="auto" w:sz="8" w:space="0"/>
            </w:tcBorders>
            <w:vAlign w:val="center"/>
          </w:tcPr>
          <w:p w14:paraId="3B29B970">
            <w:pPr>
              <w:adjustRightInd w:val="0"/>
              <w:snapToGrid w:val="0"/>
              <w:spacing w:line="480" w:lineRule="exact"/>
              <w:jc w:val="center"/>
              <w:rPr>
                <w:rFonts w:hint="eastAsia" w:ascii="宋体" w:hAnsi="宋体" w:eastAsia="宋体" w:cs="宋体"/>
                <w:color w:val="auto"/>
                <w:sz w:val="22"/>
                <w:szCs w:val="22"/>
              </w:rPr>
            </w:pPr>
          </w:p>
        </w:tc>
      </w:tr>
    </w:tbl>
    <w:p w14:paraId="5BC81962">
      <w:pPr>
        <w:spacing w:line="480" w:lineRule="exact"/>
        <w:ind w:left="2750" w:leftChars="1250"/>
        <w:rPr>
          <w:rFonts w:ascii="宋体" w:hAnsi="宋体" w:cs="宋体"/>
          <w:color w:val="auto"/>
        </w:rPr>
      </w:pPr>
    </w:p>
    <w:p w14:paraId="02601B85">
      <w:pPr>
        <w:spacing w:line="500" w:lineRule="exact"/>
        <w:ind w:firstLine="4252" w:firstLineChars="1772"/>
        <w:rPr>
          <w:bCs/>
          <w:color w:val="auto"/>
          <w:sz w:val="24"/>
        </w:rPr>
      </w:pPr>
      <w:r>
        <w:rPr>
          <w:rFonts w:hint="eastAsia"/>
          <w:bCs/>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bCs/>
          <w:color w:val="auto"/>
          <w:sz w:val="24"/>
        </w:rPr>
        <w:t>）</w:t>
      </w:r>
    </w:p>
    <w:p w14:paraId="1602712B">
      <w:pPr>
        <w:spacing w:line="500" w:lineRule="exact"/>
        <w:ind w:firstLine="4252" w:firstLineChars="1772"/>
        <w:rPr>
          <w:bCs/>
          <w:color w:val="auto"/>
          <w:sz w:val="24"/>
        </w:rPr>
      </w:pPr>
      <w:r>
        <w:rPr>
          <w:rFonts w:hint="eastAsia"/>
          <w:bCs/>
          <w:color w:val="auto"/>
          <w:sz w:val="24"/>
        </w:rPr>
        <w:t>法定代表人：（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章或签字</w:t>
      </w:r>
      <w:r>
        <w:rPr>
          <w:rFonts w:hint="eastAsia"/>
          <w:bCs/>
          <w:color w:val="auto"/>
          <w:sz w:val="24"/>
        </w:rPr>
        <w:t>）</w:t>
      </w:r>
    </w:p>
    <w:p w14:paraId="24A2A694">
      <w:pPr>
        <w:spacing w:line="500" w:lineRule="exact"/>
        <w:ind w:firstLine="4252" w:firstLineChars="1772"/>
        <w:rPr>
          <w:bCs/>
          <w:color w:val="auto"/>
          <w:sz w:val="24"/>
        </w:rPr>
      </w:pPr>
      <w:r>
        <w:rPr>
          <w:rFonts w:hint="eastAsia"/>
          <w:bCs/>
          <w:color w:val="auto"/>
          <w:sz w:val="24"/>
        </w:rPr>
        <w:t>日期：</w:t>
      </w:r>
    </w:p>
    <w:p w14:paraId="10354B99">
      <w:pPr>
        <w:widowControl/>
        <w:spacing w:line="700" w:lineRule="exact"/>
        <w:jc w:val="center"/>
        <w:rPr>
          <w:rFonts w:ascii="宋体" w:hAnsi="宋体" w:cs="宋体"/>
          <w:color w:val="auto"/>
          <w:kern w:val="0"/>
          <w:sz w:val="24"/>
        </w:rPr>
      </w:pPr>
    </w:p>
    <w:p w14:paraId="1A0FBF9B">
      <w:pPr>
        <w:widowControl/>
        <w:spacing w:line="700" w:lineRule="exact"/>
        <w:jc w:val="center"/>
        <w:rPr>
          <w:rFonts w:ascii="宋体" w:hAnsi="宋体" w:cs="宋体"/>
          <w:color w:val="auto"/>
          <w:kern w:val="0"/>
          <w:sz w:val="24"/>
        </w:rPr>
      </w:pPr>
    </w:p>
    <w:p w14:paraId="3C4C0811">
      <w:pPr>
        <w:widowControl/>
        <w:spacing w:line="700" w:lineRule="exact"/>
        <w:jc w:val="center"/>
        <w:rPr>
          <w:rFonts w:ascii="宋体" w:hAnsi="宋体" w:cs="宋体"/>
          <w:color w:val="auto"/>
          <w:kern w:val="0"/>
          <w:sz w:val="24"/>
        </w:rPr>
      </w:pPr>
    </w:p>
    <w:p w14:paraId="0EB910D3">
      <w:pPr>
        <w:rPr>
          <w:rFonts w:ascii="宋体" w:hAnsi="宋体" w:cs="宋体"/>
          <w:b/>
          <w:color w:val="auto"/>
        </w:rPr>
      </w:pPr>
      <w:r>
        <w:rPr>
          <w:rFonts w:ascii="宋体" w:hAnsi="宋体" w:cs="宋体"/>
          <w:b/>
          <w:color w:val="auto"/>
        </w:rPr>
        <w:br w:type="page"/>
      </w:r>
    </w:p>
    <w:p w14:paraId="50D3343A">
      <w:pPr>
        <w:widowControl/>
        <w:spacing w:line="700" w:lineRule="exact"/>
        <w:jc w:val="center"/>
        <w:rPr>
          <w:rFonts w:ascii="宋体" w:cs="宋体"/>
          <w:b/>
          <w:color w:val="auto"/>
        </w:rPr>
      </w:pPr>
      <w:r>
        <w:rPr>
          <w:rFonts w:ascii="宋体" w:hAnsi="宋体" w:cs="宋体"/>
          <w:b/>
          <w:color w:val="auto"/>
        </w:rPr>
        <w:t>2</w:t>
      </w:r>
      <w:r>
        <w:rPr>
          <w:rFonts w:hint="eastAsia" w:ascii="宋体" w:hAnsi="宋体" w:cs="宋体"/>
          <w:b/>
          <w:color w:val="auto"/>
        </w:rPr>
        <w:t>、拟投入主要人员简历表</w:t>
      </w:r>
    </w:p>
    <w:tbl>
      <w:tblPr>
        <w:tblStyle w:val="2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55"/>
        <w:gridCol w:w="927"/>
        <w:gridCol w:w="2387"/>
        <w:gridCol w:w="954"/>
        <w:gridCol w:w="873"/>
        <w:gridCol w:w="908"/>
        <w:gridCol w:w="1213"/>
      </w:tblGrid>
      <w:tr w14:paraId="7468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805" w:type="dxa"/>
            <w:vAlign w:val="center"/>
          </w:tcPr>
          <w:p w14:paraId="5797895E">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序号</w:t>
            </w:r>
          </w:p>
        </w:tc>
        <w:tc>
          <w:tcPr>
            <w:tcW w:w="1255" w:type="dxa"/>
            <w:vAlign w:val="center"/>
          </w:tcPr>
          <w:p w14:paraId="4412A771">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姓名</w:t>
            </w:r>
          </w:p>
        </w:tc>
        <w:tc>
          <w:tcPr>
            <w:tcW w:w="927" w:type="dxa"/>
            <w:vAlign w:val="center"/>
          </w:tcPr>
          <w:p w14:paraId="57F205D0">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性别</w:t>
            </w:r>
          </w:p>
        </w:tc>
        <w:tc>
          <w:tcPr>
            <w:tcW w:w="2387" w:type="dxa"/>
            <w:vAlign w:val="center"/>
          </w:tcPr>
          <w:p w14:paraId="3AB68FF6">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身份证号码</w:t>
            </w:r>
          </w:p>
        </w:tc>
        <w:tc>
          <w:tcPr>
            <w:tcW w:w="954" w:type="dxa"/>
            <w:vAlign w:val="center"/>
          </w:tcPr>
          <w:p w14:paraId="3A62F6BD">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学历</w:t>
            </w:r>
          </w:p>
        </w:tc>
        <w:tc>
          <w:tcPr>
            <w:tcW w:w="873" w:type="dxa"/>
            <w:vAlign w:val="center"/>
          </w:tcPr>
          <w:p w14:paraId="29F10BB4">
            <w:pPr>
              <w:widowControl/>
              <w:adjustRightInd w:val="0"/>
              <w:snapToGrid w:val="0"/>
              <w:spacing w:line="360" w:lineRule="auto"/>
              <w:jc w:val="center"/>
              <w:textAlignment w:val="baseline"/>
              <w:rPr>
                <w:rFonts w:ascii="宋体" w:cs="宋体"/>
                <w:color w:val="auto"/>
                <w:sz w:val="21"/>
                <w:szCs w:val="21"/>
              </w:rPr>
            </w:pPr>
            <w:r>
              <w:rPr>
                <w:rFonts w:hint="default" w:ascii="Times New Roman" w:hAnsi="Times New Roman" w:eastAsia="宋体" w:cs="Times New Roman"/>
                <w:color w:val="000000"/>
                <w:kern w:val="0"/>
                <w:sz w:val="22"/>
                <w:szCs w:val="22"/>
                <w:highlight w:val="none"/>
                <w:u w:color="000000"/>
              </w:rPr>
              <w:t>专业</w:t>
            </w:r>
          </w:p>
        </w:tc>
        <w:tc>
          <w:tcPr>
            <w:tcW w:w="908" w:type="dxa"/>
            <w:vAlign w:val="center"/>
          </w:tcPr>
          <w:p w14:paraId="32EF0DF3">
            <w:pPr>
              <w:widowControl/>
              <w:adjustRightInd w:val="0"/>
              <w:snapToGrid w:val="0"/>
              <w:spacing w:line="360" w:lineRule="auto"/>
              <w:jc w:val="center"/>
              <w:textAlignment w:val="baseline"/>
              <w:rPr>
                <w:rFonts w:hint="default" w:ascii="Times New Roman" w:hAnsi="Times New Roman" w:eastAsia="宋体" w:cs="Times New Roman"/>
                <w:color w:val="000000"/>
                <w:kern w:val="0"/>
                <w:sz w:val="22"/>
                <w:szCs w:val="22"/>
                <w:highlight w:val="none"/>
                <w:u w:color="000000"/>
              </w:rPr>
            </w:pPr>
            <w:r>
              <w:rPr>
                <w:rFonts w:hint="default" w:ascii="Times New Roman" w:hAnsi="Times New Roman" w:eastAsia="宋体" w:cs="Times New Roman"/>
                <w:color w:val="000000"/>
                <w:kern w:val="0"/>
                <w:sz w:val="22"/>
                <w:szCs w:val="22"/>
                <w:highlight w:val="none"/>
                <w:u w:color="000000"/>
              </w:rPr>
              <w:t>技术</w:t>
            </w:r>
          </w:p>
          <w:p w14:paraId="61EAEFDB">
            <w:pPr>
              <w:widowControl/>
              <w:adjustRightInd w:val="0"/>
              <w:snapToGrid w:val="0"/>
              <w:spacing w:line="360" w:lineRule="auto"/>
              <w:jc w:val="center"/>
              <w:textAlignment w:val="baseline"/>
              <w:rPr>
                <w:rFonts w:hint="default" w:ascii="Times New Roman" w:hAnsi="Times New Roman" w:eastAsia="宋体" w:cs="Times New Roman"/>
                <w:color w:val="000000"/>
                <w:kern w:val="0"/>
                <w:sz w:val="22"/>
                <w:szCs w:val="22"/>
                <w:highlight w:val="none"/>
                <w:u w:color="000000"/>
              </w:rPr>
            </w:pPr>
            <w:r>
              <w:rPr>
                <w:rFonts w:hint="default" w:ascii="Times New Roman" w:hAnsi="Times New Roman" w:eastAsia="宋体" w:cs="Times New Roman"/>
                <w:color w:val="000000"/>
                <w:kern w:val="0"/>
                <w:sz w:val="22"/>
                <w:szCs w:val="22"/>
                <w:highlight w:val="none"/>
                <w:u w:color="000000"/>
              </w:rPr>
              <w:t>职称</w:t>
            </w:r>
          </w:p>
        </w:tc>
        <w:tc>
          <w:tcPr>
            <w:tcW w:w="1213" w:type="dxa"/>
            <w:vAlign w:val="center"/>
          </w:tcPr>
          <w:p w14:paraId="515FD529">
            <w:pPr>
              <w:widowControl/>
              <w:adjustRightInd w:val="0"/>
              <w:snapToGrid w:val="0"/>
              <w:spacing w:line="360" w:lineRule="auto"/>
              <w:jc w:val="center"/>
              <w:textAlignment w:val="baseline"/>
              <w:rPr>
                <w:rFonts w:hint="default" w:ascii="Times New Roman" w:hAnsi="Times New Roman" w:eastAsia="宋体" w:cs="Times New Roman"/>
                <w:color w:val="000000"/>
                <w:kern w:val="0"/>
                <w:sz w:val="22"/>
                <w:szCs w:val="22"/>
                <w:highlight w:val="none"/>
                <w:u w:color="000000"/>
              </w:rPr>
            </w:pPr>
            <w:r>
              <w:rPr>
                <w:rFonts w:hint="default" w:ascii="Times New Roman" w:hAnsi="Times New Roman" w:eastAsia="宋体" w:cs="Times New Roman"/>
                <w:color w:val="000000"/>
                <w:kern w:val="0"/>
                <w:sz w:val="22"/>
                <w:szCs w:val="22"/>
                <w:highlight w:val="none"/>
                <w:u w:color="000000"/>
              </w:rPr>
              <w:t>证书编号</w:t>
            </w:r>
          </w:p>
        </w:tc>
      </w:tr>
      <w:tr w14:paraId="66D4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05" w:type="dxa"/>
            <w:vAlign w:val="center"/>
          </w:tcPr>
          <w:p w14:paraId="4BC9E5D7">
            <w:pPr>
              <w:widowControl/>
              <w:adjustRightInd w:val="0"/>
              <w:snapToGri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000000"/>
                <w:kern w:val="0"/>
                <w:sz w:val="22"/>
                <w:szCs w:val="22"/>
                <w:highlight w:val="none"/>
                <w:u w:color="000000"/>
              </w:rPr>
              <w:t>1</w:t>
            </w:r>
          </w:p>
        </w:tc>
        <w:tc>
          <w:tcPr>
            <w:tcW w:w="1255" w:type="dxa"/>
            <w:vAlign w:val="center"/>
          </w:tcPr>
          <w:p w14:paraId="0FD0AD73">
            <w:pPr>
              <w:widowControl/>
              <w:adjustRightInd w:val="0"/>
              <w:snapToGrid w:val="0"/>
              <w:spacing w:line="360" w:lineRule="auto"/>
              <w:jc w:val="center"/>
              <w:textAlignment w:val="baseline"/>
              <w:rPr>
                <w:rFonts w:ascii="宋体" w:cs="宋体"/>
                <w:color w:val="auto"/>
                <w:sz w:val="21"/>
                <w:szCs w:val="21"/>
              </w:rPr>
            </w:pPr>
          </w:p>
        </w:tc>
        <w:tc>
          <w:tcPr>
            <w:tcW w:w="927" w:type="dxa"/>
            <w:vAlign w:val="center"/>
          </w:tcPr>
          <w:p w14:paraId="1C4248BA">
            <w:pPr>
              <w:widowControl/>
              <w:adjustRightInd w:val="0"/>
              <w:snapToGrid w:val="0"/>
              <w:spacing w:line="360" w:lineRule="auto"/>
              <w:jc w:val="center"/>
              <w:textAlignment w:val="baseline"/>
              <w:rPr>
                <w:sz w:val="21"/>
                <w:szCs w:val="21"/>
              </w:rPr>
            </w:pPr>
          </w:p>
        </w:tc>
        <w:tc>
          <w:tcPr>
            <w:tcW w:w="2387" w:type="dxa"/>
            <w:vAlign w:val="center"/>
          </w:tcPr>
          <w:p w14:paraId="5AA10696">
            <w:pPr>
              <w:widowControl/>
              <w:adjustRightInd w:val="0"/>
              <w:snapToGrid w:val="0"/>
              <w:spacing w:line="360" w:lineRule="auto"/>
              <w:jc w:val="center"/>
              <w:textAlignment w:val="baseline"/>
              <w:rPr>
                <w:sz w:val="21"/>
                <w:szCs w:val="21"/>
              </w:rPr>
            </w:pPr>
          </w:p>
        </w:tc>
        <w:tc>
          <w:tcPr>
            <w:tcW w:w="954" w:type="dxa"/>
            <w:vAlign w:val="center"/>
          </w:tcPr>
          <w:p w14:paraId="43A8A208">
            <w:pPr>
              <w:widowControl/>
              <w:adjustRightInd w:val="0"/>
              <w:snapToGrid w:val="0"/>
              <w:spacing w:line="360" w:lineRule="auto"/>
              <w:jc w:val="center"/>
              <w:textAlignment w:val="baseline"/>
              <w:rPr>
                <w:rFonts w:ascii="宋体" w:cs="宋体"/>
                <w:color w:val="auto"/>
                <w:sz w:val="21"/>
                <w:szCs w:val="21"/>
              </w:rPr>
            </w:pPr>
          </w:p>
        </w:tc>
        <w:tc>
          <w:tcPr>
            <w:tcW w:w="873" w:type="dxa"/>
            <w:vAlign w:val="center"/>
          </w:tcPr>
          <w:p w14:paraId="41595068">
            <w:pPr>
              <w:widowControl/>
              <w:adjustRightInd w:val="0"/>
              <w:snapToGrid w:val="0"/>
              <w:spacing w:line="360" w:lineRule="auto"/>
              <w:jc w:val="center"/>
              <w:textAlignment w:val="baseline"/>
              <w:rPr>
                <w:rFonts w:ascii="宋体" w:cs="宋体"/>
                <w:color w:val="auto"/>
                <w:sz w:val="21"/>
                <w:szCs w:val="21"/>
              </w:rPr>
            </w:pPr>
          </w:p>
        </w:tc>
        <w:tc>
          <w:tcPr>
            <w:tcW w:w="908" w:type="dxa"/>
            <w:vAlign w:val="center"/>
          </w:tcPr>
          <w:p w14:paraId="6C3594DC">
            <w:pPr>
              <w:widowControl/>
              <w:adjustRightInd w:val="0"/>
              <w:snapToGrid w:val="0"/>
              <w:spacing w:line="360" w:lineRule="auto"/>
              <w:jc w:val="center"/>
              <w:textAlignment w:val="baseline"/>
              <w:rPr>
                <w:rFonts w:ascii="宋体" w:cs="宋体"/>
                <w:color w:val="auto"/>
                <w:sz w:val="21"/>
                <w:szCs w:val="21"/>
              </w:rPr>
            </w:pPr>
          </w:p>
        </w:tc>
        <w:tc>
          <w:tcPr>
            <w:tcW w:w="1213" w:type="dxa"/>
            <w:vAlign w:val="center"/>
          </w:tcPr>
          <w:p w14:paraId="274FB8BB">
            <w:pPr>
              <w:widowControl/>
              <w:adjustRightInd w:val="0"/>
              <w:snapToGrid w:val="0"/>
              <w:spacing w:line="360" w:lineRule="auto"/>
              <w:jc w:val="center"/>
              <w:textAlignment w:val="baseline"/>
              <w:rPr>
                <w:rFonts w:ascii="宋体" w:cs="宋体"/>
                <w:color w:val="auto"/>
                <w:sz w:val="21"/>
                <w:szCs w:val="21"/>
              </w:rPr>
            </w:pPr>
          </w:p>
        </w:tc>
      </w:tr>
      <w:tr w14:paraId="27B4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05" w:type="dxa"/>
            <w:vAlign w:val="center"/>
          </w:tcPr>
          <w:p w14:paraId="564E1C11">
            <w:pPr>
              <w:widowControl/>
              <w:adjustRightInd w:val="0"/>
              <w:snapToGri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000000"/>
                <w:kern w:val="0"/>
                <w:sz w:val="22"/>
                <w:szCs w:val="22"/>
                <w:highlight w:val="none"/>
                <w:u w:color="000000"/>
              </w:rPr>
              <w:t>2</w:t>
            </w:r>
          </w:p>
        </w:tc>
        <w:tc>
          <w:tcPr>
            <w:tcW w:w="1255" w:type="dxa"/>
            <w:vAlign w:val="center"/>
          </w:tcPr>
          <w:p w14:paraId="37F44730">
            <w:pPr>
              <w:widowControl/>
              <w:adjustRightInd w:val="0"/>
              <w:snapToGrid w:val="0"/>
              <w:spacing w:line="360" w:lineRule="auto"/>
              <w:jc w:val="center"/>
              <w:textAlignment w:val="baseline"/>
              <w:rPr>
                <w:rFonts w:ascii="宋体" w:cs="宋体"/>
                <w:color w:val="auto"/>
                <w:sz w:val="21"/>
                <w:szCs w:val="21"/>
              </w:rPr>
            </w:pPr>
          </w:p>
        </w:tc>
        <w:tc>
          <w:tcPr>
            <w:tcW w:w="927" w:type="dxa"/>
            <w:vAlign w:val="center"/>
          </w:tcPr>
          <w:p w14:paraId="6A33D052">
            <w:pPr>
              <w:widowControl/>
              <w:adjustRightInd w:val="0"/>
              <w:snapToGrid w:val="0"/>
              <w:spacing w:line="360" w:lineRule="auto"/>
              <w:jc w:val="center"/>
              <w:textAlignment w:val="baseline"/>
              <w:rPr>
                <w:sz w:val="21"/>
                <w:szCs w:val="21"/>
              </w:rPr>
            </w:pPr>
          </w:p>
        </w:tc>
        <w:tc>
          <w:tcPr>
            <w:tcW w:w="2387" w:type="dxa"/>
            <w:vAlign w:val="center"/>
          </w:tcPr>
          <w:p w14:paraId="6290510B">
            <w:pPr>
              <w:widowControl/>
              <w:adjustRightInd w:val="0"/>
              <w:snapToGrid w:val="0"/>
              <w:spacing w:line="360" w:lineRule="auto"/>
              <w:jc w:val="center"/>
              <w:textAlignment w:val="baseline"/>
              <w:rPr>
                <w:rFonts w:ascii="宋体" w:cs="宋体"/>
                <w:color w:val="auto"/>
                <w:sz w:val="21"/>
                <w:szCs w:val="21"/>
              </w:rPr>
            </w:pPr>
          </w:p>
        </w:tc>
        <w:tc>
          <w:tcPr>
            <w:tcW w:w="954" w:type="dxa"/>
            <w:vAlign w:val="center"/>
          </w:tcPr>
          <w:p w14:paraId="10857791">
            <w:pPr>
              <w:widowControl/>
              <w:adjustRightInd w:val="0"/>
              <w:snapToGrid w:val="0"/>
              <w:spacing w:line="360" w:lineRule="auto"/>
              <w:jc w:val="center"/>
              <w:textAlignment w:val="baseline"/>
              <w:rPr>
                <w:sz w:val="21"/>
                <w:szCs w:val="21"/>
              </w:rPr>
            </w:pPr>
          </w:p>
        </w:tc>
        <w:tc>
          <w:tcPr>
            <w:tcW w:w="873" w:type="dxa"/>
            <w:vAlign w:val="center"/>
          </w:tcPr>
          <w:p w14:paraId="548EABF1">
            <w:pPr>
              <w:widowControl/>
              <w:adjustRightInd w:val="0"/>
              <w:snapToGrid w:val="0"/>
              <w:spacing w:line="360" w:lineRule="auto"/>
              <w:jc w:val="center"/>
              <w:textAlignment w:val="baseline"/>
              <w:rPr>
                <w:rFonts w:ascii="宋体" w:cs="宋体"/>
                <w:color w:val="auto"/>
                <w:sz w:val="21"/>
                <w:szCs w:val="21"/>
              </w:rPr>
            </w:pPr>
          </w:p>
        </w:tc>
        <w:tc>
          <w:tcPr>
            <w:tcW w:w="908" w:type="dxa"/>
            <w:vAlign w:val="center"/>
          </w:tcPr>
          <w:p w14:paraId="7E76FCE8">
            <w:pPr>
              <w:widowControl/>
              <w:adjustRightInd w:val="0"/>
              <w:snapToGrid w:val="0"/>
              <w:spacing w:line="360" w:lineRule="auto"/>
              <w:jc w:val="center"/>
              <w:textAlignment w:val="baseline"/>
              <w:rPr>
                <w:rFonts w:ascii="宋体" w:cs="宋体"/>
                <w:color w:val="auto"/>
                <w:sz w:val="21"/>
                <w:szCs w:val="21"/>
              </w:rPr>
            </w:pPr>
          </w:p>
        </w:tc>
        <w:tc>
          <w:tcPr>
            <w:tcW w:w="1213" w:type="dxa"/>
            <w:vAlign w:val="center"/>
          </w:tcPr>
          <w:p w14:paraId="44B3299F">
            <w:pPr>
              <w:widowControl/>
              <w:adjustRightInd w:val="0"/>
              <w:snapToGrid w:val="0"/>
              <w:spacing w:line="360" w:lineRule="auto"/>
              <w:jc w:val="center"/>
              <w:textAlignment w:val="baseline"/>
              <w:rPr>
                <w:rFonts w:ascii="宋体" w:cs="宋体"/>
                <w:color w:val="auto"/>
                <w:sz w:val="21"/>
                <w:szCs w:val="21"/>
              </w:rPr>
            </w:pPr>
          </w:p>
        </w:tc>
      </w:tr>
      <w:tr w14:paraId="2D82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05" w:type="dxa"/>
            <w:vAlign w:val="center"/>
          </w:tcPr>
          <w:p w14:paraId="1DFCBCE4">
            <w:pPr>
              <w:widowControl/>
              <w:adjustRightInd w:val="0"/>
              <w:snapToGrid w:val="0"/>
              <w:spacing w:line="360" w:lineRule="auto"/>
              <w:jc w:val="center"/>
              <w:textAlignment w:val="baseline"/>
              <w:rPr>
                <w:rFonts w:hint="eastAsia" w:ascii="宋体" w:hAnsi="宋体" w:eastAsia="宋体" w:cs="宋体"/>
                <w:color w:val="auto"/>
                <w:sz w:val="21"/>
                <w:szCs w:val="21"/>
              </w:rPr>
            </w:pPr>
            <w:r>
              <w:rPr>
                <w:rFonts w:hint="eastAsia" w:ascii="宋体" w:hAnsi="宋体" w:eastAsia="宋体" w:cs="宋体"/>
                <w:color w:val="000000"/>
                <w:kern w:val="0"/>
                <w:sz w:val="22"/>
                <w:szCs w:val="22"/>
                <w:highlight w:val="none"/>
                <w:u w:color="000000"/>
              </w:rPr>
              <w:t>3</w:t>
            </w:r>
          </w:p>
        </w:tc>
        <w:tc>
          <w:tcPr>
            <w:tcW w:w="1255" w:type="dxa"/>
            <w:vAlign w:val="center"/>
          </w:tcPr>
          <w:p w14:paraId="540472A9">
            <w:pPr>
              <w:widowControl/>
              <w:adjustRightInd w:val="0"/>
              <w:snapToGrid w:val="0"/>
              <w:spacing w:line="360" w:lineRule="auto"/>
              <w:jc w:val="center"/>
              <w:textAlignment w:val="baseline"/>
              <w:rPr>
                <w:rFonts w:ascii="宋体" w:cs="宋体"/>
                <w:color w:val="auto"/>
                <w:sz w:val="21"/>
                <w:szCs w:val="21"/>
              </w:rPr>
            </w:pPr>
          </w:p>
        </w:tc>
        <w:tc>
          <w:tcPr>
            <w:tcW w:w="927" w:type="dxa"/>
            <w:vAlign w:val="center"/>
          </w:tcPr>
          <w:p w14:paraId="2ADF7958">
            <w:pPr>
              <w:widowControl/>
              <w:adjustRightInd w:val="0"/>
              <w:snapToGrid w:val="0"/>
              <w:spacing w:line="360" w:lineRule="auto"/>
              <w:jc w:val="center"/>
              <w:textAlignment w:val="baseline"/>
              <w:rPr>
                <w:sz w:val="21"/>
                <w:szCs w:val="21"/>
              </w:rPr>
            </w:pPr>
          </w:p>
        </w:tc>
        <w:tc>
          <w:tcPr>
            <w:tcW w:w="2387" w:type="dxa"/>
            <w:vAlign w:val="center"/>
          </w:tcPr>
          <w:p w14:paraId="665316FC">
            <w:pPr>
              <w:widowControl/>
              <w:adjustRightInd w:val="0"/>
              <w:snapToGrid w:val="0"/>
              <w:spacing w:line="360" w:lineRule="auto"/>
              <w:jc w:val="center"/>
              <w:textAlignment w:val="baseline"/>
              <w:rPr>
                <w:rFonts w:ascii="宋体" w:cs="宋体"/>
                <w:color w:val="auto"/>
                <w:sz w:val="21"/>
                <w:szCs w:val="21"/>
              </w:rPr>
            </w:pPr>
          </w:p>
        </w:tc>
        <w:tc>
          <w:tcPr>
            <w:tcW w:w="954" w:type="dxa"/>
            <w:vAlign w:val="center"/>
          </w:tcPr>
          <w:p w14:paraId="773B382D">
            <w:pPr>
              <w:widowControl/>
              <w:adjustRightInd w:val="0"/>
              <w:snapToGrid w:val="0"/>
              <w:spacing w:line="360" w:lineRule="auto"/>
              <w:jc w:val="center"/>
              <w:textAlignment w:val="baseline"/>
              <w:rPr>
                <w:sz w:val="21"/>
                <w:szCs w:val="21"/>
              </w:rPr>
            </w:pPr>
          </w:p>
        </w:tc>
        <w:tc>
          <w:tcPr>
            <w:tcW w:w="873" w:type="dxa"/>
            <w:vAlign w:val="center"/>
          </w:tcPr>
          <w:p w14:paraId="492CF751">
            <w:pPr>
              <w:widowControl/>
              <w:adjustRightInd w:val="0"/>
              <w:snapToGrid w:val="0"/>
              <w:spacing w:line="360" w:lineRule="auto"/>
              <w:jc w:val="center"/>
              <w:textAlignment w:val="baseline"/>
              <w:rPr>
                <w:rFonts w:ascii="宋体" w:cs="宋体"/>
                <w:color w:val="auto"/>
                <w:sz w:val="21"/>
                <w:szCs w:val="21"/>
              </w:rPr>
            </w:pPr>
          </w:p>
        </w:tc>
        <w:tc>
          <w:tcPr>
            <w:tcW w:w="908" w:type="dxa"/>
            <w:vAlign w:val="center"/>
          </w:tcPr>
          <w:p w14:paraId="432906BF">
            <w:pPr>
              <w:widowControl/>
              <w:adjustRightInd w:val="0"/>
              <w:snapToGrid w:val="0"/>
              <w:spacing w:line="360" w:lineRule="auto"/>
              <w:jc w:val="center"/>
              <w:textAlignment w:val="baseline"/>
              <w:rPr>
                <w:rFonts w:ascii="宋体" w:cs="宋体"/>
                <w:color w:val="auto"/>
                <w:sz w:val="21"/>
                <w:szCs w:val="21"/>
              </w:rPr>
            </w:pPr>
          </w:p>
        </w:tc>
        <w:tc>
          <w:tcPr>
            <w:tcW w:w="1213" w:type="dxa"/>
            <w:vAlign w:val="center"/>
          </w:tcPr>
          <w:p w14:paraId="21C3D25A">
            <w:pPr>
              <w:widowControl/>
              <w:adjustRightInd w:val="0"/>
              <w:snapToGrid w:val="0"/>
              <w:spacing w:line="360" w:lineRule="auto"/>
              <w:jc w:val="center"/>
              <w:textAlignment w:val="baseline"/>
              <w:rPr>
                <w:rFonts w:ascii="宋体" w:cs="宋体"/>
                <w:color w:val="auto"/>
                <w:sz w:val="21"/>
                <w:szCs w:val="21"/>
              </w:rPr>
            </w:pPr>
          </w:p>
        </w:tc>
      </w:tr>
      <w:tr w14:paraId="15AF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05" w:type="dxa"/>
            <w:vAlign w:val="center"/>
          </w:tcPr>
          <w:p w14:paraId="55CF675B">
            <w:pPr>
              <w:widowControl/>
              <w:adjustRightInd w:val="0"/>
              <w:snapToGrid w:val="0"/>
              <w:spacing w:line="360" w:lineRule="auto"/>
              <w:jc w:val="center"/>
              <w:textAlignment w:val="baseline"/>
              <w:rPr>
                <w:rFonts w:ascii="宋体" w:cs="宋体"/>
                <w:color w:val="auto"/>
                <w:sz w:val="21"/>
                <w:szCs w:val="21"/>
              </w:rPr>
            </w:pPr>
            <w:r>
              <w:rPr>
                <w:rFonts w:hint="eastAsia" w:ascii="宋体" w:hAnsi="宋体" w:eastAsia="宋体" w:cs="宋体"/>
                <w:color w:val="000000"/>
                <w:kern w:val="0"/>
                <w:sz w:val="22"/>
                <w:szCs w:val="22"/>
                <w:highlight w:val="none"/>
                <w:u w:color="000000"/>
              </w:rPr>
              <w:t>……</w:t>
            </w:r>
          </w:p>
        </w:tc>
        <w:tc>
          <w:tcPr>
            <w:tcW w:w="1255" w:type="dxa"/>
            <w:vAlign w:val="center"/>
          </w:tcPr>
          <w:p w14:paraId="2136191B">
            <w:pPr>
              <w:widowControl/>
              <w:adjustRightInd w:val="0"/>
              <w:snapToGrid w:val="0"/>
              <w:spacing w:line="360" w:lineRule="auto"/>
              <w:jc w:val="center"/>
              <w:textAlignment w:val="baseline"/>
              <w:rPr>
                <w:sz w:val="21"/>
                <w:szCs w:val="21"/>
              </w:rPr>
            </w:pPr>
          </w:p>
        </w:tc>
        <w:tc>
          <w:tcPr>
            <w:tcW w:w="927" w:type="dxa"/>
            <w:vAlign w:val="center"/>
          </w:tcPr>
          <w:p w14:paraId="06090210">
            <w:pPr>
              <w:widowControl/>
              <w:adjustRightInd w:val="0"/>
              <w:snapToGrid w:val="0"/>
              <w:spacing w:line="360" w:lineRule="auto"/>
              <w:jc w:val="center"/>
              <w:textAlignment w:val="baseline"/>
              <w:rPr>
                <w:sz w:val="21"/>
                <w:szCs w:val="21"/>
              </w:rPr>
            </w:pPr>
          </w:p>
        </w:tc>
        <w:tc>
          <w:tcPr>
            <w:tcW w:w="2387" w:type="dxa"/>
            <w:vAlign w:val="center"/>
          </w:tcPr>
          <w:p w14:paraId="7EA678FA">
            <w:pPr>
              <w:widowControl/>
              <w:adjustRightInd w:val="0"/>
              <w:snapToGrid w:val="0"/>
              <w:spacing w:line="360" w:lineRule="auto"/>
              <w:jc w:val="center"/>
              <w:textAlignment w:val="baseline"/>
              <w:rPr>
                <w:rFonts w:ascii="宋体" w:cs="宋体"/>
                <w:color w:val="auto"/>
                <w:sz w:val="21"/>
                <w:szCs w:val="21"/>
              </w:rPr>
            </w:pPr>
          </w:p>
        </w:tc>
        <w:tc>
          <w:tcPr>
            <w:tcW w:w="954" w:type="dxa"/>
            <w:vAlign w:val="center"/>
          </w:tcPr>
          <w:p w14:paraId="1E87A4A9">
            <w:pPr>
              <w:widowControl/>
              <w:adjustRightInd w:val="0"/>
              <w:snapToGrid w:val="0"/>
              <w:spacing w:line="360" w:lineRule="auto"/>
              <w:jc w:val="center"/>
              <w:textAlignment w:val="baseline"/>
              <w:rPr>
                <w:sz w:val="21"/>
                <w:szCs w:val="21"/>
              </w:rPr>
            </w:pPr>
          </w:p>
        </w:tc>
        <w:tc>
          <w:tcPr>
            <w:tcW w:w="873" w:type="dxa"/>
            <w:vAlign w:val="center"/>
          </w:tcPr>
          <w:p w14:paraId="71C0C180">
            <w:pPr>
              <w:widowControl/>
              <w:adjustRightInd w:val="0"/>
              <w:snapToGrid w:val="0"/>
              <w:spacing w:line="360" w:lineRule="auto"/>
              <w:jc w:val="center"/>
              <w:textAlignment w:val="baseline"/>
              <w:rPr>
                <w:sz w:val="21"/>
                <w:szCs w:val="21"/>
              </w:rPr>
            </w:pPr>
          </w:p>
        </w:tc>
        <w:tc>
          <w:tcPr>
            <w:tcW w:w="908" w:type="dxa"/>
            <w:vAlign w:val="center"/>
          </w:tcPr>
          <w:p w14:paraId="782DCF25">
            <w:pPr>
              <w:widowControl/>
              <w:adjustRightInd w:val="0"/>
              <w:snapToGrid w:val="0"/>
              <w:spacing w:line="360" w:lineRule="auto"/>
              <w:jc w:val="center"/>
              <w:textAlignment w:val="baseline"/>
              <w:rPr>
                <w:sz w:val="21"/>
                <w:szCs w:val="21"/>
              </w:rPr>
            </w:pPr>
          </w:p>
        </w:tc>
        <w:tc>
          <w:tcPr>
            <w:tcW w:w="1213" w:type="dxa"/>
            <w:vAlign w:val="center"/>
          </w:tcPr>
          <w:p w14:paraId="4CB94150">
            <w:pPr>
              <w:widowControl/>
              <w:adjustRightInd w:val="0"/>
              <w:snapToGrid w:val="0"/>
              <w:spacing w:line="360" w:lineRule="auto"/>
              <w:jc w:val="center"/>
              <w:textAlignment w:val="baseline"/>
              <w:rPr>
                <w:sz w:val="21"/>
                <w:szCs w:val="21"/>
              </w:rPr>
            </w:pPr>
          </w:p>
        </w:tc>
      </w:tr>
    </w:tbl>
    <w:p w14:paraId="036A4B31">
      <w:pPr>
        <w:adjustRightInd w:val="0"/>
        <w:snapToGrid w:val="0"/>
        <w:spacing w:line="480" w:lineRule="exact"/>
        <w:rPr>
          <w:rFonts w:ascii="宋体" w:cs="宋体"/>
          <w:b/>
          <w:color w:val="auto"/>
        </w:rPr>
      </w:pPr>
    </w:p>
    <w:p w14:paraId="447152EF">
      <w:pPr>
        <w:adjustRightInd w:val="0"/>
        <w:snapToGrid w:val="0"/>
        <w:spacing w:line="480" w:lineRule="exact"/>
        <w:ind w:firstLine="440" w:firstLineChars="200"/>
        <w:rPr>
          <w:rFonts w:ascii="宋体" w:cs="宋体"/>
          <w:color w:val="auto"/>
        </w:rPr>
      </w:pPr>
    </w:p>
    <w:p w14:paraId="2589C4D1">
      <w:pPr>
        <w:adjustRightInd w:val="0"/>
        <w:snapToGrid w:val="0"/>
        <w:spacing w:line="480" w:lineRule="exact"/>
        <w:ind w:firstLine="440" w:firstLineChars="200"/>
        <w:rPr>
          <w:rFonts w:ascii="宋体" w:cs="宋体"/>
          <w:color w:val="auto"/>
        </w:rPr>
      </w:pPr>
    </w:p>
    <w:p w14:paraId="6C293112">
      <w:pPr>
        <w:spacing w:line="500" w:lineRule="exact"/>
        <w:jc w:val="center"/>
        <w:rPr>
          <w:bCs/>
          <w:color w:val="auto"/>
          <w:sz w:val="24"/>
        </w:rPr>
      </w:pPr>
      <w:r>
        <w:rPr>
          <w:rFonts w:hint="eastAsia"/>
          <w:bCs/>
          <w:color w:val="auto"/>
          <w:sz w:val="24"/>
        </w:rPr>
        <w:t>供应商：（</w:t>
      </w:r>
      <w:r>
        <w:rPr>
          <w:rFonts w:hint="eastAsia" w:ascii="宋体" w:hAnsi="宋体" w:eastAsia="宋体" w:cs="宋体"/>
          <w:sz w:val="24"/>
          <w:szCs w:val="24"/>
          <w:lang w:val="en-US" w:eastAsia="zh-CN"/>
        </w:rPr>
        <w:t>电子签</w:t>
      </w:r>
      <w:r>
        <w:rPr>
          <w:rFonts w:hint="eastAsia" w:ascii="宋体" w:hAnsi="宋体" w:eastAsia="宋体" w:cs="宋体"/>
          <w:sz w:val="24"/>
          <w:szCs w:val="24"/>
        </w:rPr>
        <w:t>章</w:t>
      </w:r>
      <w:r>
        <w:rPr>
          <w:rFonts w:hint="eastAsia"/>
          <w:bCs/>
          <w:color w:val="auto"/>
          <w:sz w:val="24"/>
        </w:rPr>
        <w:t>）</w:t>
      </w:r>
    </w:p>
    <w:p w14:paraId="7FD87EE7">
      <w:pPr>
        <w:spacing w:line="500" w:lineRule="exact"/>
        <w:jc w:val="center"/>
        <w:rPr>
          <w:bCs/>
          <w:color w:val="auto"/>
          <w:sz w:val="24"/>
        </w:rPr>
      </w:pPr>
      <w:r>
        <w:rPr>
          <w:rFonts w:hint="eastAsia"/>
          <w:bCs/>
          <w:color w:val="auto"/>
          <w:sz w:val="24"/>
        </w:rPr>
        <w:t>法定代表人：（</w:t>
      </w:r>
      <w:r>
        <w:rPr>
          <w:rFonts w:hint="eastAsia" w:ascii="宋体" w:hAnsi="宋体" w:eastAsia="宋体" w:cs="宋体"/>
          <w:sz w:val="24"/>
          <w:szCs w:val="24"/>
          <w:lang w:val="en-US" w:eastAsia="zh-CN"/>
        </w:rPr>
        <w:t>电子签</w:t>
      </w:r>
      <w:r>
        <w:rPr>
          <w:rFonts w:hint="eastAsia" w:ascii="宋体" w:hAnsi="宋体" w:eastAsia="宋体" w:cs="宋体"/>
          <w:sz w:val="24"/>
          <w:szCs w:val="24"/>
        </w:rPr>
        <w:t>章或签字</w:t>
      </w:r>
      <w:r>
        <w:rPr>
          <w:rFonts w:hint="eastAsia"/>
          <w:bCs/>
          <w:color w:val="auto"/>
          <w:sz w:val="24"/>
        </w:rPr>
        <w:t>）</w:t>
      </w:r>
    </w:p>
    <w:p w14:paraId="552EFEE8">
      <w:pPr>
        <w:spacing w:line="500" w:lineRule="exact"/>
        <w:jc w:val="center"/>
        <w:rPr>
          <w:bCs/>
          <w:color w:val="auto"/>
          <w:sz w:val="24"/>
        </w:rPr>
      </w:pPr>
      <w:r>
        <w:rPr>
          <w:rFonts w:hint="eastAsia"/>
          <w:bCs/>
          <w:color w:val="auto"/>
          <w:sz w:val="24"/>
        </w:rPr>
        <w:t>日期：</w:t>
      </w:r>
    </w:p>
    <w:p w14:paraId="2F9DB2D5">
      <w:pPr>
        <w:widowControl/>
        <w:spacing w:line="700" w:lineRule="exact"/>
        <w:jc w:val="center"/>
        <w:rPr>
          <w:rFonts w:ascii="宋体" w:hAnsi="宋体" w:cs="宋体"/>
          <w:color w:val="auto"/>
          <w:kern w:val="0"/>
          <w:sz w:val="24"/>
        </w:rPr>
      </w:pPr>
    </w:p>
    <w:p w14:paraId="0721037E">
      <w:pPr>
        <w:spacing w:line="360" w:lineRule="auto"/>
        <w:jc w:val="center"/>
        <w:rPr>
          <w:rFonts w:hint="eastAsia"/>
          <w:color w:val="auto"/>
          <w:sz w:val="28"/>
          <w:szCs w:val="20"/>
        </w:rPr>
      </w:pPr>
    </w:p>
    <w:p w14:paraId="1249D320">
      <w:pPr>
        <w:spacing w:line="360" w:lineRule="auto"/>
        <w:jc w:val="center"/>
        <w:rPr>
          <w:rFonts w:hint="eastAsia"/>
          <w:color w:val="auto"/>
          <w:sz w:val="28"/>
          <w:szCs w:val="20"/>
        </w:rPr>
      </w:pPr>
    </w:p>
    <w:p w14:paraId="6153545F">
      <w:pPr>
        <w:spacing w:line="360" w:lineRule="auto"/>
        <w:jc w:val="center"/>
        <w:rPr>
          <w:rFonts w:hint="eastAsia"/>
          <w:color w:val="auto"/>
          <w:sz w:val="28"/>
          <w:szCs w:val="20"/>
        </w:rPr>
      </w:pPr>
    </w:p>
    <w:p w14:paraId="23BF6B6E">
      <w:pPr>
        <w:spacing w:line="360" w:lineRule="auto"/>
        <w:jc w:val="center"/>
        <w:rPr>
          <w:rFonts w:hint="eastAsia"/>
          <w:color w:val="auto"/>
          <w:sz w:val="28"/>
          <w:szCs w:val="20"/>
        </w:rPr>
      </w:pPr>
    </w:p>
    <w:p w14:paraId="2D46DDC6">
      <w:pPr>
        <w:spacing w:line="360" w:lineRule="auto"/>
        <w:jc w:val="center"/>
        <w:rPr>
          <w:rFonts w:hint="eastAsia"/>
          <w:color w:val="auto"/>
          <w:sz w:val="28"/>
          <w:szCs w:val="20"/>
        </w:rPr>
      </w:pPr>
    </w:p>
    <w:bookmarkEnd w:id="323"/>
    <w:p w14:paraId="38634347">
      <w:pPr>
        <w:spacing w:line="360" w:lineRule="auto"/>
        <w:rPr>
          <w:color w:val="auto"/>
          <w:sz w:val="24"/>
        </w:rPr>
      </w:pPr>
    </w:p>
    <w:p w14:paraId="1939AF2C">
      <w:pPr>
        <w:pStyle w:val="7"/>
        <w:rPr>
          <w:color w:val="auto"/>
        </w:rPr>
      </w:pPr>
    </w:p>
    <w:p w14:paraId="07A2A3AA">
      <w:pPr>
        <w:rPr>
          <w:rFonts w:hint="eastAsia" w:ascii="宋体" w:hAnsi="宋体"/>
          <w:color w:val="auto"/>
        </w:rPr>
      </w:pPr>
      <w:bookmarkStart w:id="324" w:name="_Toc5151"/>
      <w:bookmarkStart w:id="325" w:name="_Toc13086"/>
      <w:r>
        <w:rPr>
          <w:rFonts w:hint="eastAsia" w:ascii="宋体" w:hAnsi="宋体"/>
          <w:color w:val="auto"/>
        </w:rPr>
        <w:br w:type="page"/>
      </w:r>
    </w:p>
    <w:p w14:paraId="29F013EC">
      <w:pPr>
        <w:pStyle w:val="26"/>
        <w:ind w:left="0"/>
        <w:jc w:val="center"/>
        <w:outlineLvl w:val="0"/>
        <w:rPr>
          <w:rFonts w:hint="default" w:ascii="宋体" w:hAnsi="宋体" w:eastAsia="宋体"/>
          <w:color w:val="auto"/>
          <w:lang w:val="en-US" w:eastAsia="zh-CN"/>
        </w:rPr>
      </w:pPr>
      <w:r>
        <w:rPr>
          <w:rFonts w:hint="eastAsia" w:ascii="宋体" w:hAnsi="宋体"/>
          <w:color w:val="auto"/>
        </w:rPr>
        <w:t>六、</w:t>
      </w:r>
      <w:bookmarkEnd w:id="324"/>
      <w:bookmarkEnd w:id="325"/>
      <w:r>
        <w:rPr>
          <w:rFonts w:hint="eastAsia" w:ascii="宋体" w:hAnsi="宋体"/>
          <w:color w:val="auto"/>
          <w:lang w:val="en-US" w:eastAsia="zh-CN"/>
        </w:rPr>
        <w:t>服务方案及承诺</w:t>
      </w:r>
    </w:p>
    <w:p w14:paraId="7CE3CC70">
      <w:pPr>
        <w:pStyle w:val="26"/>
        <w:ind w:left="0"/>
        <w:jc w:val="center"/>
        <w:outlineLvl w:val="9"/>
        <w:rPr>
          <w:color w:val="auto"/>
        </w:rPr>
        <w:sectPr>
          <w:pgSz w:w="11910" w:h="16840"/>
          <w:pgMar w:top="1440" w:right="1440" w:bottom="1440" w:left="1440" w:header="867" w:footer="867" w:gutter="0"/>
          <w:pgNumType w:fmt="decimal"/>
          <w:cols w:space="720" w:num="1"/>
        </w:sectPr>
      </w:pPr>
    </w:p>
    <w:p w14:paraId="21736F5D">
      <w:pPr>
        <w:pStyle w:val="26"/>
        <w:widowControl/>
        <w:numPr>
          <w:ilvl w:val="0"/>
          <w:numId w:val="0"/>
        </w:numPr>
        <w:spacing w:before="156"/>
        <w:ind w:left="0" w:leftChars="0" w:firstLine="0" w:firstLineChars="0"/>
        <w:jc w:val="center"/>
        <w:outlineLvl w:val="0"/>
        <w:rPr>
          <w:rFonts w:hint="eastAsia" w:ascii="宋体" w:hAnsi="宋体" w:eastAsia="宋体" w:cs="宋体"/>
          <w:iCs/>
          <w:color w:val="auto"/>
        </w:rPr>
      </w:pPr>
      <w:bookmarkStart w:id="326" w:name="5、资格审查资料"/>
      <w:bookmarkEnd w:id="326"/>
      <w:bookmarkStart w:id="327" w:name="_Toc7984"/>
      <w:bookmarkStart w:id="328" w:name="_Toc18887"/>
      <w:bookmarkStart w:id="329" w:name="_Toc2416"/>
      <w:r>
        <w:rPr>
          <w:rFonts w:hint="eastAsia" w:ascii="宋体" w:hAnsi="宋体" w:cs="宋体"/>
          <w:b/>
          <w:bCs/>
          <w:iCs/>
          <w:color w:val="auto"/>
          <w:sz w:val="28"/>
          <w:szCs w:val="20"/>
          <w:lang w:val="en-US" w:eastAsia="zh-CN" w:bidi="zh-CN"/>
        </w:rPr>
        <w:t>七</w:t>
      </w:r>
      <w:r>
        <w:rPr>
          <w:rFonts w:hint="eastAsia" w:ascii="宋体" w:hAnsi="宋体" w:eastAsia="宋体" w:cs="宋体"/>
          <w:b/>
          <w:bCs/>
          <w:iCs/>
          <w:color w:val="auto"/>
          <w:sz w:val="28"/>
          <w:szCs w:val="20"/>
          <w:lang w:val="zh-CN" w:eastAsia="zh-CN" w:bidi="zh-CN"/>
        </w:rPr>
        <w:t>、</w:t>
      </w:r>
      <w:r>
        <w:rPr>
          <w:rFonts w:hint="eastAsia" w:ascii="宋体" w:hAnsi="宋体" w:eastAsia="宋体" w:cs="宋体"/>
          <w:iCs/>
          <w:color w:val="auto"/>
        </w:rPr>
        <w:t>其他材料</w:t>
      </w:r>
      <w:bookmarkEnd w:id="327"/>
      <w:bookmarkEnd w:id="328"/>
      <w:bookmarkEnd w:id="329"/>
    </w:p>
    <w:p w14:paraId="7AE0BC1A">
      <w:pPr>
        <w:numPr>
          <w:ilvl w:val="0"/>
          <w:numId w:val="0"/>
        </w:numPr>
        <w:rPr>
          <w:color w:val="auto"/>
        </w:rPr>
      </w:pPr>
    </w:p>
    <w:p w14:paraId="525D8540">
      <w:pPr>
        <w:pStyle w:val="26"/>
        <w:ind w:left="0"/>
        <w:jc w:val="both"/>
        <w:outlineLvl w:val="0"/>
        <w:rPr>
          <w:rFonts w:hint="eastAsia" w:ascii="宋体" w:hAnsi="宋体" w:eastAsia="宋体"/>
          <w:color w:val="auto"/>
          <w:highlight w:val="none"/>
          <w:lang w:val="en-US" w:eastAsia="zh-CN"/>
        </w:rPr>
      </w:pPr>
      <w:r>
        <w:rPr>
          <w:rFonts w:hint="eastAsia"/>
          <w:color w:val="auto"/>
        </w:rPr>
        <w:br w:type="page"/>
      </w:r>
      <w:bookmarkStart w:id="330" w:name="_Toc32503"/>
      <w:r>
        <w:rPr>
          <w:rFonts w:hint="eastAsia" w:ascii="宋体" w:hAnsi="宋体"/>
          <w:color w:val="auto"/>
          <w:highlight w:val="none"/>
          <w:lang w:val="en-US" w:eastAsia="zh-CN"/>
        </w:rPr>
        <w:t>附件：</w:t>
      </w:r>
      <w:bookmarkEnd w:id="330"/>
    </w:p>
    <w:p w14:paraId="65CDD3D9">
      <w:pPr>
        <w:rPr>
          <w:color w:val="auto"/>
          <w:highlight w:val="none"/>
        </w:rPr>
      </w:pPr>
    </w:p>
    <w:p w14:paraId="04CE8F45">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2" w:firstLineChars="200"/>
        <w:jc w:val="center"/>
        <w:textAlignment w:val="auto"/>
        <w:rPr>
          <w:rFonts w:hint="eastAsia" w:ascii="宋体" w:eastAsia="宋体" w:cs="宋体"/>
          <w:b/>
          <w:bCs/>
          <w:color w:val="auto"/>
          <w:sz w:val="24"/>
          <w:szCs w:val="24"/>
          <w:lang w:eastAsia="zh-CN"/>
        </w:rPr>
      </w:pPr>
      <w:r>
        <w:rPr>
          <w:rFonts w:hint="eastAsia" w:ascii="宋体" w:cs="宋体"/>
          <w:b/>
          <w:bCs/>
          <w:color w:val="auto"/>
          <w:sz w:val="24"/>
          <w:szCs w:val="24"/>
        </w:rPr>
        <w:t>中小企业声明函</w:t>
      </w:r>
      <w:r>
        <w:rPr>
          <w:rFonts w:hint="eastAsia" w:ascii="宋体" w:cs="宋体"/>
          <w:b/>
          <w:bCs/>
          <w:color w:val="auto"/>
          <w:sz w:val="24"/>
          <w:szCs w:val="24"/>
          <w:lang w:eastAsia="zh-CN"/>
        </w:rPr>
        <w:t>（服务）</w:t>
      </w:r>
    </w:p>
    <w:p w14:paraId="7F1B3BEE">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0" w:firstLineChars="200"/>
        <w:jc w:val="left"/>
        <w:textAlignment w:val="auto"/>
        <w:rPr>
          <w:rFonts w:ascii="宋体" w:hAnsi="宋体" w:cs="仿宋"/>
          <w:color w:val="auto"/>
          <w:sz w:val="24"/>
          <w:szCs w:val="24"/>
        </w:rPr>
      </w:pPr>
      <w:r>
        <w:rPr>
          <w:rFonts w:hint="eastAsia" w:ascii="宋体" w:hAnsi="宋体" w:cs="仿宋"/>
          <w:color w:val="auto"/>
          <w:sz w:val="24"/>
          <w:szCs w:val="24"/>
        </w:rPr>
        <w:t>本公司（联合体）郑重声明，根据《政府采购促进中小企业发展管理办法》（财库</w:t>
      </w:r>
      <w:r>
        <w:rPr>
          <w:rFonts w:hint="eastAsia" w:ascii="宋体" w:hAnsi="宋体" w:cs="宋体"/>
          <w:color w:val="auto"/>
          <w:sz w:val="24"/>
          <w:szCs w:val="24"/>
        </w:rPr>
        <w:t>﹝</w:t>
      </w:r>
      <w:r>
        <w:rPr>
          <w:rFonts w:ascii="宋体" w:hAnsi="宋体" w:cs="仿宋"/>
          <w:color w:val="auto"/>
          <w:sz w:val="24"/>
          <w:szCs w:val="24"/>
        </w:rPr>
        <w:t>2020</w:t>
      </w:r>
      <w:r>
        <w:rPr>
          <w:rFonts w:hint="eastAsia" w:ascii="宋体" w:hAnsi="宋体" w:cs="宋体"/>
          <w:color w:val="auto"/>
          <w:sz w:val="24"/>
          <w:szCs w:val="24"/>
        </w:rPr>
        <w:t>﹞</w:t>
      </w:r>
      <w:r>
        <w:rPr>
          <w:rFonts w:ascii="宋体" w:hAnsi="宋体" w:cs="仿宋"/>
          <w:color w:val="auto"/>
          <w:sz w:val="24"/>
          <w:szCs w:val="24"/>
        </w:rPr>
        <w:t xml:space="preserve">46 </w:t>
      </w:r>
      <w:r>
        <w:rPr>
          <w:rFonts w:hint="eastAsia" w:ascii="宋体" w:hAnsi="宋体" w:cs="仿宋"/>
          <w:color w:val="auto"/>
          <w:sz w:val="24"/>
          <w:szCs w:val="24"/>
        </w:rPr>
        <w:t>号）的规定，本公司（联合体）参加</w:t>
      </w:r>
      <w:r>
        <w:rPr>
          <w:rFonts w:hint="eastAsia" w:ascii="宋体" w:hAnsi="宋体" w:cs="仿宋"/>
          <w:color w:val="auto"/>
          <w:sz w:val="24"/>
          <w:szCs w:val="24"/>
          <w:u w:val="single"/>
        </w:rPr>
        <w:t>（单位名称）</w:t>
      </w:r>
      <w:r>
        <w:rPr>
          <w:rFonts w:hint="eastAsia" w:ascii="宋体" w:hAnsi="宋体" w:cs="仿宋"/>
          <w:color w:val="auto"/>
          <w:sz w:val="24"/>
          <w:szCs w:val="24"/>
        </w:rPr>
        <w:t>的</w:t>
      </w:r>
      <w:r>
        <w:rPr>
          <w:rFonts w:hint="eastAsia" w:ascii="宋体" w:hAnsi="宋体" w:cs="仿宋"/>
          <w:color w:val="auto"/>
          <w:sz w:val="24"/>
          <w:szCs w:val="24"/>
          <w:u w:val="single"/>
        </w:rPr>
        <w:t>（项目名称）</w:t>
      </w:r>
      <w:r>
        <w:rPr>
          <w:rFonts w:hint="eastAsia" w:ascii="宋体" w:hAnsi="宋体" w:cs="仿宋"/>
          <w:color w:val="auto"/>
          <w:sz w:val="24"/>
          <w:szCs w:val="24"/>
          <w:u w:val="single"/>
          <w:lang w:eastAsia="zh-CN"/>
        </w:rPr>
        <w:t>（标段）</w:t>
      </w:r>
      <w:r>
        <w:rPr>
          <w:rFonts w:hint="eastAsia" w:ascii="宋体" w:hAnsi="宋体" w:cs="仿宋"/>
          <w:color w:val="auto"/>
          <w:sz w:val="24"/>
          <w:szCs w:val="24"/>
        </w:rPr>
        <w:t>采购活动，工程的施工单位全部为符合政策要求的中小企业（或者：货物全部由符合政策要求的中小企业承接）。相关企业（含联合体中的中小企业、签订分包意向协议的中小企业）的具体情况如下：</w:t>
      </w:r>
    </w:p>
    <w:p w14:paraId="4B9A59F8">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0" w:firstLineChars="200"/>
        <w:jc w:val="left"/>
        <w:textAlignment w:val="auto"/>
        <w:rPr>
          <w:rFonts w:ascii="宋体" w:hAnsi="宋体" w:cs="仿宋"/>
          <w:color w:val="auto"/>
          <w:sz w:val="24"/>
          <w:szCs w:val="24"/>
        </w:rPr>
      </w:pPr>
      <w:r>
        <w:rPr>
          <w:rFonts w:ascii="宋体" w:hAnsi="宋体" w:cs="仿宋"/>
          <w:color w:val="auto"/>
          <w:sz w:val="24"/>
          <w:szCs w:val="24"/>
        </w:rPr>
        <w:t xml:space="preserve">1. </w:t>
      </w:r>
      <w:r>
        <w:rPr>
          <w:rFonts w:hint="eastAsia" w:ascii="宋体" w:hAnsi="宋体" w:cs="仿宋"/>
          <w:color w:val="auto"/>
          <w:sz w:val="24"/>
          <w:szCs w:val="24"/>
          <w:u w:val="single"/>
        </w:rPr>
        <w:t>（标的名称）</w:t>
      </w:r>
      <w:r>
        <w:rPr>
          <w:rFonts w:ascii="宋体" w:hAnsi="宋体" w:cs="仿宋"/>
          <w:color w:val="auto"/>
          <w:sz w:val="24"/>
          <w:szCs w:val="24"/>
        </w:rPr>
        <w:t xml:space="preserve"> </w:t>
      </w:r>
      <w:r>
        <w:rPr>
          <w:rFonts w:hint="eastAsia" w:ascii="宋体" w:hAnsi="宋体" w:cs="仿宋"/>
          <w:color w:val="auto"/>
          <w:sz w:val="24"/>
          <w:szCs w:val="24"/>
        </w:rPr>
        <w:t>，属于</w:t>
      </w:r>
      <w:r>
        <w:rPr>
          <w:rFonts w:hint="eastAsia" w:ascii="宋体" w:hAnsi="宋体" w:cs="仿宋"/>
          <w:color w:val="auto"/>
          <w:sz w:val="24"/>
          <w:szCs w:val="24"/>
          <w:u w:val="single"/>
          <w:lang w:val="en-US" w:eastAsia="zh-CN"/>
        </w:rPr>
        <w:t xml:space="preserve">   </w:t>
      </w:r>
      <w:r>
        <w:rPr>
          <w:rFonts w:hint="eastAsia" w:ascii="宋体" w:hAnsi="宋体" w:cs="仿宋"/>
          <w:color w:val="auto"/>
          <w:sz w:val="24"/>
          <w:szCs w:val="24"/>
          <w:u w:val="single"/>
        </w:rPr>
        <w:t>（采购文件中明确的所属行业）</w:t>
      </w:r>
      <w:r>
        <w:rPr>
          <w:rFonts w:hint="eastAsia" w:ascii="宋体" w:hAnsi="宋体" w:cs="仿宋"/>
          <w:color w:val="auto"/>
          <w:sz w:val="24"/>
          <w:szCs w:val="24"/>
        </w:rPr>
        <w:t>；承建（承接）企业为</w:t>
      </w:r>
      <w:r>
        <w:rPr>
          <w:rFonts w:hint="eastAsia" w:ascii="宋体" w:hAnsi="宋体" w:cs="仿宋"/>
          <w:color w:val="auto"/>
          <w:sz w:val="24"/>
          <w:szCs w:val="24"/>
          <w:u w:val="single"/>
        </w:rPr>
        <w:t>（企业名称）</w:t>
      </w:r>
      <w:r>
        <w:rPr>
          <w:rFonts w:hint="eastAsia" w:ascii="宋体" w:hAnsi="宋体" w:cs="仿宋"/>
          <w:color w:val="auto"/>
          <w:sz w:val="24"/>
          <w:szCs w:val="24"/>
        </w:rPr>
        <w:t>，从业人员</w:t>
      </w:r>
      <w:r>
        <w:rPr>
          <w:rFonts w:hint="eastAsia" w:ascii="宋体" w:hAnsi="宋体" w:cs="仿宋"/>
          <w:color w:val="auto"/>
          <w:sz w:val="24"/>
          <w:szCs w:val="24"/>
          <w:u w:val="single"/>
        </w:rPr>
        <w:t xml:space="preserve">    </w:t>
      </w:r>
      <w:r>
        <w:rPr>
          <w:rFonts w:hint="eastAsia" w:ascii="宋体" w:hAnsi="宋体" w:cs="仿宋"/>
          <w:color w:val="auto"/>
          <w:sz w:val="24"/>
          <w:szCs w:val="24"/>
        </w:rPr>
        <w:t xml:space="preserve"> 人，营业收入为</w:t>
      </w:r>
      <w:r>
        <w:rPr>
          <w:rFonts w:hint="eastAsia" w:ascii="宋体" w:hAnsi="宋体" w:cs="仿宋"/>
          <w:color w:val="auto"/>
          <w:sz w:val="24"/>
          <w:szCs w:val="24"/>
          <w:u w:val="single"/>
        </w:rPr>
        <w:t xml:space="preserve">     </w:t>
      </w:r>
      <w:r>
        <w:rPr>
          <w:rFonts w:hint="eastAsia" w:ascii="宋体" w:hAnsi="宋体" w:cs="仿宋"/>
          <w:color w:val="auto"/>
          <w:sz w:val="24"/>
          <w:szCs w:val="24"/>
        </w:rPr>
        <w:t>万元，资产总额为</w:t>
      </w:r>
      <w:r>
        <w:rPr>
          <w:rFonts w:hint="eastAsia" w:ascii="宋体" w:hAnsi="宋体" w:cs="仿宋"/>
          <w:color w:val="auto"/>
          <w:sz w:val="24"/>
          <w:szCs w:val="24"/>
          <w:u w:val="single"/>
        </w:rPr>
        <w:t xml:space="preserve">   </w:t>
      </w:r>
      <w:r>
        <w:rPr>
          <w:rFonts w:hint="eastAsia" w:ascii="宋体" w:hAnsi="宋体" w:cs="仿宋"/>
          <w:color w:val="auto"/>
          <w:sz w:val="24"/>
          <w:szCs w:val="24"/>
        </w:rPr>
        <w:t>万元，属于</w:t>
      </w:r>
      <w:r>
        <w:rPr>
          <w:rFonts w:hint="eastAsia" w:ascii="宋体" w:hAnsi="宋体" w:cs="仿宋"/>
          <w:color w:val="auto"/>
          <w:sz w:val="24"/>
          <w:szCs w:val="24"/>
          <w:u w:val="single"/>
        </w:rPr>
        <w:t>（中型企业、小型企业、微型企业）</w:t>
      </w:r>
      <w:r>
        <w:rPr>
          <w:rFonts w:hint="eastAsia" w:ascii="宋体" w:hAnsi="宋体" w:cs="仿宋"/>
          <w:color w:val="auto"/>
          <w:sz w:val="24"/>
          <w:szCs w:val="24"/>
        </w:rPr>
        <w:t>；</w:t>
      </w:r>
    </w:p>
    <w:p w14:paraId="74BB9D8D">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0" w:firstLineChars="200"/>
        <w:jc w:val="left"/>
        <w:textAlignment w:val="auto"/>
        <w:rPr>
          <w:rFonts w:ascii="宋体" w:hAnsi="宋体" w:cs="仿宋"/>
          <w:color w:val="auto"/>
          <w:sz w:val="24"/>
          <w:szCs w:val="24"/>
        </w:rPr>
      </w:pPr>
      <w:r>
        <w:rPr>
          <w:rFonts w:hint="eastAsia" w:ascii="宋体" w:hAnsi="宋体" w:cs="仿宋"/>
          <w:color w:val="auto"/>
          <w:sz w:val="24"/>
          <w:szCs w:val="24"/>
        </w:rPr>
        <w:t>……</w:t>
      </w:r>
    </w:p>
    <w:p w14:paraId="28F48B0B">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0" w:firstLineChars="200"/>
        <w:jc w:val="left"/>
        <w:textAlignment w:val="auto"/>
        <w:rPr>
          <w:rFonts w:ascii="宋体" w:hAnsi="宋体" w:cs="仿宋"/>
          <w:color w:val="auto"/>
          <w:sz w:val="24"/>
          <w:szCs w:val="24"/>
        </w:rPr>
      </w:pPr>
      <w:r>
        <w:rPr>
          <w:rFonts w:hint="eastAsia" w:ascii="宋体" w:hAnsi="宋体" w:cs="仿宋"/>
          <w:color w:val="auto"/>
          <w:sz w:val="24"/>
          <w:szCs w:val="24"/>
        </w:rPr>
        <w:t>以上企业，不属于大企业的分支机构，不存在控股股东为大企业的情形，也不存在与大企业的负责人为同一人的情形。</w:t>
      </w:r>
    </w:p>
    <w:p w14:paraId="612FEBE2">
      <w:pPr>
        <w:keepNext w:val="0"/>
        <w:keepLines w:val="0"/>
        <w:pageBreakBefore w:val="0"/>
        <w:widowControl w:val="0"/>
        <w:kinsoku/>
        <w:wordWrap w:val="0"/>
        <w:overflowPunct/>
        <w:topLinePunct w:val="0"/>
        <w:autoSpaceDE w:val="0"/>
        <w:autoSpaceDN w:val="0"/>
        <w:bidi w:val="0"/>
        <w:adjustRightInd w:val="0"/>
        <w:spacing w:line="560" w:lineRule="exact"/>
        <w:ind w:right="0" w:rightChars="0" w:firstLine="480" w:firstLineChars="200"/>
        <w:jc w:val="left"/>
        <w:textAlignment w:val="auto"/>
        <w:rPr>
          <w:rFonts w:ascii="宋体" w:hAnsi="宋体" w:cs="仿宋"/>
          <w:color w:val="auto"/>
          <w:sz w:val="24"/>
          <w:szCs w:val="24"/>
        </w:rPr>
      </w:pPr>
      <w:r>
        <w:rPr>
          <w:rFonts w:hint="eastAsia" w:ascii="宋体" w:hAnsi="宋体" w:cs="仿宋"/>
          <w:color w:val="auto"/>
          <w:sz w:val="24"/>
          <w:szCs w:val="24"/>
        </w:rPr>
        <w:t>本企业对上述声明内容的真实性负责。如有虚假，将依法承担相应责任。</w:t>
      </w:r>
    </w:p>
    <w:p w14:paraId="72E435B3">
      <w:pPr>
        <w:keepNext w:val="0"/>
        <w:keepLines w:val="0"/>
        <w:pageBreakBefore w:val="0"/>
        <w:widowControl w:val="0"/>
        <w:kinsoku/>
        <w:wordWrap w:val="0"/>
        <w:overflowPunct/>
        <w:topLinePunct w:val="0"/>
        <w:autoSpaceDE w:val="0"/>
        <w:autoSpaceDN w:val="0"/>
        <w:bidi w:val="0"/>
        <w:spacing w:line="560" w:lineRule="exact"/>
        <w:ind w:right="0" w:rightChars="0"/>
        <w:jc w:val="left"/>
        <w:textAlignment w:val="auto"/>
        <w:rPr>
          <w:rFonts w:ascii="宋体" w:hAnsi="宋体" w:cs="宋体"/>
          <w:color w:val="auto"/>
          <w:spacing w:val="6"/>
          <w:sz w:val="24"/>
          <w:szCs w:val="24"/>
        </w:rPr>
      </w:pPr>
    </w:p>
    <w:p w14:paraId="7C57B76E">
      <w:pPr>
        <w:keepNext w:val="0"/>
        <w:keepLines w:val="0"/>
        <w:pageBreakBefore w:val="0"/>
        <w:widowControl w:val="0"/>
        <w:kinsoku/>
        <w:wordWrap w:val="0"/>
        <w:overflowPunct/>
        <w:topLinePunct w:val="0"/>
        <w:autoSpaceDE w:val="0"/>
        <w:autoSpaceDN w:val="0"/>
        <w:bidi w:val="0"/>
        <w:snapToGrid w:val="0"/>
        <w:spacing w:line="560" w:lineRule="exact"/>
        <w:ind w:right="0" w:rightChars="0" w:firstLine="480" w:firstLineChars="200"/>
        <w:jc w:val="right"/>
        <w:textAlignment w:val="auto"/>
        <w:rPr>
          <w:rFonts w:ascii="宋体" w:hAnsi="宋体" w:cs="宋体"/>
          <w:color w:val="auto"/>
          <w:sz w:val="24"/>
          <w:szCs w:val="24"/>
        </w:rPr>
      </w:pPr>
      <w:r>
        <w:rPr>
          <w:rFonts w:hint="eastAsia" w:ascii="宋体" w:hAnsi="宋体" w:cs="宋体"/>
          <w:color w:val="auto"/>
          <w:sz w:val="24"/>
          <w:szCs w:val="24"/>
        </w:rPr>
        <w:t>供应商：</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（电子签章） </w:t>
      </w:r>
    </w:p>
    <w:p w14:paraId="4296CCCF">
      <w:pPr>
        <w:keepNext w:val="0"/>
        <w:keepLines w:val="0"/>
        <w:pageBreakBefore w:val="0"/>
        <w:widowControl w:val="0"/>
        <w:kinsoku/>
        <w:wordWrap w:val="0"/>
        <w:overflowPunct/>
        <w:topLinePunct w:val="0"/>
        <w:autoSpaceDE w:val="0"/>
        <w:autoSpaceDN w:val="0"/>
        <w:bidi w:val="0"/>
        <w:spacing w:line="560" w:lineRule="exact"/>
        <w:ind w:right="0" w:rightChars="0" w:firstLine="480" w:firstLineChars="200"/>
        <w:jc w:val="right"/>
        <w:textAlignment w:val="auto"/>
        <w:rPr>
          <w:rFonts w:ascii="宋体" w:hAnsi="宋体" w:cs="宋体"/>
          <w:color w:val="auto"/>
          <w:sz w:val="24"/>
          <w:szCs w:val="24"/>
        </w:rPr>
      </w:pPr>
      <w:r>
        <w:rPr>
          <w:rFonts w:hint="eastAsia" w:ascii="宋体" w:hAnsi="宋体" w:cs="宋体"/>
          <w:color w:val="auto"/>
          <w:sz w:val="24"/>
          <w:szCs w:val="24"/>
        </w:rPr>
        <w:t>法定代表人或委托代理人：</w:t>
      </w:r>
      <w:r>
        <w:rPr>
          <w:rFonts w:hint="eastAsia" w:ascii="宋体" w:hAnsi="宋体" w:cs="宋体"/>
          <w:color w:val="auto"/>
          <w:sz w:val="24"/>
          <w:szCs w:val="24"/>
          <w:u w:val="single"/>
        </w:rPr>
        <w:t xml:space="preserve">        </w:t>
      </w:r>
      <w:r>
        <w:rPr>
          <w:rFonts w:hint="eastAsia" w:ascii="宋体" w:hAnsi="宋体" w:cs="宋体"/>
          <w:color w:val="auto"/>
          <w:sz w:val="24"/>
          <w:szCs w:val="24"/>
        </w:rPr>
        <w:t>（电子签章</w:t>
      </w:r>
      <w:r>
        <w:rPr>
          <w:rFonts w:hint="eastAsia" w:ascii="宋体" w:hAnsi="宋体" w:cs="宋体"/>
          <w:color w:val="auto"/>
          <w:sz w:val="24"/>
          <w:szCs w:val="24"/>
          <w:lang w:val="en-US" w:eastAsia="zh-CN"/>
        </w:rPr>
        <w:t>或签字</w:t>
      </w:r>
      <w:r>
        <w:rPr>
          <w:rFonts w:hint="eastAsia" w:ascii="宋体" w:hAnsi="宋体" w:cs="宋体"/>
          <w:color w:val="auto"/>
          <w:sz w:val="24"/>
          <w:szCs w:val="24"/>
        </w:rPr>
        <w:t xml:space="preserve">） </w:t>
      </w:r>
    </w:p>
    <w:p w14:paraId="5423B303">
      <w:pPr>
        <w:keepNext w:val="0"/>
        <w:keepLines w:val="0"/>
        <w:pageBreakBefore w:val="0"/>
        <w:widowControl w:val="0"/>
        <w:kinsoku/>
        <w:wordWrap w:val="0"/>
        <w:overflowPunct/>
        <w:topLinePunct w:val="0"/>
        <w:autoSpaceDE w:val="0"/>
        <w:autoSpaceDN w:val="0"/>
        <w:bidi w:val="0"/>
        <w:spacing w:line="560" w:lineRule="exact"/>
        <w:ind w:right="0" w:rightChars="0" w:firstLine="480" w:firstLineChars="200"/>
        <w:jc w:val="right"/>
        <w:textAlignment w:val="auto"/>
        <w:rPr>
          <w:rFonts w:ascii="宋体" w:hAnsi="宋体" w:cs="宋体"/>
          <w:color w:val="auto"/>
          <w:sz w:val="24"/>
          <w:szCs w:val="24"/>
        </w:rPr>
      </w:pPr>
      <w:r>
        <w:rPr>
          <w:rFonts w:hint="eastAsia" w:ascii="宋体" w:hAnsi="宋体" w:cs="宋体"/>
          <w:color w:val="auto"/>
          <w:sz w:val="24"/>
          <w:szCs w:val="24"/>
        </w:rPr>
        <w:t>日期：   年    月    日</w:t>
      </w:r>
    </w:p>
    <w:p w14:paraId="5FF5537F">
      <w:pPr>
        <w:adjustRightInd w:val="0"/>
        <w:snapToGrid w:val="0"/>
        <w:spacing w:line="360" w:lineRule="auto"/>
        <w:rPr>
          <w:rFonts w:hint="eastAsia" w:ascii="宋体" w:hAnsi="宋体" w:eastAsia="宋体" w:cs="宋体"/>
          <w:spacing w:val="6"/>
          <w:kern w:val="0"/>
          <w:sz w:val="24"/>
          <w:szCs w:val="24"/>
        </w:rPr>
      </w:pPr>
      <w:r>
        <w:rPr>
          <w:rFonts w:hint="eastAsia" w:ascii="宋体" w:hAnsi="宋体" w:eastAsia="宋体" w:cs="宋体"/>
          <w:spacing w:val="6"/>
          <w:kern w:val="0"/>
          <w:sz w:val="24"/>
          <w:szCs w:val="24"/>
        </w:rPr>
        <w:t>说明：</w:t>
      </w:r>
    </w:p>
    <w:p w14:paraId="774A9D89">
      <w:pPr>
        <w:adjustRightInd w:val="0"/>
        <w:snapToGrid w:val="0"/>
        <w:spacing w:line="360" w:lineRule="auto"/>
        <w:rPr>
          <w:rFonts w:hint="eastAsia" w:ascii="宋体" w:hAnsi="宋体" w:eastAsia="宋体" w:cs="宋体"/>
          <w:spacing w:val="6"/>
          <w:kern w:val="0"/>
          <w:sz w:val="24"/>
          <w:szCs w:val="24"/>
        </w:rPr>
      </w:pPr>
      <w:r>
        <w:rPr>
          <w:rFonts w:hint="eastAsia" w:ascii="宋体" w:hAnsi="宋体" w:eastAsia="宋体" w:cs="宋体"/>
          <w:spacing w:val="6"/>
          <w:kern w:val="0"/>
          <w:sz w:val="24"/>
          <w:szCs w:val="24"/>
        </w:rPr>
        <w:t>1、从业人员、营业收入、资产总额填报上一年度数据，无上一年度数据的新成立企业可不填报。</w:t>
      </w:r>
    </w:p>
    <w:p w14:paraId="6434DE8F">
      <w:pPr>
        <w:pStyle w:val="19"/>
        <w:spacing w:line="360" w:lineRule="auto"/>
        <w:ind w:left="0" w:leftChars="0" w:firstLine="0" w:firstLineChars="0"/>
        <w:jc w:val="center"/>
        <w:rPr>
          <w:rFonts w:hint="eastAsia" w:ascii="宋体" w:hAnsi="宋体" w:eastAsia="宋体" w:cs="宋体"/>
          <w:spacing w:val="6"/>
          <w:kern w:val="0"/>
          <w:sz w:val="24"/>
          <w:szCs w:val="24"/>
        </w:rPr>
      </w:pPr>
      <w:r>
        <w:rPr>
          <w:rFonts w:hint="eastAsia" w:ascii="宋体" w:hAnsi="宋体" w:eastAsia="宋体" w:cs="宋体"/>
          <w:spacing w:val="6"/>
          <w:kern w:val="0"/>
          <w:sz w:val="24"/>
          <w:szCs w:val="24"/>
        </w:rPr>
        <w:t>2、填写前请认真阅读《关于印发中小企业划型标准规定的通知》（工信部联企业</w:t>
      </w:r>
    </w:p>
    <w:p w14:paraId="59C4AB3D">
      <w:pPr>
        <w:pStyle w:val="19"/>
        <w:spacing w:line="360" w:lineRule="auto"/>
        <w:ind w:left="0" w:leftChars="0" w:firstLine="0" w:firstLineChars="0"/>
        <w:jc w:val="both"/>
        <w:rPr>
          <w:rFonts w:hint="eastAsia" w:ascii="宋体" w:hAnsi="宋体" w:eastAsia="宋体" w:cs="宋体"/>
          <w:spacing w:val="6"/>
          <w:kern w:val="0"/>
          <w:sz w:val="24"/>
          <w:szCs w:val="24"/>
        </w:rPr>
      </w:pPr>
      <w:r>
        <w:rPr>
          <w:rFonts w:hint="eastAsia" w:ascii="宋体" w:hAnsi="宋体" w:eastAsia="宋体" w:cs="宋体"/>
          <w:spacing w:val="6"/>
          <w:kern w:val="0"/>
          <w:sz w:val="24"/>
          <w:szCs w:val="24"/>
        </w:rPr>
        <w:t>[2011]300号）和《关于印发＜政府采购促进中小企业发展管理办法＞的通知》(财库﹝2020﹞46号)相关规定。</w:t>
      </w:r>
    </w:p>
    <w:p w14:paraId="05C5513A">
      <w:pPr>
        <w:rPr>
          <w:rFonts w:hint="eastAsia" w:ascii="宋体" w:hAnsi="宋体" w:eastAsia="宋体" w:cs="宋体"/>
          <w:spacing w:val="6"/>
          <w:kern w:val="0"/>
          <w:sz w:val="24"/>
          <w:szCs w:val="24"/>
        </w:rPr>
      </w:pPr>
      <w:r>
        <w:rPr>
          <w:rFonts w:hint="eastAsia" w:ascii="宋体" w:hAnsi="宋体" w:eastAsia="宋体" w:cs="宋体"/>
          <w:spacing w:val="6"/>
          <w:kern w:val="0"/>
          <w:sz w:val="24"/>
          <w:szCs w:val="24"/>
        </w:rPr>
        <w:t>3、未按上述要求提供、填写的，评审时不予以考虑。</w:t>
      </w:r>
    </w:p>
    <w:p w14:paraId="315B2CC1">
      <w:pPr>
        <w:pStyle w:val="19"/>
        <w:spacing w:line="360" w:lineRule="auto"/>
        <w:ind w:left="0" w:leftChars="0" w:firstLine="0" w:firstLineChars="0"/>
        <w:jc w:val="both"/>
        <w:rPr>
          <w:rFonts w:hint="eastAsia" w:ascii="宋体" w:hAnsi="宋体" w:eastAsia="宋体" w:cs="宋体"/>
          <w:spacing w:val="6"/>
          <w:kern w:val="0"/>
          <w:sz w:val="32"/>
          <w:szCs w:val="32"/>
        </w:rPr>
      </w:pPr>
      <w:r>
        <w:rPr>
          <w:rFonts w:hint="eastAsia" w:ascii="宋体" w:hAnsi="宋体" w:eastAsia="宋体" w:cs="宋体"/>
          <w:spacing w:val="6"/>
          <w:kern w:val="0"/>
          <w:sz w:val="32"/>
          <w:szCs w:val="32"/>
        </w:rPr>
        <w:t>工业和信息化部、国家统计局、国家发展和改革委员会、财政部</w:t>
      </w:r>
    </w:p>
    <w:p w14:paraId="76AF43D2">
      <w:pPr>
        <w:pStyle w:val="19"/>
        <w:spacing w:line="360" w:lineRule="auto"/>
        <w:ind w:left="0" w:leftChars="0" w:firstLine="0" w:firstLineChars="0"/>
        <w:jc w:val="center"/>
        <w:rPr>
          <w:rFonts w:hint="eastAsia" w:ascii="宋体" w:hAnsi="宋体" w:eastAsia="宋体" w:cs="宋体"/>
          <w:spacing w:val="6"/>
          <w:kern w:val="0"/>
          <w:sz w:val="24"/>
          <w:szCs w:val="24"/>
        </w:rPr>
      </w:pPr>
      <w:r>
        <w:rPr>
          <w:rFonts w:hint="eastAsia" w:ascii="宋体" w:hAnsi="宋体" w:eastAsia="宋体" w:cs="宋体"/>
          <w:spacing w:val="6"/>
          <w:kern w:val="0"/>
          <w:sz w:val="32"/>
          <w:szCs w:val="32"/>
        </w:rPr>
        <w:t>《关于印发中小企业划型标准规定的通知》</w:t>
      </w:r>
    </w:p>
    <w:p w14:paraId="50D851E5">
      <w:pPr>
        <w:pStyle w:val="19"/>
        <w:spacing w:line="360" w:lineRule="auto"/>
        <w:ind w:left="0" w:leftChars="0" w:firstLine="0" w:firstLineChars="0"/>
        <w:jc w:val="center"/>
        <w:rPr>
          <w:rFonts w:hint="eastAsia" w:ascii="宋体" w:hAnsi="宋体" w:eastAsia="宋体" w:cs="宋体"/>
          <w:spacing w:val="6"/>
          <w:kern w:val="0"/>
          <w:sz w:val="32"/>
          <w:szCs w:val="32"/>
        </w:rPr>
      </w:pPr>
      <w:r>
        <w:rPr>
          <w:rFonts w:hint="eastAsia" w:ascii="宋体" w:hAnsi="宋体" w:eastAsia="宋体" w:cs="宋体"/>
          <w:spacing w:val="6"/>
          <w:kern w:val="0"/>
          <w:sz w:val="32"/>
          <w:szCs w:val="32"/>
        </w:rPr>
        <w:t>工信部联企业〔2011〕300号</w:t>
      </w:r>
    </w:p>
    <w:p w14:paraId="78977609">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各省、自治区、直辖市人民政府，国务院各部委、各直属机构及有关单位：</w:t>
      </w:r>
    </w:p>
    <w:p w14:paraId="3F6E7989">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EC22C82">
      <w:pPr>
        <w:keepNext w:val="0"/>
        <w:keepLines w:val="0"/>
        <w:pageBreakBefore w:val="0"/>
        <w:widowControl/>
        <w:suppressLineNumbers w:val="0"/>
        <w:kinsoku/>
        <w:wordWrap/>
        <w:overflowPunct/>
        <w:topLinePunct w:val="0"/>
        <w:autoSpaceDE/>
        <w:autoSpaceDN/>
        <w:bidi w:val="0"/>
        <w:adjustRightInd/>
        <w:snapToGrid/>
        <w:spacing w:line="480" w:lineRule="auto"/>
        <w:ind w:firstLine="4080" w:firstLineChars="17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工业和信息化部 国家统计局 国家发展和改革委员会 财政部</w:t>
      </w:r>
    </w:p>
    <w:p w14:paraId="45C9744F">
      <w:pPr>
        <w:keepNext w:val="0"/>
        <w:keepLines w:val="0"/>
        <w:pageBreakBefore w:val="0"/>
        <w:widowControl/>
        <w:suppressLineNumbers w:val="0"/>
        <w:kinsoku/>
        <w:wordWrap/>
        <w:overflowPunct/>
        <w:topLinePunct w:val="0"/>
        <w:autoSpaceDE/>
        <w:autoSpaceDN/>
        <w:bidi w:val="0"/>
        <w:adjustRightInd/>
        <w:snapToGrid/>
        <w:spacing w:line="480" w:lineRule="auto"/>
        <w:ind w:firstLine="3360" w:firstLineChars="1400"/>
        <w:jc w:val="right"/>
        <w:textAlignment w:val="auto"/>
        <w:rPr>
          <w:rFonts w:hint="eastAsia" w:ascii="宋体" w:hAnsi="宋体" w:eastAsia="宋体" w:cs="宋体"/>
          <w:spacing w:val="6"/>
          <w:kern w:val="0"/>
          <w:sz w:val="24"/>
          <w:szCs w:val="24"/>
        </w:rPr>
      </w:pPr>
      <w:r>
        <w:rPr>
          <w:rFonts w:hint="eastAsia" w:ascii="宋体" w:hAnsi="宋体" w:eastAsia="宋体" w:cs="宋体"/>
          <w:color w:val="151515"/>
          <w:kern w:val="0"/>
          <w:sz w:val="24"/>
          <w:szCs w:val="24"/>
          <w:lang w:val="en-US" w:eastAsia="zh-CN" w:bidi="ar"/>
        </w:rPr>
        <w:t>二○一一年六月十八日</w:t>
      </w:r>
    </w:p>
    <w:p w14:paraId="5BCE30B7">
      <w:pPr>
        <w:widowControl/>
        <w:adjustRightInd w:val="0"/>
        <w:snapToGrid w:val="0"/>
        <w:spacing w:before="120" w:beforeLines="50" w:line="360" w:lineRule="auto"/>
        <w:jc w:val="center"/>
        <w:rPr>
          <w:rFonts w:hint="eastAsia" w:ascii="宋体" w:hAnsi="宋体" w:eastAsia="宋体" w:cs="宋体"/>
          <w:b/>
          <w:bCs/>
          <w:spacing w:val="6"/>
          <w:kern w:val="0"/>
          <w:sz w:val="24"/>
          <w:szCs w:val="24"/>
          <w:lang w:val="en-US" w:eastAsia="zh-CN"/>
        </w:rPr>
      </w:pPr>
      <w:bookmarkStart w:id="331" w:name="OLE_LINK13"/>
      <w:bookmarkStart w:id="332" w:name="_Toc22084"/>
      <w:bookmarkStart w:id="333" w:name="_Toc7278"/>
      <w:bookmarkStart w:id="334" w:name="_Toc22816"/>
      <w:bookmarkStart w:id="335" w:name="_Toc14029"/>
      <w:bookmarkStart w:id="336" w:name="_Toc18758"/>
      <w:bookmarkStart w:id="337" w:name="_Toc21261"/>
      <w:bookmarkStart w:id="338" w:name="_Toc23527"/>
      <w:bookmarkStart w:id="339" w:name="_Toc15388"/>
      <w:bookmarkStart w:id="340" w:name="_Toc10802"/>
      <w:bookmarkStart w:id="341" w:name="OLE_LINK14"/>
      <w:bookmarkStart w:id="342" w:name="_Toc3686"/>
      <w:bookmarkStart w:id="343" w:name="_Toc25719"/>
      <w:bookmarkStart w:id="344" w:name="_Toc1407"/>
      <w:bookmarkStart w:id="345" w:name="_Toc14656"/>
      <w:bookmarkStart w:id="346" w:name="_Toc25504"/>
      <w:r>
        <w:rPr>
          <w:rFonts w:hint="eastAsia" w:ascii="宋体" w:hAnsi="宋体" w:eastAsia="宋体" w:cs="宋体"/>
          <w:b/>
          <w:bCs/>
          <w:spacing w:val="6"/>
          <w:kern w:val="0"/>
          <w:sz w:val="24"/>
          <w:szCs w:val="24"/>
          <w:lang w:val="en-US" w:eastAsia="zh-CN"/>
        </w:rPr>
        <w:t>中小企业划型标准规定</w:t>
      </w:r>
    </w:p>
    <w:p w14:paraId="7F2E5D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一、根据《中华人民共和国中小企业促进法》和《国务院关于进一步促进中小企业发展的若干意见》(国发〔2009〕36号)，制定本规定。</w:t>
      </w:r>
    </w:p>
    <w:p w14:paraId="0F0124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二、中小企业划分为中型、小型、微型三种类型，具体标准根据企业从业人员、营业收入、资产总额等指标，结合行业特点制定。</w:t>
      </w:r>
    </w:p>
    <w:p w14:paraId="5EB96E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99FDA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四、各行业划型标准为</w:t>
      </w:r>
    </w:p>
    <w:p w14:paraId="3313F99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（一）农、林、牧、渔业。营业收入20000万元以下的为中小微型企业。其中，营业收入500万元及以上的为中型企业，营业收入50万元及以上的为小型企业，营业收入50万元以下的为微型企业。</w:t>
      </w:r>
    </w:p>
    <w:p w14:paraId="38D3AB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C9E5FA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39D149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C13363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591FF0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0C50A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4C46D7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1BA3C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00E318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076CA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w:t>
      </w:r>
    </w:p>
    <w:p w14:paraId="6C212D3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470E0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E67C3F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7CE13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EDD122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（十六）其他未列明行业。从业人员300人以下的为中小微型企业。其中，从业人员100人及以上的为中型企业；从业人员10人及以上的为小型企业；从业人员10人以下的为微型企业。</w:t>
      </w:r>
    </w:p>
    <w:p w14:paraId="3A67FD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五、企业类型的划分以统计部门的统计数据为依据。</w:t>
      </w:r>
    </w:p>
    <w:p w14:paraId="5F5144F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六、本规定适用于在中华人民共和国境内依法设立的各类所有制和各种组织形式的企业。个体工商户和本规定以外的行业，参照本规定进行划型。</w:t>
      </w:r>
    </w:p>
    <w:p w14:paraId="6E7A8A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七、本规定的中型企业标准上限即为大型企业标准的下限，国家统计部门据此制定大中小微型企业的统计分类。国务院有关部门据此进行相关数据分析，不得制定与本规定不一致的企业划型标准。</w:t>
      </w:r>
    </w:p>
    <w:p w14:paraId="4FF9DB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八、本规定由工业和信息化部、国家统计局会同有关部门根据《国民经济行业分类》修订情况和企业发展变化情况适时修订。</w:t>
      </w:r>
    </w:p>
    <w:p w14:paraId="2637E4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九、本规定由工业和信息化部、国家统计局会同有关部门负责解释。</w:t>
      </w:r>
    </w:p>
    <w:p w14:paraId="0377AC7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十、本规定自发布之日起执行，原国家经贸委、原国家计委、财政部和国家统计局2003年颁布的《中小企业标准暂行规定》同时废止。</w:t>
      </w:r>
    </w:p>
    <w:p w14:paraId="298ADE9A">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p>
    <w:p w14:paraId="32D5061B">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p>
    <w:p w14:paraId="43F53E3C">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p>
    <w:p w14:paraId="3A80423B">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p>
    <w:p w14:paraId="22ED60E6">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r>
        <w:rPr>
          <w:rFonts w:hint="eastAsia" w:ascii="宋体" w:hAnsi="宋体" w:eastAsia="宋体" w:cs="宋体"/>
          <w:b/>
          <w:bCs/>
          <w:spacing w:val="6"/>
          <w:kern w:val="0"/>
          <w:sz w:val="24"/>
          <w:szCs w:val="24"/>
          <w:lang w:val="en-US" w:eastAsia="zh-CN"/>
        </w:rPr>
        <w:br w:type="page"/>
      </w:r>
      <w:r>
        <w:rPr>
          <w:rFonts w:hint="eastAsia" w:ascii="宋体" w:hAnsi="宋体" w:eastAsia="宋体" w:cs="宋体"/>
          <w:b/>
          <w:bCs/>
          <w:spacing w:val="6"/>
          <w:kern w:val="0"/>
          <w:sz w:val="24"/>
          <w:szCs w:val="24"/>
          <w:lang w:val="en-US" w:eastAsia="zh-CN"/>
        </w:rPr>
        <w:t xml:space="preserve">附件2 </w:t>
      </w:r>
    </w:p>
    <w:p w14:paraId="4FBB5CC8">
      <w:pPr>
        <w:pStyle w:val="8"/>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残疾人福利性单位声明函</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D025BFB">
      <w:pPr>
        <w:jc w:val="center"/>
        <w:rPr>
          <w:rFonts w:hint="eastAsia" w:ascii="宋体" w:hAnsi="宋体" w:eastAsia="宋体" w:cs="宋体"/>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属于残疾人福利单位的填写，不属于的无需提供此项内容</w:t>
      </w:r>
      <w:r>
        <w:rPr>
          <w:rFonts w:hint="eastAsia" w:ascii="宋体" w:hAnsi="宋体" w:eastAsia="宋体" w:cs="宋体"/>
          <w:b/>
          <w:bCs/>
          <w:sz w:val="24"/>
          <w:szCs w:val="24"/>
          <w:lang w:eastAsia="zh-CN"/>
        </w:rPr>
        <w:t>）</w:t>
      </w:r>
    </w:p>
    <w:p w14:paraId="7081D1ED">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单位的</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项目采购活动提供本单位制造的货物（由本单位承担工程/提供服务），或者提供其他残疾人福利性单位制造的货物（不包括使用非残疾人福利性单位注册商标的货物）。</w:t>
      </w:r>
    </w:p>
    <w:p w14:paraId="4F5B90E8">
      <w:pPr>
        <w:pStyle w:val="8"/>
        <w:spacing w:line="360" w:lineRule="auto"/>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508B42C1">
      <w:pPr>
        <w:pStyle w:val="8"/>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单位名称（盖章）：                </w:t>
      </w:r>
    </w:p>
    <w:p w14:paraId="09D26EE0">
      <w:pPr>
        <w:pStyle w:val="8"/>
        <w:spacing w:line="360" w:lineRule="auto"/>
        <w:jc w:val="right"/>
        <w:rPr>
          <w:rFonts w:hint="eastAsia" w:ascii="宋体" w:hAnsi="宋体" w:eastAsia="宋体" w:cs="宋体"/>
          <w:color w:val="151515"/>
          <w:kern w:val="0"/>
          <w:sz w:val="24"/>
          <w:szCs w:val="24"/>
          <w:lang w:val="en-US" w:eastAsia="zh-CN" w:bidi="ar"/>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  期：</w:t>
      </w:r>
    </w:p>
    <w:p w14:paraId="7F58FE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（提醒：如果</w:t>
      </w:r>
      <w:r>
        <w:rPr>
          <w:rFonts w:hint="eastAsia" w:ascii="宋体" w:hAnsi="宋体" w:cs="宋体"/>
          <w:color w:val="151515"/>
          <w:kern w:val="0"/>
          <w:sz w:val="24"/>
          <w:szCs w:val="24"/>
          <w:lang w:val="en-US" w:eastAsia="zh-CN" w:bidi="ar"/>
        </w:rPr>
        <w:t>响应人</w:t>
      </w:r>
      <w:r>
        <w:rPr>
          <w:rFonts w:hint="eastAsia" w:ascii="宋体" w:hAnsi="宋体" w:eastAsia="宋体" w:cs="宋体"/>
          <w:color w:val="151515"/>
          <w:kern w:val="0"/>
          <w:sz w:val="24"/>
          <w:szCs w:val="24"/>
          <w:lang w:val="en-US" w:eastAsia="zh-CN" w:bidi="ar"/>
        </w:rPr>
        <w:t>不是残疾人福利性单位，则不需要提供《残疾人福利性单位声明函》。否则，因此导致虚假投标的后果由</w:t>
      </w:r>
      <w:r>
        <w:rPr>
          <w:rFonts w:hint="eastAsia" w:ascii="宋体" w:hAnsi="宋体" w:cs="宋体"/>
          <w:color w:val="151515"/>
          <w:kern w:val="0"/>
          <w:sz w:val="24"/>
          <w:szCs w:val="24"/>
          <w:lang w:val="en-US" w:eastAsia="zh-CN" w:bidi="ar"/>
        </w:rPr>
        <w:t>响应人</w:t>
      </w:r>
      <w:r>
        <w:rPr>
          <w:rFonts w:hint="eastAsia" w:ascii="宋体" w:hAnsi="宋体" w:eastAsia="宋体" w:cs="宋体"/>
          <w:color w:val="151515"/>
          <w:kern w:val="0"/>
          <w:sz w:val="24"/>
          <w:szCs w:val="24"/>
          <w:lang w:val="en-US" w:eastAsia="zh-CN" w:bidi="ar"/>
        </w:rPr>
        <w:t>自行承担。）</w:t>
      </w:r>
    </w:p>
    <w:p w14:paraId="3B0CD1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《财政部民政部中国残疾人联合会关于促进残疾人就业政府采购政策的通知》（财库2017〔141〕号）的规定：</w:t>
      </w:r>
    </w:p>
    <w:p w14:paraId="02A37D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cs="宋体"/>
          <w:color w:val="151515"/>
          <w:kern w:val="0"/>
          <w:sz w:val="24"/>
          <w:szCs w:val="24"/>
          <w:lang w:val="en-US" w:eastAsia="zh-CN" w:bidi="ar"/>
        </w:rPr>
        <w:t>1.</w:t>
      </w:r>
      <w:r>
        <w:rPr>
          <w:rFonts w:hint="eastAsia" w:ascii="宋体" w:hAnsi="宋体" w:eastAsia="宋体" w:cs="宋体"/>
          <w:color w:val="151515"/>
          <w:kern w:val="0"/>
          <w:sz w:val="24"/>
          <w:szCs w:val="24"/>
          <w:lang w:val="en-US" w:eastAsia="zh-CN" w:bidi="ar"/>
        </w:rPr>
        <w:t>享受政府采购支持政策的残疾人福利性单位应当同时满足以下条件：</w:t>
      </w:r>
    </w:p>
    <w:p w14:paraId="375E79A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（1）安置的残疾人占本单位在职职工人数的比例不低于25%（含25%），并且安置的残疾人人数不少于10人（含10人）；</w:t>
      </w:r>
    </w:p>
    <w:p w14:paraId="5F0E40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（2）依法与安置的每位残疾人签订了一年以上（含一年）的劳动合同或服务协议；</w:t>
      </w:r>
    </w:p>
    <w:p w14:paraId="1E3EA30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（3）为安置的每位残疾人按月足额缴纳了基本养老保险、基本医疗保险、失业保险、工伤保险和生育保险等社会保险费；</w:t>
      </w:r>
    </w:p>
    <w:p w14:paraId="3913B0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（4）通过银行等金融机构向安置的每位残疾人，按月支付了不低于单位所在区县适用的经省级人民政府批准的月最低工资标准的工资；</w:t>
      </w:r>
    </w:p>
    <w:p w14:paraId="1593B8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（5）提供本单位制造的货物、承担的工程或者服务（以下简称产品），或者提供其他残疾人福利性单位制造的货物（不包括使用非残疾人福利性单位注册商标的货物）。</w:t>
      </w:r>
    </w:p>
    <w:p w14:paraId="7D71748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151515"/>
          <w:kern w:val="0"/>
          <w:sz w:val="24"/>
          <w:szCs w:val="24"/>
          <w:lang w:val="en-US" w:eastAsia="zh-CN" w:bidi="ar"/>
        </w:rPr>
      </w:pPr>
      <w:r>
        <w:rPr>
          <w:rFonts w:hint="eastAsia" w:ascii="宋体" w:hAnsi="宋体" w:eastAsia="宋体" w:cs="宋体"/>
          <w:color w:val="151515"/>
          <w:kern w:val="0"/>
          <w:sz w:val="24"/>
          <w:szCs w:val="24"/>
          <w:lang w:val="en-US" w:eastAsia="zh-CN" w:bidi="ar"/>
        </w:rPr>
        <w:t xml:space="preserve">2. 成交人为残疾人福利性单位的，招标人或者其委托的招标代理机构应当随成交、成交结果同时公告其《残疾人福利性单位声明函》，接受社会监督。   </w:t>
      </w:r>
    </w:p>
    <w:p w14:paraId="2B9E2989">
      <w:pPr>
        <w:widowControl/>
        <w:adjustRightInd w:val="0"/>
        <w:snapToGrid w:val="0"/>
        <w:spacing w:before="120" w:beforeLines="50" w:line="360" w:lineRule="auto"/>
        <w:jc w:val="both"/>
        <w:rPr>
          <w:rFonts w:hint="eastAsia" w:ascii="宋体" w:hAnsi="宋体" w:eastAsia="宋体" w:cs="宋体"/>
          <w:b/>
          <w:bCs/>
          <w:spacing w:val="6"/>
          <w:kern w:val="0"/>
          <w:sz w:val="24"/>
          <w:szCs w:val="24"/>
          <w:lang w:val="en-US" w:eastAsia="zh-CN"/>
        </w:rPr>
      </w:pPr>
      <w:r>
        <w:rPr>
          <w:rFonts w:hint="eastAsia" w:ascii="宋体" w:hAnsi="宋体" w:eastAsia="宋体" w:cs="宋体"/>
          <w:color w:val="151515"/>
          <w:kern w:val="0"/>
          <w:sz w:val="24"/>
          <w:szCs w:val="24"/>
          <w:lang w:val="en-US" w:eastAsia="zh-CN" w:bidi="ar"/>
        </w:rPr>
        <w:br w:type="page"/>
      </w:r>
      <w:r>
        <w:rPr>
          <w:rFonts w:hint="eastAsia" w:ascii="宋体" w:hAnsi="宋体" w:eastAsia="宋体" w:cs="宋体"/>
          <w:b/>
          <w:bCs/>
          <w:spacing w:val="6"/>
          <w:kern w:val="0"/>
          <w:sz w:val="24"/>
          <w:szCs w:val="24"/>
          <w:lang w:val="en-US" w:eastAsia="zh-CN"/>
        </w:rPr>
        <w:t xml:space="preserve">附件3 </w:t>
      </w:r>
    </w:p>
    <w:p w14:paraId="4DE8FC13">
      <w:pPr>
        <w:widowControl/>
        <w:adjustRightInd w:val="0"/>
        <w:snapToGrid w:val="0"/>
        <w:spacing w:before="120" w:beforeLines="50"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监狱企业证明文件</w:t>
      </w:r>
    </w:p>
    <w:p w14:paraId="688583F3">
      <w:pPr>
        <w:jc w:val="center"/>
        <w:rPr>
          <w:rFonts w:hint="eastAsia" w:ascii="宋体" w:hAnsi="宋体" w:eastAsia="宋体" w:cs="宋体"/>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属于监狱企业的提供，不属于的无需提供此项内容</w:t>
      </w:r>
      <w:r>
        <w:rPr>
          <w:rFonts w:hint="eastAsia" w:ascii="宋体" w:hAnsi="宋体" w:eastAsia="宋体" w:cs="宋体"/>
          <w:b/>
          <w:bCs/>
          <w:sz w:val="24"/>
          <w:szCs w:val="24"/>
          <w:lang w:eastAsia="zh-CN"/>
        </w:rPr>
        <w:t>）</w:t>
      </w:r>
    </w:p>
    <w:p w14:paraId="02883C07">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（监狱企业参加政府采购活动时，应当提供由省级以上监狱管理局、戒毒管理局（含新疆生产建设兵团）出具的属于监狱企业的证明文件。在响应文件中提供原件扫描件。）</w:t>
      </w:r>
    </w:p>
    <w:p w14:paraId="32E4B15B">
      <w:pPr>
        <w:rPr>
          <w:rFonts w:hint="eastAsia" w:ascii="宋体" w:hAnsi="宋体" w:eastAsia="宋体" w:cs="宋体"/>
          <w:spacing w:val="6"/>
          <w:kern w:val="0"/>
          <w:sz w:val="24"/>
          <w:szCs w:val="24"/>
        </w:rPr>
      </w:pPr>
    </w:p>
    <w:sectPr>
      <w:pgSz w:w="11906" w:h="16838"/>
      <w:pgMar w:top="1440" w:right="1440" w:bottom="1440" w:left="1440" w:header="867" w:footer="86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50738">
    <w:pPr>
      <w:pStyle w:val="8"/>
      <w:spacing w:line="14" w:lineRule="auto"/>
      <w:ind w:left="0"/>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835C">
    <w:pPr>
      <w:pStyle w:val="8"/>
      <w:spacing w:line="14" w:lineRule="auto"/>
      <w:ind w:left="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-233680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FE19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center;mso-position-horizontal-relative:margin;mso-wrap-style:none;z-index:251659264;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495tf9YAAAAIAQAADwAAAAAAAAABACAAAAAiAAAAZHJzL2Rvd25yZXYueG1s&#10;UEsBAhQAFAAAAAgAh07iQGGthHIzAgAAYwQAAA4AAAAAAAAAAQAgAAAAJQEAAGRycy9lMm9Eb2Mu&#10;eG1sUEsFBgAAAAAGAAYAWQEAAMoFAAAAAA==&#10;">
              <v:fill on="f" focussize="0,0"/>
              <v:stroke on="f" weight="0.5pt"/>
              <v:imagedata o:title=""/>
              <o:lock v:ext="edit" aspectratio="f"/>
              <v:textbox inset="0mm,0mm,0mm,0mm" style="mso-fit-shape-to-text:t;">
                <w:txbxContent>
                  <w:p w14:paraId="450FE19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2B5B">
    <w:pPr>
      <w:pStyle w:val="8"/>
      <w:spacing w:line="14" w:lineRule="auto"/>
      <w:ind w:left="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-233680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EEB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center;mso-position-horizontal-relative:margin;mso-wrap-style:none;z-index:251660288;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OZTTZkyAgAAYw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j3m1/1gAAAAgBAAAPAAAAAAAAAAEAIAAAACIAAABkcnMvZG93bnJldi54bWxQ&#10;SwECFAAUAAAACACHTuJA5lNNmTICAABjBAAADgAAAAAAAAABACAAAAAlAQAAZHJzL2Uyb0RvYy54&#10;bWxQSwUGAAAAAAYABgBZAQAAyQUAAAAA&#10;">
              <v:fill on="f" focussize="0,0"/>
              <v:stroke on="f" weight="0.5pt"/>
              <v:imagedata o:title=""/>
              <o:lock v:ext="edit" aspectratio="f"/>
              <v:textbox inset="0mm,0mm,0mm,0mm" style="mso-fit-shape-to-text:t;">
                <w:txbxContent>
                  <w:p w14:paraId="35DEEB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91D60">
    <w:pPr>
      <w:pStyle w:val="8"/>
      <w:spacing w:line="14" w:lineRule="auto"/>
      <w:ind w:left="0"/>
      <w:rPr>
        <w:sz w:val="12"/>
      </w:rPr>
    </w:pPr>
    <w:r>
      <w:rPr>
        <w:sz w:val="1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-233680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2396A">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center;mso-position-horizontal-relative:margin;mso-wrap-style:none;z-index:251661312;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KT72nYyAgAAYwQAAA4AAABkcnMvZTJvRG9jLnhtbK1UzY7T&#10;MBC+I/EOlu80aRFL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SYphG&#10;xU8/vp9+Ppx+fSM4g0CNCzPE3TtExvadbRE8nAccJt5t5XX6ghGBH/IeL/KKNhKeLk0n02kOF4dv&#10;2AA/e7zufIjvhdUkGQX1qF8nKztsQuxDh5CUzdi1VKqroTKkKejV6z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j3m1/1gAAAAgBAAAPAAAAAAAAAAEAIAAAACIAAABkcnMvZG93bnJldi54bWxQ&#10;SwECFAAUAAAACACHTuJApPvadjICAABjBAAADgAAAAAAAAABACAAAAAlAQAAZHJzL2Uyb0RvYy54&#10;bWxQSwUGAAAAAAYABgBZAQAAyQUAAAAA&#10;">
              <v:fill on="f" focussize="0,0"/>
              <v:stroke on="f" weight="0.5pt"/>
              <v:imagedata o:title=""/>
              <o:lock v:ext="edit" aspectratio="f"/>
              <v:textbox inset="0mm,0mm,0mm,0mm" style="mso-fit-shape-to-text:t;">
                <w:txbxContent>
                  <w:p w14:paraId="0EE2396A">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9E55">
    <w:pPr>
      <w:pStyle w:val="8"/>
      <w:spacing w:line="14" w:lineRule="auto"/>
      <w:ind w:left="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-233680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3EDF3">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center;mso-position-horizontal-relative:margin;mso-wrap-style:none;z-index:251662336;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L3z1oQ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PebX/WAAAACAEAAA8AAAAAAAAAAQAgAAAAIgAAAGRycy9kb3ducmV2LnhtbFBL&#10;AQIUABQAAAAIAIdO4kC989aEMQIAAGMEAAAOAAAAAAAAAAEAIAAAACUBAABkcnMvZTJvRG9jLnht&#10;bFBLBQYAAAAABgAGAFkBAADIBQAAAAA=&#10;">
              <v:fill on="f" focussize="0,0"/>
              <v:stroke on="f" weight="0.5pt"/>
              <v:imagedata o:title=""/>
              <o:lock v:ext="edit" aspectratio="f"/>
              <v:textbox inset="0mm,0mm,0mm,0mm" style="mso-fit-shape-to-text:t;">
                <w:txbxContent>
                  <w:p w14:paraId="5A63EDF3">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84CEA"/>
    <w:multiLevelType w:val="singleLevel"/>
    <w:tmpl w:val="83584CEA"/>
    <w:lvl w:ilvl="0" w:tentative="0">
      <w:start w:val="1"/>
      <w:numFmt w:val="decimal"/>
      <w:suff w:val="nothing"/>
      <w:lvlText w:val="%1、"/>
      <w:lvlJc w:val="left"/>
    </w:lvl>
  </w:abstractNum>
  <w:abstractNum w:abstractNumId="1">
    <w:nsid w:val="9C8AC8EF"/>
    <w:multiLevelType w:val="multilevel"/>
    <w:tmpl w:val="9C8AC8EF"/>
    <w:lvl w:ilvl="0" w:tentative="0">
      <w:start w:val="21"/>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540"/>
      </w:pPr>
      <w:rPr>
        <w:rFonts w:hint="default"/>
        <w:lang w:val="zh-CN" w:eastAsia="zh-CN" w:bidi="zh-CN"/>
      </w:rPr>
    </w:lvl>
    <w:lvl w:ilvl="3" w:tentative="0">
      <w:start w:val="0"/>
      <w:numFmt w:val="bullet"/>
      <w:lvlText w:val="•"/>
      <w:lvlJc w:val="left"/>
      <w:pPr>
        <w:ind w:left="3177" w:hanging="540"/>
      </w:pPr>
      <w:rPr>
        <w:rFonts w:hint="default"/>
        <w:lang w:val="zh-CN" w:eastAsia="zh-CN" w:bidi="zh-CN"/>
      </w:rPr>
    </w:lvl>
    <w:lvl w:ilvl="4" w:tentative="0">
      <w:start w:val="0"/>
      <w:numFmt w:val="bullet"/>
      <w:lvlText w:val="•"/>
      <w:lvlJc w:val="left"/>
      <w:pPr>
        <w:ind w:left="4130" w:hanging="540"/>
      </w:pPr>
      <w:rPr>
        <w:rFonts w:hint="default"/>
        <w:lang w:val="zh-CN" w:eastAsia="zh-CN" w:bidi="zh-CN"/>
      </w:rPr>
    </w:lvl>
    <w:lvl w:ilvl="5" w:tentative="0">
      <w:start w:val="0"/>
      <w:numFmt w:val="bullet"/>
      <w:lvlText w:val="•"/>
      <w:lvlJc w:val="left"/>
      <w:pPr>
        <w:ind w:left="5083" w:hanging="540"/>
      </w:pPr>
      <w:rPr>
        <w:rFonts w:hint="default"/>
        <w:lang w:val="zh-CN" w:eastAsia="zh-CN" w:bidi="zh-CN"/>
      </w:rPr>
    </w:lvl>
    <w:lvl w:ilvl="6" w:tentative="0">
      <w:start w:val="0"/>
      <w:numFmt w:val="bullet"/>
      <w:lvlText w:val="•"/>
      <w:lvlJc w:val="left"/>
      <w:pPr>
        <w:ind w:left="6035" w:hanging="540"/>
      </w:pPr>
      <w:rPr>
        <w:rFonts w:hint="default"/>
        <w:lang w:val="zh-CN" w:eastAsia="zh-CN" w:bidi="zh-CN"/>
      </w:rPr>
    </w:lvl>
    <w:lvl w:ilvl="7" w:tentative="0">
      <w:start w:val="0"/>
      <w:numFmt w:val="bullet"/>
      <w:lvlText w:val="•"/>
      <w:lvlJc w:val="left"/>
      <w:pPr>
        <w:ind w:left="6988" w:hanging="540"/>
      </w:pPr>
      <w:rPr>
        <w:rFonts w:hint="default"/>
        <w:lang w:val="zh-CN" w:eastAsia="zh-CN" w:bidi="zh-CN"/>
      </w:rPr>
    </w:lvl>
    <w:lvl w:ilvl="8" w:tentative="0">
      <w:start w:val="0"/>
      <w:numFmt w:val="bullet"/>
      <w:lvlText w:val="•"/>
      <w:lvlJc w:val="left"/>
      <w:pPr>
        <w:ind w:left="7940" w:hanging="540"/>
      </w:pPr>
      <w:rPr>
        <w:rFonts w:hint="default"/>
        <w:lang w:val="zh-CN" w:eastAsia="zh-CN" w:bidi="zh-CN"/>
      </w:rPr>
    </w:lvl>
  </w:abstractNum>
  <w:abstractNum w:abstractNumId="2">
    <w:nsid w:val="B0F1ACD9"/>
    <w:multiLevelType w:val="multilevel"/>
    <w:tmpl w:val="B0F1ACD9"/>
    <w:lvl w:ilvl="0" w:tentative="0">
      <w:start w:val="28"/>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540"/>
      </w:pPr>
      <w:rPr>
        <w:rFonts w:hint="default"/>
        <w:lang w:val="zh-CN" w:eastAsia="zh-CN" w:bidi="zh-CN"/>
      </w:rPr>
    </w:lvl>
    <w:lvl w:ilvl="3" w:tentative="0">
      <w:start w:val="0"/>
      <w:numFmt w:val="bullet"/>
      <w:lvlText w:val="•"/>
      <w:lvlJc w:val="left"/>
      <w:pPr>
        <w:ind w:left="3177" w:hanging="540"/>
      </w:pPr>
      <w:rPr>
        <w:rFonts w:hint="default"/>
        <w:lang w:val="zh-CN" w:eastAsia="zh-CN" w:bidi="zh-CN"/>
      </w:rPr>
    </w:lvl>
    <w:lvl w:ilvl="4" w:tentative="0">
      <w:start w:val="0"/>
      <w:numFmt w:val="bullet"/>
      <w:lvlText w:val="•"/>
      <w:lvlJc w:val="left"/>
      <w:pPr>
        <w:ind w:left="4130" w:hanging="540"/>
      </w:pPr>
      <w:rPr>
        <w:rFonts w:hint="default"/>
        <w:lang w:val="zh-CN" w:eastAsia="zh-CN" w:bidi="zh-CN"/>
      </w:rPr>
    </w:lvl>
    <w:lvl w:ilvl="5" w:tentative="0">
      <w:start w:val="0"/>
      <w:numFmt w:val="bullet"/>
      <w:lvlText w:val="•"/>
      <w:lvlJc w:val="left"/>
      <w:pPr>
        <w:ind w:left="5083" w:hanging="540"/>
      </w:pPr>
      <w:rPr>
        <w:rFonts w:hint="default"/>
        <w:lang w:val="zh-CN" w:eastAsia="zh-CN" w:bidi="zh-CN"/>
      </w:rPr>
    </w:lvl>
    <w:lvl w:ilvl="6" w:tentative="0">
      <w:start w:val="0"/>
      <w:numFmt w:val="bullet"/>
      <w:lvlText w:val="•"/>
      <w:lvlJc w:val="left"/>
      <w:pPr>
        <w:ind w:left="6035" w:hanging="540"/>
      </w:pPr>
      <w:rPr>
        <w:rFonts w:hint="default"/>
        <w:lang w:val="zh-CN" w:eastAsia="zh-CN" w:bidi="zh-CN"/>
      </w:rPr>
    </w:lvl>
    <w:lvl w:ilvl="7" w:tentative="0">
      <w:start w:val="0"/>
      <w:numFmt w:val="bullet"/>
      <w:lvlText w:val="•"/>
      <w:lvlJc w:val="left"/>
      <w:pPr>
        <w:ind w:left="6988" w:hanging="540"/>
      </w:pPr>
      <w:rPr>
        <w:rFonts w:hint="default"/>
        <w:lang w:val="zh-CN" w:eastAsia="zh-CN" w:bidi="zh-CN"/>
      </w:rPr>
    </w:lvl>
    <w:lvl w:ilvl="8" w:tentative="0">
      <w:start w:val="0"/>
      <w:numFmt w:val="bullet"/>
      <w:lvlText w:val="•"/>
      <w:lvlJc w:val="left"/>
      <w:pPr>
        <w:ind w:left="7940" w:hanging="540"/>
      </w:pPr>
      <w:rPr>
        <w:rFonts w:hint="default"/>
        <w:lang w:val="zh-CN" w:eastAsia="zh-CN" w:bidi="zh-CN"/>
      </w:rPr>
    </w:lvl>
  </w:abstractNum>
  <w:abstractNum w:abstractNumId="3">
    <w:nsid w:val="BE923771"/>
    <w:multiLevelType w:val="multilevel"/>
    <w:tmpl w:val="BE923771"/>
    <w:lvl w:ilvl="0" w:tentative="0">
      <w:start w:val="1"/>
      <w:numFmt w:val="decimal"/>
      <w:lvlText w:val="(%1)"/>
      <w:lvlJc w:val="left"/>
      <w:pPr>
        <w:ind w:left="1220" w:hanging="480"/>
      </w:pPr>
      <w:rPr>
        <w:rFonts w:hint="default" w:ascii="宋体" w:hAnsi="宋体" w:eastAsia="宋体" w:cs="宋体"/>
        <w:w w:val="100"/>
        <w:sz w:val="24"/>
        <w:szCs w:val="24"/>
        <w:lang w:val="zh-CN" w:eastAsia="zh-CN" w:bidi="zh-CN"/>
      </w:rPr>
    </w:lvl>
    <w:lvl w:ilvl="1" w:tentative="0">
      <w:start w:val="0"/>
      <w:numFmt w:val="bullet"/>
      <w:lvlText w:val="•"/>
      <w:lvlJc w:val="left"/>
      <w:pPr>
        <w:ind w:left="2082" w:hanging="480"/>
      </w:pPr>
      <w:rPr>
        <w:rFonts w:hint="default"/>
        <w:lang w:val="zh-CN" w:eastAsia="zh-CN" w:bidi="zh-CN"/>
      </w:rPr>
    </w:lvl>
    <w:lvl w:ilvl="2" w:tentative="0">
      <w:start w:val="0"/>
      <w:numFmt w:val="bullet"/>
      <w:lvlText w:val="•"/>
      <w:lvlJc w:val="left"/>
      <w:pPr>
        <w:ind w:left="2945" w:hanging="480"/>
      </w:pPr>
      <w:rPr>
        <w:rFonts w:hint="default"/>
        <w:lang w:val="zh-CN" w:eastAsia="zh-CN" w:bidi="zh-CN"/>
      </w:rPr>
    </w:lvl>
    <w:lvl w:ilvl="3" w:tentative="0">
      <w:start w:val="0"/>
      <w:numFmt w:val="bullet"/>
      <w:lvlText w:val="•"/>
      <w:lvlJc w:val="left"/>
      <w:pPr>
        <w:ind w:left="3807" w:hanging="480"/>
      </w:pPr>
      <w:rPr>
        <w:rFonts w:hint="default"/>
        <w:lang w:val="zh-CN" w:eastAsia="zh-CN" w:bidi="zh-CN"/>
      </w:rPr>
    </w:lvl>
    <w:lvl w:ilvl="4" w:tentative="0">
      <w:start w:val="0"/>
      <w:numFmt w:val="bullet"/>
      <w:lvlText w:val="•"/>
      <w:lvlJc w:val="left"/>
      <w:pPr>
        <w:ind w:left="4670" w:hanging="480"/>
      </w:pPr>
      <w:rPr>
        <w:rFonts w:hint="default"/>
        <w:lang w:val="zh-CN" w:eastAsia="zh-CN" w:bidi="zh-CN"/>
      </w:rPr>
    </w:lvl>
    <w:lvl w:ilvl="5" w:tentative="0">
      <w:start w:val="0"/>
      <w:numFmt w:val="bullet"/>
      <w:lvlText w:val="•"/>
      <w:lvlJc w:val="left"/>
      <w:pPr>
        <w:ind w:left="5533" w:hanging="480"/>
      </w:pPr>
      <w:rPr>
        <w:rFonts w:hint="default"/>
        <w:lang w:val="zh-CN" w:eastAsia="zh-CN" w:bidi="zh-CN"/>
      </w:rPr>
    </w:lvl>
    <w:lvl w:ilvl="6" w:tentative="0">
      <w:start w:val="0"/>
      <w:numFmt w:val="bullet"/>
      <w:lvlText w:val="•"/>
      <w:lvlJc w:val="left"/>
      <w:pPr>
        <w:ind w:left="6395" w:hanging="480"/>
      </w:pPr>
      <w:rPr>
        <w:rFonts w:hint="default"/>
        <w:lang w:val="zh-CN" w:eastAsia="zh-CN" w:bidi="zh-CN"/>
      </w:rPr>
    </w:lvl>
    <w:lvl w:ilvl="7" w:tentative="0">
      <w:start w:val="0"/>
      <w:numFmt w:val="bullet"/>
      <w:lvlText w:val="•"/>
      <w:lvlJc w:val="left"/>
      <w:pPr>
        <w:ind w:left="7258" w:hanging="480"/>
      </w:pPr>
      <w:rPr>
        <w:rFonts w:hint="default"/>
        <w:lang w:val="zh-CN" w:eastAsia="zh-CN" w:bidi="zh-CN"/>
      </w:rPr>
    </w:lvl>
    <w:lvl w:ilvl="8" w:tentative="0">
      <w:start w:val="0"/>
      <w:numFmt w:val="bullet"/>
      <w:lvlText w:val="•"/>
      <w:lvlJc w:val="left"/>
      <w:pPr>
        <w:ind w:left="8120" w:hanging="480"/>
      </w:pPr>
      <w:rPr>
        <w:rFonts w:hint="default"/>
        <w:lang w:val="zh-CN" w:eastAsia="zh-CN" w:bidi="zh-CN"/>
      </w:rPr>
    </w:lvl>
  </w:abstractNum>
  <w:abstractNum w:abstractNumId="4">
    <w:nsid w:val="DCBA6B53"/>
    <w:multiLevelType w:val="multilevel"/>
    <w:tmpl w:val="DCBA6B53"/>
    <w:lvl w:ilvl="0" w:tentative="0">
      <w:start w:val="20"/>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1"/>
      <w:numFmt w:val="decimal"/>
      <w:lvlText w:val="%1.%2.%3"/>
      <w:lvlJc w:val="left"/>
      <w:pPr>
        <w:ind w:left="320" w:hanging="780"/>
      </w:pPr>
      <w:rPr>
        <w:rFonts w:hint="default" w:ascii="宋体" w:hAnsi="宋体" w:eastAsia="宋体" w:cs="宋体"/>
        <w:w w:val="100"/>
        <w:sz w:val="24"/>
        <w:szCs w:val="24"/>
        <w:lang w:val="zh-CN" w:eastAsia="zh-CN" w:bidi="zh-CN"/>
      </w:rPr>
    </w:lvl>
    <w:lvl w:ilvl="3" w:tentative="0">
      <w:start w:val="0"/>
      <w:numFmt w:val="bullet"/>
      <w:lvlText w:val="•"/>
      <w:lvlJc w:val="left"/>
      <w:pPr>
        <w:ind w:left="3177" w:hanging="780"/>
      </w:pPr>
      <w:rPr>
        <w:rFonts w:hint="default"/>
        <w:lang w:val="zh-CN" w:eastAsia="zh-CN" w:bidi="zh-CN"/>
      </w:rPr>
    </w:lvl>
    <w:lvl w:ilvl="4" w:tentative="0">
      <w:start w:val="0"/>
      <w:numFmt w:val="bullet"/>
      <w:lvlText w:val="•"/>
      <w:lvlJc w:val="left"/>
      <w:pPr>
        <w:ind w:left="4130" w:hanging="780"/>
      </w:pPr>
      <w:rPr>
        <w:rFonts w:hint="default"/>
        <w:lang w:val="zh-CN" w:eastAsia="zh-CN" w:bidi="zh-CN"/>
      </w:rPr>
    </w:lvl>
    <w:lvl w:ilvl="5" w:tentative="0">
      <w:start w:val="0"/>
      <w:numFmt w:val="bullet"/>
      <w:lvlText w:val="•"/>
      <w:lvlJc w:val="left"/>
      <w:pPr>
        <w:ind w:left="5083" w:hanging="780"/>
      </w:pPr>
      <w:rPr>
        <w:rFonts w:hint="default"/>
        <w:lang w:val="zh-CN" w:eastAsia="zh-CN" w:bidi="zh-CN"/>
      </w:rPr>
    </w:lvl>
    <w:lvl w:ilvl="6" w:tentative="0">
      <w:start w:val="0"/>
      <w:numFmt w:val="bullet"/>
      <w:lvlText w:val="•"/>
      <w:lvlJc w:val="left"/>
      <w:pPr>
        <w:ind w:left="6035" w:hanging="780"/>
      </w:pPr>
      <w:rPr>
        <w:rFonts w:hint="default"/>
        <w:lang w:val="zh-CN" w:eastAsia="zh-CN" w:bidi="zh-CN"/>
      </w:rPr>
    </w:lvl>
    <w:lvl w:ilvl="7" w:tentative="0">
      <w:start w:val="0"/>
      <w:numFmt w:val="bullet"/>
      <w:lvlText w:val="•"/>
      <w:lvlJc w:val="left"/>
      <w:pPr>
        <w:ind w:left="6988" w:hanging="780"/>
      </w:pPr>
      <w:rPr>
        <w:rFonts w:hint="default"/>
        <w:lang w:val="zh-CN" w:eastAsia="zh-CN" w:bidi="zh-CN"/>
      </w:rPr>
    </w:lvl>
    <w:lvl w:ilvl="8" w:tentative="0">
      <w:start w:val="0"/>
      <w:numFmt w:val="bullet"/>
      <w:lvlText w:val="•"/>
      <w:lvlJc w:val="left"/>
      <w:pPr>
        <w:ind w:left="7940" w:hanging="780"/>
      </w:pPr>
      <w:rPr>
        <w:rFonts w:hint="default"/>
        <w:lang w:val="zh-CN" w:eastAsia="zh-CN" w:bidi="zh-CN"/>
      </w:rPr>
    </w:lvl>
  </w:abstractNum>
  <w:abstractNum w:abstractNumId="5">
    <w:nsid w:val="F4B5D9F5"/>
    <w:multiLevelType w:val="multilevel"/>
    <w:tmpl w:val="F4B5D9F5"/>
    <w:lvl w:ilvl="0" w:tentative="0">
      <w:start w:val="18"/>
      <w:numFmt w:val="decimal"/>
      <w:lvlText w:val="%1"/>
      <w:lvlJc w:val="left"/>
      <w:pPr>
        <w:ind w:left="1280" w:hanging="540"/>
      </w:pPr>
      <w:rPr>
        <w:rFonts w:hint="default"/>
        <w:lang w:val="zh-CN" w:eastAsia="zh-CN" w:bidi="zh-CN"/>
      </w:rPr>
    </w:lvl>
    <w:lvl w:ilvl="1" w:tentative="0">
      <w:start w:val="1"/>
      <w:numFmt w:val="decimal"/>
      <w:lvlText w:val="%1.%2"/>
      <w:lvlJc w:val="left"/>
      <w:pPr>
        <w:ind w:left="128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31" w:hanging="540"/>
      </w:pPr>
      <w:rPr>
        <w:rFonts w:hint="default"/>
        <w:lang w:val="zh-CN" w:eastAsia="zh-CN" w:bidi="zh-CN"/>
      </w:rPr>
    </w:lvl>
    <w:lvl w:ilvl="3" w:tentative="0">
      <w:start w:val="0"/>
      <w:numFmt w:val="bullet"/>
      <w:lvlText w:val="•"/>
      <w:lvlJc w:val="left"/>
      <w:pPr>
        <w:ind w:left="3183" w:hanging="540"/>
      </w:pPr>
      <w:rPr>
        <w:rFonts w:hint="default"/>
        <w:lang w:val="zh-CN" w:eastAsia="zh-CN" w:bidi="zh-CN"/>
      </w:rPr>
    </w:lvl>
    <w:lvl w:ilvl="4" w:tentative="0">
      <w:start w:val="0"/>
      <w:numFmt w:val="bullet"/>
      <w:lvlText w:val="•"/>
      <w:lvlJc w:val="left"/>
      <w:pPr>
        <w:ind w:left="4135" w:hanging="540"/>
      </w:pPr>
      <w:rPr>
        <w:rFonts w:hint="default"/>
        <w:lang w:val="zh-CN" w:eastAsia="zh-CN" w:bidi="zh-CN"/>
      </w:rPr>
    </w:lvl>
    <w:lvl w:ilvl="5" w:tentative="0">
      <w:start w:val="0"/>
      <w:numFmt w:val="bullet"/>
      <w:lvlText w:val="•"/>
      <w:lvlJc w:val="left"/>
      <w:pPr>
        <w:ind w:left="5087" w:hanging="540"/>
      </w:pPr>
      <w:rPr>
        <w:rFonts w:hint="default"/>
        <w:lang w:val="zh-CN" w:eastAsia="zh-CN" w:bidi="zh-CN"/>
      </w:rPr>
    </w:lvl>
    <w:lvl w:ilvl="6" w:tentative="0">
      <w:start w:val="0"/>
      <w:numFmt w:val="bullet"/>
      <w:lvlText w:val="•"/>
      <w:lvlJc w:val="left"/>
      <w:pPr>
        <w:ind w:left="6038" w:hanging="540"/>
      </w:pPr>
      <w:rPr>
        <w:rFonts w:hint="default"/>
        <w:lang w:val="zh-CN" w:eastAsia="zh-CN" w:bidi="zh-CN"/>
      </w:rPr>
    </w:lvl>
    <w:lvl w:ilvl="7" w:tentative="0">
      <w:start w:val="0"/>
      <w:numFmt w:val="bullet"/>
      <w:lvlText w:val="•"/>
      <w:lvlJc w:val="left"/>
      <w:pPr>
        <w:ind w:left="6990" w:hanging="540"/>
      </w:pPr>
      <w:rPr>
        <w:rFonts w:hint="default"/>
        <w:lang w:val="zh-CN" w:eastAsia="zh-CN" w:bidi="zh-CN"/>
      </w:rPr>
    </w:lvl>
    <w:lvl w:ilvl="8" w:tentative="0">
      <w:start w:val="0"/>
      <w:numFmt w:val="bullet"/>
      <w:lvlText w:val="•"/>
      <w:lvlJc w:val="left"/>
      <w:pPr>
        <w:ind w:left="7942" w:hanging="540"/>
      </w:pPr>
      <w:rPr>
        <w:rFonts w:hint="default"/>
        <w:lang w:val="zh-CN" w:eastAsia="zh-CN" w:bidi="zh-CN"/>
      </w:rPr>
    </w:lvl>
  </w:abstractNum>
  <w:abstractNum w:abstractNumId="6">
    <w:nsid w:val="0E640482"/>
    <w:multiLevelType w:val="multilevel"/>
    <w:tmpl w:val="0E640482"/>
    <w:lvl w:ilvl="0" w:tentative="0">
      <w:start w:val="25"/>
      <w:numFmt w:val="decimal"/>
      <w:lvlText w:val="%1"/>
      <w:lvlJc w:val="left"/>
      <w:pPr>
        <w:ind w:left="1280" w:hanging="540"/>
      </w:pPr>
      <w:rPr>
        <w:rFonts w:hint="default"/>
        <w:lang w:val="zh-CN" w:eastAsia="zh-CN" w:bidi="zh-CN"/>
      </w:rPr>
    </w:lvl>
    <w:lvl w:ilvl="1" w:tentative="0">
      <w:start w:val="1"/>
      <w:numFmt w:val="decimal"/>
      <w:lvlText w:val="%1.%2"/>
      <w:lvlJc w:val="left"/>
      <w:pPr>
        <w:ind w:left="128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993" w:hanging="540"/>
      </w:pPr>
      <w:rPr>
        <w:rFonts w:hint="default"/>
        <w:lang w:val="zh-CN" w:eastAsia="zh-CN" w:bidi="zh-CN"/>
      </w:rPr>
    </w:lvl>
    <w:lvl w:ilvl="3" w:tentative="0">
      <w:start w:val="0"/>
      <w:numFmt w:val="bullet"/>
      <w:lvlText w:val="•"/>
      <w:lvlJc w:val="left"/>
      <w:pPr>
        <w:ind w:left="3849" w:hanging="540"/>
      </w:pPr>
      <w:rPr>
        <w:rFonts w:hint="default"/>
        <w:lang w:val="zh-CN" w:eastAsia="zh-CN" w:bidi="zh-CN"/>
      </w:rPr>
    </w:lvl>
    <w:lvl w:ilvl="4" w:tentative="0">
      <w:start w:val="0"/>
      <w:numFmt w:val="bullet"/>
      <w:lvlText w:val="•"/>
      <w:lvlJc w:val="left"/>
      <w:pPr>
        <w:ind w:left="4706" w:hanging="540"/>
      </w:pPr>
      <w:rPr>
        <w:rFonts w:hint="default"/>
        <w:lang w:val="zh-CN" w:eastAsia="zh-CN" w:bidi="zh-CN"/>
      </w:rPr>
    </w:lvl>
    <w:lvl w:ilvl="5" w:tentative="0">
      <w:start w:val="0"/>
      <w:numFmt w:val="bullet"/>
      <w:lvlText w:val="•"/>
      <w:lvlJc w:val="left"/>
      <w:pPr>
        <w:ind w:left="5563" w:hanging="540"/>
      </w:pPr>
      <w:rPr>
        <w:rFonts w:hint="default"/>
        <w:lang w:val="zh-CN" w:eastAsia="zh-CN" w:bidi="zh-CN"/>
      </w:rPr>
    </w:lvl>
    <w:lvl w:ilvl="6" w:tentative="0">
      <w:start w:val="0"/>
      <w:numFmt w:val="bullet"/>
      <w:lvlText w:val="•"/>
      <w:lvlJc w:val="left"/>
      <w:pPr>
        <w:ind w:left="6419" w:hanging="540"/>
      </w:pPr>
      <w:rPr>
        <w:rFonts w:hint="default"/>
        <w:lang w:val="zh-CN" w:eastAsia="zh-CN" w:bidi="zh-CN"/>
      </w:rPr>
    </w:lvl>
    <w:lvl w:ilvl="7" w:tentative="0">
      <w:start w:val="0"/>
      <w:numFmt w:val="bullet"/>
      <w:lvlText w:val="•"/>
      <w:lvlJc w:val="left"/>
      <w:pPr>
        <w:ind w:left="7276" w:hanging="540"/>
      </w:pPr>
      <w:rPr>
        <w:rFonts w:hint="default"/>
        <w:lang w:val="zh-CN" w:eastAsia="zh-CN" w:bidi="zh-CN"/>
      </w:rPr>
    </w:lvl>
    <w:lvl w:ilvl="8" w:tentative="0">
      <w:start w:val="0"/>
      <w:numFmt w:val="bullet"/>
      <w:lvlText w:val="•"/>
      <w:lvlJc w:val="left"/>
      <w:pPr>
        <w:ind w:left="8132" w:hanging="540"/>
      </w:pPr>
      <w:rPr>
        <w:rFonts w:hint="default"/>
        <w:lang w:val="zh-CN" w:eastAsia="zh-CN" w:bidi="zh-CN"/>
      </w:rPr>
    </w:lvl>
  </w:abstractNum>
  <w:abstractNum w:abstractNumId="7">
    <w:nsid w:val="2470EC97"/>
    <w:multiLevelType w:val="multilevel"/>
    <w:tmpl w:val="2470EC97"/>
    <w:lvl w:ilvl="0" w:tentative="0">
      <w:start w:val="19"/>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540"/>
      </w:pPr>
      <w:rPr>
        <w:rFonts w:hint="default"/>
        <w:lang w:val="zh-CN" w:eastAsia="zh-CN" w:bidi="zh-CN"/>
      </w:rPr>
    </w:lvl>
    <w:lvl w:ilvl="3" w:tentative="0">
      <w:start w:val="0"/>
      <w:numFmt w:val="bullet"/>
      <w:lvlText w:val="•"/>
      <w:lvlJc w:val="left"/>
      <w:pPr>
        <w:ind w:left="3177" w:hanging="540"/>
      </w:pPr>
      <w:rPr>
        <w:rFonts w:hint="default"/>
        <w:lang w:val="zh-CN" w:eastAsia="zh-CN" w:bidi="zh-CN"/>
      </w:rPr>
    </w:lvl>
    <w:lvl w:ilvl="4" w:tentative="0">
      <w:start w:val="0"/>
      <w:numFmt w:val="bullet"/>
      <w:lvlText w:val="•"/>
      <w:lvlJc w:val="left"/>
      <w:pPr>
        <w:ind w:left="4130" w:hanging="540"/>
      </w:pPr>
      <w:rPr>
        <w:rFonts w:hint="default"/>
        <w:lang w:val="zh-CN" w:eastAsia="zh-CN" w:bidi="zh-CN"/>
      </w:rPr>
    </w:lvl>
    <w:lvl w:ilvl="5" w:tentative="0">
      <w:start w:val="0"/>
      <w:numFmt w:val="bullet"/>
      <w:lvlText w:val="•"/>
      <w:lvlJc w:val="left"/>
      <w:pPr>
        <w:ind w:left="5083" w:hanging="540"/>
      </w:pPr>
      <w:rPr>
        <w:rFonts w:hint="default"/>
        <w:lang w:val="zh-CN" w:eastAsia="zh-CN" w:bidi="zh-CN"/>
      </w:rPr>
    </w:lvl>
    <w:lvl w:ilvl="6" w:tentative="0">
      <w:start w:val="0"/>
      <w:numFmt w:val="bullet"/>
      <w:lvlText w:val="•"/>
      <w:lvlJc w:val="left"/>
      <w:pPr>
        <w:ind w:left="6035" w:hanging="540"/>
      </w:pPr>
      <w:rPr>
        <w:rFonts w:hint="default"/>
        <w:lang w:val="zh-CN" w:eastAsia="zh-CN" w:bidi="zh-CN"/>
      </w:rPr>
    </w:lvl>
    <w:lvl w:ilvl="7" w:tentative="0">
      <w:start w:val="0"/>
      <w:numFmt w:val="bullet"/>
      <w:lvlText w:val="•"/>
      <w:lvlJc w:val="left"/>
      <w:pPr>
        <w:ind w:left="6988" w:hanging="540"/>
      </w:pPr>
      <w:rPr>
        <w:rFonts w:hint="default"/>
        <w:lang w:val="zh-CN" w:eastAsia="zh-CN" w:bidi="zh-CN"/>
      </w:rPr>
    </w:lvl>
    <w:lvl w:ilvl="8" w:tentative="0">
      <w:start w:val="0"/>
      <w:numFmt w:val="bullet"/>
      <w:lvlText w:val="•"/>
      <w:lvlJc w:val="left"/>
      <w:pPr>
        <w:ind w:left="7940" w:hanging="540"/>
      </w:pPr>
      <w:rPr>
        <w:rFonts w:hint="default"/>
        <w:lang w:val="zh-CN" w:eastAsia="zh-CN" w:bidi="zh-CN"/>
      </w:rPr>
    </w:lvl>
  </w:abstractNum>
  <w:abstractNum w:abstractNumId="8">
    <w:nsid w:val="25B654F3"/>
    <w:multiLevelType w:val="multilevel"/>
    <w:tmpl w:val="25B654F3"/>
    <w:lvl w:ilvl="0" w:tentative="0">
      <w:start w:val="5"/>
      <w:numFmt w:val="decimal"/>
      <w:lvlText w:val="%1"/>
      <w:lvlJc w:val="left"/>
      <w:pPr>
        <w:ind w:left="320" w:hanging="420"/>
      </w:pPr>
      <w:rPr>
        <w:rFonts w:hint="default"/>
        <w:lang w:val="zh-CN" w:eastAsia="zh-CN" w:bidi="zh-CN"/>
      </w:rPr>
    </w:lvl>
    <w:lvl w:ilvl="1" w:tentative="0">
      <w:start w:val="1"/>
      <w:numFmt w:val="decimal"/>
      <w:lvlText w:val="%1.%2"/>
      <w:lvlJc w:val="left"/>
      <w:pPr>
        <w:ind w:left="320"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420"/>
      </w:pPr>
      <w:rPr>
        <w:rFonts w:hint="default"/>
        <w:lang w:val="zh-CN" w:eastAsia="zh-CN" w:bidi="zh-CN"/>
      </w:rPr>
    </w:lvl>
    <w:lvl w:ilvl="3" w:tentative="0">
      <w:start w:val="0"/>
      <w:numFmt w:val="bullet"/>
      <w:lvlText w:val="•"/>
      <w:lvlJc w:val="left"/>
      <w:pPr>
        <w:ind w:left="3177" w:hanging="420"/>
      </w:pPr>
      <w:rPr>
        <w:rFonts w:hint="default"/>
        <w:lang w:val="zh-CN" w:eastAsia="zh-CN" w:bidi="zh-CN"/>
      </w:rPr>
    </w:lvl>
    <w:lvl w:ilvl="4" w:tentative="0">
      <w:start w:val="0"/>
      <w:numFmt w:val="bullet"/>
      <w:lvlText w:val="•"/>
      <w:lvlJc w:val="left"/>
      <w:pPr>
        <w:ind w:left="4130" w:hanging="420"/>
      </w:pPr>
      <w:rPr>
        <w:rFonts w:hint="default"/>
        <w:lang w:val="zh-CN" w:eastAsia="zh-CN" w:bidi="zh-CN"/>
      </w:rPr>
    </w:lvl>
    <w:lvl w:ilvl="5" w:tentative="0">
      <w:start w:val="0"/>
      <w:numFmt w:val="bullet"/>
      <w:lvlText w:val="•"/>
      <w:lvlJc w:val="left"/>
      <w:pPr>
        <w:ind w:left="5083" w:hanging="420"/>
      </w:pPr>
      <w:rPr>
        <w:rFonts w:hint="default"/>
        <w:lang w:val="zh-CN" w:eastAsia="zh-CN" w:bidi="zh-CN"/>
      </w:rPr>
    </w:lvl>
    <w:lvl w:ilvl="6" w:tentative="0">
      <w:start w:val="0"/>
      <w:numFmt w:val="bullet"/>
      <w:lvlText w:val="•"/>
      <w:lvlJc w:val="left"/>
      <w:pPr>
        <w:ind w:left="6035" w:hanging="420"/>
      </w:pPr>
      <w:rPr>
        <w:rFonts w:hint="default"/>
        <w:lang w:val="zh-CN" w:eastAsia="zh-CN" w:bidi="zh-CN"/>
      </w:rPr>
    </w:lvl>
    <w:lvl w:ilvl="7" w:tentative="0">
      <w:start w:val="0"/>
      <w:numFmt w:val="bullet"/>
      <w:lvlText w:val="•"/>
      <w:lvlJc w:val="left"/>
      <w:pPr>
        <w:ind w:left="6988" w:hanging="420"/>
      </w:pPr>
      <w:rPr>
        <w:rFonts w:hint="default"/>
        <w:lang w:val="zh-CN" w:eastAsia="zh-CN" w:bidi="zh-CN"/>
      </w:rPr>
    </w:lvl>
    <w:lvl w:ilvl="8" w:tentative="0">
      <w:start w:val="0"/>
      <w:numFmt w:val="bullet"/>
      <w:lvlText w:val="•"/>
      <w:lvlJc w:val="left"/>
      <w:pPr>
        <w:ind w:left="7940" w:hanging="420"/>
      </w:pPr>
      <w:rPr>
        <w:rFonts w:hint="default"/>
        <w:lang w:val="zh-CN" w:eastAsia="zh-CN" w:bidi="zh-CN"/>
      </w:rPr>
    </w:lvl>
  </w:abstractNum>
  <w:abstractNum w:abstractNumId="9">
    <w:nsid w:val="4C1BAE26"/>
    <w:multiLevelType w:val="multilevel"/>
    <w:tmpl w:val="4C1BAE26"/>
    <w:lvl w:ilvl="0" w:tentative="0">
      <w:start w:val="22"/>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540"/>
      </w:pPr>
      <w:rPr>
        <w:rFonts w:hint="default"/>
        <w:lang w:val="zh-CN" w:eastAsia="zh-CN" w:bidi="zh-CN"/>
      </w:rPr>
    </w:lvl>
    <w:lvl w:ilvl="3" w:tentative="0">
      <w:start w:val="0"/>
      <w:numFmt w:val="bullet"/>
      <w:lvlText w:val="•"/>
      <w:lvlJc w:val="left"/>
      <w:pPr>
        <w:ind w:left="3177" w:hanging="540"/>
      </w:pPr>
      <w:rPr>
        <w:rFonts w:hint="default"/>
        <w:lang w:val="zh-CN" w:eastAsia="zh-CN" w:bidi="zh-CN"/>
      </w:rPr>
    </w:lvl>
    <w:lvl w:ilvl="4" w:tentative="0">
      <w:start w:val="0"/>
      <w:numFmt w:val="bullet"/>
      <w:lvlText w:val="•"/>
      <w:lvlJc w:val="left"/>
      <w:pPr>
        <w:ind w:left="4130" w:hanging="540"/>
      </w:pPr>
      <w:rPr>
        <w:rFonts w:hint="default"/>
        <w:lang w:val="zh-CN" w:eastAsia="zh-CN" w:bidi="zh-CN"/>
      </w:rPr>
    </w:lvl>
    <w:lvl w:ilvl="5" w:tentative="0">
      <w:start w:val="0"/>
      <w:numFmt w:val="bullet"/>
      <w:lvlText w:val="•"/>
      <w:lvlJc w:val="left"/>
      <w:pPr>
        <w:ind w:left="5083" w:hanging="540"/>
      </w:pPr>
      <w:rPr>
        <w:rFonts w:hint="default"/>
        <w:lang w:val="zh-CN" w:eastAsia="zh-CN" w:bidi="zh-CN"/>
      </w:rPr>
    </w:lvl>
    <w:lvl w:ilvl="6" w:tentative="0">
      <w:start w:val="0"/>
      <w:numFmt w:val="bullet"/>
      <w:lvlText w:val="•"/>
      <w:lvlJc w:val="left"/>
      <w:pPr>
        <w:ind w:left="6035" w:hanging="540"/>
      </w:pPr>
      <w:rPr>
        <w:rFonts w:hint="default"/>
        <w:lang w:val="zh-CN" w:eastAsia="zh-CN" w:bidi="zh-CN"/>
      </w:rPr>
    </w:lvl>
    <w:lvl w:ilvl="7" w:tentative="0">
      <w:start w:val="0"/>
      <w:numFmt w:val="bullet"/>
      <w:lvlText w:val="•"/>
      <w:lvlJc w:val="left"/>
      <w:pPr>
        <w:ind w:left="6988" w:hanging="540"/>
      </w:pPr>
      <w:rPr>
        <w:rFonts w:hint="default"/>
        <w:lang w:val="zh-CN" w:eastAsia="zh-CN" w:bidi="zh-CN"/>
      </w:rPr>
    </w:lvl>
    <w:lvl w:ilvl="8" w:tentative="0">
      <w:start w:val="0"/>
      <w:numFmt w:val="bullet"/>
      <w:lvlText w:val="•"/>
      <w:lvlJc w:val="left"/>
      <w:pPr>
        <w:ind w:left="7940" w:hanging="540"/>
      </w:pPr>
      <w:rPr>
        <w:rFonts w:hint="default"/>
        <w:lang w:val="zh-CN" w:eastAsia="zh-CN" w:bidi="zh-CN"/>
      </w:rPr>
    </w:lvl>
  </w:abstractNum>
  <w:abstractNum w:abstractNumId="10">
    <w:nsid w:val="4D4DC07F"/>
    <w:multiLevelType w:val="multilevel"/>
    <w:tmpl w:val="4D4DC07F"/>
    <w:lvl w:ilvl="0" w:tentative="0">
      <w:start w:val="17"/>
      <w:numFmt w:val="decimal"/>
      <w:lvlText w:val="%1"/>
      <w:lvlJc w:val="left"/>
      <w:pPr>
        <w:ind w:left="320" w:hanging="540"/>
      </w:pPr>
      <w:rPr>
        <w:rFonts w:hint="default"/>
        <w:lang w:val="zh-CN" w:eastAsia="zh-CN" w:bidi="zh-CN"/>
      </w:rPr>
    </w:lvl>
    <w:lvl w:ilvl="1" w:tentative="0">
      <w:start w:val="1"/>
      <w:numFmt w:val="decimal"/>
      <w:lvlText w:val="%1.%2"/>
      <w:lvlJc w:val="left"/>
      <w:pPr>
        <w:ind w:left="320" w:hanging="540"/>
      </w:pPr>
      <w:rPr>
        <w:rFonts w:hint="default" w:ascii="宋体" w:hAnsi="宋体" w:eastAsia="宋体" w:cs="宋体"/>
        <w:w w:val="100"/>
        <w:sz w:val="24"/>
        <w:szCs w:val="24"/>
        <w:lang w:val="zh-CN" w:eastAsia="zh-CN" w:bidi="zh-CN"/>
      </w:rPr>
    </w:lvl>
    <w:lvl w:ilvl="2" w:tentative="0">
      <w:start w:val="0"/>
      <w:numFmt w:val="bullet"/>
      <w:lvlText w:val="•"/>
      <w:lvlJc w:val="left"/>
      <w:pPr>
        <w:ind w:left="2225" w:hanging="540"/>
      </w:pPr>
      <w:rPr>
        <w:rFonts w:hint="default"/>
        <w:lang w:val="zh-CN" w:eastAsia="zh-CN" w:bidi="zh-CN"/>
      </w:rPr>
    </w:lvl>
    <w:lvl w:ilvl="3" w:tentative="0">
      <w:start w:val="0"/>
      <w:numFmt w:val="bullet"/>
      <w:lvlText w:val="•"/>
      <w:lvlJc w:val="left"/>
      <w:pPr>
        <w:ind w:left="3177" w:hanging="540"/>
      </w:pPr>
      <w:rPr>
        <w:rFonts w:hint="default"/>
        <w:lang w:val="zh-CN" w:eastAsia="zh-CN" w:bidi="zh-CN"/>
      </w:rPr>
    </w:lvl>
    <w:lvl w:ilvl="4" w:tentative="0">
      <w:start w:val="0"/>
      <w:numFmt w:val="bullet"/>
      <w:lvlText w:val="•"/>
      <w:lvlJc w:val="left"/>
      <w:pPr>
        <w:ind w:left="4130" w:hanging="540"/>
      </w:pPr>
      <w:rPr>
        <w:rFonts w:hint="default"/>
        <w:lang w:val="zh-CN" w:eastAsia="zh-CN" w:bidi="zh-CN"/>
      </w:rPr>
    </w:lvl>
    <w:lvl w:ilvl="5" w:tentative="0">
      <w:start w:val="0"/>
      <w:numFmt w:val="bullet"/>
      <w:lvlText w:val="•"/>
      <w:lvlJc w:val="left"/>
      <w:pPr>
        <w:ind w:left="5083" w:hanging="540"/>
      </w:pPr>
      <w:rPr>
        <w:rFonts w:hint="default"/>
        <w:lang w:val="zh-CN" w:eastAsia="zh-CN" w:bidi="zh-CN"/>
      </w:rPr>
    </w:lvl>
    <w:lvl w:ilvl="6" w:tentative="0">
      <w:start w:val="0"/>
      <w:numFmt w:val="bullet"/>
      <w:lvlText w:val="•"/>
      <w:lvlJc w:val="left"/>
      <w:pPr>
        <w:ind w:left="6035" w:hanging="540"/>
      </w:pPr>
      <w:rPr>
        <w:rFonts w:hint="default"/>
        <w:lang w:val="zh-CN" w:eastAsia="zh-CN" w:bidi="zh-CN"/>
      </w:rPr>
    </w:lvl>
    <w:lvl w:ilvl="7" w:tentative="0">
      <w:start w:val="0"/>
      <w:numFmt w:val="bullet"/>
      <w:lvlText w:val="•"/>
      <w:lvlJc w:val="left"/>
      <w:pPr>
        <w:ind w:left="6988" w:hanging="540"/>
      </w:pPr>
      <w:rPr>
        <w:rFonts w:hint="default"/>
        <w:lang w:val="zh-CN" w:eastAsia="zh-CN" w:bidi="zh-CN"/>
      </w:rPr>
    </w:lvl>
    <w:lvl w:ilvl="8" w:tentative="0">
      <w:start w:val="0"/>
      <w:numFmt w:val="bullet"/>
      <w:lvlText w:val="•"/>
      <w:lvlJc w:val="left"/>
      <w:pPr>
        <w:ind w:left="7940" w:hanging="540"/>
      </w:pPr>
      <w:rPr>
        <w:rFonts w:hint="default"/>
        <w:lang w:val="zh-CN" w:eastAsia="zh-CN" w:bidi="zh-CN"/>
      </w:rPr>
    </w:lvl>
  </w:abstractNum>
  <w:abstractNum w:abstractNumId="11">
    <w:nsid w:val="60382F6E"/>
    <w:multiLevelType w:val="multilevel"/>
    <w:tmpl w:val="60382F6E"/>
    <w:lvl w:ilvl="0" w:tentative="0">
      <w:start w:val="23"/>
      <w:numFmt w:val="decimal"/>
      <w:lvlText w:val="%1"/>
      <w:lvlJc w:val="left"/>
      <w:pPr>
        <w:ind w:left="1280" w:hanging="540"/>
      </w:pPr>
      <w:rPr>
        <w:rFonts w:hint="default"/>
        <w:lang w:val="zh-CN" w:eastAsia="zh-CN" w:bidi="zh-CN"/>
      </w:rPr>
    </w:lvl>
    <w:lvl w:ilvl="1" w:tentative="0">
      <w:start w:val="1"/>
      <w:numFmt w:val="decimal"/>
      <w:lvlText w:val="%1.%2"/>
      <w:lvlJc w:val="left"/>
      <w:pPr>
        <w:ind w:left="1280" w:hanging="540"/>
      </w:pPr>
      <w:rPr>
        <w:rFonts w:hint="default" w:ascii="宋体" w:hAnsi="宋体" w:eastAsia="宋体" w:cs="宋体"/>
        <w:w w:val="100"/>
        <w:sz w:val="24"/>
        <w:szCs w:val="24"/>
        <w:lang w:val="zh-CN" w:eastAsia="zh-CN" w:bidi="zh-CN"/>
      </w:rPr>
    </w:lvl>
    <w:lvl w:ilvl="2" w:tentative="0">
      <w:start w:val="1"/>
      <w:numFmt w:val="decimal"/>
      <w:lvlText w:val="%1.%2.%3"/>
      <w:lvlJc w:val="left"/>
      <w:pPr>
        <w:ind w:left="1520" w:hanging="780"/>
      </w:pPr>
      <w:rPr>
        <w:rFonts w:hint="default" w:ascii="宋体" w:hAnsi="宋体" w:eastAsia="宋体" w:cs="宋体"/>
        <w:w w:val="100"/>
        <w:sz w:val="24"/>
        <w:szCs w:val="24"/>
        <w:lang w:val="zh-CN" w:eastAsia="zh-CN" w:bidi="zh-CN"/>
      </w:rPr>
    </w:lvl>
    <w:lvl w:ilvl="3" w:tentative="0">
      <w:start w:val="0"/>
      <w:numFmt w:val="bullet"/>
      <w:lvlText w:val="•"/>
      <w:lvlJc w:val="left"/>
      <w:pPr>
        <w:ind w:left="3370" w:hanging="780"/>
      </w:pPr>
      <w:rPr>
        <w:rFonts w:hint="default"/>
        <w:lang w:val="zh-CN" w:eastAsia="zh-CN" w:bidi="zh-CN"/>
      </w:rPr>
    </w:lvl>
    <w:lvl w:ilvl="4" w:tentative="0">
      <w:start w:val="0"/>
      <w:numFmt w:val="bullet"/>
      <w:lvlText w:val="•"/>
      <w:lvlJc w:val="left"/>
      <w:pPr>
        <w:ind w:left="4295" w:hanging="780"/>
      </w:pPr>
      <w:rPr>
        <w:rFonts w:hint="default"/>
        <w:lang w:val="zh-CN" w:eastAsia="zh-CN" w:bidi="zh-CN"/>
      </w:rPr>
    </w:lvl>
    <w:lvl w:ilvl="5" w:tentative="0">
      <w:start w:val="0"/>
      <w:numFmt w:val="bullet"/>
      <w:lvlText w:val="•"/>
      <w:lvlJc w:val="left"/>
      <w:pPr>
        <w:ind w:left="5220" w:hanging="780"/>
      </w:pPr>
      <w:rPr>
        <w:rFonts w:hint="default"/>
        <w:lang w:val="zh-CN" w:eastAsia="zh-CN" w:bidi="zh-CN"/>
      </w:rPr>
    </w:lvl>
    <w:lvl w:ilvl="6" w:tentative="0">
      <w:start w:val="0"/>
      <w:numFmt w:val="bullet"/>
      <w:lvlText w:val="•"/>
      <w:lvlJc w:val="left"/>
      <w:pPr>
        <w:ind w:left="6145" w:hanging="780"/>
      </w:pPr>
      <w:rPr>
        <w:rFonts w:hint="default"/>
        <w:lang w:val="zh-CN" w:eastAsia="zh-CN" w:bidi="zh-CN"/>
      </w:rPr>
    </w:lvl>
    <w:lvl w:ilvl="7" w:tentative="0">
      <w:start w:val="0"/>
      <w:numFmt w:val="bullet"/>
      <w:lvlText w:val="•"/>
      <w:lvlJc w:val="left"/>
      <w:pPr>
        <w:ind w:left="7070" w:hanging="780"/>
      </w:pPr>
      <w:rPr>
        <w:rFonts w:hint="default"/>
        <w:lang w:val="zh-CN" w:eastAsia="zh-CN" w:bidi="zh-CN"/>
      </w:rPr>
    </w:lvl>
    <w:lvl w:ilvl="8" w:tentative="0">
      <w:start w:val="0"/>
      <w:numFmt w:val="bullet"/>
      <w:lvlText w:val="•"/>
      <w:lvlJc w:val="left"/>
      <w:pPr>
        <w:ind w:left="7995" w:hanging="780"/>
      </w:pPr>
      <w:rPr>
        <w:rFonts w:hint="default"/>
        <w:lang w:val="zh-CN" w:eastAsia="zh-CN" w:bidi="zh-CN"/>
      </w:rPr>
    </w:lvl>
  </w:abstractNum>
  <w:abstractNum w:abstractNumId="12">
    <w:nsid w:val="77ECEA79"/>
    <w:multiLevelType w:val="multilevel"/>
    <w:tmpl w:val="77ECEA79"/>
    <w:lvl w:ilvl="0" w:tentative="0">
      <w:start w:val="1"/>
      <w:numFmt w:val="decimal"/>
      <w:lvlText w:val="（%1）"/>
      <w:lvlJc w:val="left"/>
      <w:pPr>
        <w:ind w:left="1341"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190" w:hanging="601"/>
      </w:pPr>
      <w:rPr>
        <w:rFonts w:hint="default"/>
        <w:lang w:val="zh-CN" w:eastAsia="zh-CN" w:bidi="zh-CN"/>
      </w:rPr>
    </w:lvl>
    <w:lvl w:ilvl="2" w:tentative="0">
      <w:start w:val="0"/>
      <w:numFmt w:val="bullet"/>
      <w:lvlText w:val="•"/>
      <w:lvlJc w:val="left"/>
      <w:pPr>
        <w:ind w:left="3041" w:hanging="601"/>
      </w:pPr>
      <w:rPr>
        <w:rFonts w:hint="default"/>
        <w:lang w:val="zh-CN" w:eastAsia="zh-CN" w:bidi="zh-CN"/>
      </w:rPr>
    </w:lvl>
    <w:lvl w:ilvl="3" w:tentative="0">
      <w:start w:val="0"/>
      <w:numFmt w:val="bullet"/>
      <w:lvlText w:val="•"/>
      <w:lvlJc w:val="left"/>
      <w:pPr>
        <w:ind w:left="3891" w:hanging="601"/>
      </w:pPr>
      <w:rPr>
        <w:rFonts w:hint="default"/>
        <w:lang w:val="zh-CN" w:eastAsia="zh-CN" w:bidi="zh-CN"/>
      </w:rPr>
    </w:lvl>
    <w:lvl w:ilvl="4" w:tentative="0">
      <w:start w:val="0"/>
      <w:numFmt w:val="bullet"/>
      <w:lvlText w:val="•"/>
      <w:lvlJc w:val="left"/>
      <w:pPr>
        <w:ind w:left="4742" w:hanging="601"/>
      </w:pPr>
      <w:rPr>
        <w:rFonts w:hint="default"/>
        <w:lang w:val="zh-CN" w:eastAsia="zh-CN" w:bidi="zh-CN"/>
      </w:rPr>
    </w:lvl>
    <w:lvl w:ilvl="5" w:tentative="0">
      <w:start w:val="0"/>
      <w:numFmt w:val="bullet"/>
      <w:lvlText w:val="•"/>
      <w:lvlJc w:val="left"/>
      <w:pPr>
        <w:ind w:left="5593" w:hanging="601"/>
      </w:pPr>
      <w:rPr>
        <w:rFonts w:hint="default"/>
        <w:lang w:val="zh-CN" w:eastAsia="zh-CN" w:bidi="zh-CN"/>
      </w:rPr>
    </w:lvl>
    <w:lvl w:ilvl="6" w:tentative="0">
      <w:start w:val="0"/>
      <w:numFmt w:val="bullet"/>
      <w:lvlText w:val="•"/>
      <w:lvlJc w:val="left"/>
      <w:pPr>
        <w:ind w:left="6443" w:hanging="601"/>
      </w:pPr>
      <w:rPr>
        <w:rFonts w:hint="default"/>
        <w:lang w:val="zh-CN" w:eastAsia="zh-CN" w:bidi="zh-CN"/>
      </w:rPr>
    </w:lvl>
    <w:lvl w:ilvl="7" w:tentative="0">
      <w:start w:val="0"/>
      <w:numFmt w:val="bullet"/>
      <w:lvlText w:val="•"/>
      <w:lvlJc w:val="left"/>
      <w:pPr>
        <w:ind w:left="7294" w:hanging="601"/>
      </w:pPr>
      <w:rPr>
        <w:rFonts w:hint="default"/>
        <w:lang w:val="zh-CN" w:eastAsia="zh-CN" w:bidi="zh-CN"/>
      </w:rPr>
    </w:lvl>
    <w:lvl w:ilvl="8" w:tentative="0">
      <w:start w:val="0"/>
      <w:numFmt w:val="bullet"/>
      <w:lvlText w:val="•"/>
      <w:lvlJc w:val="left"/>
      <w:pPr>
        <w:ind w:left="8144" w:hanging="601"/>
      </w:pPr>
      <w:rPr>
        <w:rFonts w:hint="default"/>
        <w:lang w:val="zh-CN" w:eastAsia="zh-CN" w:bidi="zh-CN"/>
      </w:rPr>
    </w:lvl>
  </w:abstractNum>
  <w:abstractNum w:abstractNumId="13">
    <w:nsid w:val="7C246926"/>
    <w:multiLevelType w:val="multilevel"/>
    <w:tmpl w:val="7C246926"/>
    <w:lvl w:ilvl="0" w:tentative="0">
      <w:start w:val="29"/>
      <w:numFmt w:val="decimal"/>
      <w:lvlText w:val="%1."/>
      <w:lvlJc w:val="left"/>
      <w:pPr>
        <w:ind w:left="1221" w:hanging="481"/>
      </w:pPr>
      <w:rPr>
        <w:rFonts w:hint="default"/>
        <w:w w:val="100"/>
        <w:lang w:val="zh-CN" w:eastAsia="zh-CN" w:bidi="zh-CN"/>
      </w:rPr>
    </w:lvl>
    <w:lvl w:ilvl="1" w:tentative="0">
      <w:start w:val="1"/>
      <w:numFmt w:val="decimal"/>
      <w:lvlText w:val="%1.%2"/>
      <w:lvlJc w:val="left"/>
      <w:pPr>
        <w:ind w:left="1340" w:hanging="600"/>
      </w:pPr>
      <w:rPr>
        <w:rFonts w:hint="default" w:ascii="宋体" w:hAnsi="宋体" w:eastAsia="宋体" w:cs="宋体"/>
        <w:w w:val="100"/>
        <w:sz w:val="24"/>
        <w:szCs w:val="24"/>
        <w:lang w:val="zh-CN" w:eastAsia="zh-CN" w:bidi="zh-CN"/>
      </w:rPr>
    </w:lvl>
    <w:lvl w:ilvl="2" w:tentative="0">
      <w:start w:val="0"/>
      <w:numFmt w:val="bullet"/>
      <w:lvlText w:val="•"/>
      <w:lvlJc w:val="left"/>
      <w:pPr>
        <w:ind w:left="1340" w:hanging="600"/>
      </w:pPr>
      <w:rPr>
        <w:rFonts w:hint="default"/>
        <w:lang w:val="zh-CN" w:eastAsia="zh-CN" w:bidi="zh-CN"/>
      </w:rPr>
    </w:lvl>
    <w:lvl w:ilvl="3" w:tentative="0">
      <w:start w:val="0"/>
      <w:numFmt w:val="bullet"/>
      <w:lvlText w:val="•"/>
      <w:lvlJc w:val="left"/>
      <w:pPr>
        <w:ind w:left="2403" w:hanging="600"/>
      </w:pPr>
      <w:rPr>
        <w:rFonts w:hint="default"/>
        <w:lang w:val="zh-CN" w:eastAsia="zh-CN" w:bidi="zh-CN"/>
      </w:rPr>
    </w:lvl>
    <w:lvl w:ilvl="4" w:tentative="0">
      <w:start w:val="0"/>
      <w:numFmt w:val="bullet"/>
      <w:lvlText w:val="•"/>
      <w:lvlJc w:val="left"/>
      <w:pPr>
        <w:ind w:left="3466" w:hanging="600"/>
      </w:pPr>
      <w:rPr>
        <w:rFonts w:hint="default"/>
        <w:lang w:val="zh-CN" w:eastAsia="zh-CN" w:bidi="zh-CN"/>
      </w:rPr>
    </w:lvl>
    <w:lvl w:ilvl="5" w:tentative="0">
      <w:start w:val="0"/>
      <w:numFmt w:val="bullet"/>
      <w:lvlText w:val="•"/>
      <w:lvlJc w:val="left"/>
      <w:pPr>
        <w:ind w:left="4529" w:hanging="600"/>
      </w:pPr>
      <w:rPr>
        <w:rFonts w:hint="default"/>
        <w:lang w:val="zh-CN" w:eastAsia="zh-CN" w:bidi="zh-CN"/>
      </w:rPr>
    </w:lvl>
    <w:lvl w:ilvl="6" w:tentative="0">
      <w:start w:val="0"/>
      <w:numFmt w:val="bullet"/>
      <w:lvlText w:val="•"/>
      <w:lvlJc w:val="left"/>
      <w:pPr>
        <w:ind w:left="5593" w:hanging="600"/>
      </w:pPr>
      <w:rPr>
        <w:rFonts w:hint="default"/>
        <w:lang w:val="zh-CN" w:eastAsia="zh-CN" w:bidi="zh-CN"/>
      </w:rPr>
    </w:lvl>
    <w:lvl w:ilvl="7" w:tentative="0">
      <w:start w:val="0"/>
      <w:numFmt w:val="bullet"/>
      <w:lvlText w:val="•"/>
      <w:lvlJc w:val="left"/>
      <w:pPr>
        <w:ind w:left="6656" w:hanging="600"/>
      </w:pPr>
      <w:rPr>
        <w:rFonts w:hint="default"/>
        <w:lang w:val="zh-CN" w:eastAsia="zh-CN" w:bidi="zh-CN"/>
      </w:rPr>
    </w:lvl>
    <w:lvl w:ilvl="8" w:tentative="0">
      <w:start w:val="0"/>
      <w:numFmt w:val="bullet"/>
      <w:lvlText w:val="•"/>
      <w:lvlJc w:val="left"/>
      <w:pPr>
        <w:ind w:left="7719" w:hanging="600"/>
      </w:pPr>
      <w:rPr>
        <w:rFonts w:hint="default"/>
        <w:lang w:val="zh-CN" w:eastAsia="zh-CN" w:bidi="zh-CN"/>
      </w:rPr>
    </w:lvl>
  </w:abstractNum>
  <w:num w:numId="1">
    <w:abstractNumId w:val="0"/>
  </w:num>
  <w:num w:numId="2">
    <w:abstractNumId w:val="8"/>
  </w:num>
  <w:num w:numId="3">
    <w:abstractNumId w:val="10"/>
  </w:num>
  <w:num w:numId="4">
    <w:abstractNumId w:val="5"/>
  </w:num>
  <w:num w:numId="5">
    <w:abstractNumId w:val="7"/>
  </w:num>
  <w:num w:numId="6">
    <w:abstractNumId w:val="4"/>
  </w:num>
  <w:num w:numId="7">
    <w:abstractNumId w:val="1"/>
  </w:num>
  <w:num w:numId="8">
    <w:abstractNumId w:val="9"/>
  </w:num>
  <w:num w:numId="9">
    <w:abstractNumId w:val="11"/>
  </w:num>
  <w:num w:numId="10">
    <w:abstractNumId w:val="6"/>
  </w:num>
  <w:num w:numId="11">
    <w:abstractNumId w:val="2"/>
  </w:num>
  <w:num w:numId="12">
    <w:abstractNumId w:val="13"/>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46900"/>
    <w:rsid w:val="00311A5F"/>
    <w:rsid w:val="03E7777A"/>
    <w:rsid w:val="06C40222"/>
    <w:rsid w:val="06DF4EB8"/>
    <w:rsid w:val="095E01D4"/>
    <w:rsid w:val="0CE7355D"/>
    <w:rsid w:val="100B1B07"/>
    <w:rsid w:val="10FB1AA8"/>
    <w:rsid w:val="13E06DE0"/>
    <w:rsid w:val="145208D0"/>
    <w:rsid w:val="14760F4F"/>
    <w:rsid w:val="159B3D28"/>
    <w:rsid w:val="16853AE0"/>
    <w:rsid w:val="1AB675B4"/>
    <w:rsid w:val="1B0167A6"/>
    <w:rsid w:val="1C7D36C7"/>
    <w:rsid w:val="1CA76E69"/>
    <w:rsid w:val="1D320E99"/>
    <w:rsid w:val="1E475F45"/>
    <w:rsid w:val="1E5C649E"/>
    <w:rsid w:val="1E6D5DF9"/>
    <w:rsid w:val="1FE01F90"/>
    <w:rsid w:val="21996242"/>
    <w:rsid w:val="21B22BFE"/>
    <w:rsid w:val="24180A2B"/>
    <w:rsid w:val="25EB54EE"/>
    <w:rsid w:val="292857AF"/>
    <w:rsid w:val="2E080B83"/>
    <w:rsid w:val="2E56250D"/>
    <w:rsid w:val="2EB23BE8"/>
    <w:rsid w:val="2F5F0DCB"/>
    <w:rsid w:val="317C1911"/>
    <w:rsid w:val="34046900"/>
    <w:rsid w:val="35092088"/>
    <w:rsid w:val="35B73253"/>
    <w:rsid w:val="371A0C78"/>
    <w:rsid w:val="37931544"/>
    <w:rsid w:val="39AE1450"/>
    <w:rsid w:val="3FF34D8E"/>
    <w:rsid w:val="40DD632F"/>
    <w:rsid w:val="41A51925"/>
    <w:rsid w:val="4379487C"/>
    <w:rsid w:val="45190EF4"/>
    <w:rsid w:val="458831E3"/>
    <w:rsid w:val="47CB7C1B"/>
    <w:rsid w:val="489A151D"/>
    <w:rsid w:val="4AA86D7D"/>
    <w:rsid w:val="4D074DF1"/>
    <w:rsid w:val="4FCE45DD"/>
    <w:rsid w:val="50C3761A"/>
    <w:rsid w:val="51C87451"/>
    <w:rsid w:val="53230163"/>
    <w:rsid w:val="582562F7"/>
    <w:rsid w:val="58986FE3"/>
    <w:rsid w:val="595D6BCF"/>
    <w:rsid w:val="599849F3"/>
    <w:rsid w:val="5AB87F28"/>
    <w:rsid w:val="5C907E32"/>
    <w:rsid w:val="5D423AD9"/>
    <w:rsid w:val="63116A91"/>
    <w:rsid w:val="65E9543A"/>
    <w:rsid w:val="672F0A90"/>
    <w:rsid w:val="685748DD"/>
    <w:rsid w:val="6AA13D0C"/>
    <w:rsid w:val="6EB2676F"/>
    <w:rsid w:val="722B7330"/>
    <w:rsid w:val="722B755C"/>
    <w:rsid w:val="74F4525D"/>
    <w:rsid w:val="7A47542A"/>
    <w:rsid w:val="7AC53832"/>
    <w:rsid w:val="7B4C6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0"/>
    <w:pPr>
      <w:spacing w:before="38"/>
      <w:ind w:left="892"/>
      <w:jc w:val="center"/>
      <w:outlineLvl w:val="0"/>
    </w:pPr>
    <w:rPr>
      <w:sz w:val="32"/>
      <w:szCs w:val="32"/>
    </w:rPr>
  </w:style>
  <w:style w:type="paragraph" w:styleId="3">
    <w:name w:val="heading 2"/>
    <w:basedOn w:val="1"/>
    <w:next w:val="1"/>
    <w:qFormat/>
    <w:uiPriority w:val="0"/>
    <w:pPr>
      <w:spacing w:before="1"/>
      <w:ind w:left="1600"/>
      <w:outlineLvl w:val="1"/>
    </w:pPr>
    <w:rPr>
      <w:sz w:val="30"/>
      <w:szCs w:val="30"/>
    </w:rPr>
  </w:style>
  <w:style w:type="paragraph" w:styleId="4">
    <w:name w:val="heading 3"/>
    <w:basedOn w:val="1"/>
    <w:qFormat/>
    <w:uiPriority w:val="0"/>
    <w:pPr>
      <w:ind w:left="2015"/>
      <w:outlineLvl w:val="2"/>
    </w:pPr>
    <w:rPr>
      <w:b/>
      <w:bCs/>
      <w:sz w:val="28"/>
      <w:szCs w:val="28"/>
    </w:rPr>
  </w:style>
  <w:style w:type="paragraph" w:styleId="5">
    <w:name w:val="heading 4"/>
    <w:basedOn w:val="1"/>
    <w:next w:val="1"/>
    <w:qFormat/>
    <w:uiPriority w:val="0"/>
    <w:pPr>
      <w:ind w:left="740"/>
      <w:outlineLvl w:val="3"/>
    </w:pPr>
    <w:rPr>
      <w:b/>
      <w:bCs/>
      <w:sz w:val="24"/>
      <w:szCs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widowControl w:val="0"/>
      <w:ind w:firstLine="420" w:firstLineChars="200"/>
      <w:jc w:val="both"/>
    </w:pPr>
    <w:rPr>
      <w:rFonts w:ascii="Calibri" w:hAnsi="Calibri" w:eastAsia="仿宋" w:cs="宋体"/>
      <w:kern w:val="2"/>
      <w:sz w:val="32"/>
      <w:lang w:eastAsia="zh-CN"/>
    </w:rPr>
  </w:style>
  <w:style w:type="paragraph" w:styleId="7">
    <w:name w:val="toa heading"/>
    <w:basedOn w:val="1"/>
    <w:next w:val="1"/>
    <w:unhideWhenUsed/>
    <w:qFormat/>
    <w:uiPriority w:val="99"/>
    <w:pPr>
      <w:spacing w:before="120"/>
    </w:pPr>
    <w:rPr>
      <w:rFonts w:ascii="Arial" w:hAnsi="Arial" w:cs="Arial"/>
      <w:sz w:val="24"/>
    </w:rPr>
  </w:style>
  <w:style w:type="paragraph" w:styleId="8">
    <w:name w:val="Body Text"/>
    <w:basedOn w:val="1"/>
    <w:qFormat/>
    <w:uiPriority w:val="0"/>
    <w:pPr>
      <w:ind w:left="320"/>
    </w:pPr>
    <w:rPr>
      <w:rFonts w:ascii="Times New Roman" w:hAnsi="Times New Roman" w:cs="Times New Roman"/>
      <w:sz w:val="24"/>
      <w:szCs w:val="24"/>
      <w:lang w:bidi="ar-SA"/>
    </w:rPr>
  </w:style>
  <w:style w:type="paragraph" w:styleId="9">
    <w:name w:val="Body Text Indent"/>
    <w:basedOn w:val="1"/>
    <w:qFormat/>
    <w:uiPriority w:val="0"/>
    <w:pPr>
      <w:spacing w:after="120"/>
      <w:ind w:left="200" w:leftChars="200"/>
      <w:jc w:val="both"/>
    </w:pPr>
    <w:rPr>
      <w:kern w:val="2"/>
      <w:sz w:val="21"/>
    </w:rPr>
  </w:style>
  <w:style w:type="paragraph" w:styleId="10">
    <w:name w:val="Plain Text"/>
    <w:basedOn w:val="1"/>
    <w:next w:val="11"/>
    <w:qFormat/>
    <w:uiPriority w:val="0"/>
    <w:pPr>
      <w:adjustRightInd w:val="0"/>
      <w:textAlignment w:val="baseline"/>
    </w:pPr>
    <w:rPr>
      <w:rFonts w:ascii="宋体" w:hAnsi="Courier New" w:eastAsia="宋体" w:cs="Times New Roman"/>
      <w:kern w:val="0"/>
      <w:sz w:val="20"/>
      <w:szCs w:val="20"/>
    </w:rPr>
  </w:style>
  <w:style w:type="paragraph" w:styleId="11">
    <w:name w:val="index 7"/>
    <w:basedOn w:val="1"/>
    <w:next w:val="1"/>
    <w:unhideWhenUsed/>
    <w:qFormat/>
    <w:uiPriority w:val="99"/>
    <w:pPr>
      <w:ind w:left="1200" w:leftChars="1200"/>
    </w:p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2"/>
    <w:basedOn w:val="1"/>
    <w:next w:val="1"/>
    <w:qFormat/>
    <w:uiPriority w:val="0"/>
    <w:pPr>
      <w:spacing w:line="440" w:lineRule="exact"/>
      <w:ind w:firstLine="300"/>
    </w:pPr>
    <w:rPr>
      <w:rFonts w:ascii="Calibri" w:hAnsi="Calibri" w:eastAsia="宋体" w:cs="Calibri"/>
      <w:smallCaps/>
      <w:sz w:val="20"/>
      <w:szCs w:val="20"/>
    </w:rPr>
  </w:style>
  <w:style w:type="paragraph" w:styleId="15">
    <w:name w:val="Body Text 2"/>
    <w:basedOn w:val="1"/>
    <w:next w:val="8"/>
    <w:qFormat/>
    <w:uiPriority w:val="0"/>
    <w:rPr>
      <w:rFonts w:ascii="宋体" w:hAnsi="宋体" w:eastAsia="宋体" w:cs="Arial"/>
      <w:b/>
      <w:kern w:val="0"/>
      <w:sz w:val="28"/>
      <w:szCs w:val="20"/>
    </w:rPr>
  </w:style>
  <w:style w:type="paragraph" w:styleId="16">
    <w:name w:val="Message Header"/>
    <w:basedOn w:val="1"/>
    <w:unhideWhenUsed/>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17">
    <w:name w:val="Title"/>
    <w:basedOn w:val="14"/>
    <w:next w:val="1"/>
    <w:qFormat/>
    <w:uiPriority w:val="0"/>
    <w:pPr>
      <w:spacing w:before="240" w:after="60"/>
      <w:jc w:val="center"/>
      <w:outlineLvl w:val="0"/>
    </w:pPr>
    <w:rPr>
      <w:rFonts w:ascii="Cambria" w:hAnsi="Cambria" w:eastAsia="宋体" w:cs="Times New Roman"/>
      <w:b/>
      <w:bCs/>
      <w:kern w:val="2"/>
      <w:sz w:val="32"/>
      <w:szCs w:val="32"/>
    </w:rPr>
  </w:style>
  <w:style w:type="paragraph" w:styleId="18">
    <w:name w:val="Body Text First Indent"/>
    <w:basedOn w:val="8"/>
    <w:next w:val="1"/>
    <w:unhideWhenUsed/>
    <w:qFormat/>
    <w:uiPriority w:val="99"/>
    <w:pPr>
      <w:ind w:firstLine="420" w:firstLineChars="100"/>
    </w:pPr>
  </w:style>
  <w:style w:type="paragraph" w:styleId="19">
    <w:name w:val="Body Text First Indent 2"/>
    <w:basedOn w:val="9"/>
    <w:qFormat/>
    <w:uiPriority w:val="0"/>
    <w:pPr>
      <w:ind w:firstLine="200" w:firstLineChars="200"/>
    </w:pPr>
  </w:style>
  <w:style w:type="table" w:styleId="21">
    <w:name w:val="Table Grid"/>
    <w:basedOn w:val="20"/>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qFormat/>
    <w:uiPriority w:val="0"/>
    <w:rPr>
      <w:color w:val="0000FF"/>
      <w:u w:val="single"/>
    </w:rPr>
  </w:style>
  <w:style w:type="paragraph" w:customStyle="1" w:styleId="24">
    <w:name w:val="WPSOffice手动目录 1"/>
    <w:qFormat/>
    <w:uiPriority w:val="0"/>
    <w:pPr>
      <w:ind w:leftChars="0"/>
    </w:pPr>
    <w:rPr>
      <w:rFonts w:asciiTheme="minorHAnsi" w:hAnsiTheme="minorHAnsi" w:eastAsiaTheme="minorEastAsia" w:cstheme="minorBidi"/>
      <w:sz w:val="20"/>
      <w:szCs w:val="20"/>
    </w:rPr>
  </w:style>
  <w:style w:type="paragraph" w:customStyle="1" w:styleId="25">
    <w:name w:val="Table Paragraph"/>
    <w:basedOn w:val="1"/>
    <w:qFormat/>
    <w:uiPriority w:val="0"/>
  </w:style>
  <w:style w:type="paragraph" w:customStyle="1" w:styleId="26">
    <w:name w:val="样式 标题 2 + Times New Roman 四号 非加粗 段前: 5 磅 段后: 0 磅 行距: 固定值 20..."/>
    <w:basedOn w:val="3"/>
    <w:qFormat/>
    <w:uiPriority w:val="0"/>
    <w:pPr>
      <w:spacing w:before="100" w:line="400" w:lineRule="exact"/>
    </w:pPr>
    <w:rPr>
      <w:rFonts w:ascii="Times New Roman" w:hAnsi="Times New Roman"/>
      <w:b/>
      <w:bCs/>
      <w:sz w:val="28"/>
      <w:szCs w:val="20"/>
    </w:rPr>
  </w:style>
  <w:style w:type="paragraph" w:styleId="27">
    <w:name w:val="List Paragraph"/>
    <w:basedOn w:val="1"/>
    <w:qFormat/>
    <w:uiPriority w:val="0"/>
    <w:pPr>
      <w:ind w:left="320" w:firstLine="420"/>
    </w:pPr>
  </w:style>
  <w:style w:type="paragraph" w:customStyle="1" w:styleId="28">
    <w:name w:val="Default"/>
    <w:basedOn w:val="17"/>
    <w:next w:val="29"/>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9">
    <w:name w:val="正文 A"/>
    <w:next w:val="28"/>
    <w:qFormat/>
    <w:uiPriority w:val="0"/>
    <w:pPr>
      <w:framePr w:wrap="around" w:vAnchor="margin" w:hAnchor="text" w:y="1"/>
      <w:spacing w:line="360" w:lineRule="auto"/>
      <w:ind w:firstLine="200"/>
      <w:jc w:val="both"/>
    </w:pPr>
    <w:rPr>
      <w:rFonts w:ascii="Calibri" w:hAnsi="Calibri"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18822</Words>
  <Characters>20280</Characters>
  <Lines>0</Lines>
  <Paragraphs>0</Paragraphs>
  <TotalTime>121</TotalTime>
  <ScaleCrop>false</ScaleCrop>
  <LinksUpToDate>false</LinksUpToDate>
  <CharactersWithSpaces>20748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2026-06-30T07:34:00Z</dcterms:created>
  <dc:creator>我素我行</dc:creator>
  <cp:lastModifiedBy>我素我行</cp:lastModifiedBy>
  <cp:lastPrinted>2026-07-24T01:48:00Z</cp:lastPrinted>
  <dcterms:modified xsi:type="dcterms:W3CDTF">2026-07-24T02:02:25Z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C58C87C17FA84F22A6686EC7946CD1E4_11</vt:lpwstr>
  </property>
  <property fmtid="{D5CDD505-2E9C-101B-9397-08002B2CF9AE}" pid="4" name="KSOTemplateDocerSaveRecord">
    <vt:lpwstr>eyJoZGlkIjoiZDYzYjNkNTZkM2ZjOWEyZmU0NDNmNjhmYWJjZmI1NGYiLCJ1c2VySWQiOiI5MTU2ODE4MTAifQ==</vt:lpwstr>
  </property>
</Properties>
</file>