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D589D6">
      <w:pPr>
        <w:adjustRightInd/>
        <w:snapToGrid/>
        <w:spacing w:line="360" w:lineRule="auto"/>
        <w:ind w:firstLine="0" w:firstLineChars="0"/>
        <w:jc w:val="center"/>
        <w:rPr>
          <w:rFonts w:hint="eastAsia" w:ascii="宋体" w:hAnsi="宋体" w:eastAsia="宋体" w:cs="Times New Roman"/>
          <w:b/>
          <w:bCs/>
          <w:color w:val="000000"/>
          <w:sz w:val="52"/>
          <w:szCs w:val="52"/>
          <w:lang w:eastAsia="zh-CN"/>
        </w:rPr>
      </w:pPr>
      <w:bookmarkStart w:id="0" w:name="_Toc27603"/>
      <w:bookmarkStart w:id="444" w:name="_GoBack"/>
      <w:bookmarkEnd w:id="444"/>
      <w:r>
        <w:rPr>
          <w:rFonts w:hint="eastAsia" w:ascii="宋体" w:hAnsi="宋体" w:eastAsia="宋体" w:cs="Times New Roman"/>
          <w:b/>
          <w:bCs/>
          <w:color w:val="000000"/>
          <w:sz w:val="52"/>
          <w:szCs w:val="52"/>
          <w:lang w:eastAsia="zh-CN"/>
        </w:rPr>
        <w:t>陕州区发展和改革委员会陕州区建设项目可研、初设评审项目</w:t>
      </w:r>
    </w:p>
    <w:p w14:paraId="17D92420">
      <w:pPr>
        <w:adjustRightInd/>
        <w:snapToGrid/>
        <w:spacing w:line="360" w:lineRule="auto"/>
        <w:ind w:firstLine="0" w:firstLineChars="0"/>
        <w:jc w:val="center"/>
        <w:rPr>
          <w:rFonts w:hint="eastAsia" w:ascii="宋体" w:hAnsi="宋体" w:eastAsia="宋体" w:cs="Times New Roman"/>
          <w:b/>
          <w:bCs/>
          <w:color w:val="000000"/>
          <w:sz w:val="52"/>
          <w:szCs w:val="52"/>
          <w:lang w:eastAsia="zh-CN"/>
        </w:rPr>
      </w:pPr>
    </w:p>
    <w:p w14:paraId="28D59511">
      <w:pPr>
        <w:adjustRightInd/>
        <w:snapToGrid/>
        <w:spacing w:line="360" w:lineRule="auto"/>
        <w:ind w:firstLine="0" w:firstLineChars="0"/>
        <w:jc w:val="center"/>
        <w:rPr>
          <w:rFonts w:ascii="宋体" w:hAnsi="宋体" w:eastAsia="宋体" w:cs="Times New Roman"/>
          <w:b/>
          <w:bCs/>
          <w:color w:val="000000"/>
          <w:sz w:val="84"/>
          <w:szCs w:val="22"/>
        </w:rPr>
      </w:pPr>
      <w:r>
        <w:rPr>
          <w:rFonts w:hint="eastAsia" w:ascii="宋体" w:hAnsi="宋体" w:eastAsia="宋体" w:cs="Times New Roman"/>
          <w:b/>
          <w:bCs/>
          <w:color w:val="000000"/>
          <w:sz w:val="84"/>
          <w:szCs w:val="22"/>
        </w:rPr>
        <w:t>征集文件</w:t>
      </w:r>
    </w:p>
    <w:p w14:paraId="7FA266FD">
      <w:pPr>
        <w:adjustRightInd/>
        <w:snapToGrid/>
        <w:spacing w:line="240" w:lineRule="auto"/>
        <w:ind w:firstLine="0" w:firstLineChars="0"/>
        <w:jc w:val="center"/>
        <w:rPr>
          <w:rFonts w:ascii="宋体" w:hAnsi="宋体" w:eastAsia="宋体" w:cs="Times New Roman"/>
          <w:color w:val="000000"/>
          <w:sz w:val="44"/>
          <w:szCs w:val="22"/>
        </w:rPr>
      </w:pPr>
      <w:r>
        <w:rPr>
          <w:rFonts w:ascii="宋体" w:hAnsi="宋体" w:eastAsia="宋体" w:cs="Times New Roman"/>
          <w:color w:val="000000"/>
          <w:sz w:val="44"/>
          <w:szCs w:val="22"/>
        </w:rPr>
        <w:drawing>
          <wp:inline distT="0" distB="0" distL="0" distR="0">
            <wp:extent cx="1851660" cy="2095500"/>
            <wp:effectExtent l="0" t="0" r="15240" b="0"/>
            <wp:docPr id="1" name="图片 1" descr="飞洋标志标准版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飞洋标志标准版A"/>
                    <pic:cNvPicPr>
                      <a:picLocks noChangeAspect="1" noChangeArrowheads="1"/>
                    </pic:cNvPicPr>
                  </pic:nvPicPr>
                  <pic:blipFill>
                    <a:blip r:embed="rId24"/>
                    <a:srcRect/>
                    <a:stretch>
                      <a:fillRect/>
                    </a:stretch>
                  </pic:blipFill>
                  <pic:spPr>
                    <a:xfrm>
                      <a:off x="0" y="0"/>
                      <a:ext cx="1851660" cy="2095500"/>
                    </a:xfrm>
                    <a:prstGeom prst="rect">
                      <a:avLst/>
                    </a:prstGeom>
                    <a:noFill/>
                    <a:ln w="9525">
                      <a:noFill/>
                      <a:miter lim="800000"/>
                      <a:headEnd/>
                      <a:tailEnd/>
                    </a:ln>
                  </pic:spPr>
                </pic:pic>
              </a:graphicData>
            </a:graphic>
          </wp:inline>
        </w:drawing>
      </w:r>
    </w:p>
    <w:p w14:paraId="2491C519">
      <w:pPr>
        <w:adjustRightInd/>
        <w:snapToGrid/>
        <w:spacing w:line="240" w:lineRule="auto"/>
        <w:ind w:firstLine="0" w:firstLineChars="0"/>
        <w:jc w:val="center"/>
        <w:rPr>
          <w:rFonts w:ascii="宋体" w:hAnsi="宋体" w:eastAsia="宋体" w:cs="Times New Roman"/>
          <w:color w:val="000000"/>
          <w:sz w:val="30"/>
          <w:szCs w:val="22"/>
        </w:rPr>
      </w:pPr>
    </w:p>
    <w:p w14:paraId="35353B91">
      <w:pPr>
        <w:adjustRightInd/>
        <w:snapToGrid/>
        <w:spacing w:line="360" w:lineRule="auto"/>
        <w:ind w:firstLine="1440" w:firstLineChars="400"/>
        <w:rPr>
          <w:rFonts w:ascii="宋体" w:hAnsi="宋体" w:eastAsia="宋体" w:cs="楷体"/>
          <w:color w:val="000000"/>
          <w:sz w:val="36"/>
          <w:szCs w:val="36"/>
        </w:rPr>
      </w:pPr>
    </w:p>
    <w:p w14:paraId="18928EC5">
      <w:pPr>
        <w:adjustRightInd/>
        <w:snapToGrid/>
        <w:spacing w:line="360" w:lineRule="auto"/>
        <w:ind w:firstLine="0" w:firstLineChars="0"/>
        <w:jc w:val="center"/>
        <w:rPr>
          <w:rFonts w:hint="eastAsia" w:ascii="宋体" w:hAnsi="宋体" w:eastAsia="宋体" w:cs="楷体"/>
          <w:color w:val="000000"/>
          <w:sz w:val="36"/>
          <w:szCs w:val="36"/>
          <w:lang w:val="en-US" w:eastAsia="zh-CN"/>
        </w:rPr>
      </w:pPr>
      <w:r>
        <w:rPr>
          <w:rFonts w:hint="eastAsia" w:ascii="宋体" w:hAnsi="宋体" w:eastAsia="宋体" w:cs="楷体"/>
          <w:color w:val="000000"/>
          <w:sz w:val="36"/>
          <w:szCs w:val="36"/>
        </w:rPr>
        <w:t>项目编号：</w:t>
      </w:r>
      <w:r>
        <w:rPr>
          <w:rFonts w:hint="eastAsia" w:ascii="宋体" w:hAnsi="宋体" w:eastAsia="宋体" w:cs="楷体"/>
          <w:color w:val="000000"/>
          <w:sz w:val="36"/>
          <w:szCs w:val="36"/>
          <w:lang w:val="en-US" w:eastAsia="zh-CN"/>
        </w:rPr>
        <w:t>陕州公开采购-2026-26</w:t>
      </w:r>
    </w:p>
    <w:p w14:paraId="02E3F9D7">
      <w:pPr>
        <w:adjustRightInd/>
        <w:snapToGrid/>
        <w:spacing w:line="360" w:lineRule="auto"/>
        <w:ind w:firstLine="0" w:firstLineChars="0"/>
        <w:jc w:val="center"/>
        <w:rPr>
          <w:rFonts w:hint="default" w:ascii="宋体" w:hAnsi="宋体" w:eastAsia="宋体" w:cs="楷体"/>
          <w:color w:val="000000"/>
          <w:sz w:val="36"/>
          <w:szCs w:val="36"/>
          <w:lang w:val="en-US" w:eastAsia="zh-CN"/>
        </w:rPr>
      </w:pPr>
      <w:r>
        <w:rPr>
          <w:rFonts w:hint="eastAsia" w:ascii="宋体" w:hAnsi="宋体" w:eastAsia="宋体" w:cs="楷体"/>
          <w:color w:val="000000"/>
          <w:sz w:val="36"/>
          <w:szCs w:val="36"/>
          <w:lang w:val="en-US" w:eastAsia="zh-CN"/>
        </w:rPr>
        <w:t xml:space="preserve">         </w:t>
      </w:r>
      <w:r>
        <w:rPr>
          <w:rFonts w:hint="eastAsia" w:ascii="宋体" w:hAnsi="宋体" w:eastAsia="宋体" w:cs="楷体"/>
          <w:color w:val="000000"/>
          <w:sz w:val="36"/>
          <w:szCs w:val="36"/>
        </w:rPr>
        <w:t>SZGZ[2026]136-ZC113</w:t>
      </w:r>
    </w:p>
    <w:p w14:paraId="3B16FFA8">
      <w:pPr>
        <w:adjustRightInd/>
        <w:snapToGrid/>
        <w:spacing w:line="360" w:lineRule="auto"/>
        <w:ind w:firstLine="0" w:firstLineChars="0"/>
        <w:rPr>
          <w:rFonts w:ascii="宋体" w:hAnsi="宋体" w:eastAsia="宋体" w:cs="楷体"/>
          <w:color w:val="000000"/>
          <w:sz w:val="36"/>
          <w:szCs w:val="36"/>
        </w:rPr>
      </w:pPr>
    </w:p>
    <w:p w14:paraId="3201A7D3">
      <w:pPr>
        <w:adjustRightInd/>
        <w:snapToGrid/>
        <w:spacing w:line="360" w:lineRule="auto"/>
        <w:ind w:firstLine="0" w:firstLineChars="0"/>
        <w:jc w:val="left"/>
        <w:rPr>
          <w:rFonts w:ascii="宋体" w:hAnsi="宋体" w:eastAsia="宋体" w:cs="楷体"/>
          <w:color w:val="000000"/>
          <w:sz w:val="36"/>
          <w:szCs w:val="36"/>
        </w:rPr>
      </w:pPr>
    </w:p>
    <w:p w14:paraId="1A13F2CE">
      <w:pPr>
        <w:adjustRightInd/>
        <w:snapToGrid/>
        <w:spacing w:line="360" w:lineRule="auto"/>
        <w:ind w:firstLine="1440" w:firstLineChars="400"/>
        <w:jc w:val="left"/>
        <w:rPr>
          <w:rFonts w:ascii="宋体" w:hAnsi="宋体" w:eastAsia="宋体" w:cs="楷体"/>
          <w:color w:val="000000"/>
          <w:sz w:val="36"/>
          <w:szCs w:val="36"/>
        </w:rPr>
      </w:pPr>
      <w:r>
        <w:rPr>
          <w:rFonts w:hint="eastAsia" w:ascii="宋体" w:hAnsi="宋体" w:eastAsia="宋体" w:cs="楷体"/>
          <w:color w:val="000000"/>
          <w:sz w:val="36"/>
          <w:szCs w:val="36"/>
        </w:rPr>
        <w:t>征 集 人：</w:t>
      </w:r>
      <w:r>
        <w:rPr>
          <w:rFonts w:hint="eastAsia" w:ascii="宋体" w:hAnsi="宋体" w:eastAsia="宋体" w:cs="楷体"/>
          <w:color w:val="000000"/>
          <w:sz w:val="36"/>
          <w:szCs w:val="36"/>
          <w:lang w:val="en-US" w:eastAsia="zh-CN"/>
        </w:rPr>
        <w:t>三门峡市</w:t>
      </w:r>
      <w:r>
        <w:rPr>
          <w:rFonts w:hint="eastAsia" w:ascii="宋体" w:hAnsi="宋体" w:eastAsia="宋体" w:cs="楷体"/>
          <w:color w:val="000000"/>
          <w:sz w:val="36"/>
          <w:szCs w:val="36"/>
        </w:rPr>
        <w:t>陕州区发展和改革委员会</w:t>
      </w:r>
    </w:p>
    <w:p w14:paraId="299D30B6">
      <w:pPr>
        <w:adjustRightInd/>
        <w:snapToGrid/>
        <w:spacing w:line="360" w:lineRule="auto"/>
        <w:ind w:firstLine="0" w:firstLineChars="0"/>
        <w:jc w:val="center"/>
        <w:rPr>
          <w:rFonts w:ascii="宋体" w:hAnsi="宋体" w:eastAsia="宋体" w:cs="楷体"/>
          <w:color w:val="000000"/>
          <w:sz w:val="36"/>
          <w:szCs w:val="36"/>
        </w:rPr>
      </w:pPr>
      <w:r>
        <w:rPr>
          <w:rFonts w:hint="eastAsia" w:ascii="宋体" w:hAnsi="宋体" w:eastAsia="宋体" w:cs="楷体"/>
          <w:color w:val="000000"/>
          <w:sz w:val="36"/>
          <w:szCs w:val="36"/>
        </w:rPr>
        <w:t>代理机构：河南飞洋建设工程咨询有限公司</w:t>
      </w:r>
    </w:p>
    <w:p w14:paraId="7DD5D4B8">
      <w:pPr>
        <w:adjustRightInd/>
        <w:snapToGrid/>
        <w:spacing w:line="360" w:lineRule="auto"/>
        <w:ind w:firstLine="1440" w:firstLineChars="400"/>
        <w:jc w:val="left"/>
        <w:rPr>
          <w:rFonts w:ascii="宋体" w:hAnsi="宋体" w:eastAsia="宋体" w:cs="楷体"/>
          <w:color w:val="000000"/>
          <w:sz w:val="32"/>
          <w:szCs w:val="32"/>
        </w:rPr>
      </w:pPr>
      <w:r>
        <w:rPr>
          <w:rFonts w:hint="eastAsia" w:ascii="宋体" w:hAnsi="宋体" w:eastAsia="宋体" w:cs="楷体"/>
          <w:color w:val="000000"/>
          <w:sz w:val="36"/>
          <w:szCs w:val="36"/>
        </w:rPr>
        <w:t>日    期：二零二</w:t>
      </w:r>
      <w:r>
        <w:rPr>
          <w:rFonts w:hint="eastAsia" w:ascii="宋体" w:hAnsi="宋体" w:eastAsia="宋体" w:cs="楷体"/>
          <w:color w:val="000000"/>
          <w:sz w:val="36"/>
          <w:szCs w:val="36"/>
          <w:lang w:val="en-US" w:eastAsia="zh-CN"/>
        </w:rPr>
        <w:t>六</w:t>
      </w:r>
      <w:r>
        <w:rPr>
          <w:rFonts w:hint="eastAsia" w:ascii="宋体" w:hAnsi="宋体" w:eastAsia="宋体" w:cs="楷体"/>
          <w:color w:val="000000"/>
          <w:sz w:val="36"/>
          <w:szCs w:val="36"/>
        </w:rPr>
        <w:t>年</w:t>
      </w:r>
      <w:r>
        <w:rPr>
          <w:rFonts w:hint="eastAsia" w:ascii="宋体" w:hAnsi="宋体" w:eastAsia="宋体" w:cs="楷体"/>
          <w:color w:val="000000"/>
          <w:sz w:val="36"/>
          <w:szCs w:val="36"/>
          <w:lang w:val="en-US" w:eastAsia="zh-CN"/>
        </w:rPr>
        <w:t>八</w:t>
      </w:r>
      <w:r>
        <w:rPr>
          <w:rFonts w:hint="eastAsia" w:ascii="宋体" w:hAnsi="宋体" w:eastAsia="宋体" w:cs="楷体"/>
          <w:color w:val="000000"/>
          <w:sz w:val="36"/>
          <w:szCs w:val="36"/>
        </w:rPr>
        <w:t>月</w:t>
      </w:r>
    </w:p>
    <w:p w14:paraId="2140FC4E">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both"/>
        <w:textAlignment w:val="baseline"/>
        <w:outlineLvl w:val="0"/>
        <w:rPr>
          <w:rFonts w:hint="eastAsia" w:ascii="黑体" w:hAnsi="黑体" w:eastAsia="黑体" w:cs="黑体"/>
          <w:b/>
          <w:bCs/>
          <w:kern w:val="0"/>
          <w:sz w:val="44"/>
          <w:szCs w:val="44"/>
          <w:highlight w:val="none"/>
        </w:rPr>
      </w:pPr>
    </w:p>
    <w:p w14:paraId="68DC70D0">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pPr>
    </w:p>
    <w:p w14:paraId="3ADF486C">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pPr>
    </w:p>
    <w:sdt>
      <w:sdtPr>
        <w:rPr>
          <w:rFonts w:ascii="宋体" w:hAnsi="宋体" w:eastAsia="宋体" w:cstheme="minorBidi"/>
          <w:kern w:val="2"/>
          <w:sz w:val="21"/>
          <w:szCs w:val="24"/>
          <w:highlight w:val="none"/>
          <w:lang w:val="en-US" w:eastAsia="zh-CN" w:bidi="ar-SA"/>
        </w:rPr>
        <w:id w:val="147475100"/>
        <w15:color w:val="DBDBDB"/>
        <w:docPartObj>
          <w:docPartGallery w:val="Table of Contents"/>
          <w:docPartUnique/>
        </w:docPartObj>
      </w:sdtPr>
      <w:sdtEndPr>
        <w:rPr>
          <w:rFonts w:hint="eastAsia" w:asciiTheme="minorEastAsia" w:hAnsiTheme="minorEastAsia" w:eastAsiaTheme="minorEastAsia" w:cstheme="minorEastAsia"/>
          <w:kern w:val="2"/>
          <w:sz w:val="21"/>
          <w:szCs w:val="24"/>
          <w:highlight w:val="none"/>
          <w:lang w:val="en-US" w:eastAsia="zh-CN" w:bidi="ar-SA"/>
        </w:rPr>
      </w:sdtEndPr>
      <w:sdtContent>
        <w:p w14:paraId="41E41EE5">
          <w:pPr>
            <w:spacing w:before="0" w:beforeLines="0" w:after="0" w:afterLines="0" w:line="240" w:lineRule="auto"/>
            <w:ind w:left="0" w:leftChars="0" w:right="0" w:rightChars="0" w:firstLine="0" w:firstLineChars="0"/>
            <w:jc w:val="center"/>
            <w:rPr>
              <w:highlight w:val="none"/>
            </w:rPr>
          </w:pPr>
          <w:r>
            <w:rPr>
              <w:rFonts w:ascii="宋体" w:hAnsi="宋体" w:eastAsia="宋体"/>
              <w:sz w:val="21"/>
              <w:highlight w:val="none"/>
            </w:rPr>
            <w:t>目录</w:t>
          </w:r>
        </w:p>
        <w:p w14:paraId="3F57CD98">
          <w:pPr>
            <w:pStyle w:val="8"/>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TOC \o "1-2" \h \u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_Toc31257 </w:instrText>
          </w:r>
          <w:r>
            <w:rPr>
              <w:rFonts w:hint="eastAsia" w:asciiTheme="minorEastAsia" w:hAnsiTheme="minorEastAsia" w:eastAsiaTheme="minorEastAsia" w:cstheme="minorEastAsia"/>
              <w:highlight w:val="none"/>
            </w:rPr>
            <w:fldChar w:fldCharType="separate"/>
          </w:r>
          <w:r>
            <w:rPr>
              <w:rFonts w:hint="eastAsia" w:asciiTheme="majorEastAsia" w:hAnsiTheme="majorEastAsia" w:eastAsiaTheme="majorEastAsia" w:cstheme="majorEastAsia"/>
              <w:bCs/>
              <w:spacing w:val="176"/>
              <w:w w:val="100"/>
              <w:kern w:val="0"/>
              <w:szCs w:val="32"/>
              <w:highlight w:val="none"/>
              <w:fitText w:val="4268" w:id="1368224090"/>
            </w:rPr>
            <w:t>第一章 征集公</w:t>
          </w:r>
          <w:r>
            <w:rPr>
              <w:rFonts w:hint="eastAsia" w:asciiTheme="majorEastAsia" w:hAnsiTheme="majorEastAsia" w:eastAsiaTheme="majorEastAsia" w:cstheme="majorEastAsia"/>
              <w:bCs/>
              <w:spacing w:val="2"/>
              <w:w w:val="100"/>
              <w:kern w:val="0"/>
              <w:szCs w:val="32"/>
              <w:highlight w:val="none"/>
              <w:fitText w:val="4268" w:id="1368224090"/>
            </w:rPr>
            <w:t>告</w:t>
          </w:r>
          <w:r>
            <w:tab/>
          </w:r>
          <w:r>
            <w:fldChar w:fldCharType="begin"/>
          </w:r>
          <w:r>
            <w:instrText xml:space="preserve"> PAGEREF _Toc31257 \h </w:instrText>
          </w:r>
          <w:r>
            <w:fldChar w:fldCharType="separate"/>
          </w:r>
          <w:r>
            <w:t>4</w:t>
          </w:r>
          <w:r>
            <w:fldChar w:fldCharType="end"/>
          </w:r>
          <w:r>
            <w:rPr>
              <w:rFonts w:hint="eastAsia" w:asciiTheme="minorEastAsia" w:hAnsiTheme="minorEastAsia" w:eastAsiaTheme="minorEastAsia" w:cstheme="minorEastAsia"/>
              <w:highlight w:val="none"/>
            </w:rPr>
            <w:fldChar w:fldCharType="end"/>
          </w:r>
        </w:p>
        <w:p w14:paraId="53E4EB79">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_Toc5400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4"/>
              <w:highlight w:val="none"/>
            </w:rPr>
            <w:t>一、项目基本情况</w:t>
          </w:r>
          <w:r>
            <w:tab/>
          </w:r>
          <w:r>
            <w:fldChar w:fldCharType="begin"/>
          </w:r>
          <w:r>
            <w:instrText xml:space="preserve"> PAGEREF _Toc5400 \h </w:instrText>
          </w:r>
          <w:r>
            <w:fldChar w:fldCharType="separate"/>
          </w:r>
          <w:r>
            <w:t>4</w:t>
          </w:r>
          <w:r>
            <w:fldChar w:fldCharType="end"/>
          </w:r>
          <w:r>
            <w:rPr>
              <w:rFonts w:hint="eastAsia" w:asciiTheme="minorEastAsia" w:hAnsiTheme="minorEastAsia" w:eastAsiaTheme="minorEastAsia" w:cstheme="minorEastAsia"/>
              <w:highlight w:val="none"/>
            </w:rPr>
            <w:fldChar w:fldCharType="end"/>
          </w:r>
        </w:p>
        <w:p w14:paraId="29C3AE14">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_Toc11176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4"/>
              <w:highlight w:val="none"/>
            </w:rPr>
            <w:t>二、 供应商资格要求</w:t>
          </w:r>
          <w:r>
            <w:tab/>
          </w:r>
          <w:r>
            <w:fldChar w:fldCharType="begin"/>
          </w:r>
          <w:r>
            <w:instrText xml:space="preserve"> PAGEREF _Toc11176 \h </w:instrText>
          </w:r>
          <w:r>
            <w:fldChar w:fldCharType="separate"/>
          </w:r>
          <w:r>
            <w:t>5</w:t>
          </w:r>
          <w:r>
            <w:fldChar w:fldCharType="end"/>
          </w:r>
          <w:r>
            <w:rPr>
              <w:rFonts w:hint="eastAsia" w:asciiTheme="minorEastAsia" w:hAnsiTheme="minorEastAsia" w:eastAsiaTheme="minorEastAsia" w:cstheme="minorEastAsia"/>
              <w:highlight w:val="none"/>
            </w:rPr>
            <w:fldChar w:fldCharType="end"/>
          </w:r>
        </w:p>
        <w:p w14:paraId="5E5D2650">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_Toc837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4"/>
              <w:highlight w:val="none"/>
              <w:lang w:eastAsia="zh-CN"/>
            </w:rPr>
            <w:t>三、</w:t>
          </w:r>
          <w:r>
            <w:rPr>
              <w:rFonts w:hint="eastAsia" w:asciiTheme="minorEastAsia" w:hAnsiTheme="minorEastAsia" w:eastAsiaTheme="minorEastAsia" w:cstheme="minorEastAsia"/>
              <w:bCs w:val="0"/>
              <w:szCs w:val="24"/>
              <w:highlight w:val="none"/>
            </w:rPr>
            <w:t>征集文件获取方式</w:t>
          </w:r>
          <w:r>
            <w:tab/>
          </w:r>
          <w:r>
            <w:fldChar w:fldCharType="begin"/>
          </w:r>
          <w:r>
            <w:instrText xml:space="preserve"> PAGEREF _Toc837 \h </w:instrText>
          </w:r>
          <w:r>
            <w:fldChar w:fldCharType="separate"/>
          </w:r>
          <w:r>
            <w:t>5</w:t>
          </w:r>
          <w:r>
            <w:fldChar w:fldCharType="end"/>
          </w:r>
          <w:r>
            <w:rPr>
              <w:rFonts w:hint="eastAsia" w:asciiTheme="minorEastAsia" w:hAnsiTheme="minorEastAsia" w:eastAsiaTheme="minorEastAsia" w:cstheme="minorEastAsia"/>
              <w:highlight w:val="none"/>
            </w:rPr>
            <w:fldChar w:fldCharType="end"/>
          </w:r>
        </w:p>
        <w:p w14:paraId="25C2A1D6">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_Toc29879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4"/>
              <w:highlight w:val="none"/>
              <w:lang w:eastAsia="zh-CN"/>
            </w:rPr>
            <w:t>四、投标截止时间及地点</w:t>
          </w:r>
          <w:r>
            <w:tab/>
          </w:r>
          <w:r>
            <w:fldChar w:fldCharType="begin"/>
          </w:r>
          <w:r>
            <w:instrText xml:space="preserve"> PAGEREF _Toc29879 \h </w:instrText>
          </w:r>
          <w:r>
            <w:fldChar w:fldCharType="separate"/>
          </w:r>
          <w:r>
            <w:t>6</w:t>
          </w:r>
          <w:r>
            <w:fldChar w:fldCharType="end"/>
          </w:r>
          <w:r>
            <w:rPr>
              <w:rFonts w:hint="eastAsia" w:asciiTheme="minorEastAsia" w:hAnsiTheme="minorEastAsia" w:eastAsiaTheme="minorEastAsia" w:cstheme="minorEastAsia"/>
              <w:highlight w:val="none"/>
            </w:rPr>
            <w:fldChar w:fldCharType="end"/>
          </w:r>
        </w:p>
        <w:p w14:paraId="2E123B42">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_Toc6386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4"/>
              <w:highlight w:val="none"/>
              <w:lang w:eastAsia="zh-CN"/>
            </w:rPr>
            <w:t>五、投标保证金</w:t>
          </w:r>
          <w:r>
            <w:tab/>
          </w:r>
          <w:r>
            <w:fldChar w:fldCharType="begin"/>
          </w:r>
          <w:r>
            <w:instrText xml:space="preserve"> PAGEREF _Toc6386 \h </w:instrText>
          </w:r>
          <w:r>
            <w:fldChar w:fldCharType="separate"/>
          </w:r>
          <w:r>
            <w:t>6</w:t>
          </w:r>
          <w:r>
            <w:fldChar w:fldCharType="end"/>
          </w:r>
          <w:r>
            <w:rPr>
              <w:rFonts w:hint="eastAsia" w:asciiTheme="minorEastAsia" w:hAnsiTheme="minorEastAsia" w:eastAsiaTheme="minorEastAsia" w:cstheme="minorEastAsia"/>
              <w:highlight w:val="none"/>
            </w:rPr>
            <w:fldChar w:fldCharType="end"/>
          </w:r>
        </w:p>
        <w:p w14:paraId="3B884AD5">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_Toc24120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4"/>
              <w:highlight w:val="none"/>
              <w:lang w:eastAsia="zh-CN"/>
            </w:rPr>
            <w:t>六、开标时间及地点</w:t>
          </w:r>
          <w:r>
            <w:tab/>
          </w:r>
          <w:r>
            <w:fldChar w:fldCharType="begin"/>
          </w:r>
          <w:r>
            <w:instrText xml:space="preserve"> PAGEREF _Toc24120 \h </w:instrText>
          </w:r>
          <w:r>
            <w:fldChar w:fldCharType="separate"/>
          </w:r>
          <w:r>
            <w:t>6</w:t>
          </w:r>
          <w:r>
            <w:fldChar w:fldCharType="end"/>
          </w:r>
          <w:r>
            <w:rPr>
              <w:rFonts w:hint="eastAsia" w:asciiTheme="minorEastAsia" w:hAnsiTheme="minorEastAsia" w:eastAsiaTheme="minorEastAsia" w:cstheme="minorEastAsia"/>
              <w:highlight w:val="none"/>
            </w:rPr>
            <w:fldChar w:fldCharType="end"/>
          </w:r>
        </w:p>
        <w:p w14:paraId="54F5B80D">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_Toc25970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4"/>
              <w:highlight w:val="none"/>
              <w:lang w:eastAsia="zh-CN"/>
            </w:rPr>
            <w:t>七、发布公告的媒介及招标公告期限</w:t>
          </w:r>
          <w:r>
            <w:tab/>
          </w:r>
          <w:r>
            <w:fldChar w:fldCharType="begin"/>
          </w:r>
          <w:r>
            <w:instrText xml:space="preserve"> PAGEREF _Toc25970 \h </w:instrText>
          </w:r>
          <w:r>
            <w:fldChar w:fldCharType="separate"/>
          </w:r>
          <w:r>
            <w:t>6</w:t>
          </w:r>
          <w:r>
            <w:fldChar w:fldCharType="end"/>
          </w:r>
          <w:r>
            <w:rPr>
              <w:rFonts w:hint="eastAsia" w:asciiTheme="minorEastAsia" w:hAnsiTheme="minorEastAsia" w:eastAsiaTheme="minorEastAsia" w:cstheme="minorEastAsia"/>
              <w:highlight w:val="none"/>
            </w:rPr>
            <w:fldChar w:fldCharType="end"/>
          </w:r>
        </w:p>
        <w:p w14:paraId="5CC077AF">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_Toc17360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4"/>
              <w:highlight w:val="none"/>
              <w:lang w:eastAsia="zh-CN"/>
            </w:rPr>
            <w:t>八、 其他补充事宜</w:t>
          </w:r>
          <w:r>
            <w:tab/>
          </w:r>
          <w:r>
            <w:fldChar w:fldCharType="begin"/>
          </w:r>
          <w:r>
            <w:instrText xml:space="preserve"> PAGEREF _Toc17360 \h </w:instrText>
          </w:r>
          <w:r>
            <w:fldChar w:fldCharType="separate"/>
          </w:r>
          <w:r>
            <w:t>6</w:t>
          </w:r>
          <w:r>
            <w:fldChar w:fldCharType="end"/>
          </w:r>
          <w:r>
            <w:rPr>
              <w:rFonts w:hint="eastAsia" w:asciiTheme="minorEastAsia" w:hAnsiTheme="minorEastAsia" w:eastAsiaTheme="minorEastAsia" w:cstheme="minorEastAsia"/>
              <w:highlight w:val="none"/>
            </w:rPr>
            <w:fldChar w:fldCharType="end"/>
          </w:r>
        </w:p>
        <w:p w14:paraId="11B4C08A">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_Toc8454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4"/>
              <w:highlight w:val="none"/>
              <w:lang w:eastAsia="zh-CN"/>
            </w:rPr>
            <w:t>九、联系方式</w:t>
          </w:r>
          <w:r>
            <w:tab/>
          </w:r>
          <w:r>
            <w:fldChar w:fldCharType="begin"/>
          </w:r>
          <w:r>
            <w:instrText xml:space="preserve"> PAGEREF _Toc8454 \h </w:instrText>
          </w:r>
          <w:r>
            <w:fldChar w:fldCharType="separate"/>
          </w:r>
          <w:r>
            <w:t>7</w:t>
          </w:r>
          <w:r>
            <w:fldChar w:fldCharType="end"/>
          </w:r>
          <w:r>
            <w:rPr>
              <w:rFonts w:hint="eastAsia" w:asciiTheme="minorEastAsia" w:hAnsiTheme="minorEastAsia" w:eastAsiaTheme="minorEastAsia" w:cstheme="minorEastAsia"/>
              <w:highlight w:val="none"/>
            </w:rPr>
            <w:fldChar w:fldCharType="end"/>
          </w:r>
        </w:p>
        <w:p w14:paraId="76A404BA">
          <w:pPr>
            <w:pStyle w:val="8"/>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_Toc25376 </w:instrText>
          </w:r>
          <w:r>
            <w:rPr>
              <w:rFonts w:hint="eastAsia" w:asciiTheme="minorEastAsia" w:hAnsiTheme="minorEastAsia" w:eastAsiaTheme="minorEastAsia" w:cstheme="minorEastAsia"/>
              <w:highlight w:val="none"/>
            </w:rPr>
            <w:fldChar w:fldCharType="separate"/>
          </w:r>
          <w:r>
            <w:rPr>
              <w:rFonts w:hint="eastAsia" w:asciiTheme="majorEastAsia" w:hAnsiTheme="majorEastAsia" w:eastAsiaTheme="majorEastAsia" w:cstheme="majorEastAsia"/>
              <w:bCs/>
              <w:spacing w:val="139"/>
              <w:w w:val="100"/>
              <w:kern w:val="0"/>
              <w:szCs w:val="32"/>
              <w:highlight w:val="none"/>
              <w:fitText w:val="4268" w:id="1912936842"/>
            </w:rPr>
            <w:t>第二章 供应商须</w:t>
          </w:r>
          <w:r>
            <w:rPr>
              <w:rFonts w:hint="eastAsia" w:asciiTheme="majorEastAsia" w:hAnsiTheme="majorEastAsia" w:eastAsiaTheme="majorEastAsia" w:cstheme="majorEastAsia"/>
              <w:bCs/>
              <w:spacing w:val="2"/>
              <w:w w:val="100"/>
              <w:kern w:val="0"/>
              <w:szCs w:val="32"/>
              <w:highlight w:val="none"/>
              <w:fitText w:val="4268" w:id="1912936842"/>
            </w:rPr>
            <w:t>知</w:t>
          </w:r>
          <w:r>
            <w:tab/>
          </w:r>
          <w:r>
            <w:fldChar w:fldCharType="begin"/>
          </w:r>
          <w:r>
            <w:instrText xml:space="preserve"> PAGEREF _Toc25376 \h </w:instrText>
          </w:r>
          <w:r>
            <w:fldChar w:fldCharType="separate"/>
          </w:r>
          <w:r>
            <w:t>8</w:t>
          </w:r>
          <w:r>
            <w:fldChar w:fldCharType="end"/>
          </w:r>
          <w:r>
            <w:rPr>
              <w:rFonts w:hint="eastAsia" w:asciiTheme="minorEastAsia" w:hAnsiTheme="minorEastAsia" w:eastAsiaTheme="minorEastAsia" w:cstheme="minorEastAsia"/>
              <w:highlight w:val="none"/>
            </w:rPr>
            <w:fldChar w:fldCharType="end"/>
          </w:r>
        </w:p>
        <w:p w14:paraId="665C7269">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_Toc1931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eastAsia="zh-CN"/>
            </w:rPr>
            <w:t>一、总则</w:t>
          </w:r>
          <w:r>
            <w:tab/>
          </w:r>
          <w:r>
            <w:fldChar w:fldCharType="begin"/>
          </w:r>
          <w:r>
            <w:instrText xml:space="preserve"> PAGEREF _Toc1931 \h </w:instrText>
          </w:r>
          <w:r>
            <w:fldChar w:fldCharType="separate"/>
          </w:r>
          <w:r>
            <w:t>13</w:t>
          </w:r>
          <w:r>
            <w:fldChar w:fldCharType="end"/>
          </w:r>
          <w:r>
            <w:rPr>
              <w:rFonts w:hint="eastAsia" w:asciiTheme="minorEastAsia" w:hAnsiTheme="minorEastAsia" w:eastAsiaTheme="minorEastAsia" w:cstheme="minorEastAsia"/>
              <w:highlight w:val="none"/>
            </w:rPr>
            <w:fldChar w:fldCharType="end"/>
          </w:r>
        </w:p>
        <w:p w14:paraId="200635D8">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_Toc12882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eastAsia="zh-CN"/>
            </w:rPr>
            <w:t>二、征集文件</w:t>
          </w:r>
          <w:r>
            <w:tab/>
          </w:r>
          <w:r>
            <w:fldChar w:fldCharType="begin"/>
          </w:r>
          <w:r>
            <w:instrText xml:space="preserve"> PAGEREF _Toc12882 \h </w:instrText>
          </w:r>
          <w:r>
            <w:fldChar w:fldCharType="separate"/>
          </w:r>
          <w:r>
            <w:t>15</w:t>
          </w:r>
          <w:r>
            <w:fldChar w:fldCharType="end"/>
          </w:r>
          <w:r>
            <w:rPr>
              <w:rFonts w:hint="eastAsia" w:asciiTheme="minorEastAsia" w:hAnsiTheme="minorEastAsia" w:eastAsiaTheme="minorEastAsia" w:cstheme="minorEastAsia"/>
              <w:highlight w:val="none"/>
            </w:rPr>
            <w:fldChar w:fldCharType="end"/>
          </w:r>
        </w:p>
        <w:p w14:paraId="619F405E">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_Toc8536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eastAsia="zh-CN"/>
            </w:rPr>
            <w:t>三、响应文件的编制</w:t>
          </w:r>
          <w:r>
            <w:tab/>
          </w:r>
          <w:r>
            <w:fldChar w:fldCharType="begin"/>
          </w:r>
          <w:r>
            <w:instrText xml:space="preserve"> PAGEREF _Toc8536 \h </w:instrText>
          </w:r>
          <w:r>
            <w:fldChar w:fldCharType="separate"/>
          </w:r>
          <w:r>
            <w:t>16</w:t>
          </w:r>
          <w:r>
            <w:fldChar w:fldCharType="end"/>
          </w:r>
          <w:r>
            <w:rPr>
              <w:rFonts w:hint="eastAsia" w:asciiTheme="minorEastAsia" w:hAnsiTheme="minorEastAsia" w:eastAsiaTheme="minorEastAsia" w:cstheme="minorEastAsia"/>
              <w:highlight w:val="none"/>
            </w:rPr>
            <w:fldChar w:fldCharType="end"/>
          </w:r>
        </w:p>
        <w:p w14:paraId="70C7351A">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_Toc8166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eastAsia="zh-CN"/>
            </w:rPr>
            <w:t>四、响应文件的上传</w:t>
          </w:r>
          <w:r>
            <w:tab/>
          </w:r>
          <w:r>
            <w:fldChar w:fldCharType="begin"/>
          </w:r>
          <w:r>
            <w:instrText xml:space="preserve"> PAGEREF _Toc8166 \h </w:instrText>
          </w:r>
          <w:r>
            <w:fldChar w:fldCharType="separate"/>
          </w:r>
          <w:r>
            <w:t>17</w:t>
          </w:r>
          <w:r>
            <w:fldChar w:fldCharType="end"/>
          </w:r>
          <w:r>
            <w:rPr>
              <w:rFonts w:hint="eastAsia" w:asciiTheme="minorEastAsia" w:hAnsiTheme="minorEastAsia" w:eastAsiaTheme="minorEastAsia" w:cstheme="minorEastAsia"/>
              <w:highlight w:val="none"/>
            </w:rPr>
            <w:fldChar w:fldCharType="end"/>
          </w:r>
        </w:p>
        <w:p w14:paraId="2C028851">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_Toc13388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eastAsia="zh-CN"/>
            </w:rPr>
            <w:t>五、开启</w:t>
          </w:r>
          <w:r>
            <w:tab/>
          </w:r>
          <w:r>
            <w:fldChar w:fldCharType="begin"/>
          </w:r>
          <w:r>
            <w:instrText xml:space="preserve"> PAGEREF _Toc13388 \h </w:instrText>
          </w:r>
          <w:r>
            <w:fldChar w:fldCharType="separate"/>
          </w:r>
          <w:r>
            <w:t>18</w:t>
          </w:r>
          <w:r>
            <w:fldChar w:fldCharType="end"/>
          </w:r>
          <w:r>
            <w:rPr>
              <w:rFonts w:hint="eastAsia" w:asciiTheme="minorEastAsia" w:hAnsiTheme="minorEastAsia" w:eastAsiaTheme="minorEastAsia" w:cstheme="minorEastAsia"/>
              <w:highlight w:val="none"/>
            </w:rPr>
            <w:fldChar w:fldCharType="end"/>
          </w:r>
        </w:p>
        <w:p w14:paraId="54733DC5">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_Toc11800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eastAsia="zh-CN"/>
            </w:rPr>
            <w:t>六、评审与定标</w:t>
          </w:r>
          <w:r>
            <w:tab/>
          </w:r>
          <w:r>
            <w:fldChar w:fldCharType="begin"/>
          </w:r>
          <w:r>
            <w:instrText xml:space="preserve"> PAGEREF _Toc11800 \h </w:instrText>
          </w:r>
          <w:r>
            <w:fldChar w:fldCharType="separate"/>
          </w:r>
          <w:r>
            <w:t>19</w:t>
          </w:r>
          <w:r>
            <w:fldChar w:fldCharType="end"/>
          </w:r>
          <w:r>
            <w:rPr>
              <w:rFonts w:hint="eastAsia" w:asciiTheme="minorEastAsia" w:hAnsiTheme="minorEastAsia" w:eastAsiaTheme="minorEastAsia" w:cstheme="minorEastAsia"/>
              <w:highlight w:val="none"/>
            </w:rPr>
            <w:fldChar w:fldCharType="end"/>
          </w:r>
        </w:p>
        <w:p w14:paraId="458BF98C">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_Toc9765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eastAsia="zh-CN"/>
            </w:rPr>
            <w:t>七、签订框架协议</w:t>
          </w:r>
          <w:r>
            <w:tab/>
          </w:r>
          <w:r>
            <w:fldChar w:fldCharType="begin"/>
          </w:r>
          <w:r>
            <w:instrText xml:space="preserve"> PAGEREF _Toc9765 \h </w:instrText>
          </w:r>
          <w:r>
            <w:fldChar w:fldCharType="separate"/>
          </w:r>
          <w:r>
            <w:t>20</w:t>
          </w:r>
          <w:r>
            <w:fldChar w:fldCharType="end"/>
          </w:r>
          <w:r>
            <w:rPr>
              <w:rFonts w:hint="eastAsia" w:asciiTheme="minorEastAsia" w:hAnsiTheme="minorEastAsia" w:eastAsiaTheme="minorEastAsia" w:cstheme="minorEastAsia"/>
              <w:highlight w:val="none"/>
            </w:rPr>
            <w:fldChar w:fldCharType="end"/>
          </w:r>
        </w:p>
        <w:p w14:paraId="5B9FE4A6">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_Toc11870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eastAsia="zh-CN"/>
            </w:rPr>
            <w:t>八、授予合同</w:t>
          </w:r>
          <w:r>
            <w:tab/>
          </w:r>
          <w:r>
            <w:fldChar w:fldCharType="begin"/>
          </w:r>
          <w:r>
            <w:instrText xml:space="preserve"> PAGEREF _Toc11870 \h </w:instrText>
          </w:r>
          <w:r>
            <w:fldChar w:fldCharType="separate"/>
          </w:r>
          <w:r>
            <w:t>22</w:t>
          </w:r>
          <w:r>
            <w:fldChar w:fldCharType="end"/>
          </w:r>
          <w:r>
            <w:rPr>
              <w:rFonts w:hint="eastAsia" w:asciiTheme="minorEastAsia" w:hAnsiTheme="minorEastAsia" w:eastAsiaTheme="minorEastAsia" w:cstheme="minorEastAsia"/>
              <w:highlight w:val="none"/>
            </w:rPr>
            <w:fldChar w:fldCharType="end"/>
          </w:r>
        </w:p>
        <w:p w14:paraId="7BAC3AC3">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_Toc8840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val="en-US" w:eastAsia="zh-CN"/>
            </w:rPr>
            <w:t>九、质疑和投诉</w:t>
          </w:r>
          <w:r>
            <w:tab/>
          </w:r>
          <w:r>
            <w:fldChar w:fldCharType="begin"/>
          </w:r>
          <w:r>
            <w:instrText xml:space="preserve"> PAGEREF _Toc8840 \h </w:instrText>
          </w:r>
          <w:r>
            <w:fldChar w:fldCharType="separate"/>
          </w:r>
          <w:r>
            <w:t>23</w:t>
          </w:r>
          <w:r>
            <w:fldChar w:fldCharType="end"/>
          </w:r>
          <w:r>
            <w:rPr>
              <w:rFonts w:hint="eastAsia" w:asciiTheme="minorEastAsia" w:hAnsiTheme="minorEastAsia" w:eastAsiaTheme="minorEastAsia" w:cstheme="minorEastAsia"/>
              <w:highlight w:val="none"/>
            </w:rPr>
            <w:fldChar w:fldCharType="end"/>
          </w:r>
        </w:p>
        <w:p w14:paraId="0544D999">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_Toc17855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val="en-US" w:eastAsia="zh-CN"/>
            </w:rPr>
            <w:t>十、其他</w:t>
          </w:r>
          <w:r>
            <w:tab/>
          </w:r>
          <w:r>
            <w:fldChar w:fldCharType="begin"/>
          </w:r>
          <w:r>
            <w:instrText xml:space="preserve"> PAGEREF _Toc17855 \h </w:instrText>
          </w:r>
          <w:r>
            <w:fldChar w:fldCharType="separate"/>
          </w:r>
          <w:r>
            <w:t>23</w:t>
          </w:r>
          <w:r>
            <w:fldChar w:fldCharType="end"/>
          </w:r>
          <w:r>
            <w:rPr>
              <w:rFonts w:hint="eastAsia" w:asciiTheme="minorEastAsia" w:hAnsiTheme="minorEastAsia" w:eastAsiaTheme="minorEastAsia" w:cstheme="minorEastAsia"/>
              <w:highlight w:val="none"/>
            </w:rPr>
            <w:fldChar w:fldCharType="end"/>
          </w:r>
        </w:p>
        <w:p w14:paraId="603FCA40">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_Toc10859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val="en-US" w:eastAsia="zh-CN"/>
            </w:rPr>
            <w:t>一、总则</w:t>
          </w:r>
          <w:r>
            <w:tab/>
          </w:r>
          <w:r>
            <w:fldChar w:fldCharType="begin"/>
          </w:r>
          <w:r>
            <w:instrText xml:space="preserve"> PAGEREF _Toc10859 \h </w:instrText>
          </w:r>
          <w:r>
            <w:fldChar w:fldCharType="separate"/>
          </w:r>
          <w:r>
            <w:t>25</w:t>
          </w:r>
          <w:r>
            <w:fldChar w:fldCharType="end"/>
          </w:r>
          <w:r>
            <w:rPr>
              <w:rFonts w:hint="eastAsia" w:asciiTheme="minorEastAsia" w:hAnsiTheme="minorEastAsia" w:eastAsiaTheme="minorEastAsia" w:cstheme="minorEastAsia"/>
              <w:highlight w:val="none"/>
            </w:rPr>
            <w:fldChar w:fldCharType="end"/>
          </w:r>
        </w:p>
        <w:p w14:paraId="5E10F0B7">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_Toc26911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val="en-US" w:eastAsia="zh-CN"/>
            </w:rPr>
            <w:t>二、 评审标准</w:t>
          </w:r>
          <w:r>
            <w:tab/>
          </w:r>
          <w:r>
            <w:fldChar w:fldCharType="begin"/>
          </w:r>
          <w:r>
            <w:instrText xml:space="preserve"> PAGEREF _Toc26911 \h </w:instrText>
          </w:r>
          <w:r>
            <w:fldChar w:fldCharType="separate"/>
          </w:r>
          <w:r>
            <w:t>25</w:t>
          </w:r>
          <w:r>
            <w:fldChar w:fldCharType="end"/>
          </w:r>
          <w:r>
            <w:rPr>
              <w:rFonts w:hint="eastAsia" w:asciiTheme="minorEastAsia" w:hAnsiTheme="minorEastAsia" w:eastAsiaTheme="minorEastAsia" w:cstheme="minorEastAsia"/>
              <w:highlight w:val="none"/>
            </w:rPr>
            <w:fldChar w:fldCharType="end"/>
          </w:r>
        </w:p>
        <w:p w14:paraId="3A1E1E1F">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_Toc14517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val="0"/>
              <w:szCs w:val="28"/>
              <w:highlight w:val="none"/>
              <w:lang w:val="en-US" w:eastAsia="zh-CN"/>
            </w:rPr>
            <w:t>3. 评审程序</w:t>
          </w:r>
          <w:r>
            <w:tab/>
          </w:r>
          <w:r>
            <w:fldChar w:fldCharType="begin"/>
          </w:r>
          <w:r>
            <w:instrText xml:space="preserve"> PAGEREF _Toc14517 \h </w:instrText>
          </w:r>
          <w:r>
            <w:fldChar w:fldCharType="separate"/>
          </w:r>
          <w:r>
            <w:t>25</w:t>
          </w:r>
          <w:r>
            <w:fldChar w:fldCharType="end"/>
          </w:r>
          <w:r>
            <w:rPr>
              <w:rFonts w:hint="eastAsia" w:asciiTheme="minorEastAsia" w:hAnsiTheme="minorEastAsia" w:eastAsiaTheme="minorEastAsia" w:cstheme="minorEastAsia"/>
              <w:highlight w:val="none"/>
            </w:rPr>
            <w:fldChar w:fldCharType="end"/>
          </w:r>
        </w:p>
        <w:p w14:paraId="3BCDB201">
          <w:pPr>
            <w:pStyle w:val="8"/>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_Toc14252 </w:instrText>
          </w:r>
          <w:r>
            <w:rPr>
              <w:rFonts w:hint="eastAsia" w:asciiTheme="minorEastAsia" w:hAnsiTheme="minorEastAsia" w:eastAsiaTheme="minorEastAsia" w:cstheme="minorEastAsia"/>
              <w:highlight w:val="none"/>
            </w:rPr>
            <w:fldChar w:fldCharType="separate"/>
          </w:r>
          <w:r>
            <w:rPr>
              <w:rFonts w:hint="eastAsia" w:asciiTheme="majorEastAsia" w:hAnsiTheme="majorEastAsia" w:eastAsiaTheme="majorEastAsia" w:cstheme="majorEastAsia"/>
              <w:bCs/>
              <w:spacing w:val="109"/>
              <w:w w:val="100"/>
              <w:kern w:val="0"/>
              <w:szCs w:val="32"/>
              <w:highlight w:val="none"/>
              <w:fitText w:val="4250" w:id="269506735"/>
            </w:rPr>
            <w:t>第四章 框架协议文</w:t>
          </w:r>
          <w:r>
            <w:rPr>
              <w:rFonts w:hint="eastAsia" w:asciiTheme="majorEastAsia" w:hAnsiTheme="majorEastAsia" w:eastAsiaTheme="majorEastAsia" w:cstheme="majorEastAsia"/>
              <w:bCs/>
              <w:spacing w:val="4"/>
              <w:w w:val="100"/>
              <w:kern w:val="0"/>
              <w:szCs w:val="32"/>
              <w:highlight w:val="none"/>
              <w:fitText w:val="4250" w:id="269506735"/>
            </w:rPr>
            <w:t>本</w:t>
          </w:r>
          <w:r>
            <w:tab/>
          </w:r>
          <w:r>
            <w:fldChar w:fldCharType="begin"/>
          </w:r>
          <w:r>
            <w:instrText xml:space="preserve"> PAGEREF _Toc14252 \h </w:instrText>
          </w:r>
          <w:r>
            <w:fldChar w:fldCharType="separate"/>
          </w:r>
          <w:r>
            <w:t>34</w:t>
          </w:r>
          <w:r>
            <w:fldChar w:fldCharType="end"/>
          </w:r>
          <w:r>
            <w:rPr>
              <w:rFonts w:hint="eastAsia" w:asciiTheme="minorEastAsia" w:hAnsiTheme="minorEastAsia" w:eastAsiaTheme="minorEastAsia" w:cstheme="minorEastAsia"/>
              <w:highlight w:val="none"/>
            </w:rPr>
            <w:fldChar w:fldCharType="end"/>
          </w:r>
        </w:p>
        <w:p w14:paraId="3E143607">
          <w:pPr>
            <w:pStyle w:val="8"/>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_Toc7223 </w:instrText>
          </w:r>
          <w:r>
            <w:rPr>
              <w:rFonts w:hint="eastAsia" w:asciiTheme="minorEastAsia" w:hAnsiTheme="minorEastAsia" w:eastAsiaTheme="minorEastAsia" w:cstheme="minorEastAsia"/>
              <w:highlight w:val="none"/>
            </w:rPr>
            <w:fldChar w:fldCharType="separate"/>
          </w:r>
          <w:r>
            <w:rPr>
              <w:rFonts w:hint="eastAsia" w:asciiTheme="majorEastAsia" w:hAnsiTheme="majorEastAsia" w:eastAsiaTheme="majorEastAsia" w:cstheme="majorEastAsia"/>
              <w:bCs/>
              <w:spacing w:val="86"/>
              <w:w w:val="100"/>
              <w:kern w:val="0"/>
              <w:szCs w:val="32"/>
              <w:highlight w:val="none"/>
              <w:fitText w:val="4250" w:id="2136814786"/>
            </w:rPr>
            <w:t>第五章 服务内容及要</w:t>
          </w:r>
          <w:r>
            <w:rPr>
              <w:rFonts w:hint="eastAsia" w:asciiTheme="majorEastAsia" w:hAnsiTheme="majorEastAsia" w:eastAsiaTheme="majorEastAsia" w:cstheme="majorEastAsia"/>
              <w:bCs/>
              <w:spacing w:val="5"/>
              <w:w w:val="100"/>
              <w:kern w:val="0"/>
              <w:szCs w:val="32"/>
              <w:highlight w:val="none"/>
              <w:fitText w:val="4250" w:id="2136814786"/>
            </w:rPr>
            <w:t>求</w:t>
          </w:r>
          <w:r>
            <w:tab/>
          </w:r>
          <w:r>
            <w:fldChar w:fldCharType="begin"/>
          </w:r>
          <w:r>
            <w:instrText xml:space="preserve"> PAGEREF _Toc7223 \h </w:instrText>
          </w:r>
          <w:r>
            <w:fldChar w:fldCharType="separate"/>
          </w:r>
          <w:r>
            <w:t>35</w:t>
          </w:r>
          <w:r>
            <w:fldChar w:fldCharType="end"/>
          </w:r>
          <w:r>
            <w:rPr>
              <w:rFonts w:hint="eastAsia" w:asciiTheme="minorEastAsia" w:hAnsiTheme="minorEastAsia" w:eastAsiaTheme="minorEastAsia" w:cstheme="minorEastAsia"/>
              <w:highlight w:val="none"/>
            </w:rPr>
            <w:fldChar w:fldCharType="end"/>
          </w:r>
        </w:p>
        <w:p w14:paraId="69A96DB6">
          <w:pPr>
            <w:pStyle w:val="8"/>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_Toc20019 </w:instrText>
          </w:r>
          <w:r>
            <w:rPr>
              <w:rFonts w:hint="eastAsia" w:asciiTheme="minorEastAsia" w:hAnsiTheme="minorEastAsia" w:eastAsiaTheme="minorEastAsia" w:cstheme="minorEastAsia"/>
              <w:highlight w:val="none"/>
            </w:rPr>
            <w:fldChar w:fldCharType="separate"/>
          </w:r>
          <w:r>
            <w:rPr>
              <w:rFonts w:hint="eastAsia" w:asciiTheme="majorEastAsia" w:hAnsiTheme="majorEastAsia" w:eastAsiaTheme="majorEastAsia" w:cstheme="majorEastAsia"/>
              <w:bCs/>
              <w:spacing w:val="109"/>
              <w:w w:val="100"/>
              <w:kern w:val="0"/>
              <w:szCs w:val="32"/>
              <w:highlight w:val="none"/>
              <w:fitText w:val="4250" w:id="770927077"/>
            </w:rPr>
            <w:t>第</w:t>
          </w:r>
          <w:r>
            <w:rPr>
              <w:rFonts w:hint="eastAsia" w:asciiTheme="majorEastAsia" w:hAnsiTheme="majorEastAsia" w:eastAsiaTheme="majorEastAsia" w:cstheme="majorEastAsia"/>
              <w:bCs/>
              <w:spacing w:val="109"/>
              <w:w w:val="100"/>
              <w:kern w:val="0"/>
              <w:szCs w:val="32"/>
              <w:highlight w:val="none"/>
              <w:fitText w:val="4250" w:id="770927077"/>
              <w:lang w:eastAsia="zh-CN"/>
            </w:rPr>
            <w:t>六</w:t>
          </w:r>
          <w:r>
            <w:rPr>
              <w:rFonts w:hint="eastAsia" w:asciiTheme="majorEastAsia" w:hAnsiTheme="majorEastAsia" w:eastAsiaTheme="majorEastAsia" w:cstheme="majorEastAsia"/>
              <w:bCs/>
              <w:spacing w:val="109"/>
              <w:w w:val="100"/>
              <w:kern w:val="0"/>
              <w:szCs w:val="32"/>
              <w:highlight w:val="none"/>
              <w:fitText w:val="4250" w:id="770927077"/>
            </w:rPr>
            <w:t>章 响应文件格</w:t>
          </w:r>
          <w:r>
            <w:rPr>
              <w:rFonts w:hint="eastAsia" w:asciiTheme="majorEastAsia" w:hAnsiTheme="majorEastAsia" w:eastAsiaTheme="majorEastAsia" w:cstheme="majorEastAsia"/>
              <w:bCs/>
              <w:spacing w:val="4"/>
              <w:w w:val="100"/>
              <w:kern w:val="0"/>
              <w:szCs w:val="32"/>
              <w:highlight w:val="none"/>
              <w:fitText w:val="4250" w:id="770927077"/>
            </w:rPr>
            <w:t>式</w:t>
          </w:r>
          <w:r>
            <w:tab/>
          </w:r>
          <w:r>
            <w:fldChar w:fldCharType="begin"/>
          </w:r>
          <w:r>
            <w:instrText xml:space="preserve"> PAGEREF _Toc20019 \h </w:instrText>
          </w:r>
          <w:r>
            <w:fldChar w:fldCharType="separate"/>
          </w:r>
          <w:r>
            <w:t>36</w:t>
          </w:r>
          <w:r>
            <w:fldChar w:fldCharType="end"/>
          </w:r>
          <w:r>
            <w:rPr>
              <w:rFonts w:hint="eastAsia" w:asciiTheme="minorEastAsia" w:hAnsiTheme="minorEastAsia" w:eastAsiaTheme="minorEastAsia" w:cstheme="minorEastAsia"/>
              <w:highlight w:val="none"/>
            </w:rPr>
            <w:fldChar w:fldCharType="end"/>
          </w:r>
        </w:p>
        <w:p w14:paraId="5D0448F6">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_Toc19858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一、响应函及响应函附录</w:t>
          </w:r>
          <w:r>
            <w:tab/>
          </w:r>
          <w:r>
            <w:fldChar w:fldCharType="begin"/>
          </w:r>
          <w:r>
            <w:instrText xml:space="preserve"> PAGEREF _Toc19858 \h </w:instrText>
          </w:r>
          <w:r>
            <w:fldChar w:fldCharType="separate"/>
          </w:r>
          <w:r>
            <w:t>38</w:t>
          </w:r>
          <w:r>
            <w:fldChar w:fldCharType="end"/>
          </w:r>
          <w:r>
            <w:rPr>
              <w:rFonts w:hint="eastAsia" w:asciiTheme="minorEastAsia" w:hAnsiTheme="minorEastAsia" w:eastAsiaTheme="minorEastAsia" w:cstheme="minorEastAsia"/>
              <w:highlight w:val="none"/>
            </w:rPr>
            <w:fldChar w:fldCharType="end"/>
          </w:r>
        </w:p>
        <w:p w14:paraId="44BAC204">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_Toc13038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二、法定代表人身份证明</w:t>
          </w:r>
          <w:r>
            <w:tab/>
          </w:r>
          <w:r>
            <w:fldChar w:fldCharType="begin"/>
          </w:r>
          <w:r>
            <w:instrText xml:space="preserve"> PAGEREF _Toc13038 \h </w:instrText>
          </w:r>
          <w:r>
            <w:fldChar w:fldCharType="separate"/>
          </w:r>
          <w:r>
            <w:t>40</w:t>
          </w:r>
          <w:r>
            <w:fldChar w:fldCharType="end"/>
          </w:r>
          <w:r>
            <w:rPr>
              <w:rFonts w:hint="eastAsia" w:asciiTheme="minorEastAsia" w:hAnsiTheme="minorEastAsia" w:eastAsiaTheme="minorEastAsia" w:cstheme="minorEastAsia"/>
              <w:highlight w:val="none"/>
            </w:rPr>
            <w:fldChar w:fldCharType="end"/>
          </w:r>
        </w:p>
        <w:p w14:paraId="4452817A">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_Toc11806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三、授权委托书</w:t>
          </w:r>
          <w:r>
            <w:tab/>
          </w:r>
          <w:r>
            <w:fldChar w:fldCharType="begin"/>
          </w:r>
          <w:r>
            <w:instrText xml:space="preserve"> PAGEREF _Toc11806 \h </w:instrText>
          </w:r>
          <w:r>
            <w:fldChar w:fldCharType="separate"/>
          </w:r>
          <w:r>
            <w:t>41</w:t>
          </w:r>
          <w:r>
            <w:fldChar w:fldCharType="end"/>
          </w:r>
          <w:r>
            <w:rPr>
              <w:rFonts w:hint="eastAsia" w:asciiTheme="minorEastAsia" w:hAnsiTheme="minorEastAsia" w:eastAsiaTheme="minorEastAsia" w:cstheme="minorEastAsia"/>
              <w:highlight w:val="none"/>
            </w:rPr>
            <w:fldChar w:fldCharType="end"/>
          </w:r>
        </w:p>
        <w:p w14:paraId="09877484">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_Toc31157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四、 响应承诺函</w:t>
          </w:r>
          <w:r>
            <w:tab/>
          </w:r>
          <w:r>
            <w:fldChar w:fldCharType="begin"/>
          </w:r>
          <w:r>
            <w:instrText xml:space="preserve"> PAGEREF _Toc31157 \h </w:instrText>
          </w:r>
          <w:r>
            <w:fldChar w:fldCharType="separate"/>
          </w:r>
          <w:r>
            <w:t>42</w:t>
          </w:r>
          <w:r>
            <w:fldChar w:fldCharType="end"/>
          </w:r>
          <w:r>
            <w:rPr>
              <w:rFonts w:hint="eastAsia" w:asciiTheme="minorEastAsia" w:hAnsiTheme="minorEastAsia" w:eastAsiaTheme="minorEastAsia" w:cstheme="minorEastAsia"/>
              <w:highlight w:val="none"/>
            </w:rPr>
            <w:fldChar w:fldCharType="end"/>
          </w:r>
        </w:p>
        <w:p w14:paraId="1EC72F69">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_Toc25260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五、项目技术方案</w:t>
          </w:r>
          <w:r>
            <w:tab/>
          </w:r>
          <w:r>
            <w:fldChar w:fldCharType="begin"/>
          </w:r>
          <w:r>
            <w:instrText xml:space="preserve"> PAGEREF _Toc25260 \h </w:instrText>
          </w:r>
          <w:r>
            <w:fldChar w:fldCharType="separate"/>
          </w:r>
          <w:r>
            <w:t>43</w:t>
          </w:r>
          <w:r>
            <w:fldChar w:fldCharType="end"/>
          </w:r>
          <w:r>
            <w:rPr>
              <w:rFonts w:hint="eastAsia" w:asciiTheme="minorEastAsia" w:hAnsiTheme="minorEastAsia" w:eastAsiaTheme="minorEastAsia" w:cstheme="minorEastAsia"/>
              <w:highlight w:val="none"/>
            </w:rPr>
            <w:fldChar w:fldCharType="end"/>
          </w:r>
        </w:p>
        <w:p w14:paraId="2236D8BA">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_Toc31494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六、项目服务承诺</w:t>
          </w:r>
          <w:r>
            <w:tab/>
          </w:r>
          <w:r>
            <w:fldChar w:fldCharType="begin"/>
          </w:r>
          <w:r>
            <w:instrText xml:space="preserve"> PAGEREF _Toc31494 \h </w:instrText>
          </w:r>
          <w:r>
            <w:fldChar w:fldCharType="separate"/>
          </w:r>
          <w:r>
            <w:t>44</w:t>
          </w:r>
          <w:r>
            <w:fldChar w:fldCharType="end"/>
          </w:r>
          <w:r>
            <w:rPr>
              <w:rFonts w:hint="eastAsia" w:asciiTheme="minorEastAsia" w:hAnsiTheme="minorEastAsia" w:eastAsiaTheme="minorEastAsia" w:cstheme="minorEastAsia"/>
              <w:highlight w:val="none"/>
            </w:rPr>
            <w:fldChar w:fldCharType="end"/>
          </w:r>
        </w:p>
        <w:p w14:paraId="591C2957">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_Toc21737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七、项目管理机构</w:t>
          </w:r>
          <w:r>
            <w:tab/>
          </w:r>
          <w:r>
            <w:fldChar w:fldCharType="begin"/>
          </w:r>
          <w:r>
            <w:instrText xml:space="preserve"> PAGEREF _Toc21737 \h </w:instrText>
          </w:r>
          <w:r>
            <w:fldChar w:fldCharType="separate"/>
          </w:r>
          <w:r>
            <w:t>45</w:t>
          </w:r>
          <w:r>
            <w:fldChar w:fldCharType="end"/>
          </w:r>
          <w:r>
            <w:rPr>
              <w:rFonts w:hint="eastAsia" w:asciiTheme="minorEastAsia" w:hAnsiTheme="minorEastAsia" w:eastAsiaTheme="minorEastAsia" w:cstheme="minorEastAsia"/>
              <w:highlight w:val="none"/>
            </w:rPr>
            <w:fldChar w:fldCharType="end"/>
          </w:r>
        </w:p>
        <w:p w14:paraId="18F7521E">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_Toc18523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八、供应商基本情况</w:t>
          </w:r>
          <w:r>
            <w:tab/>
          </w:r>
          <w:r>
            <w:fldChar w:fldCharType="begin"/>
          </w:r>
          <w:r>
            <w:instrText xml:space="preserve"> PAGEREF _Toc18523 \h </w:instrText>
          </w:r>
          <w:r>
            <w:fldChar w:fldCharType="separate"/>
          </w:r>
          <w:r>
            <w:t>48</w:t>
          </w:r>
          <w:r>
            <w:fldChar w:fldCharType="end"/>
          </w:r>
          <w:r>
            <w:rPr>
              <w:rFonts w:hint="eastAsia" w:asciiTheme="minorEastAsia" w:hAnsiTheme="minorEastAsia" w:eastAsiaTheme="minorEastAsia" w:cstheme="minorEastAsia"/>
              <w:highlight w:val="none"/>
            </w:rPr>
            <w:fldChar w:fldCharType="end"/>
          </w:r>
        </w:p>
        <w:p w14:paraId="78F7D0D5">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_Toc27877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九、供应商承诺书</w:t>
          </w:r>
          <w:r>
            <w:tab/>
          </w:r>
          <w:r>
            <w:fldChar w:fldCharType="begin"/>
          </w:r>
          <w:r>
            <w:instrText xml:space="preserve"> PAGEREF _Toc27877 \h </w:instrText>
          </w:r>
          <w:r>
            <w:fldChar w:fldCharType="separate"/>
          </w:r>
          <w:r>
            <w:t>50</w:t>
          </w:r>
          <w:r>
            <w:fldChar w:fldCharType="end"/>
          </w:r>
          <w:r>
            <w:rPr>
              <w:rFonts w:hint="eastAsia" w:asciiTheme="minorEastAsia" w:hAnsiTheme="minorEastAsia" w:eastAsiaTheme="minorEastAsia" w:cstheme="minorEastAsia"/>
              <w:highlight w:val="none"/>
            </w:rPr>
            <w:fldChar w:fldCharType="end"/>
          </w:r>
        </w:p>
        <w:p w14:paraId="537BE93D">
          <w:pPr>
            <w:pStyle w:val="9"/>
            <w:tabs>
              <w:tab w:val="right" w:leader="dot" w:pos="9623"/>
            </w:tabs>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_Toc15382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bCs/>
              <w:szCs w:val="28"/>
              <w:highlight w:val="none"/>
              <w:lang w:val="en-US" w:eastAsia="zh-CN"/>
            </w:rPr>
            <w:t>十、供应商认为需要提供的其他材料</w:t>
          </w:r>
          <w:r>
            <w:tab/>
          </w:r>
          <w:r>
            <w:fldChar w:fldCharType="begin"/>
          </w:r>
          <w:r>
            <w:instrText xml:space="preserve"> PAGEREF _Toc15382 \h </w:instrText>
          </w:r>
          <w:r>
            <w:fldChar w:fldCharType="separate"/>
          </w:r>
          <w:r>
            <w:t>53</w:t>
          </w:r>
          <w:r>
            <w:fldChar w:fldCharType="end"/>
          </w:r>
          <w:r>
            <w:rPr>
              <w:rFonts w:hint="eastAsia" w:asciiTheme="minorEastAsia" w:hAnsiTheme="minorEastAsia" w:eastAsiaTheme="minorEastAsia" w:cstheme="minorEastAsia"/>
              <w:highlight w:val="none"/>
            </w:rPr>
            <w:fldChar w:fldCharType="end"/>
          </w:r>
        </w:p>
        <w:p w14:paraId="0CC909BA">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Theme="minorEastAsia" w:hAnsiTheme="minorEastAsia" w:eastAsiaTheme="minorEastAsia" w:cstheme="minorEastAsia"/>
              <w:kern w:val="2"/>
              <w:sz w:val="21"/>
              <w:szCs w:val="24"/>
              <w:highlight w:val="none"/>
              <w:lang w:val="en-US" w:eastAsia="zh-CN" w:bidi="ar-SA"/>
            </w:rPr>
          </w:pPr>
          <w:r>
            <w:rPr>
              <w:rFonts w:hint="eastAsia" w:asciiTheme="minorEastAsia" w:hAnsiTheme="minorEastAsia" w:eastAsiaTheme="minorEastAsia" w:cstheme="minorEastAsia"/>
              <w:highlight w:val="none"/>
            </w:rPr>
            <w:fldChar w:fldCharType="end"/>
          </w:r>
        </w:p>
      </w:sdtContent>
    </w:sdt>
    <w:p w14:paraId="34CB8318">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宋体" w:hAnsi="宋体" w:eastAsia="宋体" w:cstheme="minorBidi"/>
          <w:kern w:val="2"/>
          <w:sz w:val="21"/>
          <w:szCs w:val="24"/>
          <w:highlight w:val="none"/>
          <w:lang w:val="en-US" w:eastAsia="zh-CN" w:bidi="ar-SA"/>
        </w:rPr>
      </w:pPr>
    </w:p>
    <w:p w14:paraId="549A8959">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pPr>
    </w:p>
    <w:p w14:paraId="727B3C59">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pPr>
    </w:p>
    <w:p w14:paraId="2C4812A6">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pPr>
    </w:p>
    <w:p w14:paraId="0C46CFA9">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pPr>
    </w:p>
    <w:p w14:paraId="685A08FC">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pPr>
    </w:p>
    <w:p w14:paraId="026FF5D8">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pPr>
    </w:p>
    <w:p w14:paraId="77EB00A3">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黑体" w:hAnsi="黑体" w:eastAsia="黑体" w:cs="黑体"/>
          <w:b/>
          <w:bCs/>
          <w:kern w:val="0"/>
          <w:sz w:val="44"/>
          <w:szCs w:val="44"/>
          <w:highlight w:val="none"/>
        </w:rPr>
        <w:sectPr>
          <w:footerReference r:id="rId5" w:type="default"/>
          <w:pgSz w:w="11912" w:h="16841"/>
          <w:pgMar w:top="1431" w:right="1027" w:bottom="950" w:left="1262" w:header="0" w:footer="787" w:gutter="0"/>
          <w:pgNumType w:fmt="decimal" w:start="1"/>
          <w:cols w:space="720" w:num="1"/>
        </w:sectPr>
      </w:pPr>
    </w:p>
    <w:p w14:paraId="46725B8D">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Theme="majorEastAsia" w:hAnsiTheme="majorEastAsia" w:eastAsiaTheme="majorEastAsia" w:cstheme="majorEastAsia"/>
          <w:b/>
          <w:bCs/>
          <w:sz w:val="32"/>
          <w:szCs w:val="32"/>
          <w:highlight w:val="none"/>
        </w:rPr>
      </w:pPr>
      <w:bookmarkStart w:id="1" w:name="_Toc20209"/>
      <w:bookmarkStart w:id="2" w:name="_Toc21332"/>
      <w:bookmarkStart w:id="3" w:name="_Toc31257"/>
      <w:r>
        <w:rPr>
          <w:rFonts w:hint="eastAsia" w:asciiTheme="majorEastAsia" w:hAnsiTheme="majorEastAsia" w:eastAsiaTheme="majorEastAsia" w:cstheme="majorEastAsia"/>
          <w:b/>
          <w:bCs/>
          <w:spacing w:val="133"/>
          <w:w w:val="100"/>
          <w:kern w:val="0"/>
          <w:sz w:val="32"/>
          <w:szCs w:val="32"/>
          <w:highlight w:val="none"/>
          <w:fitText w:val="4268" w:id="659578035"/>
        </w:rPr>
        <w:t>第一章 征集公</w:t>
      </w:r>
      <w:r>
        <w:rPr>
          <w:rFonts w:hint="eastAsia" w:asciiTheme="majorEastAsia" w:hAnsiTheme="majorEastAsia" w:eastAsiaTheme="majorEastAsia" w:cstheme="majorEastAsia"/>
          <w:b/>
          <w:bCs/>
          <w:spacing w:val="3"/>
          <w:w w:val="100"/>
          <w:kern w:val="0"/>
          <w:sz w:val="32"/>
          <w:szCs w:val="32"/>
          <w:highlight w:val="none"/>
          <w:fitText w:val="4268" w:id="659578035"/>
        </w:rPr>
        <w:t>告</w:t>
      </w:r>
      <w:bookmarkEnd w:id="0"/>
      <w:bookmarkEnd w:id="1"/>
      <w:bookmarkEnd w:id="2"/>
      <w:bookmarkEnd w:id="3"/>
    </w:p>
    <w:p w14:paraId="48D147E6">
      <w:pPr>
        <w:pStyle w:val="6"/>
        <w:keepNext w:val="0"/>
        <w:keepLines w:val="0"/>
        <w:pageBreakBefore w:val="0"/>
        <w:wordWrap w:val="0"/>
        <w:overflowPunct/>
        <w:topLinePunct w:val="0"/>
        <w:bidi w:val="0"/>
        <w:adjustRightInd w:val="0"/>
        <w:snapToGrid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val="0"/>
          <w:bCs w:val="0"/>
          <w:sz w:val="24"/>
          <w:szCs w:val="24"/>
          <w:highlight w:val="none"/>
        </w:rPr>
        <w:t>项目概况：</w:t>
      </w:r>
    </w:p>
    <w:p w14:paraId="6B444827">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潜在供应商凭CA登录三门峡市公共资源交易中心网获取本项目征集文件，并</w:t>
      </w:r>
      <w:r>
        <w:rPr>
          <w:rFonts w:hint="eastAsia" w:asciiTheme="minorEastAsia" w:hAnsiTheme="minorEastAsia" w:eastAsiaTheme="minorEastAsia" w:cstheme="minorEastAsia"/>
          <w:color w:val="auto"/>
          <w:sz w:val="24"/>
          <w:szCs w:val="24"/>
          <w:highlight w:val="none"/>
        </w:rPr>
        <w:t>于2026年</w:t>
      </w: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07</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时</w:t>
      </w:r>
      <w:r>
        <w:rPr>
          <w:rFonts w:hint="eastAsia" w:asciiTheme="minorEastAsia" w:hAnsiTheme="minorEastAsia" w:eastAsiaTheme="minorEastAsia" w:cstheme="minorEastAsia"/>
          <w:color w:val="auto"/>
          <w:sz w:val="24"/>
          <w:szCs w:val="24"/>
          <w:highlight w:val="none"/>
          <w:lang w:val="en-US" w:eastAsia="zh-CN"/>
        </w:rPr>
        <w:t>20</w:t>
      </w:r>
      <w:r>
        <w:rPr>
          <w:rFonts w:hint="eastAsia" w:asciiTheme="minorEastAsia" w:hAnsiTheme="minorEastAsia" w:eastAsiaTheme="minorEastAsia" w:cstheme="minorEastAsia"/>
          <w:color w:val="auto"/>
          <w:sz w:val="24"/>
          <w:szCs w:val="24"/>
          <w:highlight w:val="none"/>
        </w:rPr>
        <w:t>分（</w:t>
      </w:r>
      <w:r>
        <w:rPr>
          <w:rFonts w:hint="eastAsia" w:asciiTheme="minorEastAsia" w:hAnsiTheme="minorEastAsia" w:eastAsiaTheme="minorEastAsia" w:cstheme="minorEastAsia"/>
          <w:sz w:val="24"/>
          <w:szCs w:val="24"/>
          <w:highlight w:val="none"/>
        </w:rPr>
        <w:t>北京时间）前提交响应文件。</w:t>
      </w:r>
    </w:p>
    <w:p w14:paraId="2A51198C">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val="0"/>
          <w:bCs w:val="0"/>
          <w:sz w:val="24"/>
          <w:szCs w:val="24"/>
          <w:highlight w:val="none"/>
        </w:rPr>
      </w:pPr>
      <w:bookmarkStart w:id="4" w:name="_Toc31029"/>
      <w:bookmarkStart w:id="5" w:name="_Toc24964"/>
      <w:bookmarkStart w:id="6" w:name="_Toc30642"/>
      <w:bookmarkStart w:id="7" w:name="_Toc18376"/>
      <w:bookmarkStart w:id="8" w:name="_Toc5400"/>
      <w:bookmarkStart w:id="9" w:name="_Toc2897"/>
      <w:bookmarkStart w:id="10" w:name="_Toc27942"/>
      <w:r>
        <w:rPr>
          <w:rFonts w:hint="eastAsia" w:asciiTheme="minorEastAsia" w:hAnsiTheme="minorEastAsia" w:eastAsiaTheme="minorEastAsia" w:cstheme="minorEastAsia"/>
          <w:b w:val="0"/>
          <w:bCs w:val="0"/>
          <w:sz w:val="24"/>
          <w:szCs w:val="24"/>
          <w:highlight w:val="none"/>
        </w:rPr>
        <w:t>一、项目基本情况</w:t>
      </w:r>
      <w:bookmarkEnd w:id="4"/>
      <w:bookmarkEnd w:id="5"/>
      <w:bookmarkEnd w:id="6"/>
      <w:bookmarkEnd w:id="7"/>
      <w:bookmarkEnd w:id="8"/>
      <w:bookmarkEnd w:id="9"/>
      <w:bookmarkEnd w:id="10"/>
    </w:p>
    <w:p w14:paraId="52C79D77">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1.</w:t>
      </w:r>
      <w:r>
        <w:rPr>
          <w:rFonts w:hint="eastAsia" w:asciiTheme="minorEastAsia" w:hAnsiTheme="minorEastAsia" w:eastAsiaTheme="minorEastAsia" w:cstheme="minorEastAsia"/>
          <w:sz w:val="24"/>
          <w:szCs w:val="24"/>
          <w:highlight w:val="none"/>
        </w:rPr>
        <w:t>项目编号：陕州公开采购-2026-26</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SZGZ[2026]136-ZC113</w:t>
      </w:r>
    </w:p>
    <w:p w14:paraId="691AFF00">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2.</w:t>
      </w:r>
      <w:r>
        <w:rPr>
          <w:rFonts w:hint="eastAsia" w:asciiTheme="minorEastAsia" w:hAnsiTheme="minorEastAsia" w:eastAsiaTheme="minorEastAsia" w:cstheme="minorEastAsia"/>
          <w:sz w:val="24"/>
          <w:szCs w:val="24"/>
          <w:highlight w:val="none"/>
        </w:rPr>
        <w:t>项目名称：陕州区发展和改革委员会陕州区建设项目可研、初设评审项目</w:t>
      </w:r>
    </w:p>
    <w:tbl>
      <w:tblPr>
        <w:tblStyle w:val="14"/>
        <w:tblpPr w:leftFromText="180" w:rightFromText="180" w:vertAnchor="text" w:horzAnchor="page" w:tblpX="1114" w:tblpY="546"/>
        <w:tblOverlap w:val="never"/>
        <w:tblW w:w="1001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0"/>
        <w:gridCol w:w="2603"/>
        <w:gridCol w:w="3721"/>
        <w:gridCol w:w="1222"/>
        <w:gridCol w:w="1865"/>
      </w:tblGrid>
      <w:tr w14:paraId="7C5AAC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600" w:type="dxa"/>
            <w:vAlign w:val="center"/>
          </w:tcPr>
          <w:p w14:paraId="617436AC">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序号</w:t>
            </w:r>
          </w:p>
        </w:tc>
        <w:tc>
          <w:tcPr>
            <w:tcW w:w="2603" w:type="dxa"/>
            <w:vAlign w:val="center"/>
          </w:tcPr>
          <w:p w14:paraId="265F1107">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包号</w:t>
            </w:r>
          </w:p>
        </w:tc>
        <w:tc>
          <w:tcPr>
            <w:tcW w:w="3721" w:type="dxa"/>
            <w:vAlign w:val="center"/>
          </w:tcPr>
          <w:p w14:paraId="31E4E2C7">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包名称</w:t>
            </w:r>
          </w:p>
        </w:tc>
        <w:tc>
          <w:tcPr>
            <w:tcW w:w="1222" w:type="dxa"/>
            <w:vAlign w:val="center"/>
          </w:tcPr>
          <w:p w14:paraId="1BF8B370">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包预算</w:t>
            </w:r>
          </w:p>
          <w:p w14:paraId="1BA6481D">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万</w:t>
            </w:r>
            <w:r>
              <w:rPr>
                <w:rFonts w:hint="eastAsia" w:asciiTheme="minorEastAsia" w:hAnsiTheme="minorEastAsia" w:eastAsiaTheme="minorEastAsia" w:cstheme="minorEastAsia"/>
                <w:sz w:val="24"/>
                <w:szCs w:val="24"/>
                <w:highlight w:val="none"/>
              </w:rPr>
              <w:t>元）</w:t>
            </w:r>
          </w:p>
        </w:tc>
        <w:tc>
          <w:tcPr>
            <w:tcW w:w="1865" w:type="dxa"/>
            <w:vAlign w:val="center"/>
          </w:tcPr>
          <w:p w14:paraId="2349768F">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包最高限价</w:t>
            </w:r>
          </w:p>
        </w:tc>
      </w:tr>
      <w:tr w14:paraId="3F0D05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7" w:hRule="atLeast"/>
        </w:trPr>
        <w:tc>
          <w:tcPr>
            <w:tcW w:w="600" w:type="dxa"/>
            <w:vAlign w:val="center"/>
          </w:tcPr>
          <w:p w14:paraId="2655E104">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2603" w:type="dxa"/>
            <w:vAlign w:val="center"/>
          </w:tcPr>
          <w:p w14:paraId="2D85C6FC">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textAlignment w:val="baseline"/>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SZGZ[2026]136-ZC113-1</w:t>
            </w:r>
          </w:p>
        </w:tc>
        <w:tc>
          <w:tcPr>
            <w:tcW w:w="3721" w:type="dxa"/>
            <w:vAlign w:val="center"/>
          </w:tcPr>
          <w:p w14:paraId="4263082D">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textAlignment w:val="baseline"/>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陕州区发展和改革委员会陕州区建设项目可研、初设评审项目一标段</w:t>
            </w:r>
          </w:p>
        </w:tc>
        <w:tc>
          <w:tcPr>
            <w:tcW w:w="1222" w:type="dxa"/>
            <w:vAlign w:val="center"/>
          </w:tcPr>
          <w:p w14:paraId="25AE4D57">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180</w:t>
            </w:r>
          </w:p>
        </w:tc>
        <w:tc>
          <w:tcPr>
            <w:tcW w:w="1865" w:type="dxa"/>
            <w:vAlign w:val="center"/>
          </w:tcPr>
          <w:p w14:paraId="6DF7750C">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豫发改投资【2023】172号文要求中各控制价的100%</w:t>
            </w:r>
          </w:p>
        </w:tc>
      </w:tr>
      <w:tr w14:paraId="53AA36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7" w:hRule="atLeast"/>
        </w:trPr>
        <w:tc>
          <w:tcPr>
            <w:tcW w:w="600" w:type="dxa"/>
            <w:vAlign w:val="center"/>
          </w:tcPr>
          <w:p w14:paraId="55A635C7">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w:t>
            </w:r>
          </w:p>
        </w:tc>
        <w:tc>
          <w:tcPr>
            <w:tcW w:w="2603" w:type="dxa"/>
            <w:vAlign w:val="center"/>
          </w:tcPr>
          <w:p w14:paraId="2876CA59">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textAlignment w:val="baseline"/>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SZGZ[2026]136-ZC113-2</w:t>
            </w:r>
          </w:p>
        </w:tc>
        <w:tc>
          <w:tcPr>
            <w:tcW w:w="3721" w:type="dxa"/>
            <w:vAlign w:val="center"/>
          </w:tcPr>
          <w:p w14:paraId="60B6BE0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陕州区发展和改革委员会陕州区建设项目可研、初设评审项目二标段</w:t>
            </w:r>
          </w:p>
        </w:tc>
        <w:tc>
          <w:tcPr>
            <w:tcW w:w="1222" w:type="dxa"/>
            <w:vAlign w:val="center"/>
          </w:tcPr>
          <w:p w14:paraId="6161DDB4">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120</w:t>
            </w:r>
          </w:p>
        </w:tc>
        <w:tc>
          <w:tcPr>
            <w:tcW w:w="1865" w:type="dxa"/>
            <w:vAlign w:val="center"/>
          </w:tcPr>
          <w:p w14:paraId="643FDEB4">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豫发改投资【2023】172号文要求中各控制价的100%</w:t>
            </w:r>
          </w:p>
        </w:tc>
      </w:tr>
    </w:tbl>
    <w:p w14:paraId="1AAACB08">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3.</w:t>
      </w: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lang w:eastAsia="zh-CN"/>
        </w:rPr>
        <w:t>方</w:t>
      </w:r>
      <w:r>
        <w:rPr>
          <w:rFonts w:hint="eastAsia" w:asciiTheme="minorEastAsia" w:hAnsiTheme="minorEastAsia" w:eastAsiaTheme="minorEastAsia" w:cstheme="minorEastAsia"/>
          <w:sz w:val="24"/>
          <w:szCs w:val="24"/>
          <w:highlight w:val="none"/>
        </w:rPr>
        <w:t>式：公开招标（封闭式框架协议采购）</w:t>
      </w:r>
    </w:p>
    <w:p w14:paraId="2466C3BE">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预算金额：</w:t>
      </w:r>
      <w:r>
        <w:rPr>
          <w:rFonts w:hint="eastAsia" w:asciiTheme="minorEastAsia" w:hAnsiTheme="minorEastAsia" w:eastAsiaTheme="minorEastAsia" w:cstheme="minorEastAsia"/>
          <w:color w:val="auto"/>
          <w:sz w:val="24"/>
          <w:szCs w:val="24"/>
          <w:highlight w:val="none"/>
          <w:lang w:val="en-US" w:eastAsia="zh-CN"/>
        </w:rPr>
        <w:t>一标段：1800000.00元、二标段：1200000.00</w:t>
      </w:r>
      <w:r>
        <w:rPr>
          <w:rFonts w:hint="eastAsia" w:asciiTheme="minorEastAsia" w:hAnsiTheme="minorEastAsia" w:eastAsiaTheme="minorEastAsia" w:cstheme="minorEastAsia"/>
          <w:color w:val="auto"/>
          <w:sz w:val="24"/>
          <w:szCs w:val="24"/>
          <w:highlight w:val="none"/>
        </w:rPr>
        <w:t>元</w:t>
      </w:r>
      <w:r>
        <w:rPr>
          <w:rFonts w:hint="eastAsia" w:asciiTheme="minorEastAsia" w:hAnsiTheme="minorEastAsia" w:eastAsiaTheme="minorEastAsia" w:cstheme="minorEastAsia"/>
          <w:color w:val="auto"/>
          <w:sz w:val="24"/>
          <w:szCs w:val="24"/>
          <w:highlight w:val="none"/>
          <w:lang w:val="en-US" w:eastAsia="zh-CN"/>
        </w:rPr>
        <w:t>；</w:t>
      </w:r>
    </w:p>
    <w:p w14:paraId="638AF21C">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最高限价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豫发改投资【2023】172号文</w:t>
      </w:r>
      <w:r>
        <w:rPr>
          <w:rFonts w:hint="eastAsia" w:asciiTheme="minorEastAsia" w:hAnsiTheme="minorEastAsia" w:eastAsiaTheme="minorEastAsia" w:cstheme="minorEastAsia"/>
          <w:color w:val="auto"/>
          <w:sz w:val="24"/>
          <w:szCs w:val="24"/>
          <w:highlight w:val="none"/>
          <w:lang w:eastAsia="zh-CN"/>
        </w:rPr>
        <w:t>要求中各控制价的100%</w:t>
      </w:r>
    </w:p>
    <w:p w14:paraId="10C9E0A8">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5.</w:t>
      </w:r>
      <w:r>
        <w:rPr>
          <w:rFonts w:hint="eastAsia" w:asciiTheme="minorEastAsia" w:hAnsiTheme="minorEastAsia" w:eastAsiaTheme="minorEastAsia" w:cstheme="minorEastAsia"/>
          <w:sz w:val="24"/>
          <w:szCs w:val="24"/>
          <w:highlight w:val="none"/>
        </w:rPr>
        <w:t>本项目征集公告中的“预算金额、包预算、包最高限价”系征集人预估采购金额，以供项目申报和供应商参考使用，本项目采用费率报价；</w:t>
      </w:r>
    </w:p>
    <w:p w14:paraId="4FBFA268">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6.</w:t>
      </w:r>
      <w:r>
        <w:rPr>
          <w:rFonts w:hint="eastAsia" w:asciiTheme="minorEastAsia" w:hAnsiTheme="minorEastAsia" w:eastAsiaTheme="minorEastAsia" w:cstheme="minorEastAsia"/>
          <w:sz w:val="24"/>
          <w:szCs w:val="24"/>
          <w:highlight w:val="none"/>
        </w:rPr>
        <w:t>采购需求：本项目为陕州区建设项目可研、初设评审项目，共分为两个标段，一标段：陕州区政府投资项目可行性研究报告评审服务；二标段：陕州区政府投资项目初步设计评审服务。本次征集活动为第一阶段入围供应商，通过资格、符合性审查的供应商，按照淘汰比例一般不得低于20%，且至少淘汰一家供应商前提下，依据评分</w:t>
      </w:r>
      <w:r>
        <w:rPr>
          <w:rFonts w:hint="eastAsia" w:asciiTheme="minorEastAsia" w:hAnsiTheme="minorEastAsia" w:eastAsiaTheme="minorEastAsia" w:cstheme="minorEastAsia"/>
          <w:sz w:val="24"/>
          <w:szCs w:val="24"/>
          <w:highlight w:val="none"/>
          <w:lang w:val="en-US" w:eastAsia="zh-CN"/>
        </w:rPr>
        <w:t>一标段</w:t>
      </w:r>
      <w:r>
        <w:rPr>
          <w:rFonts w:hint="eastAsia" w:asciiTheme="minorEastAsia" w:hAnsiTheme="minorEastAsia" w:eastAsiaTheme="minorEastAsia" w:cstheme="minorEastAsia"/>
          <w:sz w:val="24"/>
          <w:szCs w:val="24"/>
          <w:highlight w:val="none"/>
        </w:rPr>
        <w:t>由高到低入围</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家</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二标段</w:t>
      </w:r>
      <w:r>
        <w:rPr>
          <w:rFonts w:hint="eastAsia" w:asciiTheme="minorEastAsia" w:hAnsiTheme="minorEastAsia" w:eastAsiaTheme="minorEastAsia" w:cstheme="minorEastAsia"/>
          <w:sz w:val="24"/>
          <w:szCs w:val="24"/>
          <w:highlight w:val="none"/>
        </w:rPr>
        <w:t>由高到低入围</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家。如供应商不足，实际选定数量以淘汰后剩余的数量为准。</w:t>
      </w:r>
    </w:p>
    <w:p w14:paraId="691BA5A1">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7.</w:t>
      </w:r>
      <w:r>
        <w:rPr>
          <w:rFonts w:hint="eastAsia" w:asciiTheme="minorEastAsia" w:hAnsiTheme="minorEastAsia" w:eastAsiaTheme="minorEastAsia" w:cstheme="minorEastAsia"/>
          <w:sz w:val="24"/>
          <w:szCs w:val="24"/>
          <w:highlight w:val="none"/>
        </w:rPr>
        <w:t>资金来源：财政资金。</w:t>
      </w:r>
    </w:p>
    <w:p w14:paraId="767D7081">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框架协议期限/服务期限：</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年</w:t>
      </w:r>
    </w:p>
    <w:p w14:paraId="5467F29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履行合同的地域范围：三门峡市</w:t>
      </w:r>
      <w:r>
        <w:rPr>
          <w:rFonts w:hint="eastAsia" w:asciiTheme="minorEastAsia" w:hAnsiTheme="minorEastAsia" w:eastAsiaTheme="minorEastAsia" w:cstheme="minorEastAsia"/>
          <w:sz w:val="24"/>
          <w:szCs w:val="24"/>
          <w:highlight w:val="none"/>
          <w:lang w:val="en-US" w:eastAsia="zh-CN"/>
        </w:rPr>
        <w:t>陕州</w:t>
      </w:r>
      <w:r>
        <w:rPr>
          <w:rFonts w:hint="eastAsia" w:asciiTheme="minorEastAsia" w:hAnsiTheme="minorEastAsia" w:eastAsiaTheme="minorEastAsia" w:cstheme="minorEastAsia"/>
          <w:sz w:val="24"/>
          <w:szCs w:val="24"/>
          <w:highlight w:val="none"/>
        </w:rPr>
        <w:t>区</w:t>
      </w:r>
    </w:p>
    <w:p w14:paraId="56D83811">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10</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服务标准：符合国家及行业合格标准，满足征集人及服务对象要求。</w:t>
      </w:r>
    </w:p>
    <w:p w14:paraId="15E22176">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11</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合同履行期限：</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 xml:space="preserve"> 年</w:t>
      </w:r>
    </w:p>
    <w:p w14:paraId="4E128E43">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12</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本项目是否接受联合体投标：否</w:t>
      </w:r>
    </w:p>
    <w:p w14:paraId="1F8D2DE0">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13</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是否接受进口产品：否</w:t>
      </w:r>
    </w:p>
    <w:p w14:paraId="081DFDDB">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14</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是否专门面向中小微企业：否</w:t>
      </w:r>
    </w:p>
    <w:p w14:paraId="0C7FEAE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val="0"/>
          <w:bCs w:val="0"/>
          <w:sz w:val="24"/>
          <w:szCs w:val="24"/>
          <w:highlight w:val="none"/>
          <w:lang w:eastAsia="zh-CN"/>
        </w:rPr>
      </w:pPr>
      <w:bookmarkStart w:id="11" w:name="_Toc11004"/>
      <w:bookmarkStart w:id="12" w:name="_Toc4150"/>
      <w:bookmarkStart w:id="13" w:name="_Toc8135"/>
      <w:bookmarkStart w:id="14" w:name="_Toc1416"/>
      <w:bookmarkStart w:id="15" w:name="_Toc26429"/>
      <w:bookmarkStart w:id="16" w:name="_Toc24467"/>
      <w:bookmarkStart w:id="17" w:name="_Toc11176"/>
      <w:r>
        <w:rPr>
          <w:rFonts w:hint="eastAsia" w:asciiTheme="minorEastAsia" w:hAnsiTheme="minorEastAsia" w:eastAsiaTheme="minorEastAsia" w:cstheme="minorEastAsia"/>
          <w:b w:val="0"/>
          <w:bCs w:val="0"/>
          <w:sz w:val="24"/>
          <w:szCs w:val="24"/>
          <w:highlight w:val="none"/>
        </w:rPr>
        <w:t>二、 供应商资格要求</w:t>
      </w:r>
      <w:bookmarkEnd w:id="11"/>
      <w:bookmarkEnd w:id="12"/>
      <w:bookmarkEnd w:id="13"/>
      <w:bookmarkEnd w:id="14"/>
      <w:bookmarkEnd w:id="15"/>
      <w:bookmarkEnd w:id="16"/>
      <w:bookmarkEnd w:id="17"/>
    </w:p>
    <w:p w14:paraId="181B0BD4">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1.供应商参加本次政府采购活动必须符合《中华人民共和国政府采购法》第二十一条、第二十二条的规定并同时具备有效的营业执照</w:t>
      </w:r>
      <w:r>
        <w:rPr>
          <w:rFonts w:hint="eastAsia" w:asciiTheme="minorEastAsia" w:hAnsiTheme="minorEastAsia" w:eastAsiaTheme="minorEastAsia" w:cstheme="minorEastAsia"/>
          <w:sz w:val="24"/>
          <w:szCs w:val="24"/>
          <w:highlight w:val="none"/>
          <w:lang w:val="en-US" w:eastAsia="zh-CN"/>
        </w:rPr>
        <w:t>；</w:t>
      </w:r>
    </w:p>
    <w:p w14:paraId="66FBDDFF">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2.落实政府采购政策满足的资格要求：</w:t>
      </w:r>
    </w:p>
    <w:p w14:paraId="1FA2EBE1">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本项目不属于专门面向中小企业采购的项目，但执行促进中小型企业发展政策、助力扶贫企业政策、支持残疾人单位和监狱企业政策等政府采购政策。</w:t>
      </w:r>
    </w:p>
    <w:p w14:paraId="3C14D604">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3.本项目的特定资格要求</w:t>
      </w:r>
    </w:p>
    <w:p w14:paraId="00365C81">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（1）具有有效的营业执照或事业单位法人证书；；</w:t>
      </w:r>
    </w:p>
    <w:p w14:paraId="07AE6A9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）一标段供应商须具有工程咨询单位乙级（含乙级）及以上资信证书；</w:t>
      </w:r>
    </w:p>
    <w:p w14:paraId="6AB57551">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）二标段供应商须具有规划或设计乙级（含乙级）及以上资质；</w:t>
      </w:r>
    </w:p>
    <w:p w14:paraId="6C451CB9">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）拟派项目负责人须具有相关专业中级及以上（含中级）职称，提供社保缴费证明</w:t>
      </w:r>
    </w:p>
    <w:p w14:paraId="044603B2">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）供应商需提供本单位出具的无商业贿赂及不正当竞争行为的承诺书；</w:t>
      </w:r>
    </w:p>
    <w:p w14:paraId="0BD32919">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）供应商出具无行贿犯罪记录在中国裁判文书网自行查询或自行承诺；（查询对象：企业、法定代表人）</w:t>
      </w:r>
    </w:p>
    <w:p w14:paraId="2C3D58DF">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未被列入“中国执行信息公开网”（http://zxgk.court.gov.cn/shixin）失信被执行人、“信用中国”网站（www.creditchina.gov.cn）重大税收违法失信主体、“中国政府采购网”（http://www.ccgp.gov.cn）政府采购严重违法失信行为名单，提供网页查询信息截图；（查询时间自公告发布之日起）；</w:t>
      </w:r>
    </w:p>
    <w:p w14:paraId="6E2F8AD2">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lang w:eastAsia="zh-CN"/>
        </w:rPr>
        <w:t>）单位负责人为同一人或者存在控股、管理关系的不同单位，不得同时参加本项目（提供“国家企业信用信息公示系统”</w:t>
      </w:r>
      <w:r>
        <w:rPr>
          <w:rFonts w:hint="eastAsia" w:asciiTheme="minorEastAsia" w:hAnsiTheme="minorEastAsia" w:eastAsiaTheme="minorEastAsia" w:cstheme="minorEastAsia"/>
          <w:color w:val="auto"/>
          <w:sz w:val="24"/>
          <w:szCs w:val="24"/>
          <w:highlight w:val="none"/>
          <w:lang w:val="en-US" w:eastAsia="zh-CN"/>
        </w:rPr>
        <w:t>中</w:t>
      </w:r>
      <w:r>
        <w:rPr>
          <w:rFonts w:hint="eastAsia" w:asciiTheme="minorEastAsia" w:hAnsiTheme="minorEastAsia" w:eastAsiaTheme="minorEastAsia" w:cstheme="minorEastAsia"/>
          <w:color w:val="auto"/>
          <w:sz w:val="24"/>
          <w:szCs w:val="24"/>
          <w:highlight w:val="none"/>
          <w:lang w:eastAsia="zh-CN"/>
        </w:rPr>
        <w:t>公示的公司信息、股东或投资人信息）。（查询时间自公告发布之日起）；</w:t>
      </w:r>
    </w:p>
    <w:p w14:paraId="2D70E9F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lang w:eastAsia="zh-CN"/>
        </w:rPr>
        <w:t>）本项目不接受联合体投标；</w:t>
      </w:r>
    </w:p>
    <w:p w14:paraId="58B99D2B">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lang w:eastAsia="zh-CN"/>
        </w:rPr>
        <w:t>）本次征集实行资格后审，资格审查的具体要求见征集文件。</w:t>
      </w:r>
    </w:p>
    <w:p w14:paraId="62F24FF9">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val="0"/>
          <w:bCs w:val="0"/>
          <w:color w:val="auto"/>
          <w:sz w:val="24"/>
          <w:szCs w:val="24"/>
          <w:highlight w:val="none"/>
        </w:rPr>
      </w:pPr>
      <w:bookmarkStart w:id="18" w:name="_Toc24239"/>
      <w:bookmarkStart w:id="19" w:name="_Toc9233"/>
      <w:bookmarkStart w:id="20" w:name="_Toc13429"/>
      <w:bookmarkStart w:id="21" w:name="_Toc3744"/>
      <w:bookmarkStart w:id="22" w:name="_Toc25595"/>
      <w:bookmarkStart w:id="23" w:name="_Toc18224"/>
      <w:bookmarkStart w:id="24" w:name="_Toc837"/>
      <w:r>
        <w:rPr>
          <w:rFonts w:hint="eastAsia" w:asciiTheme="minorEastAsia" w:hAnsiTheme="minorEastAsia" w:eastAsiaTheme="minorEastAsia" w:cstheme="minorEastAsia"/>
          <w:b w:val="0"/>
          <w:bCs w:val="0"/>
          <w:color w:val="auto"/>
          <w:sz w:val="24"/>
          <w:szCs w:val="24"/>
          <w:highlight w:val="none"/>
          <w:lang w:eastAsia="zh-CN"/>
        </w:rPr>
        <w:t>三、</w:t>
      </w:r>
      <w:r>
        <w:rPr>
          <w:rFonts w:hint="eastAsia" w:asciiTheme="minorEastAsia" w:hAnsiTheme="minorEastAsia" w:eastAsiaTheme="minorEastAsia" w:cstheme="minorEastAsia"/>
          <w:b w:val="0"/>
          <w:bCs w:val="0"/>
          <w:color w:val="auto"/>
          <w:sz w:val="24"/>
          <w:szCs w:val="24"/>
          <w:highlight w:val="none"/>
        </w:rPr>
        <w:t>征集文件获取方式</w:t>
      </w:r>
      <w:bookmarkEnd w:id="18"/>
      <w:bookmarkEnd w:id="19"/>
      <w:bookmarkEnd w:id="20"/>
      <w:bookmarkEnd w:id="21"/>
      <w:bookmarkEnd w:id="22"/>
      <w:bookmarkEnd w:id="23"/>
      <w:bookmarkEnd w:id="24"/>
    </w:p>
    <w:p w14:paraId="03D190CB">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1.招标文件下载时间：2026年</w:t>
      </w:r>
      <w:r>
        <w:rPr>
          <w:rFonts w:hint="eastAsia" w:asciiTheme="minorEastAsia" w:hAnsiTheme="minorEastAsia" w:eastAsiaTheme="minorEastAsia" w:cstheme="minorEastAsia"/>
          <w:color w:val="auto"/>
          <w:sz w:val="24"/>
          <w:szCs w:val="24"/>
          <w:highlight w:val="none"/>
          <w:lang w:val="en-US" w:eastAsia="zh-CN"/>
        </w:rPr>
        <w:t>08</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lang w:eastAsia="zh-CN"/>
        </w:rPr>
        <w:t>日至2026年</w:t>
      </w:r>
      <w:r>
        <w:rPr>
          <w:rFonts w:hint="eastAsia" w:asciiTheme="minorEastAsia" w:hAnsiTheme="minorEastAsia" w:eastAsiaTheme="minorEastAsia" w:cstheme="minorEastAsia"/>
          <w:color w:val="auto"/>
          <w:sz w:val="24"/>
          <w:szCs w:val="24"/>
          <w:highlight w:val="none"/>
          <w:lang w:val="en-US" w:eastAsia="zh-CN"/>
        </w:rPr>
        <w:t>09</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lang w:val="en-US" w:eastAsia="zh-CN"/>
        </w:rPr>
        <w:t>07</w:t>
      </w:r>
      <w:r>
        <w:rPr>
          <w:rFonts w:hint="eastAsia" w:asciiTheme="minorEastAsia" w:hAnsiTheme="minorEastAsia" w:eastAsiaTheme="minorEastAsia" w:cstheme="minorEastAsia"/>
          <w:color w:val="auto"/>
          <w:sz w:val="24"/>
          <w:szCs w:val="24"/>
          <w:highlight w:val="none"/>
          <w:lang w:eastAsia="zh-CN"/>
        </w:rPr>
        <w:t>日</w:t>
      </w:r>
      <w:r>
        <w:rPr>
          <w:rFonts w:hint="eastAsia" w:asciiTheme="minorEastAsia" w:hAnsiTheme="minorEastAsia" w:eastAsiaTheme="minorEastAsia" w:cstheme="minorEastAsia"/>
          <w:color w:val="auto"/>
          <w:sz w:val="24"/>
          <w:szCs w:val="24"/>
          <w:highlight w:val="none"/>
          <w:lang w:val="en-US" w:eastAsia="zh-CN"/>
        </w:rPr>
        <w:t>08</w:t>
      </w:r>
      <w:r>
        <w:rPr>
          <w:rFonts w:hint="eastAsia" w:asciiTheme="minorEastAsia" w:hAnsiTheme="minorEastAsia" w:eastAsiaTheme="minorEastAsia" w:cstheme="minorEastAsia"/>
          <w:color w:val="auto"/>
          <w:sz w:val="24"/>
          <w:szCs w:val="24"/>
          <w:highlight w:val="none"/>
          <w:lang w:eastAsia="zh-CN"/>
        </w:rPr>
        <w:t>时</w:t>
      </w:r>
      <w:r>
        <w:rPr>
          <w:rFonts w:hint="eastAsia" w:asciiTheme="minorEastAsia" w:hAnsiTheme="minorEastAsia" w:eastAsiaTheme="minorEastAsia" w:cstheme="minorEastAsia"/>
          <w:color w:val="auto"/>
          <w:sz w:val="24"/>
          <w:szCs w:val="24"/>
          <w:highlight w:val="none"/>
          <w:lang w:val="en-US" w:eastAsia="zh-CN"/>
        </w:rPr>
        <w:t>20</w:t>
      </w:r>
      <w:r>
        <w:rPr>
          <w:rFonts w:hint="eastAsia" w:asciiTheme="minorEastAsia" w:hAnsiTheme="minorEastAsia" w:eastAsiaTheme="minorEastAsia" w:cstheme="minorEastAsia"/>
          <w:color w:val="auto"/>
          <w:sz w:val="24"/>
          <w:szCs w:val="24"/>
          <w:highlight w:val="none"/>
          <w:lang w:eastAsia="zh-CN"/>
        </w:rPr>
        <w:t xml:space="preserve">分 </w:t>
      </w:r>
    </w:p>
    <w:p w14:paraId="72F13BA7">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2.地点：三门峡市公共资源交易中心平台</w:t>
      </w:r>
    </w:p>
    <w:p w14:paraId="29A266F9">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3.方式：本项目没有报名环节，供应商凭 CA 数字证书通过三门峡市公共资源交易中心网（网址： http://gzjy.smx.gov.cn），点击交易平台选择“交易主体登录”，在所参与项目右侧点击参与投标，即可直接下载本项目征集文件。</w:t>
      </w:r>
    </w:p>
    <w:p w14:paraId="6A086E6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三门峡市公共资源交易平台操作手册：</w:t>
      </w:r>
    </w:p>
    <w:p w14:paraId="31046B0E">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http://gzjy.smx.gov.cn/fwzn/004003/20200325/2b5a3a5a-f987-405c-993f-88f43e1d1ac3.html</w:t>
      </w:r>
    </w:p>
    <w:p w14:paraId="5DF0AF59">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办理CA证书：http://gzjy.smx.gov.cn/fwzn/004003/20201019/a8fae6a0-baed-499b-bb50-8ecc8828a2ca.html</w:t>
      </w:r>
    </w:p>
    <w:p w14:paraId="402C67D3">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4.本项目为全电子招标，不再收取征集文件费用。</w:t>
      </w:r>
    </w:p>
    <w:p w14:paraId="09864B9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val="0"/>
          <w:bCs w:val="0"/>
          <w:color w:val="auto"/>
          <w:sz w:val="24"/>
          <w:szCs w:val="24"/>
          <w:highlight w:val="none"/>
          <w:lang w:eastAsia="zh-CN"/>
        </w:rPr>
      </w:pPr>
      <w:bookmarkStart w:id="25" w:name="_Toc31707"/>
      <w:bookmarkStart w:id="26" w:name="_Toc25675"/>
      <w:bookmarkStart w:id="27" w:name="_Toc29879"/>
      <w:bookmarkStart w:id="28" w:name="_Toc21550"/>
      <w:bookmarkStart w:id="29" w:name="_Toc22644"/>
      <w:bookmarkStart w:id="30" w:name="_Toc18781"/>
      <w:bookmarkStart w:id="31" w:name="_Toc14663"/>
      <w:r>
        <w:rPr>
          <w:rFonts w:hint="eastAsia" w:asciiTheme="minorEastAsia" w:hAnsiTheme="minorEastAsia" w:eastAsiaTheme="minorEastAsia" w:cstheme="minorEastAsia"/>
          <w:b w:val="0"/>
          <w:bCs w:val="0"/>
          <w:color w:val="auto"/>
          <w:sz w:val="24"/>
          <w:szCs w:val="24"/>
          <w:highlight w:val="none"/>
          <w:lang w:eastAsia="zh-CN"/>
        </w:rPr>
        <w:t>四、投标截止时间及地点</w:t>
      </w:r>
      <w:bookmarkEnd w:id="25"/>
      <w:bookmarkEnd w:id="26"/>
      <w:bookmarkEnd w:id="27"/>
      <w:bookmarkEnd w:id="28"/>
      <w:bookmarkEnd w:id="29"/>
      <w:bookmarkEnd w:id="30"/>
      <w:bookmarkEnd w:id="31"/>
    </w:p>
    <w:p w14:paraId="5E79B2F6">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1.时间：2026年</w:t>
      </w:r>
      <w:r>
        <w:rPr>
          <w:rFonts w:hint="eastAsia" w:asciiTheme="minorEastAsia" w:hAnsiTheme="minorEastAsia" w:eastAsiaTheme="minorEastAsia" w:cstheme="minorEastAsia"/>
          <w:color w:val="auto"/>
          <w:sz w:val="24"/>
          <w:szCs w:val="24"/>
          <w:highlight w:val="none"/>
          <w:lang w:val="en-US" w:eastAsia="zh-CN"/>
        </w:rPr>
        <w:t>09</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lang w:val="en-US" w:eastAsia="zh-CN"/>
        </w:rPr>
        <w:t>07</w:t>
      </w:r>
      <w:r>
        <w:rPr>
          <w:rFonts w:hint="eastAsia" w:asciiTheme="minorEastAsia" w:hAnsiTheme="minorEastAsia" w:eastAsiaTheme="minorEastAsia" w:cstheme="minorEastAsia"/>
          <w:color w:val="auto"/>
          <w:sz w:val="24"/>
          <w:szCs w:val="24"/>
          <w:highlight w:val="none"/>
          <w:lang w:eastAsia="zh-CN"/>
        </w:rPr>
        <w:t>日</w:t>
      </w:r>
      <w:r>
        <w:rPr>
          <w:rFonts w:hint="eastAsia" w:asciiTheme="minorEastAsia" w:hAnsiTheme="minorEastAsia" w:eastAsiaTheme="minorEastAsia" w:cstheme="minorEastAsia"/>
          <w:color w:val="auto"/>
          <w:sz w:val="24"/>
          <w:szCs w:val="24"/>
          <w:highlight w:val="none"/>
          <w:lang w:val="en-US" w:eastAsia="zh-CN"/>
        </w:rPr>
        <w:t>08</w:t>
      </w:r>
      <w:r>
        <w:rPr>
          <w:rFonts w:hint="eastAsia" w:asciiTheme="minorEastAsia" w:hAnsiTheme="minorEastAsia" w:eastAsiaTheme="minorEastAsia" w:cstheme="minorEastAsia"/>
          <w:color w:val="auto"/>
          <w:sz w:val="24"/>
          <w:szCs w:val="24"/>
          <w:highlight w:val="none"/>
          <w:lang w:eastAsia="zh-CN"/>
        </w:rPr>
        <w:t>时</w:t>
      </w:r>
      <w:r>
        <w:rPr>
          <w:rFonts w:hint="eastAsia" w:asciiTheme="minorEastAsia" w:hAnsiTheme="minorEastAsia" w:eastAsiaTheme="minorEastAsia" w:cstheme="minorEastAsia"/>
          <w:color w:val="auto"/>
          <w:sz w:val="24"/>
          <w:szCs w:val="24"/>
          <w:highlight w:val="none"/>
          <w:lang w:val="en-US" w:eastAsia="zh-CN"/>
        </w:rPr>
        <w:t>20</w:t>
      </w:r>
      <w:r>
        <w:rPr>
          <w:rFonts w:hint="eastAsia" w:asciiTheme="minorEastAsia" w:hAnsiTheme="minorEastAsia" w:eastAsiaTheme="minorEastAsia" w:cstheme="minorEastAsia"/>
          <w:color w:val="auto"/>
          <w:sz w:val="24"/>
          <w:szCs w:val="24"/>
          <w:highlight w:val="none"/>
          <w:lang w:eastAsia="zh-CN"/>
        </w:rPr>
        <w:t>分（北京时间）</w:t>
      </w:r>
    </w:p>
    <w:p w14:paraId="1348E29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2.地点：在三门峡市公共资源交易中心网中上传加密响应文件</w:t>
      </w:r>
    </w:p>
    <w:p w14:paraId="61D56358">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val="0"/>
          <w:bCs w:val="0"/>
          <w:color w:val="auto"/>
          <w:sz w:val="24"/>
          <w:szCs w:val="24"/>
          <w:highlight w:val="none"/>
          <w:lang w:eastAsia="zh-CN"/>
        </w:rPr>
      </w:pPr>
      <w:bookmarkStart w:id="32" w:name="_Toc24320"/>
      <w:bookmarkStart w:id="33" w:name="_Toc6386"/>
      <w:bookmarkStart w:id="34" w:name="_Toc28402"/>
      <w:bookmarkStart w:id="35" w:name="_Toc26129"/>
      <w:bookmarkStart w:id="36" w:name="_Toc27550"/>
      <w:bookmarkStart w:id="37" w:name="_Toc30487"/>
      <w:bookmarkStart w:id="38" w:name="_Toc29660"/>
      <w:r>
        <w:rPr>
          <w:rFonts w:hint="eastAsia" w:asciiTheme="minorEastAsia" w:hAnsiTheme="minorEastAsia" w:eastAsiaTheme="minorEastAsia" w:cstheme="minorEastAsia"/>
          <w:b w:val="0"/>
          <w:bCs w:val="0"/>
          <w:color w:val="auto"/>
          <w:sz w:val="24"/>
          <w:szCs w:val="24"/>
          <w:highlight w:val="none"/>
          <w:lang w:eastAsia="zh-CN"/>
        </w:rPr>
        <w:t>五、投标保证金</w:t>
      </w:r>
      <w:bookmarkEnd w:id="32"/>
      <w:bookmarkEnd w:id="33"/>
      <w:bookmarkEnd w:id="34"/>
      <w:bookmarkEnd w:id="35"/>
      <w:bookmarkEnd w:id="36"/>
      <w:bookmarkEnd w:id="37"/>
      <w:bookmarkEnd w:id="38"/>
    </w:p>
    <w:p w14:paraId="34A40C53">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按照《河南省财政厅关于优化政府采购营商环境有关问题的通知》（豫财购〔2019〕4号文）的要求本项目不再收取投标保证金。</w:t>
      </w:r>
    </w:p>
    <w:p w14:paraId="48EB50B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val="0"/>
          <w:bCs w:val="0"/>
          <w:color w:val="auto"/>
          <w:sz w:val="24"/>
          <w:szCs w:val="24"/>
          <w:highlight w:val="none"/>
          <w:lang w:eastAsia="zh-CN"/>
        </w:rPr>
      </w:pPr>
      <w:bookmarkStart w:id="39" w:name="_Toc25541"/>
      <w:bookmarkStart w:id="40" w:name="_Toc17131"/>
      <w:bookmarkStart w:id="41" w:name="_Toc24120"/>
      <w:bookmarkStart w:id="42" w:name="_Toc16925"/>
      <w:bookmarkStart w:id="43" w:name="_Toc11459"/>
      <w:bookmarkStart w:id="44" w:name="_Toc13629"/>
      <w:bookmarkStart w:id="45" w:name="_Toc28784"/>
      <w:r>
        <w:rPr>
          <w:rFonts w:hint="eastAsia" w:asciiTheme="minorEastAsia" w:hAnsiTheme="minorEastAsia" w:eastAsiaTheme="minorEastAsia" w:cstheme="minorEastAsia"/>
          <w:b w:val="0"/>
          <w:bCs w:val="0"/>
          <w:color w:val="auto"/>
          <w:sz w:val="24"/>
          <w:szCs w:val="24"/>
          <w:highlight w:val="none"/>
          <w:lang w:eastAsia="zh-CN"/>
        </w:rPr>
        <w:t>六、开标时间及地点</w:t>
      </w:r>
      <w:bookmarkEnd w:id="39"/>
      <w:bookmarkEnd w:id="40"/>
      <w:bookmarkEnd w:id="41"/>
      <w:bookmarkEnd w:id="42"/>
      <w:bookmarkEnd w:id="43"/>
      <w:bookmarkEnd w:id="44"/>
      <w:bookmarkEnd w:id="45"/>
    </w:p>
    <w:p w14:paraId="6819563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lang w:val="en-US" w:eastAsia="zh-CN"/>
        </w:rPr>
        <w:t>投标文件提交截止时间</w:t>
      </w:r>
      <w:r>
        <w:rPr>
          <w:rFonts w:hint="eastAsia" w:asciiTheme="minorEastAsia" w:hAnsiTheme="minorEastAsia" w:eastAsiaTheme="minorEastAsia" w:cstheme="minorEastAsia"/>
          <w:color w:val="auto"/>
          <w:sz w:val="24"/>
          <w:szCs w:val="24"/>
          <w:highlight w:val="none"/>
          <w:lang w:eastAsia="zh-CN"/>
        </w:rPr>
        <w:t>：2026年</w:t>
      </w:r>
      <w:r>
        <w:rPr>
          <w:rFonts w:hint="eastAsia" w:asciiTheme="minorEastAsia" w:hAnsiTheme="minorEastAsia" w:eastAsiaTheme="minorEastAsia" w:cstheme="minorEastAsia"/>
          <w:color w:val="auto"/>
          <w:sz w:val="24"/>
          <w:szCs w:val="24"/>
          <w:highlight w:val="none"/>
          <w:lang w:val="en-US" w:eastAsia="zh-CN"/>
        </w:rPr>
        <w:t>09</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lang w:val="en-US" w:eastAsia="zh-CN"/>
        </w:rPr>
        <w:t>07</w:t>
      </w:r>
      <w:r>
        <w:rPr>
          <w:rFonts w:hint="eastAsia" w:asciiTheme="minorEastAsia" w:hAnsiTheme="minorEastAsia" w:eastAsiaTheme="minorEastAsia" w:cstheme="minorEastAsia"/>
          <w:color w:val="auto"/>
          <w:sz w:val="24"/>
          <w:szCs w:val="24"/>
          <w:highlight w:val="none"/>
          <w:lang w:eastAsia="zh-CN"/>
        </w:rPr>
        <w:t>日</w:t>
      </w:r>
      <w:r>
        <w:rPr>
          <w:rFonts w:hint="eastAsia" w:asciiTheme="minorEastAsia" w:hAnsiTheme="minorEastAsia" w:eastAsiaTheme="minorEastAsia" w:cstheme="minorEastAsia"/>
          <w:color w:val="auto"/>
          <w:sz w:val="24"/>
          <w:szCs w:val="24"/>
          <w:highlight w:val="none"/>
          <w:lang w:val="en-US" w:eastAsia="zh-CN"/>
        </w:rPr>
        <w:t>08</w:t>
      </w:r>
      <w:r>
        <w:rPr>
          <w:rFonts w:hint="eastAsia" w:asciiTheme="minorEastAsia" w:hAnsiTheme="minorEastAsia" w:eastAsiaTheme="minorEastAsia" w:cstheme="minorEastAsia"/>
          <w:color w:val="auto"/>
          <w:sz w:val="24"/>
          <w:szCs w:val="24"/>
          <w:highlight w:val="none"/>
          <w:lang w:eastAsia="zh-CN"/>
        </w:rPr>
        <w:t>时</w:t>
      </w:r>
      <w:r>
        <w:rPr>
          <w:rFonts w:hint="eastAsia" w:asciiTheme="minorEastAsia" w:hAnsiTheme="minorEastAsia" w:eastAsiaTheme="minorEastAsia" w:cstheme="minorEastAsia"/>
          <w:color w:val="auto"/>
          <w:sz w:val="24"/>
          <w:szCs w:val="24"/>
          <w:highlight w:val="none"/>
          <w:lang w:val="en-US" w:eastAsia="zh-CN"/>
        </w:rPr>
        <w:t>20</w:t>
      </w:r>
      <w:r>
        <w:rPr>
          <w:rFonts w:hint="eastAsia" w:asciiTheme="minorEastAsia" w:hAnsiTheme="minorEastAsia" w:eastAsiaTheme="minorEastAsia" w:cstheme="minorEastAsia"/>
          <w:color w:val="auto"/>
          <w:sz w:val="24"/>
          <w:szCs w:val="24"/>
          <w:highlight w:val="none"/>
          <w:lang w:eastAsia="zh-CN"/>
        </w:rPr>
        <w:t>分（北京时间）</w:t>
      </w:r>
    </w:p>
    <w:p w14:paraId="1AA1BD1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2.地点：本项目为不见面开标项目。开标当日，供应商无需到开标现场参加开标会议，供应商应当在投标截止时间前，登录不见面开标大厅选择登录三门峡市公共资源电子招投标系统进行登录网址：</w:t>
      </w:r>
      <w:r>
        <w:rPr>
          <w:rFonts w:hint="eastAsia" w:asciiTheme="minorEastAsia" w:hAnsiTheme="minorEastAsia" w:eastAsiaTheme="minorEastAsia" w:cstheme="minorEastAsia"/>
          <w:sz w:val="24"/>
          <w:szCs w:val="24"/>
          <w:highlight w:val="none"/>
          <w:lang w:eastAsia="zh-CN"/>
        </w:rPr>
        <w:fldChar w:fldCharType="begin"/>
      </w:r>
      <w:r>
        <w:rPr>
          <w:rFonts w:hint="eastAsia" w:asciiTheme="minorEastAsia" w:hAnsiTheme="minorEastAsia" w:eastAsiaTheme="minorEastAsia" w:cstheme="minorEastAsia"/>
          <w:sz w:val="24"/>
          <w:szCs w:val="24"/>
          <w:highlight w:val="none"/>
          <w:lang w:eastAsia="zh-CN"/>
        </w:rPr>
        <w:instrText xml:space="preserve"> HYPERLINK "http://120.194.249.36:10094/BidOpening/bidopeninghallaction/" </w:instrText>
      </w:r>
      <w:r>
        <w:rPr>
          <w:rFonts w:hint="eastAsia" w:asciiTheme="minorEastAsia" w:hAnsiTheme="minorEastAsia" w:eastAsiaTheme="minorEastAsia" w:cstheme="minorEastAsia"/>
          <w:sz w:val="24"/>
          <w:szCs w:val="24"/>
          <w:highlight w:val="none"/>
          <w:lang w:eastAsia="zh-CN"/>
        </w:rPr>
        <w:fldChar w:fldCharType="separate"/>
      </w:r>
      <w:r>
        <w:rPr>
          <w:rFonts w:hint="eastAsia" w:asciiTheme="minorEastAsia" w:hAnsiTheme="minorEastAsia" w:eastAsiaTheme="minorEastAsia" w:cstheme="minorEastAsia"/>
          <w:sz w:val="24"/>
          <w:szCs w:val="24"/>
          <w:highlight w:val="none"/>
          <w:lang w:eastAsia="zh-CN"/>
        </w:rPr>
        <w:t>http://120.194.249.36:10094/BidOpening/bidopeninghallaction/</w:t>
      </w:r>
      <w:r>
        <w:rPr>
          <w:rFonts w:hint="eastAsia" w:asciiTheme="minorEastAsia" w:hAnsiTheme="minorEastAsia" w:eastAsiaTheme="minorEastAsia" w:cstheme="minorEastAsia"/>
          <w:sz w:val="24"/>
          <w:szCs w:val="24"/>
          <w:highlight w:val="none"/>
          <w:lang w:eastAsia="zh-CN"/>
        </w:rPr>
        <w:fldChar w:fldCharType="end"/>
      </w:r>
      <w:r>
        <w:rPr>
          <w:rFonts w:hint="eastAsia" w:asciiTheme="minorEastAsia" w:hAnsiTheme="minorEastAsia" w:eastAsiaTheme="minorEastAsia" w:cstheme="minorEastAsia"/>
          <w:sz w:val="24"/>
          <w:szCs w:val="24"/>
          <w:highlight w:val="none"/>
          <w:lang w:eastAsia="zh-CN"/>
        </w:rPr>
        <w:t>hall/login），在线准时参加开标活动并进行投标文件解密等。每位供应商的解密时间为开标时间起30分钟内完成。未按时解密的投标将被否决。因供应商原因未能解密、解密失败或解密超时的将被拒绝。</w:t>
      </w:r>
    </w:p>
    <w:p w14:paraId="0796A270">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val="0"/>
          <w:bCs w:val="0"/>
          <w:sz w:val="24"/>
          <w:szCs w:val="24"/>
          <w:highlight w:val="none"/>
          <w:lang w:eastAsia="zh-CN"/>
        </w:rPr>
      </w:pPr>
      <w:bookmarkStart w:id="46" w:name="_Toc25970"/>
      <w:bookmarkStart w:id="47" w:name="_Toc6497"/>
      <w:bookmarkStart w:id="48" w:name="_Toc32665"/>
      <w:bookmarkStart w:id="49" w:name="_Toc5866"/>
      <w:bookmarkStart w:id="50" w:name="_Toc10612"/>
      <w:bookmarkStart w:id="51" w:name="_Toc11985"/>
      <w:bookmarkStart w:id="52" w:name="_Toc19088"/>
      <w:r>
        <w:rPr>
          <w:rFonts w:hint="eastAsia" w:asciiTheme="minorEastAsia" w:hAnsiTheme="minorEastAsia" w:eastAsiaTheme="minorEastAsia" w:cstheme="minorEastAsia"/>
          <w:b w:val="0"/>
          <w:bCs w:val="0"/>
          <w:sz w:val="24"/>
          <w:szCs w:val="24"/>
          <w:highlight w:val="none"/>
          <w:lang w:eastAsia="zh-CN"/>
        </w:rPr>
        <w:t>七、发布公告的媒介及招标公告期限</w:t>
      </w:r>
      <w:bookmarkEnd w:id="46"/>
      <w:bookmarkEnd w:id="47"/>
      <w:bookmarkEnd w:id="48"/>
      <w:bookmarkEnd w:id="49"/>
      <w:bookmarkEnd w:id="50"/>
      <w:bookmarkEnd w:id="51"/>
      <w:bookmarkEnd w:id="52"/>
    </w:p>
    <w:p w14:paraId="37B3CDC8">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本次招标公告在《河南省政府采购网》、《河南招标采购综合网》</w:t>
      </w:r>
      <w:r>
        <w:rPr>
          <w:rFonts w:hint="eastAsia" w:asciiTheme="minorEastAsia" w:hAnsiTheme="minorEastAsia" w:eastAsiaTheme="minorEastAsia" w:cstheme="minorEastAsia"/>
          <w:sz w:val="24"/>
          <w:szCs w:val="24"/>
          <w:highlight w:val="none"/>
          <w:lang w:val="en-US" w:eastAsia="zh-CN"/>
        </w:rPr>
        <w:t>和</w:t>
      </w:r>
      <w:r>
        <w:rPr>
          <w:rFonts w:hint="eastAsia" w:asciiTheme="minorEastAsia" w:hAnsiTheme="minorEastAsia" w:eastAsiaTheme="minorEastAsia" w:cstheme="minorEastAsia"/>
          <w:sz w:val="24"/>
          <w:szCs w:val="24"/>
          <w:highlight w:val="none"/>
          <w:lang w:eastAsia="zh-CN"/>
        </w:rPr>
        <w:t>《三门峡市公共资源交易中心网》上发布。</w:t>
      </w:r>
    </w:p>
    <w:p w14:paraId="4171550B">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val="0"/>
          <w:bCs w:val="0"/>
          <w:sz w:val="24"/>
          <w:szCs w:val="24"/>
          <w:highlight w:val="none"/>
          <w:lang w:eastAsia="zh-CN"/>
        </w:rPr>
      </w:pPr>
      <w:bookmarkStart w:id="53" w:name="_Toc8444"/>
      <w:bookmarkStart w:id="54" w:name="_Toc29212"/>
      <w:bookmarkStart w:id="55" w:name="_Toc25331"/>
      <w:bookmarkStart w:id="56" w:name="_Toc24163"/>
      <w:bookmarkStart w:id="57" w:name="_Toc17360"/>
      <w:bookmarkStart w:id="58" w:name="_Toc1192"/>
      <w:bookmarkStart w:id="59" w:name="_Toc1826"/>
      <w:r>
        <w:rPr>
          <w:rFonts w:hint="eastAsia" w:asciiTheme="minorEastAsia" w:hAnsiTheme="minorEastAsia" w:eastAsiaTheme="minorEastAsia" w:cstheme="minorEastAsia"/>
          <w:b w:val="0"/>
          <w:bCs w:val="0"/>
          <w:sz w:val="24"/>
          <w:szCs w:val="24"/>
          <w:highlight w:val="none"/>
          <w:lang w:eastAsia="zh-CN"/>
        </w:rPr>
        <w:t>八、 其他补充事宜</w:t>
      </w:r>
      <w:bookmarkEnd w:id="53"/>
      <w:bookmarkEnd w:id="54"/>
      <w:bookmarkEnd w:id="55"/>
      <w:bookmarkEnd w:id="56"/>
      <w:bookmarkEnd w:id="57"/>
      <w:bookmarkEnd w:id="58"/>
      <w:bookmarkEnd w:id="59"/>
    </w:p>
    <w:p w14:paraId="69A7395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1.投标供应商应仔细阅读操作手册，在本公告中要求的截止时间前完成征集文件下载等工作。并充分考虑人为操作和时间等因素，因投标供应商操作不当造成的无法下载征集文件、无法投标等一切后果，由投标供应商自行承担。</w:t>
      </w:r>
    </w:p>
    <w:p w14:paraId="23F665A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2.征集人不组织投标供应商踏勘现场。</w:t>
      </w:r>
    </w:p>
    <w:p w14:paraId="50BCC136">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3.供应商递交的投标文件不论中标与否均不予退还。 </w:t>
      </w:r>
    </w:p>
    <w:p w14:paraId="6857256E">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温馨提示：本项目为电子化、无纸化交易项目，开标时不再接收任何纸质资料，为保证您能投标成功，请仔细阅读征集文件和三门峡市公共资源交易中心官网业务办理指引。</w:t>
      </w:r>
    </w:p>
    <w:p w14:paraId="4C2C4487">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0" w:firstLineChars="0"/>
        <w:jc w:val="left"/>
        <w:textAlignment w:val="baseline"/>
        <w:outlineLvl w:val="1"/>
        <w:rPr>
          <w:rFonts w:hint="eastAsia" w:asciiTheme="minorEastAsia" w:hAnsiTheme="minorEastAsia" w:eastAsiaTheme="minorEastAsia" w:cstheme="minorEastAsia"/>
          <w:b/>
          <w:bCs/>
          <w:sz w:val="24"/>
          <w:szCs w:val="24"/>
          <w:highlight w:val="none"/>
          <w:lang w:eastAsia="zh-CN"/>
        </w:rPr>
      </w:pPr>
      <w:bookmarkStart w:id="60" w:name="_Toc93"/>
      <w:bookmarkStart w:id="61" w:name="_Toc5072"/>
      <w:bookmarkStart w:id="62" w:name="_Toc8454"/>
      <w:bookmarkStart w:id="63" w:name="_Toc7658"/>
      <w:bookmarkStart w:id="64" w:name="_Toc29780"/>
      <w:bookmarkStart w:id="65" w:name="_Toc26596"/>
      <w:bookmarkStart w:id="66" w:name="_Toc15468"/>
      <w:r>
        <w:rPr>
          <w:rFonts w:hint="eastAsia" w:asciiTheme="minorEastAsia" w:hAnsiTheme="minorEastAsia" w:eastAsiaTheme="minorEastAsia" w:cstheme="minorEastAsia"/>
          <w:b/>
          <w:bCs/>
          <w:sz w:val="24"/>
          <w:szCs w:val="24"/>
          <w:highlight w:val="none"/>
          <w:lang w:eastAsia="zh-CN"/>
        </w:rPr>
        <w:t>九、联系方式</w:t>
      </w:r>
      <w:bookmarkEnd w:id="60"/>
      <w:bookmarkEnd w:id="61"/>
      <w:bookmarkEnd w:id="62"/>
      <w:bookmarkEnd w:id="63"/>
      <w:bookmarkEnd w:id="64"/>
      <w:bookmarkEnd w:id="65"/>
      <w:bookmarkEnd w:id="66"/>
    </w:p>
    <w:p w14:paraId="7577453B">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480" w:firstLineChars="200"/>
        <w:textAlignment w:val="baseline"/>
        <w:outlineLvl w:val="9"/>
        <w:rPr>
          <w:rFonts w:hint="eastAsia" w:asciiTheme="minorEastAsia" w:hAnsiTheme="minorEastAsia" w:eastAsiaTheme="minorEastAsia" w:cstheme="minorEastAsia"/>
          <w:sz w:val="24"/>
          <w:szCs w:val="24"/>
          <w:highlight w:val="none"/>
          <w:lang w:eastAsia="zh-CN"/>
        </w:rPr>
      </w:pPr>
      <w:bookmarkStart w:id="67" w:name="_Toc10117"/>
      <w:r>
        <w:rPr>
          <w:rFonts w:hint="eastAsia" w:asciiTheme="minorEastAsia" w:hAnsiTheme="minorEastAsia" w:eastAsiaTheme="minorEastAsia" w:cstheme="minorEastAsia"/>
          <w:sz w:val="24"/>
          <w:szCs w:val="24"/>
          <w:highlight w:val="none"/>
          <w:lang w:eastAsia="zh-CN"/>
        </w:rPr>
        <w:t>1.采购人信息</w:t>
      </w:r>
      <w:bookmarkEnd w:id="67"/>
    </w:p>
    <w:p w14:paraId="2F95A85F">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名称：三门峡市陕州区发展和改革委员会</w:t>
      </w:r>
    </w:p>
    <w:p w14:paraId="3709D78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地址：陕州区</w:t>
      </w:r>
      <w:r>
        <w:rPr>
          <w:rFonts w:hint="eastAsia" w:asciiTheme="minorEastAsia" w:hAnsiTheme="minorEastAsia" w:eastAsiaTheme="minorEastAsia" w:cstheme="minorEastAsia"/>
          <w:sz w:val="24"/>
          <w:szCs w:val="24"/>
          <w:highlight w:val="none"/>
          <w:lang w:val="en-US" w:eastAsia="zh-CN"/>
        </w:rPr>
        <w:t>陕州大道</w:t>
      </w:r>
    </w:p>
    <w:p w14:paraId="0F672EF2">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联系人：</w:t>
      </w:r>
      <w:r>
        <w:rPr>
          <w:rFonts w:hint="eastAsia" w:asciiTheme="minorEastAsia" w:hAnsiTheme="minorEastAsia" w:eastAsiaTheme="minorEastAsia" w:cstheme="minorEastAsia"/>
          <w:sz w:val="24"/>
          <w:szCs w:val="24"/>
          <w:highlight w:val="none"/>
          <w:lang w:val="en-US" w:eastAsia="zh-CN"/>
        </w:rPr>
        <w:t>郭先生</w:t>
      </w:r>
    </w:p>
    <w:p w14:paraId="334822D0">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联系方式：</w:t>
      </w:r>
      <w:r>
        <w:rPr>
          <w:rFonts w:hint="eastAsia" w:asciiTheme="minorEastAsia" w:hAnsiTheme="minorEastAsia" w:eastAsiaTheme="minorEastAsia" w:cstheme="minorEastAsia"/>
          <w:sz w:val="24"/>
          <w:szCs w:val="24"/>
          <w:highlight w:val="none"/>
          <w:lang w:val="en-US" w:eastAsia="zh-CN"/>
        </w:rPr>
        <w:t>13639891119</w:t>
      </w:r>
    </w:p>
    <w:p w14:paraId="52D5AFC3">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480" w:firstLineChars="200"/>
        <w:textAlignment w:val="baseline"/>
        <w:outlineLvl w:val="9"/>
        <w:rPr>
          <w:rFonts w:hint="eastAsia" w:asciiTheme="minorEastAsia" w:hAnsiTheme="minorEastAsia" w:eastAsiaTheme="minorEastAsia" w:cstheme="minorEastAsia"/>
          <w:sz w:val="24"/>
          <w:szCs w:val="24"/>
          <w:highlight w:val="none"/>
          <w:lang w:eastAsia="zh-CN"/>
        </w:rPr>
      </w:pPr>
      <w:bookmarkStart w:id="68" w:name="_Toc22932"/>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eastAsia="zh-CN"/>
        </w:rPr>
        <w:t>.采购代理机构信息</w:t>
      </w:r>
      <w:bookmarkEnd w:id="68"/>
    </w:p>
    <w:p w14:paraId="7E5CC042">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名称：河南飞洋建设工程咨询有限公司</w:t>
      </w:r>
    </w:p>
    <w:p w14:paraId="0B20BAD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地址：三门峡市湖滨区北堤东路与永安街交叉口西40米</w:t>
      </w:r>
    </w:p>
    <w:p w14:paraId="3F634D4F">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联系人：宗航</w:t>
      </w:r>
    </w:p>
    <w:p w14:paraId="6B039FA0">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联系方式：15516319990</w:t>
      </w:r>
    </w:p>
    <w:p w14:paraId="397A9CF2">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firstLine="480" w:firstLineChars="200"/>
        <w:textAlignment w:val="baseline"/>
        <w:outlineLvl w:val="9"/>
        <w:rPr>
          <w:rFonts w:hint="eastAsia" w:asciiTheme="minorEastAsia" w:hAnsiTheme="minorEastAsia" w:eastAsiaTheme="minorEastAsia" w:cstheme="minorEastAsia"/>
          <w:sz w:val="24"/>
          <w:szCs w:val="24"/>
          <w:highlight w:val="none"/>
          <w:lang w:eastAsia="zh-CN"/>
        </w:rPr>
      </w:pPr>
      <w:bookmarkStart w:id="69" w:name="_Toc32409"/>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lang w:eastAsia="zh-CN"/>
        </w:rPr>
        <w:t>.项目联系方式</w:t>
      </w:r>
      <w:bookmarkEnd w:id="69"/>
    </w:p>
    <w:p w14:paraId="0975FA3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项目联系人：宗航</w:t>
      </w:r>
    </w:p>
    <w:p w14:paraId="41C2649E">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联系方式：15516319990</w:t>
      </w:r>
    </w:p>
    <w:p w14:paraId="006DC0A6">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4.监督单位：三门峡市陕州区财政局政府采购监督管理科</w:t>
      </w:r>
    </w:p>
    <w:p w14:paraId="4A8E818B">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outlineLvl w:val="9"/>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电话：0398-3839210 </w:t>
      </w:r>
    </w:p>
    <w:p w14:paraId="416581E3">
      <w:pPr>
        <w:pStyle w:val="6"/>
        <w:spacing w:line="360" w:lineRule="auto"/>
        <w:rPr>
          <w:rFonts w:hint="eastAsia" w:asciiTheme="minorEastAsia" w:hAnsiTheme="minorEastAsia" w:eastAsiaTheme="minorEastAsia" w:cstheme="minorEastAsia"/>
          <w:sz w:val="24"/>
          <w:szCs w:val="24"/>
          <w:highlight w:val="none"/>
        </w:rPr>
      </w:pPr>
    </w:p>
    <w:p w14:paraId="105E520D">
      <w:pPr>
        <w:pStyle w:val="6"/>
        <w:spacing w:line="360" w:lineRule="auto"/>
        <w:rPr>
          <w:rFonts w:hint="eastAsia" w:ascii="宋体" w:hAnsi="宋体" w:eastAsia="宋体" w:cs="宋体"/>
          <w:sz w:val="24"/>
          <w:szCs w:val="24"/>
          <w:highlight w:val="none"/>
        </w:rPr>
      </w:pPr>
    </w:p>
    <w:p w14:paraId="36490862">
      <w:pPr>
        <w:pStyle w:val="6"/>
        <w:spacing w:line="360" w:lineRule="auto"/>
        <w:rPr>
          <w:rFonts w:hint="eastAsia" w:ascii="宋体" w:hAnsi="宋体" w:eastAsia="宋体" w:cs="宋体"/>
          <w:sz w:val="28"/>
          <w:szCs w:val="28"/>
          <w:highlight w:val="none"/>
        </w:rPr>
      </w:pPr>
    </w:p>
    <w:p w14:paraId="4764E77A">
      <w:pPr>
        <w:pStyle w:val="6"/>
        <w:spacing w:line="360" w:lineRule="auto"/>
        <w:rPr>
          <w:rFonts w:hint="eastAsia" w:ascii="宋体" w:hAnsi="宋体" w:eastAsia="宋体" w:cs="宋体"/>
          <w:sz w:val="28"/>
          <w:szCs w:val="28"/>
          <w:highlight w:val="none"/>
        </w:rPr>
      </w:pPr>
    </w:p>
    <w:p w14:paraId="3A6EAE60">
      <w:pPr>
        <w:pStyle w:val="6"/>
        <w:spacing w:line="360" w:lineRule="auto"/>
        <w:rPr>
          <w:rFonts w:hint="eastAsia" w:ascii="宋体" w:hAnsi="宋体" w:eastAsia="宋体" w:cs="宋体"/>
          <w:sz w:val="28"/>
          <w:szCs w:val="28"/>
          <w:highlight w:val="none"/>
        </w:rPr>
      </w:pPr>
    </w:p>
    <w:p w14:paraId="21B5AE5E">
      <w:pPr>
        <w:rPr>
          <w:rFonts w:hint="eastAsia" w:ascii="宋体" w:hAnsi="宋体" w:eastAsia="宋体" w:cs="宋体"/>
          <w:color w:val="auto"/>
          <w:spacing w:val="7"/>
          <w:sz w:val="32"/>
          <w:szCs w:val="32"/>
          <w:highlight w:val="none"/>
          <w14:textOutline w14:w="5791" w14:cap="flat" w14:cmpd="sng">
            <w14:solidFill>
              <w14:srgbClr w14:val="000000"/>
            </w14:solidFill>
            <w14:prstDash w14:val="solid"/>
            <w14:miter w14:val="0"/>
          </w14:textOutline>
        </w:rPr>
      </w:pPr>
      <w:r>
        <w:rPr>
          <w:rFonts w:hint="eastAsia" w:ascii="宋体" w:hAnsi="宋体" w:eastAsia="宋体" w:cs="宋体"/>
          <w:color w:val="auto"/>
          <w:spacing w:val="7"/>
          <w:sz w:val="32"/>
          <w:szCs w:val="32"/>
          <w:highlight w:val="none"/>
          <w14:textOutline w14:w="5791" w14:cap="flat" w14:cmpd="sng">
            <w14:solidFill>
              <w14:srgbClr w14:val="000000"/>
            </w14:solidFill>
            <w14:prstDash w14:val="solid"/>
            <w14:miter w14:val="0"/>
          </w14:textOutline>
        </w:rPr>
        <w:br w:type="page"/>
      </w:r>
    </w:p>
    <w:p w14:paraId="3025E87B">
      <w:pPr>
        <w:pStyle w:val="6"/>
        <w:rPr>
          <w:rFonts w:hint="eastAsia"/>
          <w:highlight w:val="none"/>
        </w:rPr>
      </w:pPr>
    </w:p>
    <w:p w14:paraId="5B8A6E29">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Theme="majorEastAsia" w:hAnsiTheme="majorEastAsia" w:eastAsiaTheme="majorEastAsia" w:cstheme="majorEastAsia"/>
          <w:b/>
          <w:bCs/>
          <w:spacing w:val="3948"/>
          <w:w w:val="100"/>
          <w:kern w:val="0"/>
          <w:sz w:val="32"/>
          <w:szCs w:val="32"/>
          <w:highlight w:val="none"/>
          <w:fitText w:val="4268" w:id="807167569"/>
        </w:rPr>
      </w:pPr>
      <w:bookmarkStart w:id="70" w:name="_Toc10700"/>
      <w:bookmarkStart w:id="71" w:name="_Toc6783"/>
      <w:bookmarkStart w:id="72" w:name="_Toc25376"/>
      <w:bookmarkStart w:id="73" w:name="_Toc12995"/>
      <w:bookmarkStart w:id="74" w:name="_Toc28083"/>
      <w:bookmarkStart w:id="75" w:name="_Toc15581"/>
      <w:bookmarkStart w:id="76" w:name="_Toc10226"/>
      <w:bookmarkStart w:id="77" w:name="_Toc32401"/>
      <w:bookmarkStart w:id="78" w:name="_Toc30108"/>
      <w:bookmarkStart w:id="79" w:name="_Toc1603"/>
      <w:bookmarkStart w:id="80" w:name="_Toc27874"/>
      <w:bookmarkStart w:id="81" w:name="_Toc10554"/>
      <w:bookmarkStart w:id="82" w:name="_Toc21859"/>
      <w:r>
        <w:rPr>
          <w:rFonts w:hint="eastAsia" w:asciiTheme="majorEastAsia" w:hAnsiTheme="majorEastAsia" w:eastAsiaTheme="majorEastAsia" w:cstheme="majorEastAsia"/>
          <w:b/>
          <w:bCs/>
          <w:spacing w:val="96"/>
          <w:w w:val="100"/>
          <w:kern w:val="0"/>
          <w:sz w:val="32"/>
          <w:szCs w:val="32"/>
          <w:highlight w:val="none"/>
          <w:fitText w:val="4268" w:id="1411267862"/>
        </w:rPr>
        <w:t>第二章 供应商须</w:t>
      </w:r>
      <w:r>
        <w:rPr>
          <w:rFonts w:hint="eastAsia" w:asciiTheme="majorEastAsia" w:hAnsiTheme="majorEastAsia" w:eastAsiaTheme="majorEastAsia" w:cstheme="majorEastAsia"/>
          <w:b/>
          <w:bCs/>
          <w:spacing w:val="6"/>
          <w:w w:val="100"/>
          <w:kern w:val="0"/>
          <w:sz w:val="32"/>
          <w:szCs w:val="32"/>
          <w:highlight w:val="none"/>
          <w:fitText w:val="4268" w:id="1411267862"/>
        </w:rPr>
        <w:t>知</w:t>
      </w:r>
      <w:bookmarkEnd w:id="70"/>
      <w:bookmarkEnd w:id="71"/>
      <w:bookmarkEnd w:id="72"/>
      <w:bookmarkEnd w:id="73"/>
      <w:bookmarkEnd w:id="74"/>
      <w:bookmarkEnd w:id="75"/>
      <w:bookmarkEnd w:id="76"/>
      <w:bookmarkEnd w:id="77"/>
      <w:bookmarkEnd w:id="78"/>
      <w:bookmarkEnd w:id="79"/>
      <w:bookmarkEnd w:id="80"/>
      <w:bookmarkEnd w:id="81"/>
      <w:bookmarkEnd w:id="82"/>
    </w:p>
    <w:p w14:paraId="0B925D9B">
      <w:pPr>
        <w:pStyle w:val="6"/>
        <w:keepNext w:val="0"/>
        <w:keepLines w:val="0"/>
        <w:pageBreakBefore w:val="0"/>
        <w:widowControl/>
        <w:kinsoku w:val="0"/>
        <w:wordWrap/>
        <w:overflowPunct/>
        <w:topLinePunct w:val="0"/>
        <w:autoSpaceDE w:val="0"/>
        <w:autoSpaceDN w:val="0"/>
        <w:bidi w:val="0"/>
        <w:adjustRightInd w:val="0"/>
        <w:snapToGrid w:val="0"/>
        <w:spacing w:line="600" w:lineRule="exact"/>
        <w:ind w:firstLine="0" w:firstLineChars="0"/>
        <w:jc w:val="center"/>
        <w:textAlignment w:val="baseline"/>
        <w:outlineLvl w:val="9"/>
        <w:rPr>
          <w:rFonts w:hint="eastAsia" w:asciiTheme="minorEastAsia" w:hAnsiTheme="minorEastAsia" w:eastAsiaTheme="minorEastAsia" w:cstheme="minorEastAsia"/>
          <w:b w:val="0"/>
          <w:bCs w:val="0"/>
          <w:sz w:val="30"/>
          <w:szCs w:val="30"/>
          <w:highlight w:val="none"/>
        </w:rPr>
      </w:pPr>
      <w:bookmarkStart w:id="83" w:name="_Toc24298"/>
      <w:bookmarkStart w:id="84" w:name="_Toc3918"/>
      <w:r>
        <w:rPr>
          <w:rFonts w:hint="eastAsia" w:asciiTheme="minorEastAsia" w:hAnsiTheme="minorEastAsia" w:eastAsiaTheme="minorEastAsia" w:cstheme="minorEastAsia"/>
          <w:b w:val="0"/>
          <w:bCs w:val="0"/>
          <w:sz w:val="30"/>
          <w:szCs w:val="30"/>
          <w:highlight w:val="none"/>
        </w:rPr>
        <w:t>供应商须知前附表</w:t>
      </w:r>
      <w:bookmarkEnd w:id="83"/>
      <w:bookmarkEnd w:id="84"/>
    </w:p>
    <w:tbl>
      <w:tblPr>
        <w:tblStyle w:val="14"/>
        <w:tblpPr w:leftFromText="180" w:rightFromText="180" w:vertAnchor="text" w:horzAnchor="page" w:tblpX="1209" w:tblpY="390"/>
        <w:tblOverlap w:val="never"/>
        <w:tblW w:w="949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9"/>
        <w:gridCol w:w="2227"/>
        <w:gridCol w:w="6623"/>
      </w:tblGrid>
      <w:tr w14:paraId="2EE1F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 w:hRule="atLeast"/>
        </w:trPr>
        <w:tc>
          <w:tcPr>
            <w:tcW w:w="649" w:type="dxa"/>
            <w:vAlign w:val="center"/>
          </w:tcPr>
          <w:p w14:paraId="0437AF4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序号</w:t>
            </w:r>
          </w:p>
        </w:tc>
        <w:tc>
          <w:tcPr>
            <w:tcW w:w="2227" w:type="dxa"/>
            <w:vAlign w:val="center"/>
          </w:tcPr>
          <w:p w14:paraId="6D6F998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条 款 名 称</w:t>
            </w:r>
          </w:p>
        </w:tc>
        <w:tc>
          <w:tcPr>
            <w:tcW w:w="6623" w:type="dxa"/>
            <w:vAlign w:val="center"/>
          </w:tcPr>
          <w:p w14:paraId="3CF1252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编 列 内 容</w:t>
            </w:r>
          </w:p>
        </w:tc>
      </w:tr>
      <w:tr w14:paraId="0D0298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649" w:type="dxa"/>
            <w:vAlign w:val="center"/>
          </w:tcPr>
          <w:p w14:paraId="68D4326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c>
          <w:tcPr>
            <w:tcW w:w="2227" w:type="dxa"/>
            <w:vAlign w:val="center"/>
          </w:tcPr>
          <w:p w14:paraId="67DA23D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项目名称</w:t>
            </w:r>
          </w:p>
        </w:tc>
        <w:tc>
          <w:tcPr>
            <w:tcW w:w="6623" w:type="dxa"/>
            <w:vAlign w:val="center"/>
          </w:tcPr>
          <w:p w14:paraId="75482D0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陕州区发展和改革委员会陕州区建设项目可研、初设评审项目</w:t>
            </w:r>
          </w:p>
        </w:tc>
      </w:tr>
      <w:tr w14:paraId="29698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649" w:type="dxa"/>
            <w:vAlign w:val="center"/>
          </w:tcPr>
          <w:p w14:paraId="11EB008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2227" w:type="dxa"/>
            <w:vAlign w:val="center"/>
          </w:tcPr>
          <w:p w14:paraId="4A8F7C4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征集人</w:t>
            </w:r>
          </w:p>
        </w:tc>
        <w:tc>
          <w:tcPr>
            <w:tcW w:w="6623" w:type="dxa"/>
            <w:vAlign w:val="top"/>
          </w:tcPr>
          <w:p w14:paraId="1C8B938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名称：三门峡市陕州区发展和改革委员会</w:t>
            </w:r>
          </w:p>
          <w:p w14:paraId="7E8EDF7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地址：陕州区陕州大道</w:t>
            </w:r>
          </w:p>
          <w:p w14:paraId="08999C5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联系人：郭先生</w:t>
            </w:r>
          </w:p>
          <w:p w14:paraId="34172A6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联系方式：13639891119</w:t>
            </w:r>
          </w:p>
        </w:tc>
      </w:tr>
      <w:tr w14:paraId="13A646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8" w:hRule="atLeast"/>
        </w:trPr>
        <w:tc>
          <w:tcPr>
            <w:tcW w:w="649" w:type="dxa"/>
            <w:vAlign w:val="center"/>
          </w:tcPr>
          <w:p w14:paraId="3F76F93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66DF73B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w:t>
            </w:r>
          </w:p>
        </w:tc>
        <w:tc>
          <w:tcPr>
            <w:tcW w:w="2227" w:type="dxa"/>
            <w:vAlign w:val="center"/>
          </w:tcPr>
          <w:p w14:paraId="4963B61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BEB751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代理机构</w:t>
            </w:r>
          </w:p>
        </w:tc>
        <w:tc>
          <w:tcPr>
            <w:tcW w:w="6623" w:type="dxa"/>
            <w:vAlign w:val="top"/>
          </w:tcPr>
          <w:p w14:paraId="0522182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名称：河南飞洋建设工程咨询有限公司</w:t>
            </w:r>
          </w:p>
          <w:p w14:paraId="32BDCB5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地址：三门峡市湖滨区北堤东路与永安街交叉口西40米</w:t>
            </w:r>
          </w:p>
          <w:p w14:paraId="1C40FAD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联系人：宗航</w:t>
            </w:r>
          </w:p>
          <w:p w14:paraId="30B0488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联系方式：15516319990</w:t>
            </w:r>
          </w:p>
        </w:tc>
      </w:tr>
      <w:tr w14:paraId="60176E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trPr>
        <w:tc>
          <w:tcPr>
            <w:tcW w:w="649" w:type="dxa"/>
            <w:vAlign w:val="center"/>
          </w:tcPr>
          <w:p w14:paraId="609F6BF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w:t>
            </w:r>
          </w:p>
        </w:tc>
        <w:tc>
          <w:tcPr>
            <w:tcW w:w="2227" w:type="dxa"/>
            <w:vAlign w:val="center"/>
          </w:tcPr>
          <w:p w14:paraId="60AD1E6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资金来源</w:t>
            </w:r>
          </w:p>
        </w:tc>
        <w:tc>
          <w:tcPr>
            <w:tcW w:w="6623" w:type="dxa"/>
            <w:vAlign w:val="center"/>
          </w:tcPr>
          <w:p w14:paraId="0B7E560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财政资金</w:t>
            </w:r>
          </w:p>
        </w:tc>
      </w:tr>
      <w:tr w14:paraId="5BEDCB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 w:hRule="atLeast"/>
        </w:trPr>
        <w:tc>
          <w:tcPr>
            <w:tcW w:w="649" w:type="dxa"/>
            <w:vAlign w:val="center"/>
          </w:tcPr>
          <w:p w14:paraId="0DE29B7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w:t>
            </w:r>
          </w:p>
        </w:tc>
        <w:tc>
          <w:tcPr>
            <w:tcW w:w="2227" w:type="dxa"/>
            <w:vAlign w:val="center"/>
          </w:tcPr>
          <w:p w14:paraId="659C8A9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预算金额</w:t>
            </w:r>
          </w:p>
        </w:tc>
        <w:tc>
          <w:tcPr>
            <w:tcW w:w="6623" w:type="dxa"/>
            <w:vAlign w:val="center"/>
          </w:tcPr>
          <w:p w14:paraId="6D37FA6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一标段：1800000.00元</w:t>
            </w:r>
          </w:p>
          <w:p w14:paraId="4D6AEC5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en-US"/>
              </w:rPr>
              <w:t>二标段</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1200000.00元</w:t>
            </w:r>
          </w:p>
        </w:tc>
      </w:tr>
      <w:tr w14:paraId="45506B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649" w:type="dxa"/>
            <w:vAlign w:val="center"/>
          </w:tcPr>
          <w:p w14:paraId="0446032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w:t>
            </w:r>
          </w:p>
        </w:tc>
        <w:tc>
          <w:tcPr>
            <w:tcW w:w="2227" w:type="dxa"/>
            <w:vAlign w:val="center"/>
          </w:tcPr>
          <w:p w14:paraId="4ECB171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履行合同的</w:t>
            </w:r>
          </w:p>
          <w:p w14:paraId="4A65967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地域范围</w:t>
            </w:r>
          </w:p>
        </w:tc>
        <w:tc>
          <w:tcPr>
            <w:tcW w:w="6623" w:type="dxa"/>
            <w:vAlign w:val="center"/>
          </w:tcPr>
          <w:p w14:paraId="2C3D35C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三门峡市</w:t>
            </w:r>
            <w:r>
              <w:rPr>
                <w:rFonts w:hint="eastAsia" w:ascii="宋体" w:hAnsi="宋体" w:eastAsia="宋体" w:cs="宋体"/>
                <w:sz w:val="24"/>
                <w:szCs w:val="24"/>
                <w:highlight w:val="none"/>
                <w:lang w:val="en-US" w:eastAsia="zh-CN"/>
              </w:rPr>
              <w:t>陕州区</w:t>
            </w:r>
          </w:p>
        </w:tc>
      </w:tr>
      <w:tr w14:paraId="7FF24F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7" w:hRule="atLeast"/>
        </w:trPr>
        <w:tc>
          <w:tcPr>
            <w:tcW w:w="649" w:type="dxa"/>
            <w:vAlign w:val="center"/>
          </w:tcPr>
          <w:p w14:paraId="3568CD5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72D388D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w:t>
            </w:r>
          </w:p>
        </w:tc>
        <w:tc>
          <w:tcPr>
            <w:tcW w:w="2227" w:type="dxa"/>
            <w:vAlign w:val="center"/>
          </w:tcPr>
          <w:p w14:paraId="4444B5B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387EF33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采购内容</w:t>
            </w:r>
          </w:p>
        </w:tc>
        <w:tc>
          <w:tcPr>
            <w:tcW w:w="6623" w:type="dxa"/>
            <w:vAlign w:val="center"/>
          </w:tcPr>
          <w:p w14:paraId="675EB79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本项目为陕州区建设项目可研、初设评审项目，共分为两个标段，一标段：陕州区政府投资项目可行性研究报告评审服务；二标段：陕州区政府投资项目初步设计评审服务。</w:t>
            </w:r>
          </w:p>
        </w:tc>
      </w:tr>
      <w:tr w14:paraId="12F487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49" w:type="dxa"/>
            <w:vAlign w:val="center"/>
          </w:tcPr>
          <w:p w14:paraId="389B8D2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w:t>
            </w:r>
          </w:p>
        </w:tc>
        <w:tc>
          <w:tcPr>
            <w:tcW w:w="2227" w:type="dxa"/>
            <w:vAlign w:val="center"/>
          </w:tcPr>
          <w:p w14:paraId="11E3370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default" w:ascii="宋体" w:hAnsi="宋体" w:eastAsia="宋体" w:cs="宋体"/>
                <w:color w:val="0000FF"/>
                <w:sz w:val="24"/>
                <w:szCs w:val="24"/>
                <w:highlight w:val="none"/>
                <w:lang w:val="en-US" w:eastAsia="zh-CN"/>
              </w:rPr>
            </w:pPr>
            <w:r>
              <w:rPr>
                <w:rFonts w:hint="eastAsia" w:ascii="宋体" w:hAnsi="宋体" w:eastAsia="宋体" w:cs="宋体"/>
                <w:color w:val="auto"/>
                <w:sz w:val="24"/>
                <w:szCs w:val="24"/>
                <w:highlight w:val="none"/>
                <w:lang w:val="en-US" w:eastAsia="zh-CN"/>
              </w:rPr>
              <w:t>最高限价</w:t>
            </w:r>
          </w:p>
        </w:tc>
        <w:tc>
          <w:tcPr>
            <w:tcW w:w="6623" w:type="dxa"/>
            <w:vAlign w:val="center"/>
          </w:tcPr>
          <w:p w14:paraId="16776C0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color w:val="0000FF"/>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豫发改投资【2023】172号文</w:t>
            </w:r>
            <w:r>
              <w:rPr>
                <w:rFonts w:hint="eastAsia" w:asciiTheme="minorEastAsia" w:hAnsiTheme="minorEastAsia" w:eastAsiaTheme="minorEastAsia" w:cstheme="minorEastAsia"/>
                <w:color w:val="auto"/>
                <w:sz w:val="24"/>
                <w:szCs w:val="24"/>
                <w:highlight w:val="none"/>
                <w:lang w:eastAsia="zh-CN"/>
              </w:rPr>
              <w:t>要求中各控制价的100%</w:t>
            </w:r>
          </w:p>
        </w:tc>
      </w:tr>
      <w:tr w14:paraId="6C8ACA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649" w:type="dxa"/>
            <w:vAlign w:val="center"/>
          </w:tcPr>
          <w:p w14:paraId="63D1A76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10</w:t>
            </w:r>
          </w:p>
        </w:tc>
        <w:tc>
          <w:tcPr>
            <w:tcW w:w="2227" w:type="dxa"/>
            <w:vAlign w:val="center"/>
          </w:tcPr>
          <w:p w14:paraId="3024979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服务标准</w:t>
            </w:r>
          </w:p>
        </w:tc>
        <w:tc>
          <w:tcPr>
            <w:tcW w:w="6623" w:type="dxa"/>
            <w:vAlign w:val="center"/>
          </w:tcPr>
          <w:p w14:paraId="09C7406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符合国家及行业合格标准，满足征集人及服务对象要求</w:t>
            </w:r>
          </w:p>
        </w:tc>
      </w:tr>
      <w:tr w14:paraId="40DC68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649" w:type="dxa"/>
            <w:vAlign w:val="center"/>
          </w:tcPr>
          <w:p w14:paraId="3F42632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w:t>
            </w:r>
          </w:p>
        </w:tc>
        <w:tc>
          <w:tcPr>
            <w:tcW w:w="2227" w:type="dxa"/>
            <w:vAlign w:val="center"/>
          </w:tcPr>
          <w:p w14:paraId="675AB2D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响应文件有效期</w:t>
            </w:r>
          </w:p>
        </w:tc>
        <w:tc>
          <w:tcPr>
            <w:tcW w:w="6623" w:type="dxa"/>
            <w:vAlign w:val="center"/>
          </w:tcPr>
          <w:p w14:paraId="140B7A4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提交响应文件的截止之日起60日历天</w:t>
            </w:r>
          </w:p>
        </w:tc>
      </w:tr>
      <w:tr w14:paraId="3DA61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47" w:hRule="atLeast"/>
        </w:trPr>
        <w:tc>
          <w:tcPr>
            <w:tcW w:w="649" w:type="dxa"/>
            <w:vAlign w:val="top"/>
          </w:tcPr>
          <w:p w14:paraId="0450988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5D61BD2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2E8BAE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40FA448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4460488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52644E4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43E858C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0B2FCB6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C80D8A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08195E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8F839C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02443BA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764A286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E53BBB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7408D6B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7DDE6BE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99DD63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12</w:t>
            </w:r>
          </w:p>
        </w:tc>
        <w:tc>
          <w:tcPr>
            <w:tcW w:w="2227" w:type="dxa"/>
            <w:vAlign w:val="top"/>
          </w:tcPr>
          <w:p w14:paraId="03822E1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0E578A4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39DA2F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74138A1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5570189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8176E9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532B8A2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776676B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6254F8F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0EAF4F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B1836E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828028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196C37D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7A9BD6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6CC5226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p>
          <w:p w14:paraId="44F680C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zh-CN"/>
              </w:rPr>
              <w:t>供应商资格要求</w:t>
            </w:r>
          </w:p>
        </w:tc>
        <w:tc>
          <w:tcPr>
            <w:tcW w:w="6623" w:type="dxa"/>
            <w:vAlign w:val="top"/>
          </w:tcPr>
          <w:p w14:paraId="2653B534">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1.供应商参加本次政府采购活动必须符合《中华人民共和国政府采购法》第二十一条、第二十二条的规定并同时具备有效的营业执照</w:t>
            </w:r>
            <w:r>
              <w:rPr>
                <w:rFonts w:hint="eastAsia" w:asciiTheme="minorEastAsia" w:hAnsiTheme="minorEastAsia" w:eastAsiaTheme="minorEastAsia" w:cstheme="minorEastAsia"/>
                <w:sz w:val="24"/>
                <w:szCs w:val="24"/>
                <w:highlight w:val="none"/>
                <w:lang w:val="en-US" w:eastAsia="zh-CN"/>
              </w:rPr>
              <w:t>；</w:t>
            </w:r>
          </w:p>
          <w:p w14:paraId="04C98D4C">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2.落实政府采购政策满足的资格要求：</w:t>
            </w:r>
          </w:p>
          <w:p w14:paraId="287353E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本项目不属于专门面向中小企业采购的项目，但执行促进中小型企业发展政策、助力扶贫企业政策、支持残疾人单位和监狱企业政策等政府采购政策。</w:t>
            </w:r>
          </w:p>
          <w:p w14:paraId="4843950D">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3.本项目的特定资格要求</w:t>
            </w:r>
          </w:p>
          <w:p w14:paraId="7E819B3E">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（1）具有有效的营业执照或事业单位法人证书；；</w:t>
            </w:r>
          </w:p>
          <w:p w14:paraId="53878DA8">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）一标段供应商须具有工程咨询单位乙级（含乙级）及以上资信证书；</w:t>
            </w:r>
          </w:p>
          <w:p w14:paraId="5683CE03">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）二标段供应商须具有规划或设计乙级（含乙级）及以上资质；</w:t>
            </w:r>
          </w:p>
          <w:p w14:paraId="7ECDDAF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）拟派项目负责人须具有相关专业中级及以上（含中级）职称，提供社保缴费证明</w:t>
            </w:r>
          </w:p>
          <w:p w14:paraId="6867917C">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）供应商需提供本单位出具的无商业贿赂及不正当竞争行为的承诺书；</w:t>
            </w:r>
          </w:p>
          <w:p w14:paraId="1900653F">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）供应商出具无行贿犯罪记录在中国裁判文书网自行查询或自行承诺；（查询对象：企业、法定代表人）</w:t>
            </w:r>
          </w:p>
          <w:p w14:paraId="083B2126">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未被列入“中国执行信息公开网”（http://zxgk.court.gov.cn/shixin）失信被执行人、“信用中国”网站（www.creditchina.gov.cn）重大税收违法失信主体、“中国政府采购网”（http://www.ccgp.gov.cn）政府采购严重违法失信行为名单，提供网页查询信息截图；（查询时间自公告发布之日起）；</w:t>
            </w:r>
          </w:p>
          <w:p w14:paraId="3CBCDD98">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lang w:eastAsia="zh-CN"/>
              </w:rPr>
              <w:t>）单位负责人为同一人或者存在控股、管理关系的不同单位，不得同时参加本项目（提供“国家企业信用信息公示系统”</w:t>
            </w:r>
            <w:r>
              <w:rPr>
                <w:rFonts w:hint="eastAsia" w:asciiTheme="minorEastAsia" w:hAnsiTheme="minorEastAsia" w:eastAsiaTheme="minorEastAsia" w:cstheme="minorEastAsia"/>
                <w:color w:val="auto"/>
                <w:sz w:val="24"/>
                <w:szCs w:val="24"/>
                <w:highlight w:val="none"/>
                <w:lang w:val="en-US" w:eastAsia="zh-CN"/>
              </w:rPr>
              <w:t>中</w:t>
            </w:r>
            <w:r>
              <w:rPr>
                <w:rFonts w:hint="eastAsia" w:asciiTheme="minorEastAsia" w:hAnsiTheme="minorEastAsia" w:eastAsiaTheme="minorEastAsia" w:cstheme="minorEastAsia"/>
                <w:color w:val="auto"/>
                <w:sz w:val="24"/>
                <w:szCs w:val="24"/>
                <w:highlight w:val="none"/>
                <w:lang w:eastAsia="zh-CN"/>
              </w:rPr>
              <w:t>公示的公司信息、股东或投资人信息）。（查询时间自公告发布之日起）；</w:t>
            </w:r>
          </w:p>
          <w:p w14:paraId="037CD676">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lang w:val="en-US" w:eastAsia="en-US"/>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lang w:eastAsia="zh-CN"/>
              </w:rPr>
              <w:t>）本项目不接受联合体投标；</w:t>
            </w:r>
          </w:p>
        </w:tc>
      </w:tr>
      <w:tr w14:paraId="5119F8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649" w:type="dxa"/>
            <w:shd w:val="clear" w:color="auto" w:fill="auto"/>
            <w:vAlign w:val="center"/>
          </w:tcPr>
          <w:p w14:paraId="61BBF16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13</w:t>
            </w:r>
          </w:p>
        </w:tc>
        <w:tc>
          <w:tcPr>
            <w:tcW w:w="2227" w:type="dxa"/>
            <w:shd w:val="clear" w:color="auto" w:fill="auto"/>
            <w:vAlign w:val="top"/>
          </w:tcPr>
          <w:p w14:paraId="207DCEB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是否接受联</w:t>
            </w:r>
          </w:p>
          <w:p w14:paraId="1E7C59E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合体参加</w:t>
            </w:r>
          </w:p>
        </w:tc>
        <w:tc>
          <w:tcPr>
            <w:tcW w:w="6623" w:type="dxa"/>
            <w:shd w:val="clear" w:color="auto" w:fill="auto"/>
            <w:vAlign w:val="center"/>
          </w:tcPr>
          <w:p w14:paraId="7EC99601">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both"/>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不接受</w:t>
            </w:r>
          </w:p>
        </w:tc>
      </w:tr>
      <w:tr w14:paraId="4A1FB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649" w:type="dxa"/>
            <w:shd w:val="clear" w:color="auto" w:fill="auto"/>
            <w:vAlign w:val="center"/>
          </w:tcPr>
          <w:p w14:paraId="50E3830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14</w:t>
            </w:r>
          </w:p>
        </w:tc>
        <w:tc>
          <w:tcPr>
            <w:tcW w:w="2227" w:type="dxa"/>
            <w:shd w:val="clear" w:color="auto" w:fill="auto"/>
            <w:vAlign w:val="top"/>
          </w:tcPr>
          <w:p w14:paraId="3D1D80E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分包</w:t>
            </w:r>
          </w:p>
        </w:tc>
        <w:tc>
          <w:tcPr>
            <w:tcW w:w="6623" w:type="dxa"/>
            <w:shd w:val="clear" w:color="auto" w:fill="auto"/>
            <w:vAlign w:val="top"/>
          </w:tcPr>
          <w:p w14:paraId="59DC7E7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不允许</w:t>
            </w:r>
          </w:p>
        </w:tc>
      </w:tr>
      <w:tr w14:paraId="18DDEA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 w:hRule="atLeast"/>
        </w:trPr>
        <w:tc>
          <w:tcPr>
            <w:tcW w:w="649" w:type="dxa"/>
            <w:shd w:val="clear" w:color="auto" w:fill="auto"/>
            <w:vAlign w:val="center"/>
          </w:tcPr>
          <w:p w14:paraId="1BD3863C">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15</w:t>
            </w:r>
          </w:p>
        </w:tc>
        <w:tc>
          <w:tcPr>
            <w:tcW w:w="2227" w:type="dxa"/>
            <w:shd w:val="clear" w:color="auto" w:fill="auto"/>
            <w:vAlign w:val="top"/>
          </w:tcPr>
          <w:p w14:paraId="38B6C80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偏差</w:t>
            </w:r>
          </w:p>
        </w:tc>
        <w:tc>
          <w:tcPr>
            <w:tcW w:w="6623" w:type="dxa"/>
            <w:shd w:val="clear" w:color="auto" w:fill="auto"/>
            <w:vAlign w:val="top"/>
          </w:tcPr>
          <w:p w14:paraId="6DD8068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不允许</w:t>
            </w:r>
          </w:p>
        </w:tc>
      </w:tr>
      <w:tr w14:paraId="17D5E0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649" w:type="dxa"/>
            <w:shd w:val="clear" w:color="auto" w:fill="auto"/>
            <w:vAlign w:val="center"/>
          </w:tcPr>
          <w:p w14:paraId="008ED55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479F659B">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16</w:t>
            </w:r>
          </w:p>
        </w:tc>
        <w:tc>
          <w:tcPr>
            <w:tcW w:w="2227" w:type="dxa"/>
            <w:shd w:val="clear" w:color="auto" w:fill="auto"/>
            <w:vAlign w:val="center"/>
          </w:tcPr>
          <w:p w14:paraId="2201E5D7">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供应商要求澄清征集文件</w:t>
            </w:r>
          </w:p>
        </w:tc>
        <w:tc>
          <w:tcPr>
            <w:tcW w:w="6623" w:type="dxa"/>
            <w:shd w:val="clear" w:color="auto" w:fill="auto"/>
            <w:vAlign w:val="center"/>
          </w:tcPr>
          <w:p w14:paraId="10B647C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时间：响应文件提交截止时间前 15 日</w:t>
            </w:r>
          </w:p>
        </w:tc>
      </w:tr>
      <w:tr w14:paraId="795E5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649" w:type="dxa"/>
            <w:shd w:val="clear" w:color="auto" w:fill="auto"/>
            <w:vAlign w:val="center"/>
          </w:tcPr>
          <w:p w14:paraId="0A512CD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01621E1F">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17</w:t>
            </w:r>
          </w:p>
        </w:tc>
        <w:tc>
          <w:tcPr>
            <w:tcW w:w="2227" w:type="dxa"/>
            <w:shd w:val="clear" w:color="auto" w:fill="auto"/>
            <w:vAlign w:val="center"/>
          </w:tcPr>
          <w:p w14:paraId="459C061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征集文件澄清发出的形式</w:t>
            </w:r>
          </w:p>
        </w:tc>
        <w:tc>
          <w:tcPr>
            <w:tcW w:w="6623" w:type="dxa"/>
            <w:shd w:val="clear" w:color="auto" w:fill="auto"/>
            <w:vAlign w:val="center"/>
          </w:tcPr>
          <w:p w14:paraId="344C140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在原公告媒体发布澄清公告，请登录“三门峡市公共资源交易中心网站”，凭 CA 锁下载征集文件澄清。</w:t>
            </w:r>
          </w:p>
        </w:tc>
      </w:tr>
      <w:tr w14:paraId="60BF7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649" w:type="dxa"/>
            <w:shd w:val="clear" w:color="auto" w:fill="auto"/>
            <w:vAlign w:val="center"/>
          </w:tcPr>
          <w:p w14:paraId="553AB9C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68DF5B10">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18</w:t>
            </w:r>
          </w:p>
        </w:tc>
        <w:tc>
          <w:tcPr>
            <w:tcW w:w="2227" w:type="dxa"/>
            <w:shd w:val="clear" w:color="auto" w:fill="auto"/>
            <w:vAlign w:val="center"/>
          </w:tcPr>
          <w:p w14:paraId="5881D02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征集文件修改发出的形式</w:t>
            </w:r>
          </w:p>
        </w:tc>
        <w:tc>
          <w:tcPr>
            <w:tcW w:w="6623" w:type="dxa"/>
            <w:shd w:val="clear" w:color="auto" w:fill="auto"/>
            <w:vAlign w:val="center"/>
          </w:tcPr>
          <w:p w14:paraId="7B44519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在原公告媒体发布变更公告</w:t>
            </w:r>
          </w:p>
        </w:tc>
      </w:tr>
      <w:tr w14:paraId="73F250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trPr>
        <w:tc>
          <w:tcPr>
            <w:tcW w:w="649" w:type="dxa"/>
            <w:shd w:val="clear" w:color="auto" w:fill="auto"/>
            <w:vAlign w:val="center"/>
          </w:tcPr>
          <w:p w14:paraId="35A69D5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7EC4E4E2">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19</w:t>
            </w:r>
          </w:p>
        </w:tc>
        <w:tc>
          <w:tcPr>
            <w:tcW w:w="2227" w:type="dxa"/>
            <w:shd w:val="clear" w:color="auto" w:fill="auto"/>
            <w:vAlign w:val="center"/>
          </w:tcPr>
          <w:p w14:paraId="237FB70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供应商确认收到征集文件修改</w:t>
            </w:r>
          </w:p>
        </w:tc>
        <w:tc>
          <w:tcPr>
            <w:tcW w:w="6623" w:type="dxa"/>
            <w:shd w:val="clear" w:color="auto" w:fill="auto"/>
            <w:vAlign w:val="center"/>
          </w:tcPr>
          <w:p w14:paraId="36B0B8A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供应商自行在三门峡市公共资源交易中心网站查看，无需确认。</w:t>
            </w:r>
          </w:p>
        </w:tc>
      </w:tr>
      <w:tr w14:paraId="09EFA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649" w:type="dxa"/>
            <w:shd w:val="clear" w:color="auto" w:fill="auto"/>
            <w:vAlign w:val="center"/>
          </w:tcPr>
          <w:p w14:paraId="1B4728D9">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20</w:t>
            </w:r>
          </w:p>
        </w:tc>
        <w:tc>
          <w:tcPr>
            <w:tcW w:w="2227" w:type="dxa"/>
            <w:shd w:val="clear" w:color="auto" w:fill="auto"/>
            <w:vAlign w:val="center"/>
          </w:tcPr>
          <w:p w14:paraId="132CFE9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响应文件提交</w:t>
            </w:r>
          </w:p>
        </w:tc>
        <w:tc>
          <w:tcPr>
            <w:tcW w:w="6623" w:type="dxa"/>
            <w:shd w:val="clear" w:color="auto" w:fill="auto"/>
            <w:vAlign w:val="center"/>
          </w:tcPr>
          <w:p w14:paraId="3DB28DE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用 CA 锁在电子平台上传电子响应文件</w:t>
            </w:r>
          </w:p>
        </w:tc>
      </w:tr>
      <w:tr w14:paraId="0E4D63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649" w:type="dxa"/>
            <w:shd w:val="clear" w:color="auto" w:fill="auto"/>
            <w:vAlign w:val="center"/>
          </w:tcPr>
          <w:p w14:paraId="18379D3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32E9C2CF">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21</w:t>
            </w:r>
          </w:p>
        </w:tc>
        <w:tc>
          <w:tcPr>
            <w:tcW w:w="2227" w:type="dxa"/>
            <w:shd w:val="clear" w:color="auto" w:fill="auto"/>
            <w:vAlign w:val="center"/>
          </w:tcPr>
          <w:p w14:paraId="0E17657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响应文件递交截止时间</w:t>
            </w:r>
          </w:p>
        </w:tc>
        <w:tc>
          <w:tcPr>
            <w:tcW w:w="6623" w:type="dxa"/>
            <w:shd w:val="clear" w:color="auto" w:fill="auto"/>
            <w:vAlign w:val="center"/>
          </w:tcPr>
          <w:p w14:paraId="550EE43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07</w:t>
            </w:r>
            <w:r>
              <w:rPr>
                <w:rFonts w:hint="eastAsia" w:ascii="宋体" w:hAnsi="宋体" w:eastAsia="宋体" w:cs="宋体"/>
                <w:color w:val="auto"/>
                <w:sz w:val="24"/>
                <w:szCs w:val="24"/>
                <w:highlight w:val="none"/>
                <w:lang w:eastAsia="zh-CN"/>
              </w:rPr>
              <w:t>日0</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时</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0分（北京时间，下同）</w:t>
            </w:r>
          </w:p>
        </w:tc>
      </w:tr>
      <w:tr w14:paraId="215FE9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4" w:hRule="atLeast"/>
        </w:trPr>
        <w:tc>
          <w:tcPr>
            <w:tcW w:w="649" w:type="dxa"/>
            <w:shd w:val="clear" w:color="auto" w:fill="auto"/>
            <w:vAlign w:val="center"/>
          </w:tcPr>
          <w:p w14:paraId="58E1A7E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36C48A82">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22</w:t>
            </w:r>
          </w:p>
        </w:tc>
        <w:tc>
          <w:tcPr>
            <w:tcW w:w="2227" w:type="dxa"/>
            <w:shd w:val="clear" w:color="auto" w:fill="auto"/>
            <w:vAlign w:val="top"/>
          </w:tcPr>
          <w:p w14:paraId="41E53EB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993467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响应保证金</w:t>
            </w:r>
          </w:p>
        </w:tc>
        <w:tc>
          <w:tcPr>
            <w:tcW w:w="6623" w:type="dxa"/>
            <w:shd w:val="clear" w:color="auto" w:fill="auto"/>
            <w:vAlign w:val="top"/>
          </w:tcPr>
          <w:p w14:paraId="3FC84F6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根据《河南省财政厅关于优化政府采购营商环境有关问题的通知》（豫财 购【2019】4 号）第 6 条的规定，响应保证金不再收取。</w:t>
            </w:r>
          </w:p>
        </w:tc>
      </w:tr>
      <w:tr w14:paraId="2447EE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649" w:type="dxa"/>
            <w:shd w:val="clear" w:color="auto" w:fill="auto"/>
            <w:vAlign w:val="center"/>
          </w:tcPr>
          <w:p w14:paraId="71169E9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23</w:t>
            </w:r>
          </w:p>
        </w:tc>
        <w:tc>
          <w:tcPr>
            <w:tcW w:w="2227" w:type="dxa"/>
            <w:shd w:val="clear" w:color="auto" w:fill="auto"/>
            <w:vAlign w:val="top"/>
          </w:tcPr>
          <w:p w14:paraId="0BABCE6A">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是否退还响应</w:t>
            </w:r>
          </w:p>
          <w:p w14:paraId="4AD2123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文件</w:t>
            </w:r>
          </w:p>
        </w:tc>
        <w:tc>
          <w:tcPr>
            <w:tcW w:w="6623" w:type="dxa"/>
            <w:shd w:val="clear" w:color="auto" w:fill="auto"/>
            <w:vAlign w:val="center"/>
          </w:tcPr>
          <w:p w14:paraId="61F6695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both"/>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否</w:t>
            </w:r>
          </w:p>
        </w:tc>
      </w:tr>
      <w:tr w14:paraId="55C224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649" w:type="dxa"/>
            <w:shd w:val="clear" w:color="auto" w:fill="auto"/>
            <w:vAlign w:val="center"/>
          </w:tcPr>
          <w:p w14:paraId="665F6A1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24</w:t>
            </w:r>
          </w:p>
        </w:tc>
        <w:tc>
          <w:tcPr>
            <w:tcW w:w="2227" w:type="dxa"/>
            <w:shd w:val="clear" w:color="auto" w:fill="auto"/>
            <w:vAlign w:val="center"/>
          </w:tcPr>
          <w:p w14:paraId="45FA522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开启时间和地点</w:t>
            </w:r>
          </w:p>
        </w:tc>
        <w:tc>
          <w:tcPr>
            <w:tcW w:w="6623" w:type="dxa"/>
            <w:shd w:val="clear" w:color="auto" w:fill="auto"/>
            <w:vAlign w:val="center"/>
          </w:tcPr>
          <w:p w14:paraId="01B525E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eastAsia="zh-CN"/>
              </w:rPr>
              <w:t>开启时间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07</w:t>
            </w:r>
            <w:r>
              <w:rPr>
                <w:rFonts w:hint="eastAsia" w:ascii="宋体" w:hAnsi="宋体" w:eastAsia="宋体" w:cs="宋体"/>
                <w:color w:val="auto"/>
                <w:sz w:val="24"/>
                <w:szCs w:val="24"/>
                <w:highlight w:val="none"/>
                <w:lang w:eastAsia="zh-CN"/>
              </w:rPr>
              <w:t>日0</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时</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0分</w:t>
            </w:r>
          </w:p>
          <w:p w14:paraId="446F7BC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eastAsia="zh-CN"/>
              </w:rPr>
              <w:t>开启地点：三门峡市</w:t>
            </w:r>
            <w:r>
              <w:rPr>
                <w:rFonts w:hint="eastAsia" w:ascii="宋体" w:hAnsi="宋体" w:eastAsia="宋体" w:cs="宋体"/>
                <w:color w:val="auto"/>
                <w:sz w:val="24"/>
                <w:szCs w:val="24"/>
                <w:highlight w:val="none"/>
                <w:lang w:val="en-US" w:eastAsia="zh-CN"/>
              </w:rPr>
              <w:t>陕州区</w:t>
            </w:r>
            <w:r>
              <w:rPr>
                <w:rFonts w:hint="eastAsia" w:ascii="宋体" w:hAnsi="宋体" w:eastAsia="宋体" w:cs="宋体"/>
                <w:color w:val="auto"/>
                <w:sz w:val="24"/>
                <w:szCs w:val="24"/>
                <w:highlight w:val="none"/>
                <w:lang w:eastAsia="zh-CN"/>
              </w:rPr>
              <w:t>公共资源交</w:t>
            </w:r>
            <w:r>
              <w:rPr>
                <w:rFonts w:hint="eastAsia" w:ascii="宋体" w:hAnsi="宋体" w:eastAsia="宋体" w:cs="宋体"/>
                <w:sz w:val="24"/>
                <w:szCs w:val="24"/>
                <w:highlight w:val="none"/>
                <w:lang w:eastAsia="zh-CN"/>
              </w:rPr>
              <w:t>易中心开标室</w:t>
            </w:r>
          </w:p>
        </w:tc>
      </w:tr>
      <w:tr w14:paraId="05FC1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649" w:type="dxa"/>
            <w:shd w:val="clear" w:color="auto" w:fill="auto"/>
            <w:vAlign w:val="center"/>
          </w:tcPr>
          <w:p w14:paraId="5ED42F7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25</w:t>
            </w:r>
          </w:p>
        </w:tc>
        <w:tc>
          <w:tcPr>
            <w:tcW w:w="2227" w:type="dxa"/>
            <w:shd w:val="clear" w:color="auto" w:fill="auto"/>
            <w:vAlign w:val="top"/>
          </w:tcPr>
          <w:p w14:paraId="0D9ADA4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资格审查</w:t>
            </w:r>
          </w:p>
        </w:tc>
        <w:tc>
          <w:tcPr>
            <w:tcW w:w="6623" w:type="dxa"/>
            <w:shd w:val="clear" w:color="auto" w:fill="auto"/>
            <w:vAlign w:val="top"/>
          </w:tcPr>
          <w:p w14:paraId="7E1B226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由征集人</w:t>
            </w:r>
            <w:r>
              <w:rPr>
                <w:rFonts w:hint="eastAsia" w:ascii="宋体" w:hAnsi="宋体" w:eastAsia="宋体" w:cs="宋体"/>
                <w:sz w:val="24"/>
                <w:szCs w:val="24"/>
                <w:highlight w:val="none"/>
                <w:lang w:val="en-US" w:eastAsia="zh-CN"/>
              </w:rPr>
              <w:t>或代理公司</w:t>
            </w:r>
            <w:r>
              <w:rPr>
                <w:rFonts w:hint="eastAsia" w:ascii="宋体" w:hAnsi="宋体" w:eastAsia="宋体" w:cs="宋体"/>
                <w:sz w:val="24"/>
                <w:szCs w:val="24"/>
                <w:highlight w:val="none"/>
                <w:lang w:eastAsia="zh-CN"/>
              </w:rPr>
              <w:t>对供应商的资格进行审查。</w:t>
            </w:r>
          </w:p>
        </w:tc>
      </w:tr>
      <w:tr w14:paraId="6E721B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4" w:hRule="atLeast"/>
        </w:trPr>
        <w:tc>
          <w:tcPr>
            <w:tcW w:w="649" w:type="dxa"/>
            <w:shd w:val="clear" w:color="auto" w:fill="auto"/>
            <w:vAlign w:val="center"/>
          </w:tcPr>
          <w:p w14:paraId="581219A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7CF8DD6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26</w:t>
            </w:r>
          </w:p>
        </w:tc>
        <w:tc>
          <w:tcPr>
            <w:tcW w:w="2227" w:type="dxa"/>
            <w:shd w:val="clear" w:color="auto" w:fill="auto"/>
            <w:vAlign w:val="top"/>
          </w:tcPr>
          <w:p w14:paraId="76C7899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D07EAC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评审小组</w:t>
            </w:r>
          </w:p>
        </w:tc>
        <w:tc>
          <w:tcPr>
            <w:tcW w:w="6623" w:type="dxa"/>
            <w:shd w:val="clear" w:color="auto" w:fill="auto"/>
            <w:vAlign w:val="top"/>
          </w:tcPr>
          <w:p w14:paraId="46189BB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评审小组由征集人代表1人和评审专家4人组成，成员人数为5人，其中评审专家不得少于成员总数的三分之二，从河南省财政厅政府采购评审专家库中，通过随机方式抽取</w:t>
            </w:r>
          </w:p>
        </w:tc>
      </w:tr>
      <w:tr w14:paraId="486B20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649" w:type="dxa"/>
            <w:shd w:val="clear" w:color="auto" w:fill="auto"/>
            <w:vAlign w:val="center"/>
          </w:tcPr>
          <w:p w14:paraId="3F7C0CD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02574F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27</w:t>
            </w:r>
          </w:p>
        </w:tc>
        <w:tc>
          <w:tcPr>
            <w:tcW w:w="2227" w:type="dxa"/>
            <w:shd w:val="clear" w:color="auto" w:fill="auto"/>
            <w:vAlign w:val="center"/>
          </w:tcPr>
          <w:p w14:paraId="0B1A3D9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是否授权评审小组确定成交人</w:t>
            </w:r>
          </w:p>
        </w:tc>
        <w:tc>
          <w:tcPr>
            <w:tcW w:w="6623" w:type="dxa"/>
            <w:shd w:val="clear" w:color="auto" w:fill="auto"/>
            <w:vAlign w:val="center"/>
          </w:tcPr>
          <w:p w14:paraId="67D6804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否，评审小组按顺序向征集人推荐一标段由高到低入围6家、二标段由高到低入围3家（如供应商不足，实际选定数量以淘汰后剩余的数量为准。）</w:t>
            </w:r>
          </w:p>
        </w:tc>
      </w:tr>
      <w:tr w14:paraId="6C5B43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649" w:type="dxa"/>
            <w:vAlign w:val="center"/>
          </w:tcPr>
          <w:p w14:paraId="6757605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28</w:t>
            </w:r>
          </w:p>
        </w:tc>
        <w:tc>
          <w:tcPr>
            <w:tcW w:w="2227" w:type="dxa"/>
            <w:vAlign w:val="top"/>
          </w:tcPr>
          <w:p w14:paraId="2EC46D1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第二阶段成交供应商的选定</w:t>
            </w:r>
          </w:p>
        </w:tc>
        <w:tc>
          <w:tcPr>
            <w:tcW w:w="6623" w:type="dxa"/>
            <w:vAlign w:val="center"/>
          </w:tcPr>
          <w:p w14:paraId="2D5A317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第二阶段成交供应商的选定规则：直接选定。</w:t>
            </w:r>
          </w:p>
        </w:tc>
      </w:tr>
      <w:tr w14:paraId="5B2150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6" w:hRule="atLeast"/>
        </w:trPr>
        <w:tc>
          <w:tcPr>
            <w:tcW w:w="649" w:type="dxa"/>
            <w:vAlign w:val="center"/>
          </w:tcPr>
          <w:p w14:paraId="283FD91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29</w:t>
            </w:r>
          </w:p>
        </w:tc>
        <w:tc>
          <w:tcPr>
            <w:tcW w:w="2227" w:type="dxa"/>
            <w:vAlign w:val="top"/>
          </w:tcPr>
          <w:p w14:paraId="02598B1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p>
          <w:p w14:paraId="2C5726E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评审标准</w:t>
            </w:r>
          </w:p>
          <w:p w14:paraId="16D51FA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及方法</w:t>
            </w:r>
          </w:p>
        </w:tc>
        <w:tc>
          <w:tcPr>
            <w:tcW w:w="6623" w:type="dxa"/>
            <w:vAlign w:val="top"/>
          </w:tcPr>
          <w:p w14:paraId="3111F99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评定办法：由评审小组采用质量优先法对供应商的响应文件进行综合评分。质量优先法，是指对满足采购需求且响应报价不超过最高费率的服务进行综合评分，按照评分从高到低排序，根据征集文件规定的淘汰率或者入围供应商数量上限，确定入围供应商的评审方法。</w:t>
            </w:r>
          </w:p>
        </w:tc>
      </w:tr>
      <w:tr w14:paraId="24F66D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649" w:type="dxa"/>
            <w:shd w:val="clear" w:color="auto" w:fill="auto"/>
            <w:vAlign w:val="center"/>
          </w:tcPr>
          <w:p w14:paraId="4E89432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30</w:t>
            </w:r>
          </w:p>
        </w:tc>
        <w:tc>
          <w:tcPr>
            <w:tcW w:w="2227" w:type="dxa"/>
            <w:shd w:val="clear" w:color="auto" w:fill="auto"/>
            <w:vAlign w:val="center"/>
          </w:tcPr>
          <w:p w14:paraId="5CB0084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付款方式</w:t>
            </w:r>
          </w:p>
        </w:tc>
        <w:tc>
          <w:tcPr>
            <w:tcW w:w="6623" w:type="dxa"/>
            <w:shd w:val="clear" w:color="auto" w:fill="auto"/>
            <w:vAlign w:val="top"/>
          </w:tcPr>
          <w:p w14:paraId="2209F98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根据成交结果，征集人和供应商按照协议、合同约定方式结算支付服务费。</w:t>
            </w:r>
          </w:p>
        </w:tc>
      </w:tr>
      <w:tr w14:paraId="5C028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649" w:type="dxa"/>
            <w:shd w:val="clear" w:color="auto" w:fill="auto"/>
            <w:vAlign w:val="center"/>
          </w:tcPr>
          <w:p w14:paraId="64D6E7B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31</w:t>
            </w:r>
          </w:p>
        </w:tc>
        <w:tc>
          <w:tcPr>
            <w:tcW w:w="2227" w:type="dxa"/>
            <w:shd w:val="clear" w:color="auto" w:fill="auto"/>
            <w:vAlign w:val="center"/>
          </w:tcPr>
          <w:p w14:paraId="2AC6DF3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履约保证金</w:t>
            </w:r>
          </w:p>
        </w:tc>
        <w:tc>
          <w:tcPr>
            <w:tcW w:w="6623" w:type="dxa"/>
            <w:shd w:val="clear" w:color="auto" w:fill="auto"/>
            <w:vAlign w:val="top"/>
          </w:tcPr>
          <w:p w14:paraId="22AB06A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根据三门峡市财政局《关于进一步优化提升政府采购营商环境有关事项通知》三财购【2021】14 号文件，该项目不收取履约保证金。</w:t>
            </w:r>
          </w:p>
        </w:tc>
      </w:tr>
      <w:tr w14:paraId="2047B1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649" w:type="dxa"/>
            <w:shd w:val="clear" w:color="auto" w:fill="auto"/>
            <w:vAlign w:val="center"/>
          </w:tcPr>
          <w:p w14:paraId="76A3BE9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32</w:t>
            </w:r>
          </w:p>
        </w:tc>
        <w:tc>
          <w:tcPr>
            <w:tcW w:w="2227" w:type="dxa"/>
            <w:shd w:val="clear" w:color="auto" w:fill="auto"/>
            <w:vAlign w:val="center"/>
          </w:tcPr>
          <w:p w14:paraId="38DD75A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招标代理费</w:t>
            </w:r>
          </w:p>
        </w:tc>
        <w:tc>
          <w:tcPr>
            <w:tcW w:w="6623" w:type="dxa"/>
            <w:shd w:val="clear" w:color="auto" w:fill="auto"/>
            <w:vAlign w:val="top"/>
          </w:tcPr>
          <w:p w14:paraId="58A61DF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根据《河南省招标代理服务收费标准》的通知-豫招协[2023]002号收费标准，招标代理服务费及其他所有费用由中标人（成交供应商）支付。</w:t>
            </w:r>
            <w:r>
              <w:rPr>
                <w:rFonts w:hint="eastAsia" w:ascii="宋体" w:hAnsi="宋体" w:eastAsia="宋体" w:cs="宋体"/>
                <w:sz w:val="24"/>
                <w:szCs w:val="24"/>
                <w:highlight w:val="none"/>
                <w:lang w:val="en-US" w:eastAsia="zh-CN"/>
              </w:rPr>
              <w:t>一标段代理服务费入围/公司4500元、二标段代理服务费入围/公司6500元</w:t>
            </w:r>
          </w:p>
          <w:p w14:paraId="553AB9F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收款单位:河南飞洋建设工程咨询有限公司三门峡分公司</w:t>
            </w:r>
          </w:p>
          <w:p w14:paraId="51C7177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开 户 行:中原银行三门峡分行营业部</w:t>
            </w:r>
          </w:p>
          <w:p w14:paraId="2BE3871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账    号：600310090000003528</w:t>
            </w:r>
          </w:p>
        </w:tc>
      </w:tr>
      <w:tr w14:paraId="5BFF3A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3" w:hRule="atLeast"/>
        </w:trPr>
        <w:tc>
          <w:tcPr>
            <w:tcW w:w="649" w:type="dxa"/>
            <w:shd w:val="clear" w:color="auto" w:fill="auto"/>
            <w:vAlign w:val="center"/>
          </w:tcPr>
          <w:p w14:paraId="4B8A6D3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33</w:t>
            </w:r>
          </w:p>
        </w:tc>
        <w:tc>
          <w:tcPr>
            <w:tcW w:w="2227" w:type="dxa"/>
            <w:shd w:val="clear" w:color="auto" w:fill="auto"/>
            <w:vAlign w:val="center"/>
          </w:tcPr>
          <w:p w14:paraId="0FD45B6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需要补充的</w:t>
            </w:r>
          </w:p>
          <w:p w14:paraId="1EC1A15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其他内容</w:t>
            </w:r>
          </w:p>
        </w:tc>
        <w:tc>
          <w:tcPr>
            <w:tcW w:w="6623" w:type="dxa"/>
            <w:shd w:val="clear" w:color="auto" w:fill="auto"/>
            <w:vAlign w:val="top"/>
          </w:tcPr>
          <w:p w14:paraId="7428E1B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1.供应商依据征集文件含补充说明、答疑纪要，如有；</w:t>
            </w:r>
            <w:r>
              <w:rPr>
                <w:rFonts w:hint="eastAsia" w:ascii="宋体" w:hAnsi="宋体" w:eastAsia="宋体" w:cs="宋体"/>
                <w:sz w:val="24"/>
                <w:szCs w:val="24"/>
                <w:highlight w:val="none"/>
                <w:lang w:val="en-US" w:eastAsia="zh-CN"/>
              </w:rPr>
              <w:t>请</w:t>
            </w:r>
            <w:r>
              <w:rPr>
                <w:rFonts w:hint="eastAsia" w:ascii="宋体" w:hAnsi="宋体" w:eastAsia="宋体" w:cs="宋体"/>
                <w:sz w:val="24"/>
                <w:szCs w:val="24"/>
                <w:highlight w:val="none"/>
                <w:lang w:eastAsia="zh-CN"/>
              </w:rPr>
              <w:t>结合采购项目清单、参数要求，所有标准和要求均应为国家现行最新有效版本和国家强制性规范要求；</w:t>
            </w:r>
          </w:p>
          <w:p w14:paraId="42416BD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2.本征集文件未尽事宜，执行国家、省、市相关规定。</w:t>
            </w:r>
          </w:p>
        </w:tc>
      </w:tr>
      <w:tr w14:paraId="1F1C73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649" w:type="dxa"/>
            <w:shd w:val="clear" w:color="auto" w:fill="auto"/>
            <w:vAlign w:val="center"/>
          </w:tcPr>
          <w:p w14:paraId="65666A2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34</w:t>
            </w:r>
          </w:p>
        </w:tc>
        <w:tc>
          <w:tcPr>
            <w:tcW w:w="2227" w:type="dxa"/>
            <w:shd w:val="clear" w:color="auto" w:fill="auto"/>
            <w:vAlign w:val="center"/>
          </w:tcPr>
          <w:p w14:paraId="7A22449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jc w:val="center"/>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eastAsia="zh-CN"/>
              </w:rPr>
              <w:t>本项目采购内容所属行业</w:t>
            </w:r>
          </w:p>
        </w:tc>
        <w:tc>
          <w:tcPr>
            <w:tcW w:w="6623" w:type="dxa"/>
            <w:shd w:val="clear" w:color="auto" w:fill="auto"/>
            <w:vAlign w:val="top"/>
          </w:tcPr>
          <w:p w14:paraId="05F1034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本项目采购内容所属行业：其他服务业划分依据</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en-US"/>
              </w:rPr>
              <w:t>关于印发中小企业划型标准规定的通知（工信部联企业〔2011〕300 号）</w:t>
            </w:r>
          </w:p>
        </w:tc>
      </w:tr>
      <w:tr w14:paraId="31E1CD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14" w:hRule="atLeast"/>
        </w:trPr>
        <w:tc>
          <w:tcPr>
            <w:tcW w:w="649" w:type="dxa"/>
            <w:shd w:val="clear" w:color="auto" w:fill="auto"/>
            <w:vAlign w:val="center"/>
          </w:tcPr>
          <w:p w14:paraId="0F32542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电子 化交 易注 意事</w:t>
            </w:r>
          </w:p>
          <w:p w14:paraId="72E7C76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w:t>
            </w:r>
          </w:p>
        </w:tc>
        <w:tc>
          <w:tcPr>
            <w:tcW w:w="8850" w:type="dxa"/>
            <w:gridSpan w:val="2"/>
            <w:shd w:val="clear" w:color="auto" w:fill="auto"/>
            <w:vAlign w:val="top"/>
          </w:tcPr>
          <w:p w14:paraId="4AFBBD5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本项目为电子化、无纸化交易项目，投标文件是投标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lang w:eastAsia="zh-CN"/>
              </w:rPr>
              <w:t>（以下简称“投标供应商”）通过中心投标文件制作系统制作，并经过签章和加密后生成的电子版投标文件。</w:t>
            </w:r>
          </w:p>
          <w:p w14:paraId="71208C8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温馨提示：本项目为电子化、无纸化交易项目，为保证您能投标成功，请仔细阅读以下条款。</w:t>
            </w:r>
          </w:p>
          <w:p w14:paraId="3D247A9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一、电子化投标</w:t>
            </w:r>
          </w:p>
          <w:p w14:paraId="50B40D7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（一）电子化投标文件的签章</w:t>
            </w:r>
          </w:p>
          <w:p w14:paraId="08B3B6B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1.投标供应商在生成电子化投标文件后，应对电子化投标文件进行签章，未进行签章的视为无效投标。</w:t>
            </w:r>
          </w:p>
          <w:p w14:paraId="48C95A4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2.征集文件中要求投标供应商盖章的，以签盖单位章为准；要求法定代表人签章的，以签盖法定代表人签章为准。</w:t>
            </w:r>
          </w:p>
          <w:p w14:paraId="2872EF0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（二）电子化投标文件的格式及上传投标</w:t>
            </w:r>
          </w:p>
          <w:p w14:paraId="34DDD66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供应商所上传的电子化投标文件，应是通过中心投标文件制作系统制作的（投标文件制作工具下载地址：https://download.bqpoint.com/download/downloaddetail.html?SourceFrom=Ztb&amp;ZtbSoftXiaQuCode=1506&amp;ZtbSoftType=tballinclusive），经过签章和加密后生成的电子版投标文件。其中包含用于投标文件上传的主文件（后缀为.smxtf）和用于应急补救的投标文件备份文件（后缀为.nsmxtf）。</w:t>
            </w:r>
          </w:p>
          <w:p w14:paraId="249A04C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2.电子化投标文件应在投标截止时间前成功上传至三门峡市公共资源电子化交易系统。至投标截止时间止，仍未上传成功的电子化投标文件将不予接收。</w:t>
            </w:r>
          </w:p>
          <w:p w14:paraId="72799A9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注：如按照电子化投标操作教材制作完成的电子化投标文件无法上传的，投标供应商应在投标截止时间前尽早联系中心技术人员，以便有充分的时间进行处理。投标供应商应充分考虑到处理技术问题和上传数据等工作所需的时间问题，投标文件未在投标截止时间前成功上传的，其投标文件不予接收。</w:t>
            </w:r>
          </w:p>
          <w:p w14:paraId="2B0F2BF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技术咨询服务窗口：0512-58188538</w:t>
            </w:r>
          </w:p>
          <w:p w14:paraId="26E3A36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（三）电子化项目开标、解密、唱标、评标</w:t>
            </w:r>
          </w:p>
          <w:p w14:paraId="0FD74CC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本项目采用电子化、无纸化进行招标，开标当日，投标供应商无需到开标现场参加开标会议，投标供应商应当在投标截止时间前，登录不见面开标大厅选择登录三门峡市公共资源电子招投标系统进行登录（网址为http://120.194.249.36:10094/BidOpening/bidopeninghallaction/hall/login），在线准时参加开标活动并进行投标文件解密等</w:t>
            </w:r>
          </w:p>
          <w:p w14:paraId="28D8CAB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2.电子化投标文件采用一次加密方式。开标时，由投标供应商使用CA 证书，在规定时间内对其电子化投标文件进行解密。每位投标供应商的解密时间为开标时间起30分钟内，如在规定时间内未完成解密的，其投标文件不予开标、唱标。</w:t>
            </w:r>
          </w:p>
          <w:p w14:paraId="300F0CF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3.电子化投标文件解密异常的处理</w:t>
            </w:r>
          </w:p>
          <w:p w14:paraId="2DDA85C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如出现投标供应商的电子投标文件无法解密等异常情况，投标供应商应及时致电中介服务机构说明。投标文件异常，按以下步骤进行处理：</w:t>
            </w:r>
          </w:p>
          <w:p w14:paraId="5421971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（1）首先由技术人员进行问题排查。</w:t>
            </w:r>
          </w:p>
          <w:p w14:paraId="459B31B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（2）经技术人员排查后，是投标供应商文件自身问题导致投标文件无法解密的，该投标文件将不予接收、解密和唱标。开标会议继续进行。</w:t>
            </w:r>
          </w:p>
          <w:p w14:paraId="02B89A9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0B46D53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待所有投标供应商投标文件解密完成后，由中介服务机构操作，对所有已解密投标文件进行唱标。投标供应商应保证在开标期间电话、电脑、网络能够正常工作，投标供应商因停电、电脑病毒、网络堵塞等原因，未在规定的解密时间内对投标文件进行解密的，其投标文件不予接收、唱标。</w:t>
            </w:r>
          </w:p>
          <w:p w14:paraId="2E591B4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开标时投标供应商可登录到交易系统中在开标解密栏中点击报价一览表查看自己的投标报价。如对自己的唱标内容有异议的，应在投标供应商解密成功后10分钟内向中介服务机构电话质疑。中介服务机构应在监督人员的监督下进行免提通话接受投标供应商的质疑并做好书面记录。投标供应商未在规定时间内提出质疑的，视为认可唱标内容。</w:t>
            </w:r>
          </w:p>
          <w:p w14:paraId="5809B47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评标时，评标委员会对电子化投标文件有质疑的，将通过电子化交易系统对投标供应商发起质疑，并在监督人员的监督下，用免提模式致电需要答复的投标供应商对质疑进行回复。投标供应商的回复文件必须以经过投标供应商和其法定代表人签章的PDF格式文件为准，并通过电子化交易系统提交至评标委员会。</w:t>
            </w:r>
          </w:p>
          <w:p w14:paraId="62424C5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7.如评标委员会对需要回复的投标供应商连续三次致电未接通的，视为投标供应商放弃回复，评标委员会将自行对需要回复的内容进行认定。</w:t>
            </w:r>
          </w:p>
          <w:p w14:paraId="5D866AD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评标委员会对原件的核验工作按以下条款进行：</w:t>
            </w:r>
          </w:p>
          <w:p w14:paraId="46C1231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评标时，评委先查阅投标文件中是否具有该资料的原件扫描件，其上传资料真实性由供应商自行承担。</w:t>
            </w:r>
          </w:p>
          <w:p w14:paraId="016E729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投标供应商应仔细阅读操作手册，保证上传内容齐全，真实有效，原件扫描件清晰可辨。因投标供应商上传原因导致应得分项而未得分或资格审查不合格等情况的，由投标供应商自行承担责任。</w:t>
            </w:r>
          </w:p>
          <w:p w14:paraId="4842151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提示：本项目为电子化、无纸化交易项目，为保证您能投标成功，请仔细阅读以上条款。</w:t>
            </w:r>
          </w:p>
        </w:tc>
      </w:tr>
    </w:tbl>
    <w:p w14:paraId="3772759D">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楷体" w:hAnsi="楷体" w:cs="楷体"/>
          <w:b/>
          <w:bCs/>
          <w:sz w:val="30"/>
          <w:szCs w:val="30"/>
          <w:highlight w:val="none"/>
          <w:lang w:eastAsia="zh-CN"/>
        </w:rPr>
      </w:pPr>
      <w:bookmarkStart w:id="85" w:name="_Toc4886"/>
      <w:bookmarkStart w:id="86" w:name="_Toc24927"/>
      <w:bookmarkStart w:id="87" w:name="_Toc18841"/>
      <w:bookmarkStart w:id="88" w:name="_Toc8871"/>
      <w:bookmarkStart w:id="89" w:name="_Toc6484"/>
      <w:bookmarkStart w:id="90" w:name="_Toc12230"/>
      <w:bookmarkStart w:id="91" w:name="_Toc1931"/>
      <w:r>
        <w:rPr>
          <w:rFonts w:hint="eastAsia" w:asciiTheme="minorEastAsia" w:hAnsiTheme="minorEastAsia" w:eastAsiaTheme="minorEastAsia" w:cstheme="minorEastAsia"/>
          <w:b w:val="0"/>
          <w:bCs w:val="0"/>
          <w:sz w:val="28"/>
          <w:szCs w:val="28"/>
          <w:highlight w:val="none"/>
          <w:lang w:eastAsia="zh-CN"/>
        </w:rPr>
        <w:t>一、总则</w:t>
      </w:r>
      <w:bookmarkEnd w:id="85"/>
      <w:bookmarkEnd w:id="86"/>
      <w:bookmarkEnd w:id="87"/>
      <w:bookmarkEnd w:id="88"/>
      <w:bookmarkEnd w:id="89"/>
      <w:bookmarkEnd w:id="90"/>
      <w:bookmarkEnd w:id="91"/>
    </w:p>
    <w:p w14:paraId="74E8B24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92" w:name="_Toc14160"/>
      <w:r>
        <w:rPr>
          <w:rFonts w:hint="eastAsia" w:ascii="宋体" w:hAnsi="宋体" w:eastAsia="宋体" w:cs="宋体"/>
          <w:sz w:val="24"/>
          <w:szCs w:val="24"/>
          <w:highlight w:val="none"/>
          <w:lang w:eastAsia="zh-CN"/>
        </w:rPr>
        <w:t>1.1 项目概况</w:t>
      </w:r>
      <w:bookmarkEnd w:id="92"/>
    </w:p>
    <w:p w14:paraId="4ED7D3B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1.1.1 根据《中华人民共和国政府采购法》等有关法律法规和规章的规定，本项目已具备采购条件，现对本项目进行框架协议采购。</w:t>
      </w:r>
    </w:p>
    <w:p w14:paraId="1A5B1A4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1.1.2 本项目征集人：见供应商须知前附表。</w:t>
      </w:r>
    </w:p>
    <w:p w14:paraId="5ECD48E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1.1.3 本项目代理机构：见供应商须知前附表。</w:t>
      </w:r>
    </w:p>
    <w:p w14:paraId="1BEE9A0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1.1.4 本项目名称：见供应商须知前附表。</w:t>
      </w:r>
    </w:p>
    <w:p w14:paraId="5BD6DDB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93" w:name="_Toc1773"/>
      <w:r>
        <w:rPr>
          <w:rFonts w:hint="eastAsia" w:ascii="宋体" w:hAnsi="宋体" w:eastAsia="宋体" w:cs="宋体"/>
          <w:sz w:val="24"/>
          <w:szCs w:val="24"/>
          <w:highlight w:val="none"/>
          <w:lang w:eastAsia="zh-CN"/>
        </w:rPr>
        <w:t>1.2 资金来源及落实情况</w:t>
      </w:r>
      <w:bookmarkEnd w:id="93"/>
    </w:p>
    <w:p w14:paraId="70AC70F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1.2.1  本项目的资金来源：见供应商须知前附表。</w:t>
      </w:r>
    </w:p>
    <w:p w14:paraId="5F56BA2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1.2.2  本项目的资金落实情况：见供应商须知前附表。</w:t>
      </w:r>
    </w:p>
    <w:p w14:paraId="0BA4357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94" w:name="_Toc3448"/>
      <w:r>
        <w:rPr>
          <w:rFonts w:hint="eastAsia" w:ascii="宋体" w:hAnsi="宋体" w:eastAsia="宋体" w:cs="宋体"/>
          <w:sz w:val="24"/>
          <w:szCs w:val="24"/>
          <w:highlight w:val="none"/>
          <w:lang w:eastAsia="zh-CN"/>
        </w:rPr>
        <w:t>1.3 采购内容、服务期限、服务标准</w:t>
      </w:r>
      <w:bookmarkEnd w:id="94"/>
    </w:p>
    <w:p w14:paraId="616767F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1.3.1 本项目的采购内容：见供应商须知前附表。</w:t>
      </w:r>
    </w:p>
    <w:p w14:paraId="3BD7B55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1.3.2 本项目的框架协议期限/服务期限：见供应商须知前附表。</w:t>
      </w:r>
    </w:p>
    <w:p w14:paraId="2FAEB09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1.3.3 本项目的服务标准：见供应商须知前附表。</w:t>
      </w:r>
    </w:p>
    <w:p w14:paraId="6E7208D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95" w:name="_Toc7324"/>
      <w:r>
        <w:rPr>
          <w:rFonts w:hint="eastAsia" w:ascii="宋体" w:hAnsi="宋体" w:eastAsia="宋体" w:cs="宋体"/>
          <w:sz w:val="24"/>
          <w:szCs w:val="24"/>
          <w:highlight w:val="none"/>
          <w:lang w:eastAsia="zh-CN"/>
        </w:rPr>
        <w:t>1.4 供应商资格要求</w:t>
      </w:r>
      <w:bookmarkEnd w:id="95"/>
    </w:p>
    <w:p w14:paraId="650A36B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1.4.1 供应商资格要求：见供应商须知前附表。</w:t>
      </w:r>
    </w:p>
    <w:p w14:paraId="77B4E0F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1.4.2 征集人保留对供应商作进一步考察的权利，若发现供应商在提交的资料中有弄虚作假行为或经相关行政监督部门认定供应商在竞争本项目合同过程中有腐败或欺骗行为或有围标、串标行为的，即使该供应商已经成交，征集人仍将保留取消成交资格、解除合同的权利。</w:t>
      </w:r>
    </w:p>
    <w:p w14:paraId="02F56F1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96" w:name="_Toc15894"/>
      <w:r>
        <w:rPr>
          <w:rFonts w:hint="eastAsia" w:ascii="宋体" w:hAnsi="宋体" w:eastAsia="宋体" w:cs="宋体"/>
          <w:sz w:val="24"/>
          <w:szCs w:val="24"/>
          <w:highlight w:val="none"/>
          <w:lang w:eastAsia="zh-CN"/>
        </w:rPr>
        <w:t>1.5 费用承担</w:t>
      </w:r>
      <w:bookmarkEnd w:id="96"/>
    </w:p>
    <w:p w14:paraId="06D64AC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供应商准备和参加征集活动发生的费用自理。</w:t>
      </w:r>
    </w:p>
    <w:p w14:paraId="1C1C770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97" w:name="_Toc1900"/>
      <w:r>
        <w:rPr>
          <w:rFonts w:hint="eastAsia" w:ascii="宋体" w:hAnsi="宋体" w:eastAsia="宋体" w:cs="宋体"/>
          <w:sz w:val="24"/>
          <w:szCs w:val="24"/>
          <w:highlight w:val="none"/>
          <w:lang w:eastAsia="zh-CN"/>
        </w:rPr>
        <w:t>1.6 保密</w:t>
      </w:r>
      <w:bookmarkEnd w:id="97"/>
    </w:p>
    <w:p w14:paraId="376FBB5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参与征集活动的各方应对征集文件和响应文件中的商业和技术等秘密保密，违者应对由此造成的后果承担法律责任。</w:t>
      </w:r>
    </w:p>
    <w:p w14:paraId="2989E29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98" w:name="_Toc4811"/>
      <w:r>
        <w:rPr>
          <w:rFonts w:hint="eastAsia" w:ascii="宋体" w:hAnsi="宋体" w:eastAsia="宋体" w:cs="宋体"/>
          <w:sz w:val="24"/>
          <w:szCs w:val="24"/>
          <w:highlight w:val="none"/>
          <w:lang w:eastAsia="zh-CN"/>
        </w:rPr>
        <w:t>1.7 语言文字</w:t>
      </w:r>
      <w:bookmarkEnd w:id="98"/>
    </w:p>
    <w:p w14:paraId="257DDAF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除专用术语外，与征集活动有关的语言均使用中文。必要时专用术语应附有中文注释。</w:t>
      </w:r>
    </w:p>
    <w:p w14:paraId="7A28F35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99" w:name="_Toc10358"/>
      <w:r>
        <w:rPr>
          <w:rFonts w:hint="eastAsia" w:ascii="宋体" w:hAnsi="宋体" w:eastAsia="宋体" w:cs="宋体"/>
          <w:sz w:val="24"/>
          <w:szCs w:val="24"/>
          <w:highlight w:val="none"/>
          <w:lang w:eastAsia="zh-CN"/>
        </w:rPr>
        <w:t>1.8 计量单位</w:t>
      </w:r>
      <w:bookmarkEnd w:id="99"/>
    </w:p>
    <w:p w14:paraId="49E611D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所有计量均采用中华人民共和国法定计量单位。</w:t>
      </w:r>
    </w:p>
    <w:p w14:paraId="04CF06F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00" w:name="_Toc13901"/>
      <w:r>
        <w:rPr>
          <w:rFonts w:hint="eastAsia" w:ascii="宋体" w:hAnsi="宋体" w:eastAsia="宋体" w:cs="宋体"/>
          <w:sz w:val="24"/>
          <w:szCs w:val="24"/>
          <w:highlight w:val="none"/>
          <w:lang w:eastAsia="zh-CN"/>
        </w:rPr>
        <w:t>1.9 踏勘现场</w:t>
      </w:r>
      <w:bookmarkEnd w:id="100"/>
    </w:p>
    <w:p w14:paraId="6EAB823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不组织。</w:t>
      </w:r>
    </w:p>
    <w:p w14:paraId="4A2A4E1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01" w:name="_Toc32175"/>
      <w:r>
        <w:rPr>
          <w:rFonts w:hint="eastAsia" w:ascii="宋体" w:hAnsi="宋体" w:eastAsia="宋体" w:cs="宋体"/>
          <w:sz w:val="24"/>
          <w:szCs w:val="24"/>
          <w:highlight w:val="none"/>
          <w:lang w:eastAsia="zh-CN"/>
        </w:rPr>
        <w:t>1.10 响应预备会：</w:t>
      </w:r>
      <w:bookmarkEnd w:id="101"/>
    </w:p>
    <w:p w14:paraId="1ACC60D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1.10.1 见供应商须知前附表</w:t>
      </w:r>
    </w:p>
    <w:p w14:paraId="4D6A1B0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1.10.2 供应商应在供应商须知前附表规定的时间前，将提出的问题送达征集人，以便征集人在规定时间澄清。</w:t>
      </w:r>
    </w:p>
    <w:p w14:paraId="55A6244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02" w:name="_Toc31879"/>
      <w:r>
        <w:rPr>
          <w:rFonts w:hint="eastAsia" w:ascii="宋体" w:hAnsi="宋体" w:eastAsia="宋体" w:cs="宋体"/>
          <w:sz w:val="24"/>
          <w:szCs w:val="24"/>
          <w:highlight w:val="none"/>
          <w:lang w:eastAsia="zh-CN"/>
        </w:rPr>
        <w:t>1.11 分包</w:t>
      </w:r>
      <w:bookmarkEnd w:id="102"/>
    </w:p>
    <w:p w14:paraId="4E869E5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不允许分包。</w:t>
      </w:r>
    </w:p>
    <w:p w14:paraId="7623F14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03" w:name="_Toc18934"/>
      <w:r>
        <w:rPr>
          <w:rFonts w:hint="eastAsia" w:ascii="宋体" w:hAnsi="宋体" w:eastAsia="宋体" w:cs="宋体"/>
          <w:sz w:val="24"/>
          <w:szCs w:val="24"/>
          <w:highlight w:val="none"/>
          <w:lang w:eastAsia="zh-CN"/>
        </w:rPr>
        <w:t>1.12 偏离</w:t>
      </w:r>
      <w:bookmarkEnd w:id="103"/>
    </w:p>
    <w:p w14:paraId="66B4478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不允许偏离。</w:t>
      </w:r>
    </w:p>
    <w:p w14:paraId="33C1D3F5">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eastAsia="zh-CN"/>
        </w:rPr>
      </w:pPr>
      <w:bookmarkStart w:id="104" w:name="_Toc597"/>
      <w:bookmarkStart w:id="105" w:name="_Toc13519"/>
      <w:bookmarkStart w:id="106" w:name="_Toc26866"/>
      <w:bookmarkStart w:id="107" w:name="_Toc22001"/>
      <w:bookmarkStart w:id="108" w:name="_Toc14859"/>
      <w:bookmarkStart w:id="109" w:name="_Toc827"/>
      <w:bookmarkStart w:id="110" w:name="_Toc12882"/>
      <w:r>
        <w:rPr>
          <w:rFonts w:hint="eastAsia" w:asciiTheme="minorEastAsia" w:hAnsiTheme="minorEastAsia" w:eastAsiaTheme="minorEastAsia" w:cstheme="minorEastAsia"/>
          <w:b w:val="0"/>
          <w:bCs w:val="0"/>
          <w:sz w:val="28"/>
          <w:szCs w:val="28"/>
          <w:highlight w:val="none"/>
          <w:lang w:eastAsia="zh-CN"/>
        </w:rPr>
        <w:t>二、征集文件</w:t>
      </w:r>
      <w:bookmarkEnd w:id="104"/>
      <w:bookmarkEnd w:id="105"/>
      <w:bookmarkEnd w:id="106"/>
      <w:bookmarkEnd w:id="107"/>
      <w:bookmarkEnd w:id="108"/>
      <w:bookmarkEnd w:id="109"/>
      <w:bookmarkEnd w:id="110"/>
    </w:p>
    <w:p w14:paraId="468D08F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11" w:name="_Toc1682"/>
      <w:r>
        <w:rPr>
          <w:rFonts w:hint="eastAsia" w:ascii="宋体" w:hAnsi="宋体" w:eastAsia="宋体" w:cs="宋体"/>
          <w:sz w:val="24"/>
          <w:szCs w:val="24"/>
          <w:highlight w:val="none"/>
          <w:lang w:eastAsia="zh-CN"/>
        </w:rPr>
        <w:t>2.1. 征集文件的组成</w:t>
      </w:r>
      <w:bookmarkEnd w:id="111"/>
    </w:p>
    <w:p w14:paraId="544D057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2.1.1 征集文件包括下列内容及按供应商须知第 7 条款内容发出的答疑文件和第8条款内容发出的补充文件。</w:t>
      </w:r>
    </w:p>
    <w:p w14:paraId="7A629E5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第一章 征集公告</w:t>
      </w:r>
    </w:p>
    <w:p w14:paraId="1929E5D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第二章 供应商须知</w:t>
      </w:r>
    </w:p>
    <w:p w14:paraId="5A1071B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第三章 确定第一阶段入围供应商的评审办法</w:t>
      </w:r>
    </w:p>
    <w:p w14:paraId="1C04B8B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第四章 框架协议文本</w:t>
      </w:r>
    </w:p>
    <w:p w14:paraId="5E98E26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第五章 服务内容及要求</w:t>
      </w:r>
    </w:p>
    <w:p w14:paraId="08D667F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第六章 响应文件格式</w:t>
      </w:r>
    </w:p>
    <w:p w14:paraId="31F6BA9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根据本章第 2.2 款和第 2.3 款对征集文件所作的澄清、修改、补充，构成征集文件的组成部分。</w:t>
      </w:r>
    </w:p>
    <w:p w14:paraId="0506639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2.1.2 供应商应详细阅读征集文件中的所有条款内容、格式、表格和所涉及的相关规范。如果供应商不按征集文件的要求提交响应文件和资料的，或者响应文件没有对征集文件提出的实质性要求和条件作出响应，将导致响应文件不被接受，其后果由供应商自己负责。</w:t>
      </w:r>
    </w:p>
    <w:p w14:paraId="6F69BDC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12" w:name="_Toc19622"/>
      <w:r>
        <w:rPr>
          <w:rFonts w:hint="eastAsia" w:ascii="宋体" w:hAnsi="宋体" w:eastAsia="宋体" w:cs="宋体"/>
          <w:sz w:val="24"/>
          <w:szCs w:val="24"/>
          <w:highlight w:val="none"/>
          <w:lang w:eastAsia="zh-CN"/>
        </w:rPr>
        <w:t>2.2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征集文件的澄清</w:t>
      </w:r>
      <w:bookmarkEnd w:id="112"/>
    </w:p>
    <w:p w14:paraId="4D509B4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2.2.1 供应商应仔细阅读和检查征集文件的全部内容。如发现缺页或附件不全，应及时向征集人提出，以便补齐。如有疑问，如发现缺页或附件不全，应在下载征集文件后24小时内在三门峡市公共资源交易系统中提出咨询并打电话至采购代理机构，要求征集人对征集文件予以澄清。</w:t>
      </w:r>
    </w:p>
    <w:p w14:paraId="0807F0C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2.2.2 征集文件的澄清将在供应商须知前附表规定的开启时间 15天前以澄清回复的方式在三门峡市公共资源交易系统中回复所有报名完成供应商（投标人）或发布澄清公告，但不指明澄清问题的来源。如果澄清发出的时间距开启时间不足15天，相应延长开启时间。</w:t>
      </w:r>
    </w:p>
    <w:p w14:paraId="7DE79FA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2.2.3 如果在规定的时间内供应商未提出疑问，将视为供应商完全理解并接受征集文件中的资格要求、 供应商须知、格式、条款、技术规格、澄清、修改等所有要求，则供应商应按照征集文件相应要求的要求提交有关资料和文件。</w:t>
      </w:r>
    </w:p>
    <w:p w14:paraId="744A076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2.2.4 征集文件澄清、修改、补充通知内容均以发布的澄清、变更、补充公告内容为准。当征集文件、修改补充通知、澄清内容相互矛盾时，以最后发出的通知或修改文件为准。</w:t>
      </w:r>
    </w:p>
    <w:p w14:paraId="4B39937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2.2.5 供应商应自行查看澄清或变更信息。</w:t>
      </w:r>
    </w:p>
    <w:p w14:paraId="1975B7E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13" w:name="_Toc12671"/>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征集文件的修正</w:t>
      </w:r>
      <w:bookmarkEnd w:id="113"/>
    </w:p>
    <w:p w14:paraId="31EF45B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2.3.1 在开启时间15天前，征集人可以变更公告的方式在三门峡市公共资源交易系统中回复所有报名完成供应商（投标人）或发布变更公告。如果修改征集文件的时间距开启时间不足15天，相应延长开启时间。</w:t>
      </w:r>
    </w:p>
    <w:p w14:paraId="7143D2B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2.3.2 供应商应自行查看变更信息。</w:t>
      </w:r>
      <w:r>
        <w:rPr>
          <w:rFonts w:hint="eastAsia" w:ascii="宋体" w:hAnsi="宋体" w:eastAsia="宋体" w:cs="宋体"/>
          <w:sz w:val="24"/>
          <w:szCs w:val="24"/>
          <w:highlight w:val="none"/>
          <w:lang w:val="en-US" w:eastAsia="zh-CN"/>
        </w:rPr>
        <w:t xml:space="preserve"> </w:t>
      </w:r>
    </w:p>
    <w:p w14:paraId="6E6D068C">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eastAsia="zh-CN"/>
        </w:rPr>
      </w:pPr>
      <w:bookmarkStart w:id="114" w:name="_Toc20860"/>
      <w:bookmarkStart w:id="115" w:name="_Toc17164"/>
      <w:bookmarkStart w:id="116" w:name="_Toc8536"/>
      <w:bookmarkStart w:id="117" w:name="_Toc25064"/>
      <w:bookmarkStart w:id="118" w:name="_Toc31848"/>
      <w:bookmarkStart w:id="119" w:name="_Toc21500"/>
      <w:bookmarkStart w:id="120" w:name="_Toc3376"/>
      <w:r>
        <w:rPr>
          <w:rFonts w:hint="eastAsia" w:asciiTheme="minorEastAsia" w:hAnsiTheme="minorEastAsia" w:eastAsiaTheme="minorEastAsia" w:cstheme="minorEastAsia"/>
          <w:b w:val="0"/>
          <w:bCs w:val="0"/>
          <w:sz w:val="28"/>
          <w:szCs w:val="28"/>
          <w:highlight w:val="none"/>
          <w:lang w:eastAsia="zh-CN"/>
        </w:rPr>
        <w:t>三、响应文件的编制</w:t>
      </w:r>
      <w:bookmarkEnd w:id="114"/>
      <w:bookmarkEnd w:id="115"/>
      <w:bookmarkEnd w:id="116"/>
      <w:bookmarkEnd w:id="117"/>
      <w:bookmarkEnd w:id="118"/>
      <w:bookmarkEnd w:id="119"/>
      <w:bookmarkEnd w:id="120"/>
    </w:p>
    <w:p w14:paraId="01F7822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21" w:name="_Toc26427"/>
      <w:r>
        <w:rPr>
          <w:rFonts w:hint="eastAsia" w:ascii="宋体" w:hAnsi="宋体" w:eastAsia="宋体" w:cs="宋体"/>
          <w:sz w:val="24"/>
          <w:szCs w:val="24"/>
          <w:highlight w:val="none"/>
          <w:lang w:eastAsia="zh-CN"/>
        </w:rPr>
        <w:t>3.1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特别说明</w:t>
      </w:r>
      <w:bookmarkEnd w:id="121"/>
    </w:p>
    <w:p w14:paraId="0E5A3FB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3.1.1 语言</w:t>
      </w:r>
    </w:p>
    <w:p w14:paraId="213DE55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供应商提交的响应文件以及供应商与采购代理机构就有关征集活动的所有往来函电均应使用中文。</w:t>
      </w:r>
    </w:p>
    <w:p w14:paraId="00EC12E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3.1.2 计量在响应文件所有计量单位均采用中华人民共和国法定计量单位。</w:t>
      </w:r>
    </w:p>
    <w:p w14:paraId="3C42223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3.1.3 供应商在响应文件中所提交的所有资料和文件均应是真实的和有效的，如有作假，则将该供应商的响应作无效处理，若成交后被发现有上述行为的，则征集人有权取消其成交资格，并且该供应商应承担由此而造成的一切损失（包括经济损失和法律责任）。</w:t>
      </w:r>
    </w:p>
    <w:p w14:paraId="5E566A6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3.1.4 供应商应当按照征集文件和电子招标投标交易平台的要求编制并加密响应文件。供应商未按规定加密的响应文件，电子招标投标交易平台将拒收并提示。</w:t>
      </w:r>
    </w:p>
    <w:p w14:paraId="1B3B643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3.1.5 温馨提示：本项目为电子化、无纸化交易项目，开标时不接受任何纸质资料，为保证您能投标成功，请仔细阅读供应商须知前附表。</w:t>
      </w:r>
    </w:p>
    <w:p w14:paraId="548B712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3.2.1 响应报价中应包含以下内容。</w:t>
      </w:r>
    </w:p>
    <w:p w14:paraId="640F41B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3.2.1 供应商的响应报价应包含验收合格正式交付使用前所发生的一切费用，且供应商只能提出一个不变价格，征集人不接受任何选择报价。</w:t>
      </w:r>
    </w:p>
    <w:p w14:paraId="7EF1451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3.2.2 该项目类别及取费标准按照国家相关规定执行。</w:t>
      </w:r>
    </w:p>
    <w:p w14:paraId="21F3388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3.2.3 电子化响应文件的响应报价，应是完成本文件所列招标范围的全部内容。</w:t>
      </w:r>
    </w:p>
    <w:p w14:paraId="1FFE2D4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3.2.4 如响应报价表中的大写金额和小写金额不一致的，以大写金额为准；总价金额与单价金额不一致的，以单价金额为准，但单价金额小数点有明显错误的除外；对不同文字文本电子化响应文件的解释发生异议的，以中文文本为准。</w:t>
      </w:r>
    </w:p>
    <w:p w14:paraId="0638061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3.2.5 全部报价均应以人民币为计量币种，并以人民币进行结算。</w:t>
      </w:r>
    </w:p>
    <w:p w14:paraId="04207DC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22" w:name="_Toc14666"/>
      <w:r>
        <w:rPr>
          <w:rFonts w:hint="eastAsia" w:ascii="宋体" w:hAnsi="宋体" w:eastAsia="宋体" w:cs="宋体"/>
          <w:sz w:val="24"/>
          <w:szCs w:val="24"/>
          <w:highlight w:val="none"/>
          <w:lang w:eastAsia="zh-CN"/>
        </w:rPr>
        <w:t>3.3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响应保证金</w:t>
      </w:r>
      <w:bookmarkEnd w:id="122"/>
    </w:p>
    <w:p w14:paraId="4A77FEE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根据《河南省财政厅关于优化政府采购营商环境有关问题的通知》（豫财购〔2019〕4号）第6条的规定，响应保证金不再收取。</w:t>
      </w:r>
    </w:p>
    <w:p w14:paraId="3B0B893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23" w:name="_Toc27639"/>
      <w:r>
        <w:rPr>
          <w:rFonts w:hint="eastAsia" w:ascii="宋体" w:hAnsi="宋体" w:eastAsia="宋体" w:cs="宋体"/>
          <w:sz w:val="24"/>
          <w:szCs w:val="24"/>
          <w:highlight w:val="none"/>
          <w:lang w:eastAsia="zh-CN"/>
        </w:rPr>
        <w:t>3.4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响应文件有效期</w:t>
      </w:r>
      <w:bookmarkEnd w:id="123"/>
    </w:p>
    <w:p w14:paraId="6106906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3.4.1 响应文件有效期为提交响应文件的截止之日起60日历天。</w:t>
      </w:r>
    </w:p>
    <w:p w14:paraId="68615DF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3.4.2 在特殊情况下，征集人可征求供应商同意延长响应文件有效期，这种要求和答复均应以信函、传真等书面形式提交。同意延长响应文件有效期的供应商不需要也不允许修改其电子化响应文件。</w:t>
      </w:r>
    </w:p>
    <w:p w14:paraId="2C50F45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24" w:name="_Toc11408"/>
      <w:r>
        <w:rPr>
          <w:rFonts w:hint="eastAsia" w:ascii="宋体" w:hAnsi="宋体" w:eastAsia="宋体" w:cs="宋体"/>
          <w:sz w:val="24"/>
          <w:szCs w:val="24"/>
          <w:highlight w:val="none"/>
          <w:lang w:eastAsia="zh-CN"/>
        </w:rPr>
        <w:t>3.5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电子化响应文件的组成</w:t>
      </w:r>
      <w:bookmarkEnd w:id="124"/>
    </w:p>
    <w:p w14:paraId="6AB0FFE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25" w:name="_Toc11525"/>
      <w:bookmarkStart w:id="126" w:name="_Toc18914"/>
      <w:bookmarkStart w:id="127" w:name="_Toc10072"/>
      <w:bookmarkStart w:id="128" w:name="_Toc12599"/>
      <w:r>
        <w:rPr>
          <w:rFonts w:hint="eastAsia" w:ascii="宋体" w:hAnsi="宋体" w:eastAsia="宋体" w:cs="宋体"/>
          <w:sz w:val="24"/>
          <w:szCs w:val="24"/>
          <w:highlight w:val="none"/>
          <w:lang w:eastAsia="zh-CN"/>
        </w:rPr>
        <w:t>一、响应函及响应函附录</w:t>
      </w:r>
      <w:bookmarkEnd w:id="125"/>
      <w:bookmarkEnd w:id="126"/>
      <w:bookmarkEnd w:id="127"/>
      <w:bookmarkEnd w:id="128"/>
    </w:p>
    <w:p w14:paraId="0F7C11F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29" w:name="_Toc28151"/>
      <w:r>
        <w:rPr>
          <w:rFonts w:hint="eastAsia" w:ascii="宋体" w:hAnsi="宋体" w:eastAsia="宋体" w:cs="宋体"/>
          <w:sz w:val="24"/>
          <w:szCs w:val="24"/>
          <w:highlight w:val="none"/>
          <w:lang w:eastAsia="zh-CN"/>
        </w:rPr>
        <w:t>二、法定代表人身份证明</w:t>
      </w:r>
      <w:bookmarkEnd w:id="129"/>
    </w:p>
    <w:p w14:paraId="4202046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30" w:name="_Toc28455"/>
      <w:r>
        <w:rPr>
          <w:rFonts w:hint="eastAsia" w:ascii="宋体" w:hAnsi="宋体" w:eastAsia="宋体" w:cs="宋体"/>
          <w:sz w:val="24"/>
          <w:szCs w:val="24"/>
          <w:highlight w:val="none"/>
          <w:lang w:eastAsia="zh-CN"/>
        </w:rPr>
        <w:t>三、授权委托书</w:t>
      </w:r>
      <w:bookmarkEnd w:id="130"/>
    </w:p>
    <w:p w14:paraId="6EA24E6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31" w:name="_Toc27543"/>
      <w:bookmarkStart w:id="132" w:name="_Toc14445"/>
      <w:bookmarkStart w:id="133" w:name="_Toc28627"/>
      <w:bookmarkStart w:id="134" w:name="_Toc16026"/>
      <w:r>
        <w:rPr>
          <w:rFonts w:hint="eastAsia" w:ascii="宋体" w:hAnsi="宋体" w:eastAsia="宋体" w:cs="宋体"/>
          <w:sz w:val="24"/>
          <w:szCs w:val="24"/>
          <w:highlight w:val="none"/>
          <w:lang w:eastAsia="zh-CN"/>
        </w:rPr>
        <w:t>四、响应承诺函</w:t>
      </w:r>
      <w:bookmarkEnd w:id="131"/>
      <w:bookmarkEnd w:id="132"/>
      <w:bookmarkEnd w:id="133"/>
      <w:bookmarkEnd w:id="134"/>
    </w:p>
    <w:p w14:paraId="1B076B5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35" w:name="_Toc8359"/>
      <w:bookmarkStart w:id="136" w:name="_Toc10623"/>
      <w:bookmarkStart w:id="137" w:name="_Toc28149"/>
      <w:bookmarkStart w:id="138" w:name="_Toc7325"/>
      <w:r>
        <w:rPr>
          <w:rFonts w:hint="eastAsia" w:ascii="宋体" w:hAnsi="宋体" w:eastAsia="宋体" w:cs="宋体"/>
          <w:sz w:val="24"/>
          <w:szCs w:val="24"/>
          <w:highlight w:val="none"/>
          <w:lang w:eastAsia="zh-CN"/>
        </w:rPr>
        <w:t>五、项目技术方案</w:t>
      </w:r>
      <w:bookmarkEnd w:id="135"/>
      <w:bookmarkEnd w:id="136"/>
      <w:bookmarkEnd w:id="137"/>
      <w:bookmarkEnd w:id="138"/>
    </w:p>
    <w:p w14:paraId="41A6F0B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39" w:name="_Toc32219"/>
      <w:bookmarkStart w:id="140" w:name="_Toc27904"/>
      <w:bookmarkStart w:id="141" w:name="_Toc267"/>
      <w:bookmarkStart w:id="142" w:name="_Toc19616"/>
      <w:r>
        <w:rPr>
          <w:rFonts w:hint="eastAsia" w:ascii="宋体" w:hAnsi="宋体" w:eastAsia="宋体" w:cs="宋体"/>
          <w:sz w:val="24"/>
          <w:szCs w:val="24"/>
          <w:highlight w:val="none"/>
          <w:lang w:eastAsia="zh-CN"/>
        </w:rPr>
        <w:t>六、项目服务承诺</w:t>
      </w:r>
      <w:bookmarkEnd w:id="139"/>
      <w:bookmarkEnd w:id="140"/>
      <w:bookmarkEnd w:id="141"/>
      <w:bookmarkEnd w:id="142"/>
    </w:p>
    <w:p w14:paraId="15971CB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43" w:name="_Toc20636"/>
      <w:bookmarkStart w:id="144" w:name="_Toc32627"/>
      <w:bookmarkStart w:id="145" w:name="_Toc17765"/>
      <w:bookmarkStart w:id="146" w:name="_Toc9663"/>
      <w:r>
        <w:rPr>
          <w:rFonts w:hint="eastAsia" w:ascii="宋体" w:hAnsi="宋体" w:eastAsia="宋体" w:cs="宋体"/>
          <w:sz w:val="24"/>
          <w:szCs w:val="24"/>
          <w:highlight w:val="none"/>
          <w:lang w:eastAsia="zh-CN"/>
        </w:rPr>
        <w:t>七、项目管理机构</w:t>
      </w:r>
      <w:bookmarkEnd w:id="143"/>
      <w:bookmarkEnd w:id="144"/>
      <w:bookmarkEnd w:id="145"/>
      <w:bookmarkEnd w:id="146"/>
    </w:p>
    <w:p w14:paraId="53A647F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47" w:name="_Toc11295"/>
      <w:bookmarkStart w:id="148" w:name="_Toc1307"/>
      <w:bookmarkStart w:id="149" w:name="_Toc2706"/>
      <w:bookmarkStart w:id="150" w:name="_Toc8992"/>
      <w:r>
        <w:rPr>
          <w:rFonts w:hint="eastAsia" w:ascii="宋体" w:hAnsi="宋体" w:eastAsia="宋体" w:cs="宋体"/>
          <w:sz w:val="24"/>
          <w:szCs w:val="24"/>
          <w:highlight w:val="none"/>
          <w:lang w:eastAsia="zh-CN"/>
        </w:rPr>
        <w:t>八、供应商基本情况</w:t>
      </w:r>
      <w:bookmarkEnd w:id="147"/>
      <w:bookmarkEnd w:id="148"/>
      <w:bookmarkEnd w:id="149"/>
      <w:bookmarkEnd w:id="150"/>
    </w:p>
    <w:p w14:paraId="4174E1B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51" w:name="_Toc6153"/>
      <w:bookmarkStart w:id="152" w:name="_Toc31205"/>
      <w:bookmarkStart w:id="153" w:name="_Toc5337"/>
      <w:bookmarkStart w:id="154" w:name="_Toc10172"/>
      <w:r>
        <w:rPr>
          <w:rFonts w:hint="eastAsia" w:ascii="宋体" w:hAnsi="宋体" w:eastAsia="宋体" w:cs="宋体"/>
          <w:sz w:val="24"/>
          <w:szCs w:val="24"/>
          <w:highlight w:val="none"/>
          <w:lang w:eastAsia="zh-CN"/>
        </w:rPr>
        <w:t>九、供应商需提供的其他材料</w:t>
      </w:r>
      <w:bookmarkEnd w:id="151"/>
      <w:bookmarkEnd w:id="152"/>
      <w:bookmarkEnd w:id="153"/>
      <w:bookmarkEnd w:id="154"/>
    </w:p>
    <w:p w14:paraId="0C94540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55" w:name="_Toc9535"/>
      <w:r>
        <w:rPr>
          <w:rFonts w:hint="eastAsia" w:ascii="宋体" w:hAnsi="宋体" w:eastAsia="宋体" w:cs="宋体"/>
          <w:sz w:val="24"/>
          <w:szCs w:val="24"/>
          <w:highlight w:val="none"/>
          <w:lang w:eastAsia="zh-CN"/>
        </w:rPr>
        <w:t>3.6 资格审查资料</w:t>
      </w:r>
      <w:bookmarkEnd w:id="155"/>
    </w:p>
    <w:p w14:paraId="5B2BEB3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本次招标实行资格后审，资格审查的具体要求见征集文件前附表。</w:t>
      </w:r>
    </w:p>
    <w:p w14:paraId="1A38C4B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56" w:name="_Toc7280"/>
      <w:r>
        <w:rPr>
          <w:rFonts w:hint="eastAsia" w:ascii="宋体" w:hAnsi="宋体" w:eastAsia="宋体" w:cs="宋体"/>
          <w:sz w:val="24"/>
          <w:szCs w:val="24"/>
          <w:highlight w:val="none"/>
          <w:lang w:eastAsia="zh-CN"/>
        </w:rPr>
        <w:t>3.7 备选响应方案</w:t>
      </w:r>
      <w:bookmarkEnd w:id="156"/>
    </w:p>
    <w:p w14:paraId="6094D81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供应商不得递交备选响应方案。</w:t>
      </w:r>
    </w:p>
    <w:p w14:paraId="537B525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57" w:name="_Toc18399"/>
      <w:r>
        <w:rPr>
          <w:rFonts w:hint="eastAsia" w:ascii="宋体" w:hAnsi="宋体" w:eastAsia="宋体" w:cs="宋体"/>
          <w:sz w:val="24"/>
          <w:szCs w:val="24"/>
          <w:highlight w:val="none"/>
          <w:lang w:eastAsia="zh-CN"/>
        </w:rPr>
        <w:t>3.8 电子化响应文件的格式</w:t>
      </w:r>
      <w:bookmarkEnd w:id="157"/>
    </w:p>
    <w:p w14:paraId="243CEB7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3.8.1 供应商所上传的电子化响应文件，应是通过中心响应文件制作系统制作的，经过签章和加密后生成的电子版响应文件。生成的电子版响应文件包含用于响应文件上传的主文件（后缀为.smxtf）和用于应急补救的响应文件备份文件（后缀为.nsmxtf），备份文件主要用于电子化开标出现技术问题后的补救，请供应商随身携带。</w:t>
      </w:r>
    </w:p>
    <w:p w14:paraId="20039A8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注：供应商投报多个标段的，需要每个标段单独制作电子响应文件。</w:t>
      </w:r>
    </w:p>
    <w:p w14:paraId="31BBF59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58" w:name="_Toc12799"/>
      <w:r>
        <w:rPr>
          <w:rFonts w:hint="eastAsia" w:ascii="宋体" w:hAnsi="宋体" w:eastAsia="宋体" w:cs="宋体"/>
          <w:sz w:val="24"/>
          <w:szCs w:val="24"/>
          <w:highlight w:val="none"/>
          <w:lang w:eastAsia="zh-CN"/>
        </w:rPr>
        <w:t>3.9 电子化响应文件的签章</w:t>
      </w:r>
      <w:bookmarkEnd w:id="158"/>
    </w:p>
    <w:p w14:paraId="0A9F1D0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3.9.1 供应商在生成电子化响应文件后，应对电子化响应文件进行签章，未进行签章的视为无效响应。</w:t>
      </w:r>
    </w:p>
    <w:p w14:paraId="63444F3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3.9.2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响应文件中要求法定代表人或授权委托人盖章的，供应商在进行电子化响应文件签章时，以签盖法定代表人签章为准。电子化响应文件具体制作教材请供应商通过 CA 证书登录三门峡市公共资源电子化交易系统在右上角“交易智库”中查看。电子化响应文件工具请在三门峡市公共资源交易中心网首页“下载专区”下载。</w:t>
      </w:r>
    </w:p>
    <w:p w14:paraId="49057B13">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eastAsia="zh-CN"/>
        </w:rPr>
      </w:pPr>
      <w:bookmarkStart w:id="159" w:name="_Toc20170"/>
      <w:bookmarkStart w:id="160" w:name="_Toc3959"/>
      <w:bookmarkStart w:id="161" w:name="_Toc8166"/>
      <w:bookmarkStart w:id="162" w:name="_Toc11164"/>
      <w:bookmarkStart w:id="163" w:name="_Toc3361"/>
      <w:bookmarkStart w:id="164" w:name="_Toc30529"/>
      <w:bookmarkStart w:id="165" w:name="_Toc4105"/>
      <w:bookmarkStart w:id="166" w:name="_Toc20811"/>
      <w:bookmarkStart w:id="167" w:name="_Toc23514"/>
      <w:r>
        <w:rPr>
          <w:rFonts w:hint="eastAsia" w:asciiTheme="minorEastAsia" w:hAnsiTheme="minorEastAsia" w:eastAsiaTheme="minorEastAsia" w:cstheme="minorEastAsia"/>
          <w:b w:val="0"/>
          <w:bCs w:val="0"/>
          <w:sz w:val="28"/>
          <w:szCs w:val="28"/>
          <w:highlight w:val="none"/>
          <w:lang w:eastAsia="zh-CN"/>
        </w:rPr>
        <w:t>四、响应文件的上传</w:t>
      </w:r>
      <w:bookmarkEnd w:id="159"/>
      <w:bookmarkEnd w:id="160"/>
      <w:bookmarkEnd w:id="161"/>
      <w:bookmarkEnd w:id="162"/>
      <w:bookmarkEnd w:id="163"/>
      <w:bookmarkEnd w:id="164"/>
      <w:bookmarkEnd w:id="165"/>
      <w:bookmarkEnd w:id="166"/>
      <w:bookmarkEnd w:id="167"/>
    </w:p>
    <w:p w14:paraId="51E8F28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68" w:name="_Toc15259"/>
      <w:r>
        <w:rPr>
          <w:rFonts w:hint="eastAsia" w:ascii="宋体" w:hAnsi="宋体" w:eastAsia="宋体" w:cs="宋体"/>
          <w:sz w:val="24"/>
          <w:szCs w:val="24"/>
          <w:highlight w:val="none"/>
          <w:lang w:eastAsia="zh-CN"/>
        </w:rPr>
        <w:t>4.1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响应文件上传</w:t>
      </w:r>
      <w:bookmarkEnd w:id="168"/>
    </w:p>
    <w:p w14:paraId="1F68A29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4.1.1 电子化响应文件应在响应文件递交截止时间前成功上传至三门峡市公共资源电子化交易系统。至响应文件递交截止时间止，仍未上传成功的电子化响应文件将不予接收。</w:t>
      </w:r>
    </w:p>
    <w:p w14:paraId="4312E67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注：如按照电子化投标操作教材制作完成的电子化响应文件无法上传的，供应商应在投标截止时间前尽早联系中心技术人员，以便有充分的时间进行处理。供应商应充分考虑到处理技术问题和上传数据等工作所需的时间问题，响应文件未在投标截止时间前成功上传的，其响应文件不予接收。</w:t>
      </w:r>
    </w:p>
    <w:p w14:paraId="69311EA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69" w:name="_Toc22272"/>
      <w:r>
        <w:rPr>
          <w:rFonts w:hint="eastAsia" w:ascii="宋体" w:hAnsi="宋体" w:eastAsia="宋体" w:cs="宋体"/>
          <w:sz w:val="24"/>
          <w:szCs w:val="24"/>
          <w:highlight w:val="none"/>
          <w:lang w:eastAsia="zh-CN"/>
        </w:rPr>
        <w:t>4.2.响应文件递交截止时间</w:t>
      </w:r>
      <w:bookmarkEnd w:id="169"/>
    </w:p>
    <w:p w14:paraId="22CBA86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4.2.1 响应文件递交截止时间见本须知前附表规定。</w:t>
      </w:r>
    </w:p>
    <w:p w14:paraId="62A89D5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4.2.2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征集人可按本须知规定以修改补充通知的方式，酌情延长提交电子化响应文件的截止时间。在此情况下，供应商的所有权利和义务以及供应商受制约的截止时间，均以延长后新的响应文件递交截止时间为准。</w:t>
      </w:r>
    </w:p>
    <w:p w14:paraId="6E49FE2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4.2.3 到响应文件递交截止时间止，征集人收到的响应文件少于 2个的，征集人将依法重新组织采购。</w:t>
      </w:r>
    </w:p>
    <w:p w14:paraId="18324C5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70" w:name="_Toc7412"/>
      <w:r>
        <w:rPr>
          <w:rFonts w:hint="eastAsia" w:ascii="宋体" w:hAnsi="宋体" w:eastAsia="宋体" w:cs="宋体"/>
          <w:sz w:val="24"/>
          <w:szCs w:val="24"/>
          <w:highlight w:val="none"/>
          <w:lang w:eastAsia="zh-CN"/>
        </w:rPr>
        <w:t>4.3 电子化响应文件的补充、修改与撤回</w:t>
      </w:r>
      <w:bookmarkEnd w:id="170"/>
    </w:p>
    <w:p w14:paraId="37C1026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4.3.1 在开启时间之后，供应商不得补充、修改电子化响应文件。</w:t>
      </w:r>
    </w:p>
    <w:p w14:paraId="6B995D10">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eastAsia="zh-CN"/>
        </w:rPr>
      </w:pPr>
      <w:bookmarkStart w:id="171" w:name="_Toc19887"/>
      <w:bookmarkStart w:id="172" w:name="_Toc4676"/>
      <w:bookmarkStart w:id="173" w:name="_Toc27489"/>
      <w:bookmarkStart w:id="174" w:name="_Toc12590"/>
      <w:bookmarkStart w:id="175" w:name="_Toc22489"/>
      <w:bookmarkStart w:id="176" w:name="_Toc27872"/>
      <w:bookmarkStart w:id="177" w:name="_Toc13388"/>
      <w:r>
        <w:rPr>
          <w:rFonts w:hint="eastAsia" w:asciiTheme="minorEastAsia" w:hAnsiTheme="minorEastAsia" w:eastAsiaTheme="minorEastAsia" w:cstheme="minorEastAsia"/>
          <w:b w:val="0"/>
          <w:bCs w:val="0"/>
          <w:sz w:val="28"/>
          <w:szCs w:val="28"/>
          <w:highlight w:val="none"/>
          <w:lang w:eastAsia="zh-CN"/>
        </w:rPr>
        <w:t>五、开启</w:t>
      </w:r>
      <w:bookmarkEnd w:id="171"/>
      <w:bookmarkEnd w:id="172"/>
      <w:bookmarkEnd w:id="173"/>
      <w:bookmarkEnd w:id="174"/>
      <w:bookmarkEnd w:id="175"/>
      <w:bookmarkEnd w:id="176"/>
      <w:bookmarkEnd w:id="177"/>
    </w:p>
    <w:p w14:paraId="0A08BB3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78" w:name="_Toc9518"/>
      <w:r>
        <w:rPr>
          <w:rFonts w:hint="eastAsia" w:ascii="宋体" w:hAnsi="宋体" w:eastAsia="宋体" w:cs="宋体"/>
          <w:sz w:val="24"/>
          <w:szCs w:val="24"/>
          <w:highlight w:val="none"/>
          <w:lang w:eastAsia="zh-CN"/>
        </w:rPr>
        <w:t>5.1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开启</w:t>
      </w:r>
      <w:bookmarkEnd w:id="178"/>
    </w:p>
    <w:p w14:paraId="686AB78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5.1.1 征集人按本须知前附表所规定的时间和地点公开开启，开启会议由采购代理机构主持，在有关部门监督下进行。</w:t>
      </w:r>
    </w:p>
    <w:p w14:paraId="323D312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79" w:name="_Toc14007"/>
      <w:r>
        <w:rPr>
          <w:rFonts w:hint="eastAsia" w:ascii="宋体" w:hAnsi="宋体" w:eastAsia="宋体" w:cs="宋体"/>
          <w:sz w:val="24"/>
          <w:szCs w:val="24"/>
          <w:highlight w:val="none"/>
          <w:lang w:eastAsia="zh-CN"/>
        </w:rPr>
        <w:t>5.2 开启程序：</w:t>
      </w:r>
      <w:bookmarkEnd w:id="179"/>
    </w:p>
    <w:p w14:paraId="1419861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5.2.1 开启由采购代理机构主持；</w:t>
      </w:r>
    </w:p>
    <w:p w14:paraId="7CF0E33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5.2.2 介绍本项目的情况；</w:t>
      </w:r>
    </w:p>
    <w:p w14:paraId="5C9FB30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5.2.3 宣布开启会议纪律；</w:t>
      </w:r>
    </w:p>
    <w:p w14:paraId="35DB451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5.2.4 介绍参会的征集人、监督人；</w:t>
      </w:r>
    </w:p>
    <w:p w14:paraId="5BEC80B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5.2.5 开启、解密、唱标</w:t>
      </w:r>
    </w:p>
    <w:p w14:paraId="69EA987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 xml:space="preserve"> 开启时间和地点</w:t>
      </w:r>
    </w:p>
    <w:p w14:paraId="656635A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1.本项目采用电子化、无纸化进行招标，本项目为不见面开标项目。开启当日，供应商不得到开启现场参加开启会议，供应商应当在开启时间前，登录不见面开标大厅选择 登录三门峡市公共资源电子招投标系统进行登录，在线准时参加开标活动并进行响应文件解密等。</w:t>
      </w:r>
    </w:p>
    <w:p w14:paraId="5D3ACC6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2.电子化响应文件采用一次加密方式。开启时，由供应商使用CA证书，在规定时 间内对其电子化响应文件进行解密。每位供应商的解密时间为开启时间起 30 分钟内，如在规定时间内未完成解密的，其响应文件不予开启、唱标。</w:t>
      </w:r>
    </w:p>
    <w:p w14:paraId="76E5E03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3.电子化响应文件异常情况的处理如出现供应商的电子响应文件无法解密等异常情况，供应商应及时致电中介服务机构说明。响应文件异常，按以下步骤进行处理：</w:t>
      </w:r>
    </w:p>
    <w:p w14:paraId="1F99ABD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（1）首先由技术人员进行问题排查。</w:t>
      </w:r>
    </w:p>
    <w:p w14:paraId="49C856D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（2）经技术人员排查后，是供应商文件自身问题导致响应文件无法解密的，该响应文件将不予接收、解密和唱标。开启会议继续进行。</w:t>
      </w:r>
    </w:p>
    <w:p w14:paraId="0367464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经技术人员排查后，如果是电子化交易系统问题造成响应文件无法解密的，将由技术人员对问题进行处理。如短时间内问题无法解决的，将由中介服务机构向监督部门申请，经监督部门同意后，暂停开启会议，待问题解决后继续开启。</w:t>
      </w:r>
    </w:p>
    <w:p w14:paraId="0009A29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4.供应商不足2家的，不得开启。</w:t>
      </w:r>
    </w:p>
    <w:p w14:paraId="2EBE2D7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待所有供应商响应文件解密完成后，由中介服务机构操作，对所有已解密响应文件进行唱标。供应商应保证在开启期间电话、电脑、网络能够正常工作，供应商因停电、电脑病毒、网络堵塞等原因，未在规定的解密时间内对响应文件进行解密的，其响应文件不予接收、唱标。</w:t>
      </w:r>
    </w:p>
    <w:p w14:paraId="62783BA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6.开启时供应商可登录到交易系统中在开标大厅中点击开标一览表查看自己的响应报价。如对自己的唱标内容有异议的，应在唱标内容显示后 10 分钟内向中介服务机构电话质疑。中介服务机构应在监督人员的监督下进行免提通话接受供应商的质疑并做好书面记录。供应商未在规定时间内提出质疑的，视为认可唱标内容。</w:t>
      </w:r>
    </w:p>
    <w:p w14:paraId="66F2738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评审时，评审小组对电子化响应文件有质疑的，将通过电子化交易系统对供应商发起质疑，并在监督人员的监督下，用免提模式致电需要答复的供应商进行详细质询。质疑回复内容确认后，供应商的回复文件必须以经过供应商和其法定代表人签章的PDF格式文件为准，并通过电子化交易系统提交至评审小组。</w:t>
      </w:r>
    </w:p>
    <w:p w14:paraId="3731E1E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8.如评审小组对需要回复的供应商连续三次致电未接通的，视为供应商放弃回复，评审小组将自行对需要回复的内容进行认定。</w:t>
      </w:r>
    </w:p>
    <w:p w14:paraId="1E6C3E4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80" w:name="_Toc31423"/>
      <w:r>
        <w:rPr>
          <w:rFonts w:hint="eastAsia" w:ascii="宋体" w:hAnsi="宋体" w:eastAsia="宋体" w:cs="宋体"/>
          <w:sz w:val="24"/>
          <w:szCs w:val="24"/>
          <w:highlight w:val="none"/>
          <w:lang w:eastAsia="zh-CN"/>
        </w:rPr>
        <w:t>5.3 响应文件的有效性</w:t>
      </w:r>
      <w:bookmarkEnd w:id="180"/>
    </w:p>
    <w:p w14:paraId="52E7E47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5.3.1 响应文件有下列情形之一的为无效电子化响应文件，征集人不予受理：因供应商原因造成响应文件未解密的，视为撤销其响应文件；因供应商之外的原因造成响应文件未解密的，视为撤回其响应文件，供应商有权要求责任方赔偿因此遭受的直接损失。部分响应文件未解密的，其他响应文件的开启可以继续进行。</w:t>
      </w:r>
    </w:p>
    <w:p w14:paraId="39857DA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5.3.2 若响应文件解密后，有效电子响应文件不足2家的，</w:t>
      </w:r>
      <w:r>
        <w:rPr>
          <w:rFonts w:hint="eastAsia" w:ascii="宋体" w:hAnsi="宋体" w:eastAsia="宋体" w:cs="宋体"/>
          <w:sz w:val="24"/>
          <w:szCs w:val="24"/>
          <w:highlight w:val="none"/>
          <w:lang w:val="en-US" w:eastAsia="zh-CN"/>
        </w:rPr>
        <w:t>对应标段</w:t>
      </w:r>
      <w:r>
        <w:rPr>
          <w:rFonts w:hint="eastAsia" w:ascii="宋体" w:hAnsi="宋体" w:eastAsia="宋体" w:cs="宋体"/>
          <w:sz w:val="24"/>
          <w:szCs w:val="24"/>
          <w:highlight w:val="none"/>
          <w:lang w:eastAsia="zh-CN"/>
        </w:rPr>
        <w:t>应予废标。</w:t>
      </w:r>
    </w:p>
    <w:p w14:paraId="1EE3E20F">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eastAsia="zh-CN"/>
        </w:rPr>
      </w:pPr>
      <w:bookmarkStart w:id="181" w:name="_Toc3037"/>
      <w:bookmarkStart w:id="182" w:name="_Toc25708"/>
      <w:bookmarkStart w:id="183" w:name="_Toc8494"/>
      <w:bookmarkStart w:id="184" w:name="_Toc12797"/>
      <w:bookmarkStart w:id="185" w:name="_Toc7202"/>
      <w:bookmarkStart w:id="186" w:name="_Toc23494"/>
      <w:bookmarkStart w:id="187" w:name="_Toc11800"/>
      <w:r>
        <w:rPr>
          <w:rFonts w:hint="eastAsia" w:asciiTheme="minorEastAsia" w:hAnsiTheme="minorEastAsia" w:eastAsiaTheme="minorEastAsia" w:cstheme="minorEastAsia"/>
          <w:b w:val="0"/>
          <w:bCs w:val="0"/>
          <w:sz w:val="28"/>
          <w:szCs w:val="28"/>
          <w:highlight w:val="none"/>
          <w:lang w:eastAsia="zh-CN"/>
        </w:rPr>
        <w:t>六、评审与定标</w:t>
      </w:r>
      <w:bookmarkEnd w:id="181"/>
      <w:bookmarkEnd w:id="182"/>
      <w:bookmarkEnd w:id="183"/>
      <w:bookmarkEnd w:id="184"/>
      <w:bookmarkEnd w:id="185"/>
      <w:bookmarkEnd w:id="186"/>
      <w:bookmarkEnd w:id="187"/>
    </w:p>
    <w:p w14:paraId="570D10C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88" w:name="_Toc26377"/>
      <w:r>
        <w:rPr>
          <w:rFonts w:hint="eastAsia" w:ascii="宋体" w:hAnsi="宋体" w:eastAsia="宋体" w:cs="宋体"/>
          <w:sz w:val="24"/>
          <w:szCs w:val="24"/>
          <w:highlight w:val="none"/>
          <w:lang w:eastAsia="zh-CN"/>
        </w:rPr>
        <w:t>6.1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评审小组</w:t>
      </w:r>
      <w:bookmarkEnd w:id="188"/>
    </w:p>
    <w:p w14:paraId="75ED419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6.1.1 评审小组会由征集人依法组建，负责评审活动。</w:t>
      </w:r>
    </w:p>
    <w:p w14:paraId="39F61D2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6.1.2 评审小组成员5人，征集人代表1人，评审专家4人；</w:t>
      </w:r>
    </w:p>
    <w:p w14:paraId="750637D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6.1.3 参加评审的专家通过河南省财政厅政府采购评审专家库随机抽取随机选定。与供应商有利害关系的人不得进入评审小组。</w:t>
      </w:r>
    </w:p>
    <w:p w14:paraId="3FE1BF4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6.1.4 开启结束后，开始评审。评审工作在相关部门监督下，采用保密方式进行。</w:t>
      </w:r>
    </w:p>
    <w:p w14:paraId="755D699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89" w:name="_Toc15731"/>
      <w:r>
        <w:rPr>
          <w:rFonts w:hint="eastAsia" w:ascii="宋体" w:hAnsi="宋体" w:eastAsia="宋体" w:cs="宋体"/>
          <w:sz w:val="24"/>
          <w:szCs w:val="24"/>
          <w:highlight w:val="none"/>
          <w:lang w:eastAsia="zh-CN"/>
        </w:rPr>
        <w:t>6.2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评审过程的保密</w:t>
      </w:r>
      <w:bookmarkEnd w:id="189"/>
    </w:p>
    <w:p w14:paraId="096A6CD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6.2.1 开启后，直至授予入围供应商框架协议为止，凡属于对电子化响应文件的审查、澄清、评价和比较有关的资料，成交候选人的推荐情况，以及其他任何与评审有关的情况均应严格保密。</w:t>
      </w:r>
    </w:p>
    <w:p w14:paraId="6C5CC0C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6.2.2 在电子化响应文件的评审和比较、成交候选人推荐以及授予合同的过程中，供应商向征集人和评审小组施加影响的任何行为，都将会导致其响应被拒绝。</w:t>
      </w:r>
    </w:p>
    <w:p w14:paraId="2C21A2F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6.2.3 入围供应商确定后，征集人不对未入围供应商就评审过程以及未能入围原因作出任何解释。未入围供应商不得向评审小组组成人员或其他有关人员索问评审过程的情况和材料。</w:t>
      </w:r>
    </w:p>
    <w:p w14:paraId="0517817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90" w:name="_Toc2023"/>
      <w:r>
        <w:rPr>
          <w:rFonts w:hint="eastAsia" w:ascii="宋体" w:hAnsi="宋体" w:eastAsia="宋体" w:cs="宋体"/>
          <w:sz w:val="24"/>
          <w:szCs w:val="24"/>
          <w:highlight w:val="none"/>
          <w:lang w:eastAsia="zh-CN"/>
        </w:rPr>
        <w:t>6.3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评审纪律</w:t>
      </w:r>
      <w:bookmarkEnd w:id="190"/>
    </w:p>
    <w:p w14:paraId="421BB98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6.3.1 评审小组成员和参与评审工作的有关人员不得透露对电子化响应文件的评审和比较、成交候选人的推荐情况以及与评审有关的其他情况。</w:t>
      </w:r>
    </w:p>
    <w:p w14:paraId="6562D26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6.3.2 除供应商须知的规定以外，开启以后至授予入围通知书前，任何供应商均不得就与其响应文件有关的问题主动与征集人和采购代理机构发生联系。</w:t>
      </w:r>
    </w:p>
    <w:p w14:paraId="0C5B978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6.3.3 如果供应商试图对评审小组的评审施加影响，则将导致该供应商的响应文件被拒绝。</w:t>
      </w:r>
    </w:p>
    <w:p w14:paraId="0C8CD9B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91" w:name="_Toc17958"/>
      <w:r>
        <w:rPr>
          <w:rFonts w:hint="eastAsia" w:ascii="宋体" w:hAnsi="宋体" w:eastAsia="宋体" w:cs="宋体"/>
          <w:sz w:val="24"/>
          <w:szCs w:val="24"/>
          <w:highlight w:val="none"/>
          <w:lang w:eastAsia="zh-CN"/>
        </w:rPr>
        <w:t>6.4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评审方法和标准</w:t>
      </w:r>
      <w:bookmarkEnd w:id="191"/>
    </w:p>
    <w:p w14:paraId="49A9380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6.4.1 评审小组会按照第五章“确定第一阶段入围供应商的评审办法”规定的方法、评审因素、标准和程序对响应文件进行评审。第五章“确定第一阶段入围供应商的评审办法”没有规定的方法、评审因素和标准，不作为评审依据。</w:t>
      </w:r>
    </w:p>
    <w:p w14:paraId="1699A1B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6.4.1 评审完成后，评审小组应当向征集人提交书面评审报告和入围供应商名单。</w:t>
      </w:r>
    </w:p>
    <w:p w14:paraId="60860EF0">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eastAsia="zh-CN"/>
        </w:rPr>
      </w:pPr>
      <w:bookmarkStart w:id="192" w:name="_Toc7530"/>
      <w:bookmarkStart w:id="193" w:name="_Toc1958"/>
      <w:bookmarkStart w:id="194" w:name="_Toc21222"/>
      <w:bookmarkStart w:id="195" w:name="_Toc11086"/>
      <w:bookmarkStart w:id="196" w:name="_Toc25828"/>
      <w:bookmarkStart w:id="197" w:name="_Toc9765"/>
      <w:bookmarkStart w:id="198" w:name="_Toc24202"/>
      <w:r>
        <w:rPr>
          <w:rFonts w:hint="eastAsia" w:asciiTheme="minorEastAsia" w:hAnsiTheme="minorEastAsia" w:eastAsiaTheme="minorEastAsia" w:cstheme="minorEastAsia"/>
          <w:b w:val="0"/>
          <w:bCs w:val="0"/>
          <w:sz w:val="28"/>
          <w:szCs w:val="28"/>
          <w:highlight w:val="none"/>
          <w:lang w:eastAsia="zh-CN"/>
        </w:rPr>
        <w:t>七、签订框架协议</w:t>
      </w:r>
      <w:bookmarkEnd w:id="192"/>
      <w:bookmarkEnd w:id="193"/>
      <w:bookmarkEnd w:id="194"/>
      <w:bookmarkEnd w:id="195"/>
      <w:bookmarkEnd w:id="196"/>
      <w:bookmarkEnd w:id="197"/>
      <w:bookmarkEnd w:id="198"/>
      <w:r>
        <w:rPr>
          <w:rFonts w:hint="eastAsia" w:asciiTheme="minorEastAsia" w:hAnsiTheme="minorEastAsia" w:eastAsiaTheme="minorEastAsia" w:cstheme="minorEastAsia"/>
          <w:b w:val="0"/>
          <w:bCs w:val="0"/>
          <w:sz w:val="28"/>
          <w:szCs w:val="28"/>
          <w:highlight w:val="none"/>
          <w:lang w:eastAsia="zh-CN"/>
        </w:rPr>
        <w:t xml:space="preserve"> </w:t>
      </w:r>
    </w:p>
    <w:p w14:paraId="560A97E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199" w:name="_Toc22568"/>
      <w:r>
        <w:rPr>
          <w:rFonts w:hint="eastAsia" w:ascii="宋体" w:hAnsi="宋体" w:eastAsia="宋体" w:cs="宋体"/>
          <w:sz w:val="24"/>
          <w:szCs w:val="24"/>
          <w:highlight w:val="none"/>
          <w:lang w:eastAsia="zh-CN"/>
        </w:rPr>
        <w:t>7.1 授予框架协议标准</w:t>
      </w:r>
      <w:bookmarkEnd w:id="199"/>
    </w:p>
    <w:p w14:paraId="3D8321F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7.1.1 本项目的框架协议将授予按本评审办法确定的入围供应商。</w:t>
      </w:r>
    </w:p>
    <w:p w14:paraId="34256B6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7.1.2 征集人应当自入围通知书发出之日起2个工作日内，按照征集文件和入围供应商响应文件的规定，与入围供应商签订框架协议，并在框架协议签订后1个工作日内，将框架协议副本报本级财政部门备案。所签订的框架协议不得对征集文件确定的事项和入围供应商响应文件作实质性修改。征集文件、入围供应商的响应文件和澄清文件等，均应作为签约的合同文本的基础。入围供应商无正当理由，不得主动放弃入围资格或者退出框架协议。</w:t>
      </w:r>
    </w:p>
    <w:p w14:paraId="4D94745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7.1.3 入围供应商拒绝与征集人签订框架协议或者不按征集文件约定签订框架协议的，征集人将取消其入围资格，剩余入围供应商不足入围供应商总数70%且影响框架协议执行的情形的，在框架协议有效期内，征集人可以补充征集供应商。</w:t>
      </w:r>
    </w:p>
    <w:p w14:paraId="6D5A225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7.1.4 征集人在框架协议签订后3个工作日内通过电子化交易系统将入围信息告知适用框架协议的所有征集人或者服务对象。</w:t>
      </w:r>
    </w:p>
    <w:p w14:paraId="3C4DCB0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7.1.5 入围信息应当包括所有入围供应商的名称、地址、联系方式、入围产品信息和协议价格等内容。入围产品信息应当详细列明技</w:t>
      </w:r>
    </w:p>
    <w:p w14:paraId="0CA4AF3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术规格或者服务内容、服务标准等能反映产品质量特点的内容。</w:t>
      </w:r>
    </w:p>
    <w:p w14:paraId="5E02244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7.1.6征集文件和入围信息在整个框架协议有效期内随时可供公众查阅。</w:t>
      </w:r>
    </w:p>
    <w:p w14:paraId="0EB72D4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0" w:name="_Toc11866"/>
      <w:r>
        <w:rPr>
          <w:rFonts w:hint="eastAsia" w:ascii="宋体" w:hAnsi="宋体" w:eastAsia="宋体" w:cs="宋体"/>
          <w:sz w:val="24"/>
          <w:szCs w:val="24"/>
          <w:highlight w:val="none"/>
          <w:lang w:eastAsia="zh-CN"/>
        </w:rPr>
        <w:t>7.2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授予合同时变更数量的权利</w:t>
      </w:r>
      <w:bookmarkEnd w:id="200"/>
    </w:p>
    <w:p w14:paraId="742A5F6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征集人在授予合同时，保留对服务单位数量予以适当增减的权利。供应商不得在此情况下对响应文件作出修改，如价格、框架协议的期限、售后服务等。</w:t>
      </w:r>
    </w:p>
    <w:p w14:paraId="12535F1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7.2.2 征集人应当建立真实完整的框架协议采购档案，妥善保存每项采购活动的采购文件资料。除征集人和采购人另有约定外，合同授予的采购文件资料由采购人负责保存。</w:t>
      </w:r>
    </w:p>
    <w:p w14:paraId="6E77F9B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7.2.3 采购档案可以采用电子形式保存，电子档案和纸质档案具有同等效力。</w:t>
      </w:r>
    </w:p>
    <w:p w14:paraId="2BC3A80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1" w:name="_Toc82"/>
      <w:r>
        <w:rPr>
          <w:rFonts w:hint="eastAsia" w:ascii="宋体" w:hAnsi="宋体" w:eastAsia="宋体" w:cs="宋体"/>
          <w:sz w:val="24"/>
          <w:szCs w:val="24"/>
          <w:highlight w:val="none"/>
          <w:lang w:eastAsia="zh-CN"/>
        </w:rPr>
        <w:t>7.3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征集人拒绝投标的权利</w:t>
      </w:r>
      <w:bookmarkEnd w:id="201"/>
    </w:p>
    <w:p w14:paraId="0E55E20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7.3.1征集人不承诺将合同授予报价最低的或最高的中标候选人。</w:t>
      </w:r>
    </w:p>
    <w:p w14:paraId="4FCE519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7.3.2 成交供应商如不按本供应商须知的规定与征集人订立合同，则征集人将废除授标，给征集人造成损失的，应当予以赔偿，同时依法承担相应法律责任。</w:t>
      </w:r>
    </w:p>
    <w:p w14:paraId="0AEE26E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2" w:name="_Toc29617"/>
      <w:r>
        <w:rPr>
          <w:rFonts w:hint="eastAsia" w:ascii="宋体" w:hAnsi="宋体" w:eastAsia="宋体" w:cs="宋体"/>
          <w:sz w:val="24"/>
          <w:szCs w:val="24"/>
          <w:highlight w:val="none"/>
          <w:lang w:eastAsia="zh-CN"/>
        </w:rPr>
        <w:t>7.4 履约保证金</w:t>
      </w:r>
      <w:bookmarkEnd w:id="202"/>
    </w:p>
    <w:p w14:paraId="42FAC3B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根据三门峡市财政局《关于进一步优化提升政府采购营商环境有关事项通知》三财购〔2021〕14号文件，该项目不收取履约保证金。</w:t>
      </w:r>
    </w:p>
    <w:p w14:paraId="687A5E3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3" w:name="_Toc26858"/>
      <w:r>
        <w:rPr>
          <w:rFonts w:hint="eastAsia" w:ascii="宋体" w:hAnsi="宋体" w:eastAsia="宋体" w:cs="宋体"/>
          <w:sz w:val="24"/>
          <w:szCs w:val="24"/>
          <w:highlight w:val="none"/>
          <w:lang w:eastAsia="zh-CN"/>
        </w:rPr>
        <w:t>7.5 确定第二阶段成交供应商的方式：直接选定法。</w:t>
      </w:r>
      <w:bookmarkEnd w:id="203"/>
    </w:p>
    <w:p w14:paraId="2F5F32C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征集人依据入围供应商价格、质量及服务便利性、用户评价等因素，从第一阶段入围供应商中直接选定。</w:t>
      </w:r>
    </w:p>
    <w:p w14:paraId="5001108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4" w:name="_Toc14769"/>
      <w:r>
        <w:rPr>
          <w:rFonts w:hint="eastAsia" w:ascii="宋体" w:hAnsi="宋体" w:eastAsia="宋体" w:cs="宋体"/>
          <w:sz w:val="24"/>
          <w:szCs w:val="24"/>
          <w:highlight w:val="none"/>
          <w:lang w:eastAsia="zh-CN"/>
        </w:rPr>
        <w:t>7.6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入围供应商的清退和补充规则</w:t>
      </w:r>
      <w:bookmarkEnd w:id="204"/>
    </w:p>
    <w:p w14:paraId="79514B1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5" w:name="_Toc6839"/>
      <w:r>
        <w:rPr>
          <w:rFonts w:hint="eastAsia" w:ascii="宋体" w:hAnsi="宋体" w:eastAsia="宋体" w:cs="宋体"/>
          <w:sz w:val="24"/>
          <w:szCs w:val="24"/>
          <w:highlight w:val="none"/>
          <w:lang w:eastAsia="zh-CN"/>
        </w:rPr>
        <w:t>7.6.1 入围供应商的清退</w:t>
      </w:r>
      <w:bookmarkEnd w:id="205"/>
    </w:p>
    <w:p w14:paraId="45591A7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入围供应商有下列情形之一，尚未签订框架协议的，取消其入围资格，已经签订框架协议的，解除与其签订的框架协议：</w:t>
      </w:r>
    </w:p>
    <w:p w14:paraId="4DAB5F4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1）恶意串通谋取入围或者合同成交的；</w:t>
      </w:r>
    </w:p>
    <w:p w14:paraId="7366B5D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2）提供虚假材料谋取入围或者合同成交的；</w:t>
      </w:r>
    </w:p>
    <w:p w14:paraId="142191F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3）无正当理由拒不接受合同授予的；</w:t>
      </w:r>
    </w:p>
    <w:p w14:paraId="479CC07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4）不履行合同义务或者履行合同义务不符合约定，经采购人请求履行后仍不履行或者仍未按约定履行的；</w:t>
      </w:r>
    </w:p>
    <w:p w14:paraId="4C43663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6" w:name="_Toc3970"/>
      <w:r>
        <w:rPr>
          <w:rFonts w:hint="eastAsia" w:ascii="宋体" w:hAnsi="宋体" w:eastAsia="宋体" w:cs="宋体"/>
          <w:sz w:val="24"/>
          <w:szCs w:val="24"/>
          <w:highlight w:val="none"/>
          <w:lang w:eastAsia="zh-CN"/>
        </w:rPr>
        <w:t>5）框架协议有效期内，因违法行为被禁止或限制参加政府采购活动的；</w:t>
      </w:r>
      <w:bookmarkEnd w:id="206"/>
    </w:p>
    <w:p w14:paraId="1A5209A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6）框架协议约定的其他情形。</w:t>
      </w:r>
    </w:p>
    <w:p w14:paraId="283AE4D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被取消入围资格或者被解除框架协议的供应商不得参加同一封闭式框架协议补充征集，或者重新申请加入同一开放式框架协议。</w:t>
      </w:r>
    </w:p>
    <w:p w14:paraId="6829031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封闭式框架协议入围供应商无正当理由，不得主动放弃入围资格或者退出框架协议。</w:t>
      </w:r>
    </w:p>
    <w:p w14:paraId="0982CCE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7" w:name="_Toc29626"/>
      <w:r>
        <w:rPr>
          <w:rFonts w:hint="eastAsia" w:ascii="宋体" w:hAnsi="宋体" w:eastAsia="宋体" w:cs="宋体"/>
          <w:sz w:val="24"/>
          <w:szCs w:val="24"/>
          <w:highlight w:val="none"/>
          <w:lang w:eastAsia="zh-CN"/>
        </w:rPr>
        <w:t>7.6.2 补充规则</w:t>
      </w:r>
      <w:bookmarkEnd w:id="207"/>
    </w:p>
    <w:p w14:paraId="29251D6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 原则上不允许补充征集入围供应商。除了规定以外，在特殊情形下是可以补充征集的，就是剩余入围供应商不足入围供应商总数70%且影响框架协议执行的。</w:t>
      </w:r>
    </w:p>
    <w:p w14:paraId="28C0FDC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2）补充征集规则包括：补充征集规则应当在框架协议中约定；补充征集的条件、程序、评审方法和淘汰比例应当与初次征集相同；补充征集应当遵守原框架协议的有效期；补充征集期间，原框架协议继续执行。</w:t>
      </w:r>
    </w:p>
    <w:p w14:paraId="57B7C55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若签订合同的入围供应商不足入围供应商总数的70%或签订合</w:t>
      </w:r>
    </w:p>
    <w:p w14:paraId="47910AA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同的入围供货商不能满足项目需要，征集人可以按照评标得分从高到低的顺序，补充供应商。补充的供应商应无条件执行原签约供应商的协议条款。</w:t>
      </w:r>
    </w:p>
    <w:p w14:paraId="764ED67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08" w:name="_Toc8374"/>
      <w:r>
        <w:rPr>
          <w:rFonts w:hint="eastAsia" w:ascii="宋体" w:hAnsi="宋体" w:eastAsia="宋体" w:cs="宋体"/>
          <w:sz w:val="24"/>
          <w:szCs w:val="24"/>
          <w:highlight w:val="none"/>
          <w:lang w:eastAsia="zh-CN"/>
        </w:rPr>
        <w:t>7.6.3用户反馈和评价机制</w:t>
      </w:r>
      <w:bookmarkEnd w:id="208"/>
    </w:p>
    <w:p w14:paraId="5B73C9F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框架协议约定，组织落实框架协议的履行，建立用户反馈和评价机制，接受采购人和服务对象对入围供应商履行框架协议和采购合同情况的反馈与评价，并将用户反馈和评价情况向采购人和服务对象公开，作为第二阶段直接选定成交供应商的参考。</w:t>
      </w:r>
    </w:p>
    <w:p w14:paraId="1DECF1D7">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eastAsia="zh-CN"/>
        </w:rPr>
      </w:pPr>
      <w:bookmarkStart w:id="209" w:name="_Toc24993"/>
      <w:bookmarkStart w:id="210" w:name="_Toc11870"/>
      <w:bookmarkStart w:id="211" w:name="_Toc1404"/>
      <w:bookmarkStart w:id="212" w:name="_Toc26761"/>
      <w:bookmarkStart w:id="213" w:name="_Toc18075"/>
      <w:bookmarkStart w:id="214" w:name="_Toc22161"/>
      <w:bookmarkStart w:id="215" w:name="_Toc14451"/>
      <w:r>
        <w:rPr>
          <w:rFonts w:hint="eastAsia" w:asciiTheme="minorEastAsia" w:hAnsiTheme="minorEastAsia" w:eastAsiaTheme="minorEastAsia" w:cstheme="minorEastAsia"/>
          <w:b w:val="0"/>
          <w:bCs w:val="0"/>
          <w:sz w:val="28"/>
          <w:szCs w:val="28"/>
          <w:highlight w:val="none"/>
          <w:lang w:eastAsia="zh-CN"/>
        </w:rPr>
        <w:t>八、授予合同</w:t>
      </w:r>
      <w:bookmarkEnd w:id="209"/>
      <w:bookmarkEnd w:id="210"/>
      <w:bookmarkEnd w:id="211"/>
      <w:bookmarkEnd w:id="212"/>
      <w:bookmarkEnd w:id="213"/>
      <w:bookmarkEnd w:id="214"/>
      <w:bookmarkEnd w:id="215"/>
    </w:p>
    <w:p w14:paraId="52B3343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16" w:name="_Toc20907"/>
      <w:r>
        <w:rPr>
          <w:rFonts w:hint="eastAsia" w:ascii="宋体" w:hAnsi="宋体" w:eastAsia="宋体" w:cs="宋体"/>
          <w:sz w:val="24"/>
          <w:szCs w:val="24"/>
          <w:highlight w:val="none"/>
          <w:lang w:eastAsia="zh-CN"/>
        </w:rPr>
        <w:t>8.1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授予合同标准</w:t>
      </w:r>
      <w:bookmarkEnd w:id="216"/>
    </w:p>
    <w:p w14:paraId="66F5DEF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8.1.1 本招标项目的合同将授予按本评审办法确定的入围供应商。</w:t>
      </w:r>
    </w:p>
    <w:p w14:paraId="1476C43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8.1.2 评审小组经征集人授权，确定第一阶段入围供应商时，通过资格、符合性审查的供应商，按照淘汰比例一般不得低于20%，且至少淘汰一家供应商前提下，</w:t>
      </w:r>
      <w:r>
        <w:rPr>
          <w:rFonts w:hint="eastAsia" w:asciiTheme="minorEastAsia" w:hAnsiTheme="minorEastAsia" w:eastAsiaTheme="minorEastAsia" w:cstheme="minorEastAsia"/>
          <w:sz w:val="24"/>
          <w:szCs w:val="24"/>
          <w:highlight w:val="none"/>
        </w:rPr>
        <w:t>依据评分</w:t>
      </w:r>
      <w:r>
        <w:rPr>
          <w:rFonts w:hint="eastAsia" w:asciiTheme="minorEastAsia" w:hAnsiTheme="minorEastAsia" w:eastAsiaTheme="minorEastAsia" w:cstheme="minorEastAsia"/>
          <w:sz w:val="24"/>
          <w:szCs w:val="24"/>
          <w:highlight w:val="none"/>
          <w:lang w:val="en-US" w:eastAsia="zh-CN"/>
        </w:rPr>
        <w:t>一标段</w:t>
      </w:r>
      <w:r>
        <w:rPr>
          <w:rFonts w:hint="eastAsia" w:asciiTheme="minorEastAsia" w:hAnsiTheme="minorEastAsia" w:eastAsiaTheme="minorEastAsia" w:cstheme="minorEastAsia"/>
          <w:sz w:val="24"/>
          <w:szCs w:val="24"/>
          <w:highlight w:val="none"/>
        </w:rPr>
        <w:t>由高到低入围</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家</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二标段</w:t>
      </w:r>
      <w:r>
        <w:rPr>
          <w:rFonts w:hint="eastAsia" w:asciiTheme="minorEastAsia" w:hAnsiTheme="minorEastAsia" w:eastAsiaTheme="minorEastAsia" w:cstheme="minorEastAsia"/>
          <w:sz w:val="24"/>
          <w:szCs w:val="24"/>
          <w:highlight w:val="none"/>
        </w:rPr>
        <w:t>由高到低入围</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家</w:t>
      </w:r>
      <w:r>
        <w:rPr>
          <w:rFonts w:hint="eastAsia" w:ascii="宋体" w:hAnsi="宋体" w:eastAsia="宋体" w:cs="宋体"/>
          <w:sz w:val="24"/>
          <w:szCs w:val="24"/>
          <w:highlight w:val="none"/>
          <w:lang w:eastAsia="zh-CN"/>
        </w:rPr>
        <w:t>。如供应商不足，实际选定数量以淘汰后剩余的数量为准。</w:t>
      </w:r>
    </w:p>
    <w:p w14:paraId="3CBD85C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17" w:name="_Toc3488"/>
      <w:r>
        <w:rPr>
          <w:rFonts w:hint="eastAsia" w:ascii="宋体" w:hAnsi="宋体" w:eastAsia="宋体" w:cs="宋体"/>
          <w:sz w:val="24"/>
          <w:szCs w:val="24"/>
          <w:highlight w:val="none"/>
          <w:lang w:eastAsia="zh-CN"/>
        </w:rPr>
        <w:t>8.2、授予合同时变更数量的权利</w:t>
      </w:r>
      <w:bookmarkEnd w:id="217"/>
    </w:p>
    <w:p w14:paraId="3E83E2E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8.2.1 征集人在授予合同时，保留对服务数量予以适当增减的权利。供应商不得在此情况下对响应文件作出修改，如价格、框架协议的期限、售后服务等。</w:t>
      </w:r>
    </w:p>
    <w:p w14:paraId="05206C2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8.2.2 框架协议采购应当订立固定价格合同。</w:t>
      </w:r>
    </w:p>
    <w:p w14:paraId="0EBFF4B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实际采购数量和协议价格确定合同总价的，合同中应当列明实际采购数量或者计量方式，包括服务项目用于计算合同价的工日数、服务工作量等详细工作量清单。征集人应当要求供应商提供能证明其按照合同约定数量或工作量清单履约的相关记录或凭证，作为验收资料一并存档。</w:t>
      </w:r>
    </w:p>
    <w:p w14:paraId="5252A4E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8.2.3 征集人应当建立真实完整的框架协议采购档案，妥善保存每项采购活动的采购文件资料。除另有约定外，合同授予的采购文件资料由征集人负责保存。</w:t>
      </w:r>
    </w:p>
    <w:p w14:paraId="780B36A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8.2.4 采购档案可以采用电子形式保存，电子档案和纸质档案具有同等效力。</w:t>
      </w:r>
    </w:p>
    <w:p w14:paraId="2359BC4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18" w:name="_Toc2083"/>
      <w:r>
        <w:rPr>
          <w:rFonts w:hint="eastAsia" w:ascii="宋体" w:hAnsi="宋体" w:eastAsia="宋体" w:cs="宋体"/>
          <w:sz w:val="24"/>
          <w:szCs w:val="24"/>
          <w:highlight w:val="none"/>
          <w:lang w:eastAsia="zh-CN"/>
        </w:rPr>
        <w:t>8.3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征集人拒绝响应的权利</w:t>
      </w:r>
      <w:bookmarkEnd w:id="218"/>
    </w:p>
    <w:p w14:paraId="2546F85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8.3.1 征集人不承诺将合同授予报价最低的或最高的成交候选人。</w:t>
      </w:r>
    </w:p>
    <w:p w14:paraId="5485F29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19" w:name="_Toc4134"/>
      <w:r>
        <w:rPr>
          <w:rFonts w:hint="eastAsia" w:ascii="宋体" w:hAnsi="宋体" w:eastAsia="宋体" w:cs="宋体"/>
          <w:sz w:val="24"/>
          <w:szCs w:val="24"/>
          <w:highlight w:val="none"/>
          <w:lang w:eastAsia="zh-CN"/>
        </w:rPr>
        <w:t>8.4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合同协议书的签署</w:t>
      </w:r>
      <w:bookmarkEnd w:id="219"/>
    </w:p>
    <w:p w14:paraId="437B32F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8.4.1 征集人与入围供应商将于入围通知书发出之日起 30日内，按照征集文件及入围供应商的响应文件订立书面框架协议，征集人和入围供应商不得再行订立背离协议实质性内容的其他协议。</w:t>
      </w:r>
    </w:p>
    <w:p w14:paraId="1C73182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8.4.2 成交供应商如不按本供应商须知的规定与征集人订立合同，则征集人将废除授标，给征集人造成损失的，应当予以赔偿，同时依法承担相应法律责任。</w:t>
      </w:r>
    </w:p>
    <w:p w14:paraId="4FAC9A2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20" w:name="_Toc18791"/>
      <w:r>
        <w:rPr>
          <w:rFonts w:hint="eastAsia" w:ascii="宋体" w:hAnsi="宋体" w:eastAsia="宋体" w:cs="宋体"/>
          <w:sz w:val="24"/>
          <w:szCs w:val="24"/>
          <w:highlight w:val="none"/>
          <w:lang w:eastAsia="zh-CN"/>
        </w:rPr>
        <w:t>8.5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履约保证金</w:t>
      </w:r>
      <w:bookmarkEnd w:id="220"/>
    </w:p>
    <w:p w14:paraId="51B9A52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根据三门峡市财政局《关于进一步优化提升政府采购营商环境有关事项通知》三财购【2021】14号文件，该项目不收取履约保证金。</w:t>
      </w:r>
    </w:p>
    <w:p w14:paraId="6AF092DB">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val="en-US" w:eastAsia="zh-CN"/>
        </w:rPr>
      </w:pPr>
      <w:bookmarkStart w:id="221" w:name="_Toc16890"/>
      <w:bookmarkStart w:id="222" w:name="_Toc7447"/>
      <w:bookmarkStart w:id="223" w:name="_Toc26334"/>
      <w:bookmarkStart w:id="224" w:name="_Toc30164"/>
      <w:bookmarkStart w:id="225" w:name="_Toc14161"/>
      <w:bookmarkStart w:id="226" w:name="_Toc8840"/>
      <w:bookmarkStart w:id="227" w:name="_Toc9265"/>
      <w:r>
        <w:rPr>
          <w:rFonts w:hint="eastAsia" w:asciiTheme="minorEastAsia" w:hAnsiTheme="minorEastAsia" w:eastAsiaTheme="minorEastAsia" w:cstheme="minorEastAsia"/>
          <w:b w:val="0"/>
          <w:bCs w:val="0"/>
          <w:sz w:val="28"/>
          <w:szCs w:val="28"/>
          <w:highlight w:val="none"/>
          <w:lang w:val="en-US" w:eastAsia="zh-CN"/>
        </w:rPr>
        <w:t>九、质疑和投诉</w:t>
      </w:r>
      <w:bookmarkEnd w:id="221"/>
      <w:bookmarkEnd w:id="222"/>
      <w:bookmarkEnd w:id="223"/>
      <w:bookmarkEnd w:id="224"/>
      <w:bookmarkEnd w:id="225"/>
      <w:bookmarkEnd w:id="226"/>
      <w:bookmarkEnd w:id="227"/>
    </w:p>
    <w:p w14:paraId="3F4FC24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28" w:name="_Toc25261"/>
      <w:r>
        <w:rPr>
          <w:rFonts w:hint="eastAsia" w:ascii="宋体" w:hAnsi="宋体" w:eastAsia="宋体" w:cs="宋体"/>
          <w:sz w:val="24"/>
          <w:szCs w:val="24"/>
          <w:highlight w:val="none"/>
          <w:lang w:eastAsia="zh-CN"/>
        </w:rPr>
        <w:t>9.1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质疑和投诉</w:t>
      </w:r>
      <w:bookmarkEnd w:id="228"/>
    </w:p>
    <w:p w14:paraId="2C644B2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9.1.1 框架协议订立阶段，供应商如认为招标相关的文件、过程和入围结果使自己权益受损的，可依法向征集人提出质疑，对质疑答复不满意或征集人未按时答复的，可依法向财政部门提出投诉。</w:t>
      </w:r>
    </w:p>
    <w:p w14:paraId="3E5E870E">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val="en-US" w:eastAsia="zh-CN"/>
        </w:rPr>
      </w:pPr>
      <w:bookmarkStart w:id="229" w:name="_Toc15107"/>
      <w:bookmarkStart w:id="230" w:name="_Toc22501"/>
      <w:bookmarkStart w:id="231" w:name="_Toc17855"/>
      <w:bookmarkStart w:id="232" w:name="_Toc23702"/>
      <w:bookmarkStart w:id="233" w:name="_Toc28456"/>
      <w:bookmarkStart w:id="234" w:name="_Toc14937"/>
      <w:bookmarkStart w:id="235" w:name="_Toc7666"/>
      <w:r>
        <w:rPr>
          <w:rFonts w:hint="eastAsia" w:asciiTheme="minorEastAsia" w:hAnsiTheme="minorEastAsia" w:eastAsiaTheme="minorEastAsia" w:cstheme="minorEastAsia"/>
          <w:b w:val="0"/>
          <w:bCs w:val="0"/>
          <w:sz w:val="28"/>
          <w:szCs w:val="28"/>
          <w:highlight w:val="none"/>
          <w:lang w:val="en-US" w:eastAsia="zh-CN"/>
        </w:rPr>
        <w:t>十、其他</w:t>
      </w:r>
      <w:bookmarkEnd w:id="229"/>
      <w:bookmarkEnd w:id="230"/>
      <w:bookmarkEnd w:id="231"/>
      <w:bookmarkEnd w:id="232"/>
      <w:bookmarkEnd w:id="233"/>
      <w:bookmarkEnd w:id="234"/>
      <w:bookmarkEnd w:id="235"/>
    </w:p>
    <w:p w14:paraId="03C8E56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10.1、未尽事宜按国家有关规定执行。</w:t>
      </w:r>
    </w:p>
    <w:p w14:paraId="57801CA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10.2、本征集文件最终解释权归征集人。</w:t>
      </w:r>
    </w:p>
    <w:p w14:paraId="754C5A7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p>
    <w:p w14:paraId="703B97F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p>
    <w:p w14:paraId="28DABF7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p>
    <w:p w14:paraId="17B332F9">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r>
    </w:p>
    <w:p w14:paraId="10DAD760">
      <w:pPr>
        <w:pStyle w:val="6"/>
        <w:keepNext w:val="0"/>
        <w:keepLines w:val="0"/>
        <w:pageBreakBefore w:val="0"/>
        <w:wordWrap/>
        <w:overflowPunct/>
        <w:topLinePunct w:val="0"/>
        <w:bidi w:val="0"/>
        <w:adjustRightInd w:val="0"/>
        <w:snapToGrid w:val="0"/>
        <w:spacing w:line="360" w:lineRule="auto"/>
        <w:ind w:left="0" w:leftChars="0" w:firstLine="0" w:firstLineChars="0"/>
        <w:outlineLvl w:val="9"/>
        <w:rPr>
          <w:rFonts w:hint="eastAsia" w:ascii="宋体" w:hAnsi="宋体" w:eastAsia="宋体" w:cs="宋体"/>
          <w:b w:val="0"/>
          <w:bCs w:val="0"/>
          <w:sz w:val="28"/>
          <w:szCs w:val="28"/>
          <w:highlight w:val="none"/>
        </w:rPr>
      </w:pPr>
      <w:bookmarkStart w:id="236" w:name="_Toc10415"/>
      <w:bookmarkStart w:id="237" w:name="_Toc11680"/>
      <w:bookmarkStart w:id="238" w:name="_Toc13730"/>
      <w:bookmarkStart w:id="239" w:name="_Toc13779"/>
      <w:r>
        <w:rPr>
          <w:rFonts w:hint="eastAsia" w:ascii="宋体" w:hAnsi="宋体" w:eastAsia="宋体" w:cs="宋体"/>
          <w:b w:val="0"/>
          <w:bCs w:val="0"/>
          <w:sz w:val="28"/>
          <w:szCs w:val="28"/>
          <w:highlight w:val="none"/>
        </w:rPr>
        <w:t>附件 1：质疑函范本</w:t>
      </w:r>
      <w:bookmarkEnd w:id="236"/>
      <w:bookmarkEnd w:id="237"/>
      <w:bookmarkEnd w:id="238"/>
      <w:bookmarkEnd w:id="239"/>
    </w:p>
    <w:p w14:paraId="14E88B5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质疑函范本</w:t>
      </w:r>
    </w:p>
    <w:p w14:paraId="678EAA17">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p>
    <w:p w14:paraId="3820C45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一、质疑人基本信息</w:t>
      </w:r>
    </w:p>
    <w:p w14:paraId="4DE044E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质疑人：</w:t>
      </w:r>
    </w:p>
    <w:p w14:paraId="5C25C03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地址：                           邮编：</w:t>
      </w:r>
    </w:p>
    <w:p w14:paraId="6C014D3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联系人：                         联系电话：</w:t>
      </w:r>
    </w:p>
    <w:p w14:paraId="3E4EFA7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授权代表：</w:t>
      </w:r>
    </w:p>
    <w:p w14:paraId="1EE9599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联系电话：</w:t>
      </w:r>
    </w:p>
    <w:p w14:paraId="00EF483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地址：                           邮编：</w:t>
      </w:r>
    </w:p>
    <w:p w14:paraId="101AF3D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二、质疑项目基本情况</w:t>
      </w:r>
    </w:p>
    <w:p w14:paraId="7CD65DA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质疑项目的名称：</w:t>
      </w:r>
    </w:p>
    <w:p w14:paraId="400727B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质疑项目的编号：                   包号：</w:t>
      </w:r>
    </w:p>
    <w:p w14:paraId="6383390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征集人名称：</w:t>
      </w:r>
    </w:p>
    <w:p w14:paraId="36EE0F3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征集文件获取日期：</w:t>
      </w:r>
    </w:p>
    <w:p w14:paraId="27BA316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三、质疑事项具体内容</w:t>
      </w:r>
    </w:p>
    <w:p w14:paraId="25A463E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质疑事项 1：</w:t>
      </w:r>
    </w:p>
    <w:p w14:paraId="2179E72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事实依据：</w:t>
      </w:r>
    </w:p>
    <w:p w14:paraId="74661F7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p>
    <w:p w14:paraId="4D074F9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法律依据：</w:t>
      </w:r>
    </w:p>
    <w:p w14:paraId="015F219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p>
    <w:p w14:paraId="0A9B42E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质疑事项 2</w:t>
      </w:r>
    </w:p>
    <w:p w14:paraId="2A8FB54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p>
    <w:p w14:paraId="36CC4A4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四、与质疑事项相关的质疑请求</w:t>
      </w:r>
    </w:p>
    <w:p w14:paraId="16DAF80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请求：</w:t>
      </w:r>
    </w:p>
    <w:p w14:paraId="249AD41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签字（签章）：                    公章：</w:t>
      </w:r>
    </w:p>
    <w:p w14:paraId="5BE04BA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日期：</w:t>
      </w:r>
    </w:p>
    <w:p w14:paraId="6CC9A5E3">
      <w:pPr>
        <w:rPr>
          <w:rFonts w:hint="eastAsia" w:ascii="宋体" w:hAnsi="宋体" w:eastAsia="宋体" w:cs="宋体"/>
          <w:b/>
          <w:bCs/>
          <w:kern w:val="0"/>
          <w:sz w:val="32"/>
          <w:szCs w:val="32"/>
          <w:highlight w:val="none"/>
        </w:rPr>
      </w:pPr>
      <w:r>
        <w:rPr>
          <w:rFonts w:hint="eastAsia" w:ascii="宋体" w:hAnsi="宋体" w:eastAsia="宋体" w:cs="宋体"/>
          <w:b/>
          <w:bCs/>
          <w:kern w:val="0"/>
          <w:sz w:val="32"/>
          <w:szCs w:val="32"/>
          <w:highlight w:val="none"/>
        </w:rPr>
        <w:br w:type="page"/>
      </w:r>
    </w:p>
    <w:p w14:paraId="44A880F2">
      <w:pPr>
        <w:pStyle w:val="6"/>
        <w:keepNext w:val="0"/>
        <w:keepLines w:val="0"/>
        <w:pageBreakBefore w:val="0"/>
        <w:widowControl/>
        <w:kinsoku w:val="0"/>
        <w:wordWrap/>
        <w:overflowPunct/>
        <w:topLinePunct w:val="0"/>
        <w:autoSpaceDE w:val="0"/>
        <w:autoSpaceDN w:val="0"/>
        <w:bidi w:val="0"/>
        <w:adjustRightInd w:val="0"/>
        <w:snapToGrid w:val="0"/>
        <w:spacing w:line="300" w:lineRule="auto"/>
        <w:ind w:left="0" w:leftChars="0" w:firstLine="0" w:firstLineChars="0"/>
        <w:jc w:val="center"/>
        <w:textAlignment w:val="baseline"/>
        <w:outlineLvl w:val="9"/>
        <w:rPr>
          <w:rFonts w:hint="eastAsia" w:asciiTheme="majorEastAsia" w:hAnsiTheme="majorEastAsia" w:eastAsiaTheme="majorEastAsia" w:cstheme="majorEastAsia"/>
          <w:b/>
          <w:bCs/>
          <w:sz w:val="32"/>
          <w:szCs w:val="32"/>
          <w:highlight w:val="none"/>
          <w:lang w:eastAsia="zh-CN"/>
        </w:rPr>
      </w:pPr>
      <w:bookmarkStart w:id="240" w:name="_Toc1805"/>
      <w:bookmarkStart w:id="241" w:name="_Toc4974"/>
      <w:bookmarkStart w:id="242" w:name="_Toc25107"/>
      <w:bookmarkStart w:id="243" w:name="_Toc9125"/>
      <w:bookmarkStart w:id="244" w:name="_Toc3506"/>
      <w:bookmarkStart w:id="245" w:name="_Toc31702"/>
      <w:bookmarkStart w:id="246" w:name="_Toc6822"/>
      <w:bookmarkStart w:id="247" w:name="_Toc26957"/>
      <w:bookmarkStart w:id="248" w:name="_Toc2969"/>
      <w:bookmarkStart w:id="249" w:name="_Toc913"/>
      <w:r>
        <w:rPr>
          <w:rFonts w:hint="eastAsia" w:asciiTheme="majorEastAsia" w:hAnsiTheme="majorEastAsia" w:eastAsiaTheme="majorEastAsia" w:cstheme="majorEastAsia"/>
          <w:b/>
          <w:bCs/>
          <w:sz w:val="32"/>
          <w:szCs w:val="32"/>
          <w:highlight w:val="none"/>
          <w:lang w:eastAsia="zh-CN"/>
        </w:rPr>
        <w:t>第三章 确定第一阶段入围供应商的评审办法</w:t>
      </w:r>
      <w:bookmarkEnd w:id="240"/>
      <w:bookmarkEnd w:id="241"/>
      <w:bookmarkEnd w:id="242"/>
      <w:bookmarkEnd w:id="243"/>
      <w:bookmarkEnd w:id="244"/>
      <w:bookmarkEnd w:id="245"/>
      <w:bookmarkEnd w:id="246"/>
      <w:bookmarkEnd w:id="247"/>
      <w:bookmarkEnd w:id="248"/>
      <w:bookmarkEnd w:id="249"/>
    </w:p>
    <w:p w14:paraId="515B0C95">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val="en-US" w:eastAsia="zh-CN"/>
        </w:rPr>
      </w:pPr>
      <w:bookmarkStart w:id="250" w:name="_Toc26549"/>
      <w:bookmarkStart w:id="251" w:name="_Toc21057"/>
      <w:bookmarkStart w:id="252" w:name="_Toc22545"/>
      <w:bookmarkStart w:id="253" w:name="_Toc32171"/>
      <w:bookmarkStart w:id="254" w:name="_Toc4868"/>
      <w:bookmarkStart w:id="255" w:name="_Toc13415"/>
      <w:bookmarkStart w:id="256" w:name="_Toc10859"/>
      <w:r>
        <w:rPr>
          <w:rFonts w:hint="eastAsia" w:asciiTheme="minorEastAsia" w:hAnsiTheme="minorEastAsia" w:eastAsiaTheme="minorEastAsia" w:cstheme="minorEastAsia"/>
          <w:b w:val="0"/>
          <w:bCs w:val="0"/>
          <w:sz w:val="28"/>
          <w:szCs w:val="28"/>
          <w:highlight w:val="none"/>
          <w:lang w:val="en-US" w:eastAsia="zh-CN"/>
        </w:rPr>
        <w:t>一、总则</w:t>
      </w:r>
      <w:bookmarkEnd w:id="250"/>
      <w:bookmarkEnd w:id="251"/>
      <w:bookmarkEnd w:id="252"/>
      <w:bookmarkEnd w:id="253"/>
      <w:bookmarkEnd w:id="254"/>
      <w:bookmarkEnd w:id="255"/>
      <w:bookmarkEnd w:id="256"/>
    </w:p>
    <w:p w14:paraId="637EE73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 为加强对本项目招标评审工作的管理，制定本评审办法。</w:t>
      </w:r>
    </w:p>
    <w:p w14:paraId="2517428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1.2 征集人按规定依法组成评审小组，代表征集人对响应文件进行评审；评审小组由 熟悉相关业务的征集人代表和有关技术、经济方面专家共5人组成，评审小组成员名单在评审结果未确定前应当保密。</w:t>
      </w:r>
    </w:p>
    <w:p w14:paraId="3D84AB0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1.3 评审期间，评审人员应当严格遵守保密规定，不得泄露与评审有关的情况，不得索贿受贿，不得参加影响公正评审的任何活动。</w:t>
      </w:r>
    </w:p>
    <w:p w14:paraId="6814A31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 监督部门将对采购项目的开启、评审、定标实施监督管理。</w:t>
      </w:r>
    </w:p>
    <w:p w14:paraId="23A8D1B4">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1.5 评审小组应按质量优先法评审，推荐成交候选人数量或入围供应商数量见供应商须知前附表。</w:t>
      </w:r>
    </w:p>
    <w:p w14:paraId="3E13F931">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val="en-US" w:eastAsia="zh-CN"/>
        </w:rPr>
      </w:pPr>
      <w:bookmarkStart w:id="257" w:name="_Toc485"/>
      <w:bookmarkStart w:id="258" w:name="_Toc7036"/>
      <w:bookmarkStart w:id="259" w:name="_Toc1078"/>
      <w:bookmarkStart w:id="260" w:name="_Toc17942"/>
      <w:bookmarkStart w:id="261" w:name="_Toc2175"/>
      <w:bookmarkStart w:id="262" w:name="_Toc26911"/>
      <w:bookmarkStart w:id="263" w:name="_Toc22038"/>
      <w:r>
        <w:rPr>
          <w:rFonts w:hint="eastAsia" w:asciiTheme="minorEastAsia" w:hAnsiTheme="minorEastAsia" w:eastAsiaTheme="minorEastAsia" w:cstheme="minorEastAsia"/>
          <w:b w:val="0"/>
          <w:bCs w:val="0"/>
          <w:sz w:val="28"/>
          <w:szCs w:val="28"/>
          <w:highlight w:val="none"/>
          <w:lang w:val="en-US" w:eastAsia="zh-CN"/>
        </w:rPr>
        <w:t>二、 评审标准</w:t>
      </w:r>
      <w:bookmarkEnd w:id="257"/>
      <w:bookmarkEnd w:id="258"/>
      <w:bookmarkEnd w:id="259"/>
      <w:bookmarkEnd w:id="260"/>
      <w:bookmarkEnd w:id="261"/>
      <w:bookmarkEnd w:id="262"/>
      <w:bookmarkEnd w:id="263"/>
    </w:p>
    <w:p w14:paraId="1C7FE14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64" w:name="_Toc4190"/>
      <w:r>
        <w:rPr>
          <w:rFonts w:hint="eastAsia" w:ascii="宋体" w:hAnsi="宋体" w:eastAsia="宋体" w:cs="宋体"/>
          <w:sz w:val="24"/>
          <w:szCs w:val="24"/>
          <w:highlight w:val="none"/>
          <w:lang w:eastAsia="zh-CN"/>
        </w:rPr>
        <w:t>2.1 初步评审标准</w:t>
      </w:r>
      <w:bookmarkEnd w:id="264"/>
    </w:p>
    <w:p w14:paraId="65EADDDE">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2.1.1 资格评审标准：见本章附表一</w:t>
      </w:r>
    </w:p>
    <w:p w14:paraId="2023FE7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2.1.2 符合性评审标准：见本章附表二</w:t>
      </w:r>
    </w:p>
    <w:p w14:paraId="6718D38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65" w:name="_Toc29431"/>
      <w:r>
        <w:rPr>
          <w:rFonts w:hint="eastAsia" w:ascii="宋体" w:hAnsi="宋体" w:eastAsia="宋体" w:cs="宋体"/>
          <w:sz w:val="24"/>
          <w:szCs w:val="24"/>
          <w:highlight w:val="none"/>
          <w:lang w:eastAsia="zh-CN"/>
        </w:rPr>
        <w:t>2.2 分值构成与评分标准</w:t>
      </w:r>
      <w:bookmarkEnd w:id="265"/>
    </w:p>
    <w:p w14:paraId="4162E08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66" w:name="_Toc11918"/>
      <w:r>
        <w:rPr>
          <w:rFonts w:hint="eastAsia" w:ascii="宋体" w:hAnsi="宋体" w:eastAsia="宋体" w:cs="宋体"/>
          <w:sz w:val="24"/>
          <w:szCs w:val="24"/>
          <w:highlight w:val="none"/>
          <w:lang w:eastAsia="zh-CN"/>
        </w:rPr>
        <w:t>2.2.1 分值构成</w:t>
      </w:r>
      <w:bookmarkEnd w:id="266"/>
    </w:p>
    <w:p w14:paraId="1CBE5AB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（1）响应报价：</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0分；</w:t>
      </w:r>
    </w:p>
    <w:p w14:paraId="0D15932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（2）技术部分：</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0分；</w:t>
      </w:r>
    </w:p>
    <w:p w14:paraId="7D28A2A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（3）综合部分：20 分；</w:t>
      </w:r>
    </w:p>
    <w:p w14:paraId="051F068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67" w:name="_Toc26964"/>
      <w:r>
        <w:rPr>
          <w:rFonts w:hint="eastAsia" w:ascii="宋体" w:hAnsi="宋体" w:eastAsia="宋体" w:cs="宋体"/>
          <w:sz w:val="24"/>
          <w:szCs w:val="24"/>
          <w:highlight w:val="none"/>
          <w:lang w:eastAsia="zh-CN"/>
        </w:rPr>
        <w:t>2.2.2 评分标准</w:t>
      </w:r>
      <w:bookmarkEnd w:id="267"/>
    </w:p>
    <w:p w14:paraId="6ED062E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（1）响应报价评分标准：见本章附表三；</w:t>
      </w:r>
    </w:p>
    <w:p w14:paraId="13E96EC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（2）技术部分评分标准：见本章附表三；</w:t>
      </w:r>
    </w:p>
    <w:p w14:paraId="72D4C7A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（3）综合部分评分标准：见本章附表三；</w:t>
      </w:r>
    </w:p>
    <w:p w14:paraId="7FED1BE0">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val="0"/>
          <w:bCs w:val="0"/>
          <w:sz w:val="28"/>
          <w:szCs w:val="28"/>
          <w:highlight w:val="none"/>
          <w:lang w:val="en-US" w:eastAsia="zh-CN"/>
        </w:rPr>
      </w:pPr>
      <w:bookmarkStart w:id="268" w:name="_Toc14517"/>
      <w:bookmarkStart w:id="269" w:name="_Toc25060"/>
      <w:bookmarkStart w:id="270" w:name="_Toc4235"/>
      <w:bookmarkStart w:id="271" w:name="_Toc24191"/>
      <w:bookmarkStart w:id="272" w:name="_Toc26965"/>
      <w:bookmarkStart w:id="273" w:name="_Toc5957"/>
      <w:bookmarkStart w:id="274" w:name="_Toc28509"/>
      <w:r>
        <w:rPr>
          <w:rFonts w:hint="eastAsia" w:asciiTheme="minorEastAsia" w:hAnsiTheme="minorEastAsia" w:eastAsiaTheme="minorEastAsia" w:cstheme="minorEastAsia"/>
          <w:b w:val="0"/>
          <w:bCs w:val="0"/>
          <w:sz w:val="28"/>
          <w:szCs w:val="28"/>
          <w:highlight w:val="none"/>
          <w:lang w:val="en-US" w:eastAsia="zh-CN"/>
        </w:rPr>
        <w:t>3. 评审程序</w:t>
      </w:r>
      <w:bookmarkEnd w:id="268"/>
      <w:bookmarkEnd w:id="269"/>
      <w:bookmarkEnd w:id="270"/>
      <w:bookmarkEnd w:id="271"/>
      <w:bookmarkEnd w:id="272"/>
      <w:bookmarkEnd w:id="273"/>
      <w:bookmarkEnd w:id="274"/>
    </w:p>
    <w:p w14:paraId="16EDB890">
      <w:pPr>
        <w:pStyle w:val="6"/>
        <w:keepNext w:val="0"/>
        <w:keepLines w:val="0"/>
        <w:pageBreakBefore w:val="0"/>
        <w:wordWrap/>
        <w:overflowPunct/>
        <w:topLinePunct w:val="0"/>
        <w:bidi w:val="0"/>
        <w:adjustRightInd w:val="0"/>
        <w:snapToGrid w:val="0"/>
        <w:spacing w:line="360" w:lineRule="auto"/>
        <w:ind w:firstLine="560" w:firstLineChars="200"/>
        <w:outlineLvl w:val="9"/>
        <w:rPr>
          <w:rFonts w:hint="eastAsia" w:asciiTheme="minorEastAsia" w:hAnsiTheme="minorEastAsia" w:eastAsiaTheme="minorEastAsia" w:cstheme="minorEastAsia"/>
          <w:b w:val="0"/>
          <w:bCs w:val="0"/>
          <w:sz w:val="28"/>
          <w:szCs w:val="28"/>
          <w:highlight w:val="none"/>
          <w:lang w:eastAsia="zh-CN"/>
        </w:rPr>
      </w:pPr>
      <w:bookmarkStart w:id="275" w:name="_Toc11654"/>
      <w:r>
        <w:rPr>
          <w:rFonts w:hint="eastAsia" w:asciiTheme="minorEastAsia" w:hAnsiTheme="minorEastAsia" w:eastAsiaTheme="minorEastAsia" w:cstheme="minorEastAsia"/>
          <w:b w:val="0"/>
          <w:bCs w:val="0"/>
          <w:sz w:val="28"/>
          <w:szCs w:val="28"/>
          <w:highlight w:val="none"/>
          <w:lang w:eastAsia="zh-CN"/>
        </w:rPr>
        <w:t>3.1 评审准备</w:t>
      </w:r>
      <w:bookmarkEnd w:id="275"/>
    </w:p>
    <w:p w14:paraId="06D40EE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3.1.1 评审时由评审小组推选一名专家担任评审小组组长。 评审小组组长负责评审过 程中的组织工作，引导评审小组按约定的程序评审。评审小组组长与其他成员具有同等表决权。</w:t>
      </w:r>
    </w:p>
    <w:p w14:paraId="2B454E2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.2 评审小组人员应当熟悉征集文件、评审方法等有关文件，包括招标范围、评审办法、评审所用表格，以及打分方法等。</w:t>
      </w:r>
    </w:p>
    <w:p w14:paraId="6B443D92">
      <w:pPr>
        <w:pStyle w:val="6"/>
        <w:keepNext w:val="0"/>
        <w:keepLines w:val="0"/>
        <w:pageBreakBefore w:val="0"/>
        <w:wordWrap/>
        <w:overflowPunct/>
        <w:topLinePunct w:val="0"/>
        <w:bidi w:val="0"/>
        <w:adjustRightInd w:val="0"/>
        <w:snapToGrid w:val="0"/>
        <w:spacing w:line="360" w:lineRule="auto"/>
        <w:ind w:firstLine="560" w:firstLineChars="200"/>
        <w:outlineLvl w:val="9"/>
        <w:rPr>
          <w:rFonts w:hint="eastAsia" w:ascii="宋体" w:hAnsi="宋体" w:eastAsia="宋体" w:cs="宋体"/>
          <w:b w:val="0"/>
          <w:bCs w:val="0"/>
          <w:sz w:val="28"/>
          <w:szCs w:val="28"/>
          <w:highlight w:val="none"/>
        </w:rPr>
      </w:pPr>
      <w:bookmarkStart w:id="276" w:name="_Toc21699"/>
      <w:r>
        <w:rPr>
          <w:rFonts w:hint="eastAsia" w:ascii="宋体" w:hAnsi="宋体" w:eastAsia="宋体" w:cs="宋体"/>
          <w:b w:val="0"/>
          <w:bCs w:val="0"/>
          <w:sz w:val="28"/>
          <w:szCs w:val="28"/>
          <w:highlight w:val="none"/>
        </w:rPr>
        <w:t>3.2 资格评审</w:t>
      </w:r>
      <w:bookmarkEnd w:id="276"/>
    </w:p>
    <w:p w14:paraId="750F8E3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3.2.1 征集人小组依据本章附表一：《资格审查表》，在评审之前对响应文件进行资 格评审，有一项不符合评审标准的，作无效响应处理。通过资格审查的供应商不足2家的，不得评审。</w:t>
      </w:r>
    </w:p>
    <w:p w14:paraId="4CFB0B0E">
      <w:pPr>
        <w:pStyle w:val="6"/>
        <w:keepNext w:val="0"/>
        <w:keepLines w:val="0"/>
        <w:pageBreakBefore w:val="0"/>
        <w:wordWrap/>
        <w:overflowPunct/>
        <w:topLinePunct w:val="0"/>
        <w:bidi w:val="0"/>
        <w:adjustRightInd w:val="0"/>
        <w:snapToGrid w:val="0"/>
        <w:spacing w:line="360" w:lineRule="auto"/>
        <w:ind w:firstLine="560" w:firstLineChars="200"/>
        <w:outlineLvl w:val="9"/>
        <w:rPr>
          <w:rFonts w:hint="eastAsia" w:ascii="宋体" w:hAnsi="宋体" w:eastAsia="宋体" w:cs="宋体"/>
          <w:b w:val="0"/>
          <w:bCs w:val="0"/>
          <w:sz w:val="28"/>
          <w:szCs w:val="28"/>
          <w:highlight w:val="none"/>
        </w:rPr>
      </w:pPr>
      <w:bookmarkStart w:id="277" w:name="_Toc588"/>
      <w:r>
        <w:rPr>
          <w:rFonts w:hint="eastAsia" w:ascii="宋体" w:hAnsi="宋体" w:eastAsia="宋体" w:cs="宋体"/>
          <w:b w:val="0"/>
          <w:bCs w:val="0"/>
          <w:sz w:val="28"/>
          <w:szCs w:val="28"/>
          <w:highlight w:val="none"/>
        </w:rPr>
        <w:t>3.3 符合性评审</w:t>
      </w:r>
      <w:bookmarkEnd w:id="277"/>
    </w:p>
    <w:p w14:paraId="193B8E3C">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评审小组依据本章附表二：《符合性审查表》，对各供应商的符合性进行评审。通过符合性审查的供应商不足2家的，不得评审。</w:t>
      </w:r>
    </w:p>
    <w:p w14:paraId="42D6EE89">
      <w:pPr>
        <w:pStyle w:val="6"/>
        <w:keepNext w:val="0"/>
        <w:keepLines w:val="0"/>
        <w:pageBreakBefore w:val="0"/>
        <w:wordWrap/>
        <w:overflowPunct/>
        <w:topLinePunct w:val="0"/>
        <w:bidi w:val="0"/>
        <w:adjustRightInd w:val="0"/>
        <w:snapToGrid w:val="0"/>
        <w:spacing w:line="360" w:lineRule="auto"/>
        <w:ind w:firstLine="560" w:firstLineChars="200"/>
        <w:outlineLvl w:val="9"/>
        <w:rPr>
          <w:rFonts w:hint="eastAsia" w:ascii="宋体" w:hAnsi="宋体" w:eastAsia="宋体" w:cs="宋体"/>
          <w:b w:val="0"/>
          <w:bCs w:val="0"/>
          <w:sz w:val="28"/>
          <w:szCs w:val="28"/>
          <w:highlight w:val="none"/>
        </w:rPr>
      </w:pPr>
      <w:bookmarkStart w:id="278" w:name="_Toc21472"/>
      <w:r>
        <w:rPr>
          <w:rFonts w:hint="eastAsia" w:ascii="宋体" w:hAnsi="宋体" w:eastAsia="宋体" w:cs="宋体"/>
          <w:b w:val="0"/>
          <w:bCs w:val="0"/>
          <w:sz w:val="28"/>
          <w:szCs w:val="28"/>
          <w:highlight w:val="none"/>
        </w:rPr>
        <w:t>3.4 详细评审</w:t>
      </w:r>
      <w:bookmarkEnd w:id="278"/>
    </w:p>
    <w:p w14:paraId="25DC4EB9">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3.4.1 评审小组按本章规定的评审方法量化因素和分值进行打分，并计算出综合得分。</w:t>
      </w:r>
    </w:p>
    <w:p w14:paraId="250007D6">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（1）按本章附表三详细审查表规定的评审因素和分值对响应报价计算出得分A；</w:t>
      </w:r>
    </w:p>
    <w:p w14:paraId="0B731A4A">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（2）按本章附表三详细审查表规定的评审因素和分值对技术部分计算出得分B；</w:t>
      </w:r>
    </w:p>
    <w:p w14:paraId="776F11A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（3）按本章附表三详细审查表规定的评审因素和分值对综合部分计算出得分C；</w:t>
      </w:r>
    </w:p>
    <w:p w14:paraId="6CBF9E23">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3.4.2 评审分值计算保留小数点后两位，小数点后第三位“四舍五入”。</w:t>
      </w:r>
    </w:p>
    <w:p w14:paraId="374F55CF">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3.4.3 供应商得分=A+B+C</w:t>
      </w:r>
    </w:p>
    <w:p w14:paraId="1E70ABDB">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3.4.4 在评审过程中，评审小组可以以书面形式要求供应商就响应文件中含义不明确的内容进行书面说明并提供相关材料；凡遇到征集文件中无界定或界定不清、前后不一致使评审小组成员意见有分歧且又难于协商一致的问题，均由评审小组予以表决，获半数以上同意的即为通过，未获半数同意的即为否决。</w:t>
      </w:r>
    </w:p>
    <w:p w14:paraId="5E9FAB38">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3.4.5 评审时，响应报价是评审的重要依据，但不是唯一依据，征集人不承诺将合同授予报价最低或最高的供应商。</w:t>
      </w:r>
    </w:p>
    <w:p w14:paraId="39F8FA6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3.4.6 评审小组按照本章评审方法规定的方法、评审因素、标准和程序对响应文件进行评审。本章评审方法没有规定的方法、评审因素和标准，不作为评审依据。</w:t>
      </w:r>
    </w:p>
    <w:p w14:paraId="416BF9E2">
      <w:pPr>
        <w:pStyle w:val="6"/>
        <w:keepNext w:val="0"/>
        <w:keepLines w:val="0"/>
        <w:pageBreakBefore w:val="0"/>
        <w:wordWrap/>
        <w:overflowPunct/>
        <w:topLinePunct w:val="0"/>
        <w:bidi w:val="0"/>
        <w:adjustRightInd w:val="0"/>
        <w:snapToGrid w:val="0"/>
        <w:spacing w:line="360" w:lineRule="auto"/>
        <w:ind w:firstLine="560" w:firstLineChars="200"/>
        <w:outlineLvl w:val="9"/>
        <w:rPr>
          <w:rFonts w:hint="eastAsia" w:ascii="宋体" w:hAnsi="宋体" w:eastAsia="宋体" w:cs="宋体"/>
          <w:b w:val="0"/>
          <w:bCs w:val="0"/>
          <w:sz w:val="28"/>
          <w:szCs w:val="28"/>
          <w:highlight w:val="none"/>
        </w:rPr>
      </w:pPr>
      <w:bookmarkStart w:id="279" w:name="_Toc17608"/>
      <w:r>
        <w:rPr>
          <w:rFonts w:hint="eastAsia" w:ascii="宋体" w:hAnsi="宋体" w:eastAsia="宋体" w:cs="宋体"/>
          <w:b w:val="0"/>
          <w:bCs w:val="0"/>
          <w:sz w:val="28"/>
          <w:szCs w:val="28"/>
          <w:highlight w:val="none"/>
        </w:rPr>
        <w:t>3.5 响应文件的澄清和补正</w:t>
      </w:r>
      <w:bookmarkEnd w:id="279"/>
    </w:p>
    <w:p w14:paraId="0F437DD2">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3.5.1 在评审过程中，评审小组可以书面形式要求供应商对响应文件中含义不明确、 对同类问题表述不一致或者有明显文字和计算错误的内容做必要的澄清、说明或补正。澄清、说明或补正应以书面方式进行，并加盖公章，或者由法定代表人或其授权的代表签字。评审小组不接受供应商主动提出的澄清、说明或补正。</w:t>
      </w:r>
    </w:p>
    <w:p w14:paraId="5A9FD83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3.5.2 澄清、说明或补正不得超出响应文件的范围且不得改变响应文件的实质性内容，并构成响应文件的组成部分。</w:t>
      </w:r>
    </w:p>
    <w:p w14:paraId="6033A3F0">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3.5.3 评审小组对供应商提交的澄清、说明或补正有疑问的，可以要求供应商进一步澄清、说明或补正，直至满足评审小组的要求。</w:t>
      </w:r>
    </w:p>
    <w:p w14:paraId="3B0B54A5">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bookmarkStart w:id="280" w:name="_Toc9370"/>
      <w:r>
        <w:rPr>
          <w:rFonts w:hint="eastAsia" w:ascii="宋体" w:hAnsi="宋体" w:eastAsia="宋体" w:cs="宋体"/>
          <w:sz w:val="24"/>
          <w:szCs w:val="24"/>
          <w:highlight w:val="none"/>
          <w:lang w:eastAsia="zh-CN"/>
        </w:rPr>
        <w:t>3.5 评审结果</w:t>
      </w:r>
      <w:bookmarkEnd w:id="280"/>
    </w:p>
    <w:p w14:paraId="672024A1">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除第二章“供应商须知”前附表授权直接确定成交人外，评审小组按照最终得分由高到低的顺序推荐入围供应商（确定第一阶段入围供应商时，通过资格、符合性审查的供应商，按照淘汰比例一般不得低于 20%，且至少淘汰一家供应商前提下，</w:t>
      </w:r>
      <w:r>
        <w:rPr>
          <w:rFonts w:hint="eastAsia" w:asciiTheme="minorEastAsia" w:hAnsiTheme="minorEastAsia" w:eastAsiaTheme="minorEastAsia" w:cstheme="minorEastAsia"/>
          <w:sz w:val="24"/>
          <w:szCs w:val="24"/>
          <w:highlight w:val="none"/>
        </w:rPr>
        <w:t>依据评分</w:t>
      </w:r>
      <w:r>
        <w:rPr>
          <w:rFonts w:hint="eastAsia" w:asciiTheme="minorEastAsia" w:hAnsiTheme="minorEastAsia" w:eastAsiaTheme="minorEastAsia" w:cstheme="minorEastAsia"/>
          <w:sz w:val="24"/>
          <w:szCs w:val="24"/>
          <w:highlight w:val="none"/>
          <w:lang w:val="en-US" w:eastAsia="zh-CN"/>
        </w:rPr>
        <w:t>一标段</w:t>
      </w:r>
      <w:r>
        <w:rPr>
          <w:rFonts w:hint="eastAsia" w:asciiTheme="minorEastAsia" w:hAnsiTheme="minorEastAsia" w:eastAsiaTheme="minorEastAsia" w:cstheme="minorEastAsia"/>
          <w:sz w:val="24"/>
          <w:szCs w:val="24"/>
          <w:highlight w:val="none"/>
        </w:rPr>
        <w:t>由高到低入围</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家</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二标段</w:t>
      </w:r>
      <w:r>
        <w:rPr>
          <w:rFonts w:hint="eastAsia" w:asciiTheme="minorEastAsia" w:hAnsiTheme="minorEastAsia" w:eastAsiaTheme="minorEastAsia" w:cstheme="minorEastAsia"/>
          <w:sz w:val="24"/>
          <w:szCs w:val="24"/>
          <w:highlight w:val="none"/>
        </w:rPr>
        <w:t>由高到低入围</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家</w:t>
      </w:r>
      <w:r>
        <w:rPr>
          <w:rFonts w:hint="eastAsia" w:ascii="宋体" w:hAnsi="宋体" w:eastAsia="宋体" w:cs="宋体"/>
          <w:sz w:val="24"/>
          <w:szCs w:val="24"/>
          <w:highlight w:val="none"/>
          <w:lang w:eastAsia="zh-CN"/>
        </w:rPr>
        <w:t>。如供应商不足，实际选定数量以淘汰后剩余的数量为准）并向征集人提供书面评审报告。最终得分相等时，以技术部分得分高的优先；技术部分也同时相等的，由评审小组以记名投票的方式，按少数服从多数的原则确定排名。</w:t>
      </w:r>
    </w:p>
    <w:p w14:paraId="7DA2A25D">
      <w:pPr>
        <w:pStyle w:val="6"/>
        <w:keepNext w:val="0"/>
        <w:keepLines w:val="0"/>
        <w:pageBreakBefore w:val="0"/>
        <w:widowControl/>
        <w:kinsoku w:val="0"/>
        <w:wordWrap/>
        <w:overflowPunct/>
        <w:topLinePunct w:val="0"/>
        <w:autoSpaceDE w:val="0"/>
        <w:autoSpaceDN w:val="0"/>
        <w:bidi w:val="0"/>
        <w:adjustRightInd w:val="0"/>
        <w:snapToGrid w:val="0"/>
        <w:spacing w:line="300" w:lineRule="auto"/>
        <w:ind w:firstLine="0" w:firstLineChars="0"/>
        <w:textAlignment w:val="baseline"/>
        <w:outlineLvl w:val="9"/>
        <w:rPr>
          <w:rFonts w:hint="eastAsia" w:ascii="宋体" w:hAnsi="宋体" w:eastAsia="宋体" w:cs="宋体"/>
          <w:sz w:val="24"/>
          <w:szCs w:val="24"/>
          <w:highlight w:val="none"/>
          <w:lang w:eastAsia="zh-CN"/>
        </w:rPr>
      </w:pPr>
    </w:p>
    <w:p w14:paraId="41D6A9B4">
      <w:pPr>
        <w:rPr>
          <w:rFonts w:hint="eastAsia" w:ascii="宋体" w:hAnsi="宋体" w:eastAsia="宋体" w:cs="宋体"/>
          <w:highlight w:val="none"/>
        </w:rPr>
      </w:pPr>
      <w:r>
        <w:rPr>
          <w:rFonts w:hint="eastAsia" w:ascii="宋体" w:hAnsi="宋体" w:eastAsia="宋体" w:cs="宋体"/>
          <w:highlight w:val="none"/>
        </w:rPr>
        <w:br w:type="page"/>
      </w:r>
    </w:p>
    <w:p w14:paraId="5B5A71C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b/>
          <w:bCs/>
          <w:color w:val="auto"/>
          <w:spacing w:val="-2"/>
          <w:sz w:val="28"/>
          <w:szCs w:val="28"/>
          <w:highlight w:val="none"/>
        </w:rPr>
      </w:pPr>
      <w:bookmarkStart w:id="281" w:name="_Toc823"/>
      <w:bookmarkStart w:id="282" w:name="_Toc22106"/>
      <w:bookmarkStart w:id="283" w:name="_Toc20801"/>
      <w:bookmarkStart w:id="284" w:name="_Toc18764"/>
      <w:r>
        <w:rPr>
          <w:rFonts w:hint="eastAsia" w:ascii="宋体" w:hAnsi="宋体" w:eastAsia="宋体" w:cs="宋体"/>
          <w:b/>
          <w:bCs/>
          <w:color w:val="auto"/>
          <w:spacing w:val="-2"/>
          <w:sz w:val="28"/>
          <w:szCs w:val="28"/>
          <w:highlight w:val="none"/>
        </w:rPr>
        <w:t>附表一：资格审查表</w:t>
      </w:r>
      <w:bookmarkEnd w:id="281"/>
      <w:bookmarkEnd w:id="282"/>
      <w:bookmarkEnd w:id="283"/>
      <w:bookmarkEnd w:id="284"/>
    </w:p>
    <w:tbl>
      <w:tblPr>
        <w:tblStyle w:val="14"/>
        <w:tblpPr w:leftFromText="180" w:rightFromText="180" w:vertAnchor="text" w:horzAnchor="page" w:tblpX="1001" w:tblpY="189"/>
        <w:tblOverlap w:val="never"/>
        <w:tblW w:w="10137" w:type="dxa"/>
        <w:tblInd w:w="0"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471"/>
        <w:gridCol w:w="664"/>
        <w:gridCol w:w="2286"/>
        <w:gridCol w:w="5196"/>
        <w:gridCol w:w="635"/>
        <w:gridCol w:w="885"/>
      </w:tblGrid>
      <w:tr w14:paraId="3E7979D3">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09" w:hRule="atLeast"/>
        </w:trPr>
        <w:tc>
          <w:tcPr>
            <w:tcW w:w="1135" w:type="dxa"/>
            <w:gridSpan w:val="2"/>
            <w:tcBorders>
              <w:bottom w:val="single" w:color="auto" w:sz="4" w:space="0"/>
              <w:right w:val="single" w:color="000000" w:sz="4" w:space="0"/>
            </w:tcBorders>
            <w:vAlign w:val="center"/>
          </w:tcPr>
          <w:p w14:paraId="352F673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pacing w:val="-3"/>
                <w:sz w:val="24"/>
                <w:szCs w:val="24"/>
                <w:highlight w:val="none"/>
              </w:rPr>
              <w:t>条款号</w:t>
            </w:r>
          </w:p>
        </w:tc>
        <w:tc>
          <w:tcPr>
            <w:tcW w:w="2286" w:type="dxa"/>
            <w:tcBorders>
              <w:left w:val="single" w:color="000000" w:sz="4" w:space="0"/>
              <w:bottom w:val="single" w:color="auto" w:sz="4" w:space="0"/>
              <w:right w:val="single" w:color="000000" w:sz="4" w:space="0"/>
            </w:tcBorders>
            <w:vAlign w:val="center"/>
          </w:tcPr>
          <w:p w14:paraId="081A2F4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rPr>
              <w:t>评审因素</w:t>
            </w:r>
          </w:p>
        </w:tc>
        <w:tc>
          <w:tcPr>
            <w:tcW w:w="5196" w:type="dxa"/>
            <w:tcBorders>
              <w:left w:val="single" w:color="000000" w:sz="4" w:space="0"/>
              <w:bottom w:val="single" w:color="auto" w:sz="4" w:space="0"/>
            </w:tcBorders>
            <w:vAlign w:val="center"/>
          </w:tcPr>
          <w:p w14:paraId="6C8408D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rPr>
              <w:t>评审标准</w:t>
            </w:r>
          </w:p>
        </w:tc>
        <w:tc>
          <w:tcPr>
            <w:tcW w:w="1520" w:type="dxa"/>
            <w:gridSpan w:val="2"/>
            <w:tcBorders>
              <w:bottom w:val="single" w:color="auto" w:sz="4" w:space="0"/>
            </w:tcBorders>
            <w:vAlign w:val="center"/>
          </w:tcPr>
          <w:p w14:paraId="361F850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rPr>
              <w:t>评审结果</w:t>
            </w:r>
          </w:p>
        </w:tc>
      </w:tr>
      <w:tr w14:paraId="4DC9C69E">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1003" w:hRule="atLeast"/>
        </w:trPr>
        <w:tc>
          <w:tcPr>
            <w:tcW w:w="471" w:type="dxa"/>
            <w:vMerge w:val="restart"/>
            <w:tcBorders>
              <w:top w:val="single" w:color="auto" w:sz="4" w:space="0"/>
              <w:left w:val="single" w:color="auto" w:sz="4" w:space="0"/>
              <w:right w:val="single" w:color="auto" w:sz="4" w:space="0"/>
            </w:tcBorders>
            <w:vAlign w:val="center"/>
          </w:tcPr>
          <w:p w14:paraId="248AC634">
            <w:pPr>
              <w:keepNext w:val="0"/>
              <w:keepLines w:val="0"/>
              <w:pageBreakBefore w:val="0"/>
              <w:widowControl/>
              <w:kinsoku w:val="0"/>
              <w:wordWrap/>
              <w:overflowPunct/>
              <w:topLinePunct w:val="0"/>
              <w:autoSpaceDE w:val="0"/>
              <w:autoSpaceDN w:val="0"/>
              <w:bidi w:val="0"/>
              <w:adjustRightInd w:val="0"/>
              <w:snapToGrid w:val="0"/>
              <w:spacing w:line="178" w:lineRule="auto"/>
              <w:ind w:left="0" w:right="0"/>
              <w:jc w:val="center"/>
              <w:textAlignment w:val="baseline"/>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664" w:type="dxa"/>
            <w:vMerge w:val="restart"/>
            <w:tcBorders>
              <w:top w:val="single" w:color="auto" w:sz="4" w:space="0"/>
              <w:left w:val="single" w:color="auto" w:sz="4" w:space="0"/>
              <w:right w:val="single" w:color="auto" w:sz="4" w:space="0"/>
            </w:tcBorders>
            <w:textDirection w:val="tbRlV"/>
            <w:vAlign w:val="center"/>
          </w:tcPr>
          <w:p w14:paraId="61A8F280">
            <w:pPr>
              <w:keepNext w:val="0"/>
              <w:keepLines w:val="0"/>
              <w:pageBreakBefore w:val="0"/>
              <w:widowControl/>
              <w:kinsoku w:val="0"/>
              <w:wordWrap/>
              <w:overflowPunct/>
              <w:topLinePunct w:val="0"/>
              <w:autoSpaceDE w:val="0"/>
              <w:autoSpaceDN w:val="0"/>
              <w:bidi w:val="0"/>
              <w:adjustRightInd w:val="0"/>
              <w:snapToGrid w:val="0"/>
              <w:spacing w:line="209" w:lineRule="auto"/>
              <w:ind w:left="0" w:right="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资  格  评  审  标</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1"/>
                <w:sz w:val="24"/>
                <w:szCs w:val="24"/>
                <w:highlight w:val="none"/>
              </w:rPr>
              <w:t>准</w:t>
            </w:r>
          </w:p>
        </w:tc>
        <w:tc>
          <w:tcPr>
            <w:tcW w:w="2286" w:type="dxa"/>
            <w:tcBorders>
              <w:top w:val="single" w:color="auto" w:sz="4" w:space="0"/>
              <w:left w:val="single" w:color="auto" w:sz="4" w:space="0"/>
              <w:bottom w:val="single" w:color="auto" w:sz="4" w:space="0"/>
              <w:right w:val="single" w:color="auto" w:sz="4" w:space="0"/>
            </w:tcBorders>
            <w:vAlign w:val="center"/>
          </w:tcPr>
          <w:p w14:paraId="1C94B1BE">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《政府采购法》第二十一条、第二十二条的规定</w:t>
            </w:r>
          </w:p>
        </w:tc>
        <w:tc>
          <w:tcPr>
            <w:tcW w:w="5196" w:type="dxa"/>
            <w:tcBorders>
              <w:top w:val="single" w:color="auto" w:sz="4" w:space="0"/>
              <w:left w:val="single" w:color="auto" w:sz="4" w:space="0"/>
              <w:bottom w:val="single" w:color="auto" w:sz="4" w:space="0"/>
              <w:right w:val="single" w:color="auto" w:sz="4" w:space="0"/>
            </w:tcBorders>
            <w:vAlign w:val="center"/>
          </w:tcPr>
          <w:p w14:paraId="03318081">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firstLine="0" w:firstLineChars="0"/>
              <w:jc w:val="both"/>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按要求提供供应商承诺书</w:t>
            </w:r>
          </w:p>
        </w:tc>
        <w:tc>
          <w:tcPr>
            <w:tcW w:w="635" w:type="dxa"/>
            <w:tcBorders>
              <w:top w:val="single" w:color="auto" w:sz="4" w:space="0"/>
              <w:left w:val="single" w:color="auto" w:sz="4" w:space="0"/>
              <w:bottom w:val="single" w:color="auto" w:sz="4" w:space="0"/>
              <w:right w:val="single" w:color="auto" w:sz="4" w:space="0"/>
            </w:tcBorders>
            <w:vAlign w:val="center"/>
          </w:tcPr>
          <w:p w14:paraId="7DCD74D8">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5A2A933E">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不符合</w:t>
            </w:r>
          </w:p>
        </w:tc>
      </w:tr>
      <w:tr w14:paraId="12E63855">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723" w:hRule="atLeast"/>
        </w:trPr>
        <w:tc>
          <w:tcPr>
            <w:tcW w:w="471" w:type="dxa"/>
            <w:vMerge w:val="continue"/>
            <w:tcBorders>
              <w:left w:val="single" w:color="auto" w:sz="4" w:space="0"/>
              <w:right w:val="single" w:color="auto" w:sz="4" w:space="0"/>
            </w:tcBorders>
            <w:vAlign w:val="center"/>
          </w:tcPr>
          <w:p w14:paraId="34116CAA">
            <w:pPr>
              <w:keepNext w:val="0"/>
              <w:keepLines w:val="0"/>
              <w:pageBreakBefore w:val="0"/>
              <w:widowControl/>
              <w:kinsoku w:val="0"/>
              <w:wordWrap/>
              <w:overflowPunct/>
              <w:topLinePunct w:val="0"/>
              <w:autoSpaceDE w:val="0"/>
              <w:autoSpaceDN w:val="0"/>
              <w:bidi w:val="0"/>
              <w:adjustRightInd w:val="0"/>
              <w:snapToGrid w:val="0"/>
              <w:spacing w:line="178" w:lineRule="auto"/>
              <w:ind w:left="0" w:right="0"/>
              <w:jc w:val="center"/>
              <w:textAlignment w:val="baseline"/>
              <w:outlineLvl w:val="9"/>
              <w:rPr>
                <w:rFonts w:hint="eastAsia" w:ascii="宋体" w:hAnsi="宋体" w:eastAsia="宋体" w:cs="宋体"/>
                <w:color w:val="auto"/>
                <w:sz w:val="24"/>
                <w:szCs w:val="24"/>
                <w:highlight w:val="none"/>
                <w:lang w:val="en-US" w:eastAsia="zh-CN"/>
              </w:rPr>
            </w:pPr>
          </w:p>
        </w:tc>
        <w:tc>
          <w:tcPr>
            <w:tcW w:w="664" w:type="dxa"/>
            <w:vMerge w:val="continue"/>
            <w:tcBorders>
              <w:left w:val="single" w:color="auto" w:sz="4" w:space="0"/>
              <w:right w:val="single" w:color="auto" w:sz="4" w:space="0"/>
            </w:tcBorders>
            <w:textDirection w:val="tbRlV"/>
            <w:vAlign w:val="center"/>
          </w:tcPr>
          <w:p w14:paraId="48E7E42A">
            <w:pPr>
              <w:keepNext w:val="0"/>
              <w:keepLines w:val="0"/>
              <w:pageBreakBefore w:val="0"/>
              <w:widowControl/>
              <w:kinsoku w:val="0"/>
              <w:wordWrap/>
              <w:overflowPunct/>
              <w:topLinePunct w:val="0"/>
              <w:autoSpaceDE w:val="0"/>
              <w:autoSpaceDN w:val="0"/>
              <w:bidi w:val="0"/>
              <w:adjustRightInd w:val="0"/>
              <w:snapToGrid w:val="0"/>
              <w:spacing w:line="209" w:lineRule="auto"/>
              <w:ind w:left="0" w:right="0"/>
              <w:jc w:val="center"/>
              <w:textAlignment w:val="baseline"/>
              <w:outlineLvl w:val="9"/>
              <w:rPr>
                <w:rFonts w:hint="eastAsia" w:ascii="宋体" w:hAnsi="宋体" w:eastAsia="宋体" w:cs="宋体"/>
                <w:color w:val="auto"/>
                <w:spacing w:val="1"/>
                <w:sz w:val="24"/>
                <w:szCs w:val="24"/>
                <w:highlight w:val="none"/>
              </w:rPr>
            </w:pPr>
          </w:p>
        </w:tc>
        <w:tc>
          <w:tcPr>
            <w:tcW w:w="2286" w:type="dxa"/>
            <w:tcBorders>
              <w:top w:val="single" w:color="auto" w:sz="4" w:space="0"/>
              <w:left w:val="single" w:color="auto" w:sz="4" w:space="0"/>
              <w:bottom w:val="single" w:color="auto" w:sz="4" w:space="0"/>
              <w:right w:val="single" w:color="auto" w:sz="4" w:space="0"/>
            </w:tcBorders>
            <w:vAlign w:val="center"/>
          </w:tcPr>
          <w:p w14:paraId="6BC69373">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rightChars="0" w:firstLine="0" w:firstLineChars="0"/>
              <w:jc w:val="center"/>
              <w:textAlignment w:val="baseline"/>
              <w:outlineLvl w:val="9"/>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2"/>
                <w:position w:val="18"/>
                <w:sz w:val="24"/>
                <w:szCs w:val="24"/>
                <w:highlight w:val="none"/>
              </w:rPr>
              <w:t>营业执照</w:t>
            </w:r>
          </w:p>
        </w:tc>
        <w:tc>
          <w:tcPr>
            <w:tcW w:w="5196" w:type="dxa"/>
            <w:tcBorders>
              <w:top w:val="single" w:color="auto" w:sz="4" w:space="0"/>
              <w:left w:val="single" w:color="auto" w:sz="4" w:space="0"/>
              <w:bottom w:val="single" w:color="auto" w:sz="4" w:space="0"/>
              <w:right w:val="single" w:color="auto" w:sz="4" w:space="0"/>
            </w:tcBorders>
            <w:vAlign w:val="center"/>
          </w:tcPr>
          <w:p w14:paraId="38F462A8">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rightChars="0" w:firstLine="0" w:firstLineChars="0"/>
              <w:jc w:val="both"/>
              <w:textAlignment w:val="baseline"/>
              <w:outlineLvl w:val="9"/>
              <w:rPr>
                <w:rFonts w:hint="eastAsia" w:ascii="宋体" w:hAnsi="宋体" w:eastAsia="宋体" w:cs="宋体"/>
                <w:color w:val="auto"/>
                <w:spacing w:val="-1"/>
                <w:sz w:val="24"/>
                <w:szCs w:val="24"/>
                <w:highlight w:val="none"/>
              </w:rPr>
            </w:pPr>
            <w:r>
              <w:rPr>
                <w:rFonts w:hint="eastAsia" w:asciiTheme="minorEastAsia" w:hAnsiTheme="minorEastAsia" w:eastAsiaTheme="minorEastAsia" w:cstheme="minorEastAsia"/>
                <w:color w:val="auto"/>
                <w:sz w:val="24"/>
                <w:szCs w:val="24"/>
                <w:highlight w:val="none"/>
                <w:lang w:eastAsia="zh-CN"/>
              </w:rPr>
              <w:t>具有有效的营业执照或事业单位法人证书</w:t>
            </w:r>
          </w:p>
        </w:tc>
        <w:tc>
          <w:tcPr>
            <w:tcW w:w="635" w:type="dxa"/>
            <w:tcBorders>
              <w:top w:val="single" w:color="auto" w:sz="4" w:space="0"/>
              <w:left w:val="single" w:color="auto" w:sz="4" w:space="0"/>
              <w:bottom w:val="single" w:color="auto" w:sz="4" w:space="0"/>
              <w:right w:val="single" w:color="auto" w:sz="4" w:space="0"/>
            </w:tcBorders>
            <w:vAlign w:val="center"/>
          </w:tcPr>
          <w:p w14:paraId="2F2FE4F7">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rightChars="0" w:firstLine="0" w:firstLineChars="0"/>
              <w:jc w:val="center"/>
              <w:textAlignment w:val="baseline"/>
              <w:outlineLvl w:val="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06A7340D">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rightChars="0" w:firstLine="0" w:firstLineChars="0"/>
              <w:jc w:val="center"/>
              <w:textAlignment w:val="baseline"/>
              <w:outlineLvl w:val="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不符合</w:t>
            </w:r>
          </w:p>
        </w:tc>
      </w:tr>
      <w:tr w14:paraId="4D1D8B21">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476" w:hRule="atLeast"/>
        </w:trPr>
        <w:tc>
          <w:tcPr>
            <w:tcW w:w="471" w:type="dxa"/>
            <w:vMerge w:val="continue"/>
            <w:tcBorders>
              <w:left w:val="single" w:color="auto" w:sz="4" w:space="0"/>
              <w:right w:val="single" w:color="auto" w:sz="4" w:space="0"/>
            </w:tcBorders>
            <w:vAlign w:val="center"/>
          </w:tcPr>
          <w:p w14:paraId="68573255">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664" w:type="dxa"/>
            <w:vMerge w:val="continue"/>
            <w:tcBorders>
              <w:left w:val="single" w:color="auto" w:sz="4" w:space="0"/>
              <w:right w:val="single" w:color="auto" w:sz="4" w:space="0"/>
            </w:tcBorders>
            <w:textDirection w:val="tbRlV"/>
            <w:vAlign w:val="center"/>
          </w:tcPr>
          <w:p w14:paraId="666D2D91">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2286" w:type="dxa"/>
            <w:tcBorders>
              <w:top w:val="single" w:color="auto" w:sz="4" w:space="0"/>
              <w:left w:val="single" w:color="auto" w:sz="4" w:space="0"/>
              <w:bottom w:val="single" w:color="auto" w:sz="4" w:space="0"/>
              <w:right w:val="single" w:color="auto" w:sz="4" w:space="0"/>
            </w:tcBorders>
            <w:vAlign w:val="center"/>
          </w:tcPr>
          <w:p w14:paraId="2F79993C">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rightChars="0" w:firstLine="0" w:firstLineChars="0"/>
              <w:jc w:val="center"/>
              <w:textAlignment w:val="baseline"/>
              <w:outlineLvl w:val="9"/>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资质</w:t>
            </w:r>
          </w:p>
        </w:tc>
        <w:tc>
          <w:tcPr>
            <w:tcW w:w="5196" w:type="dxa"/>
            <w:tcBorders>
              <w:top w:val="single" w:color="auto" w:sz="4" w:space="0"/>
              <w:left w:val="single" w:color="auto" w:sz="4" w:space="0"/>
              <w:bottom w:val="single" w:color="auto" w:sz="4" w:space="0"/>
              <w:right w:val="single" w:color="auto" w:sz="4" w:space="0"/>
            </w:tcBorders>
            <w:vAlign w:val="center"/>
          </w:tcPr>
          <w:p w14:paraId="01C32615">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firstLine="0" w:firstLineChars="0"/>
              <w:jc w:val="both"/>
              <w:textAlignment w:val="baseline"/>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一标段供应商须具有工程咨询单位乙级（含乙级）及以上资信证书</w:t>
            </w:r>
          </w:p>
          <w:p w14:paraId="3BDB7C02">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rightChars="0" w:firstLine="0" w:firstLineChars="0"/>
              <w:jc w:val="both"/>
              <w:textAlignment w:val="baseline"/>
              <w:outlineLvl w:val="9"/>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二标段供应商须具有规划或设计乙级（含乙级）及以上资质；</w:t>
            </w:r>
          </w:p>
        </w:tc>
        <w:tc>
          <w:tcPr>
            <w:tcW w:w="635" w:type="dxa"/>
            <w:tcBorders>
              <w:top w:val="single" w:color="auto" w:sz="4" w:space="0"/>
              <w:left w:val="single" w:color="auto" w:sz="4" w:space="0"/>
              <w:bottom w:val="single" w:color="auto" w:sz="4" w:space="0"/>
              <w:right w:val="single" w:color="auto" w:sz="4" w:space="0"/>
            </w:tcBorders>
            <w:vAlign w:val="center"/>
          </w:tcPr>
          <w:p w14:paraId="2BE38AB0">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15480E31">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不符合</w:t>
            </w:r>
          </w:p>
        </w:tc>
      </w:tr>
      <w:tr w14:paraId="17C7FD3D">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476" w:hRule="atLeast"/>
        </w:trPr>
        <w:tc>
          <w:tcPr>
            <w:tcW w:w="471" w:type="dxa"/>
            <w:vMerge w:val="continue"/>
            <w:tcBorders>
              <w:left w:val="single" w:color="auto" w:sz="4" w:space="0"/>
              <w:right w:val="single" w:color="auto" w:sz="4" w:space="0"/>
            </w:tcBorders>
            <w:vAlign w:val="center"/>
          </w:tcPr>
          <w:p w14:paraId="097FF034">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664" w:type="dxa"/>
            <w:vMerge w:val="continue"/>
            <w:tcBorders>
              <w:left w:val="single" w:color="auto" w:sz="4" w:space="0"/>
              <w:right w:val="single" w:color="auto" w:sz="4" w:space="0"/>
            </w:tcBorders>
            <w:textDirection w:val="tbRlV"/>
            <w:vAlign w:val="center"/>
          </w:tcPr>
          <w:p w14:paraId="265A76BB">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2286" w:type="dxa"/>
            <w:tcBorders>
              <w:top w:val="single" w:color="auto" w:sz="4" w:space="0"/>
              <w:left w:val="single" w:color="auto" w:sz="4" w:space="0"/>
              <w:bottom w:val="single" w:color="auto" w:sz="4" w:space="0"/>
              <w:right w:val="single" w:color="auto" w:sz="4" w:space="0"/>
            </w:tcBorders>
            <w:vAlign w:val="center"/>
          </w:tcPr>
          <w:p w14:paraId="40116BBC">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rightChars="0" w:firstLine="0" w:firstLineChars="0"/>
              <w:jc w:val="center"/>
              <w:textAlignment w:val="baseline"/>
              <w:outlineLvl w:val="9"/>
              <w:rPr>
                <w:rFonts w:hint="eastAsia" w:ascii="宋体" w:hAnsi="宋体" w:eastAsia="宋体" w:cs="宋体"/>
                <w:color w:val="auto"/>
                <w:spacing w:val="-2"/>
                <w:position w:val="18"/>
                <w:sz w:val="24"/>
                <w:szCs w:val="24"/>
                <w:highlight w:val="none"/>
              </w:rPr>
            </w:pPr>
            <w:r>
              <w:rPr>
                <w:rFonts w:hint="eastAsia" w:ascii="宋体" w:hAnsi="宋体" w:eastAsia="宋体" w:cs="宋体"/>
                <w:color w:val="auto"/>
                <w:spacing w:val="-2"/>
                <w:sz w:val="24"/>
                <w:szCs w:val="24"/>
                <w:highlight w:val="none"/>
              </w:rPr>
              <w:t>项目负责人要求</w:t>
            </w:r>
          </w:p>
        </w:tc>
        <w:tc>
          <w:tcPr>
            <w:tcW w:w="5196" w:type="dxa"/>
            <w:tcBorders>
              <w:top w:val="single" w:color="auto" w:sz="4" w:space="0"/>
              <w:left w:val="single" w:color="auto" w:sz="4" w:space="0"/>
              <w:bottom w:val="single" w:color="auto" w:sz="4" w:space="0"/>
              <w:right w:val="single" w:color="auto" w:sz="4" w:space="0"/>
            </w:tcBorders>
            <w:vAlign w:val="center"/>
          </w:tcPr>
          <w:p w14:paraId="32E83C10">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rightChars="0" w:firstLine="0" w:firstLineChars="0"/>
              <w:jc w:val="both"/>
              <w:textAlignment w:val="baseline"/>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拟派项目负责人须具有相关专业中级及以上（含中级）职称，提供社保缴费证明</w:t>
            </w:r>
          </w:p>
        </w:tc>
        <w:tc>
          <w:tcPr>
            <w:tcW w:w="635" w:type="dxa"/>
            <w:tcBorders>
              <w:top w:val="single" w:color="auto" w:sz="4" w:space="0"/>
              <w:left w:val="single" w:color="auto" w:sz="4" w:space="0"/>
              <w:bottom w:val="single" w:color="auto" w:sz="4" w:space="0"/>
              <w:right w:val="single" w:color="auto" w:sz="4" w:space="0"/>
            </w:tcBorders>
            <w:vAlign w:val="center"/>
          </w:tcPr>
          <w:p w14:paraId="504190BB">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rightChars="0" w:firstLine="0" w:firstLineChars="0"/>
              <w:jc w:val="center"/>
              <w:textAlignment w:val="baseline"/>
              <w:outlineLvl w:val="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360BA517">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rightChars="0" w:firstLine="0" w:firstLineChars="0"/>
              <w:jc w:val="center"/>
              <w:textAlignment w:val="baseline"/>
              <w:outlineLvl w:val="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不符合</w:t>
            </w:r>
          </w:p>
        </w:tc>
      </w:tr>
      <w:tr w14:paraId="62472547">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1179" w:hRule="atLeast"/>
        </w:trPr>
        <w:tc>
          <w:tcPr>
            <w:tcW w:w="471" w:type="dxa"/>
            <w:vMerge w:val="continue"/>
            <w:tcBorders>
              <w:left w:val="single" w:color="auto" w:sz="4" w:space="0"/>
              <w:right w:val="single" w:color="auto" w:sz="4" w:space="0"/>
            </w:tcBorders>
            <w:vAlign w:val="center"/>
          </w:tcPr>
          <w:p w14:paraId="780C072B">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664" w:type="dxa"/>
            <w:vMerge w:val="continue"/>
            <w:tcBorders>
              <w:left w:val="single" w:color="auto" w:sz="4" w:space="0"/>
              <w:right w:val="single" w:color="auto" w:sz="4" w:space="0"/>
            </w:tcBorders>
            <w:textDirection w:val="tbRlV"/>
            <w:vAlign w:val="center"/>
          </w:tcPr>
          <w:p w14:paraId="244801AA">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2286" w:type="dxa"/>
            <w:tcBorders>
              <w:top w:val="single" w:color="auto" w:sz="4" w:space="0"/>
              <w:left w:val="single" w:color="auto" w:sz="4" w:space="0"/>
              <w:bottom w:val="single" w:color="auto" w:sz="4" w:space="0"/>
              <w:right w:val="single" w:color="auto" w:sz="4" w:space="0"/>
            </w:tcBorders>
            <w:vAlign w:val="center"/>
          </w:tcPr>
          <w:p w14:paraId="3796A207">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无商业贿赂及</w:t>
            </w:r>
            <w:r>
              <w:rPr>
                <w:rFonts w:hint="eastAsia" w:ascii="宋体" w:hAnsi="宋体" w:eastAsia="宋体" w:cs="宋体"/>
                <w:color w:val="auto"/>
                <w:spacing w:val="9"/>
                <w:sz w:val="24"/>
                <w:szCs w:val="24"/>
                <w:highlight w:val="none"/>
                <w:lang w:eastAsia="zh-CN"/>
              </w:rPr>
              <w:t>不</w:t>
            </w:r>
            <w:r>
              <w:rPr>
                <w:rFonts w:hint="eastAsia" w:ascii="宋体" w:hAnsi="宋体" w:eastAsia="宋体" w:cs="宋体"/>
                <w:color w:val="auto"/>
                <w:spacing w:val="9"/>
                <w:sz w:val="24"/>
                <w:szCs w:val="24"/>
                <w:highlight w:val="none"/>
              </w:rPr>
              <w:t>正当竞</w:t>
            </w:r>
            <w:r>
              <w:rPr>
                <w:rFonts w:hint="eastAsia" w:ascii="宋体" w:hAnsi="宋体" w:eastAsia="宋体" w:cs="宋体"/>
                <w:color w:val="auto"/>
                <w:spacing w:val="8"/>
                <w:sz w:val="24"/>
                <w:szCs w:val="24"/>
                <w:highlight w:val="none"/>
              </w:rPr>
              <w:t>争行为</w:t>
            </w:r>
          </w:p>
        </w:tc>
        <w:tc>
          <w:tcPr>
            <w:tcW w:w="5196" w:type="dxa"/>
            <w:tcBorders>
              <w:top w:val="single" w:color="auto" w:sz="4" w:space="0"/>
              <w:left w:val="single" w:color="auto" w:sz="4" w:space="0"/>
              <w:bottom w:val="single" w:color="auto" w:sz="4" w:space="0"/>
              <w:right w:val="single" w:color="auto" w:sz="4" w:space="0"/>
            </w:tcBorders>
            <w:vAlign w:val="center"/>
          </w:tcPr>
          <w:p w14:paraId="24D899F2">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供应商需提供本单位出具的无商业贿赂及不正当竞争行为的承诺书；</w:t>
            </w:r>
          </w:p>
        </w:tc>
        <w:tc>
          <w:tcPr>
            <w:tcW w:w="635" w:type="dxa"/>
            <w:tcBorders>
              <w:top w:val="single" w:color="auto" w:sz="4" w:space="0"/>
              <w:left w:val="single" w:color="auto" w:sz="4" w:space="0"/>
              <w:bottom w:val="single" w:color="auto" w:sz="4" w:space="0"/>
              <w:right w:val="single" w:color="auto" w:sz="4" w:space="0"/>
            </w:tcBorders>
            <w:vAlign w:val="center"/>
          </w:tcPr>
          <w:p w14:paraId="1591E800">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46DD7B7F">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不符合</w:t>
            </w:r>
          </w:p>
        </w:tc>
      </w:tr>
      <w:tr w14:paraId="02A7191A">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748" w:hRule="atLeast"/>
        </w:trPr>
        <w:tc>
          <w:tcPr>
            <w:tcW w:w="471" w:type="dxa"/>
            <w:vMerge w:val="continue"/>
            <w:tcBorders>
              <w:left w:val="single" w:color="auto" w:sz="4" w:space="0"/>
              <w:right w:val="single" w:color="auto" w:sz="4" w:space="0"/>
            </w:tcBorders>
            <w:vAlign w:val="center"/>
          </w:tcPr>
          <w:p w14:paraId="612A1A90">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664" w:type="dxa"/>
            <w:vMerge w:val="continue"/>
            <w:tcBorders>
              <w:left w:val="single" w:color="auto" w:sz="4" w:space="0"/>
              <w:right w:val="single" w:color="auto" w:sz="4" w:space="0"/>
            </w:tcBorders>
            <w:textDirection w:val="tbRlV"/>
            <w:vAlign w:val="center"/>
          </w:tcPr>
          <w:p w14:paraId="6B02AE10">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2286" w:type="dxa"/>
            <w:tcBorders>
              <w:top w:val="single" w:color="auto" w:sz="4" w:space="0"/>
              <w:left w:val="single" w:color="auto" w:sz="4" w:space="0"/>
              <w:bottom w:val="single" w:color="auto" w:sz="4" w:space="0"/>
              <w:right w:val="single" w:color="auto" w:sz="4" w:space="0"/>
            </w:tcBorders>
            <w:vAlign w:val="center"/>
          </w:tcPr>
          <w:p w14:paraId="35307935">
            <w:pPr>
              <w:keepNext w:val="0"/>
              <w:keepLines w:val="0"/>
              <w:pageBreakBefore w:val="0"/>
              <w:widowControl/>
              <w:kinsoku w:val="0"/>
              <w:wordWrap/>
              <w:overflowPunct/>
              <w:topLinePunct w:val="0"/>
              <w:autoSpaceDE w:val="0"/>
              <w:autoSpaceDN w:val="0"/>
              <w:bidi w:val="0"/>
              <w:adjustRightInd w:val="0"/>
              <w:snapToGrid w:val="0"/>
              <w:spacing w:line="229"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无行贿犯罪记</w:t>
            </w:r>
            <w:r>
              <w:rPr>
                <w:rFonts w:hint="eastAsia" w:ascii="宋体" w:hAnsi="宋体" w:eastAsia="宋体" w:cs="宋体"/>
                <w:color w:val="auto"/>
                <w:spacing w:val="5"/>
                <w:sz w:val="24"/>
                <w:szCs w:val="24"/>
                <w:highlight w:val="none"/>
              </w:rPr>
              <w:t>录</w:t>
            </w:r>
          </w:p>
        </w:tc>
        <w:tc>
          <w:tcPr>
            <w:tcW w:w="5196" w:type="dxa"/>
            <w:tcBorders>
              <w:top w:val="single" w:color="auto" w:sz="4" w:space="0"/>
              <w:left w:val="single" w:color="auto" w:sz="4" w:space="0"/>
              <w:bottom w:val="single" w:color="auto" w:sz="4" w:space="0"/>
              <w:right w:val="single" w:color="auto" w:sz="4" w:space="0"/>
            </w:tcBorders>
            <w:vAlign w:val="center"/>
          </w:tcPr>
          <w:p w14:paraId="2849BAFC">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firstLine="0" w:firstLineChars="0"/>
              <w:jc w:val="both"/>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供应商出具无行贿犯罪记录在中国裁判文书网自行查询或自行承诺；（查询对象：企业、法定代表人）</w:t>
            </w:r>
          </w:p>
        </w:tc>
        <w:tc>
          <w:tcPr>
            <w:tcW w:w="635" w:type="dxa"/>
            <w:tcBorders>
              <w:top w:val="single" w:color="auto" w:sz="4" w:space="0"/>
              <w:left w:val="single" w:color="auto" w:sz="4" w:space="0"/>
              <w:bottom w:val="single" w:color="auto" w:sz="4" w:space="0"/>
              <w:right w:val="single" w:color="auto" w:sz="4" w:space="0"/>
            </w:tcBorders>
            <w:vAlign w:val="center"/>
          </w:tcPr>
          <w:p w14:paraId="6F1D72AE">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2A2E5C08">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不符合</w:t>
            </w:r>
          </w:p>
        </w:tc>
      </w:tr>
      <w:tr w14:paraId="1303118B">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98" w:hRule="atLeast"/>
        </w:trPr>
        <w:tc>
          <w:tcPr>
            <w:tcW w:w="471" w:type="dxa"/>
            <w:vMerge w:val="continue"/>
            <w:tcBorders>
              <w:left w:val="single" w:color="auto" w:sz="4" w:space="0"/>
              <w:right w:val="single" w:color="auto" w:sz="4" w:space="0"/>
            </w:tcBorders>
            <w:vAlign w:val="center"/>
          </w:tcPr>
          <w:p w14:paraId="57367317">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664" w:type="dxa"/>
            <w:vMerge w:val="continue"/>
            <w:tcBorders>
              <w:left w:val="single" w:color="auto" w:sz="4" w:space="0"/>
              <w:right w:val="single" w:color="auto" w:sz="4" w:space="0"/>
            </w:tcBorders>
            <w:textDirection w:val="tbRlV"/>
            <w:vAlign w:val="center"/>
          </w:tcPr>
          <w:p w14:paraId="58BDC93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color w:val="auto"/>
                <w:sz w:val="24"/>
                <w:szCs w:val="24"/>
                <w:highlight w:val="none"/>
              </w:rPr>
            </w:pPr>
          </w:p>
        </w:tc>
        <w:tc>
          <w:tcPr>
            <w:tcW w:w="2286" w:type="dxa"/>
            <w:tcBorders>
              <w:top w:val="single" w:color="auto" w:sz="4" w:space="0"/>
              <w:left w:val="single" w:color="auto" w:sz="4" w:space="0"/>
              <w:bottom w:val="single" w:color="auto" w:sz="4" w:space="0"/>
              <w:right w:val="single" w:color="auto" w:sz="4" w:space="0"/>
            </w:tcBorders>
            <w:vAlign w:val="center"/>
          </w:tcPr>
          <w:p w14:paraId="64A380BC">
            <w:pPr>
              <w:keepNext w:val="0"/>
              <w:keepLines w:val="0"/>
              <w:pageBreakBefore w:val="0"/>
              <w:widowControl/>
              <w:kinsoku w:val="0"/>
              <w:wordWrap/>
              <w:overflowPunct/>
              <w:topLinePunct w:val="0"/>
              <w:autoSpaceDE w:val="0"/>
              <w:autoSpaceDN w:val="0"/>
              <w:bidi w:val="0"/>
              <w:adjustRightInd w:val="0"/>
              <w:snapToGrid w:val="0"/>
              <w:spacing w:line="234"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信用查询</w:t>
            </w:r>
          </w:p>
        </w:tc>
        <w:tc>
          <w:tcPr>
            <w:tcW w:w="5196" w:type="dxa"/>
            <w:tcBorders>
              <w:top w:val="single" w:color="auto" w:sz="4" w:space="0"/>
              <w:left w:val="single" w:color="auto" w:sz="4" w:space="0"/>
              <w:bottom w:val="single" w:color="auto" w:sz="4" w:space="0"/>
              <w:right w:val="single" w:color="auto" w:sz="4" w:space="0"/>
            </w:tcBorders>
            <w:vAlign w:val="center"/>
          </w:tcPr>
          <w:p w14:paraId="217F87D2">
            <w:pPr>
              <w:keepNext w:val="0"/>
              <w:keepLines w:val="0"/>
              <w:pageBreakBefore w:val="0"/>
              <w:widowControl/>
              <w:kinsoku w:val="0"/>
              <w:wordWrap/>
              <w:overflowPunct/>
              <w:topLinePunct w:val="0"/>
              <w:autoSpaceDE w:val="0"/>
              <w:autoSpaceDN w:val="0"/>
              <w:bidi w:val="0"/>
              <w:adjustRightInd w:val="0"/>
              <w:snapToGrid w:val="0"/>
              <w:spacing w:line="219" w:lineRule="auto"/>
              <w:ind w:left="0" w:leftChars="0" w:right="0" w:firstLine="0" w:firstLineChars="0"/>
              <w:jc w:val="both"/>
              <w:textAlignment w:val="baseline"/>
              <w:outlineLvl w:val="9"/>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未被列入“中国执行信息公开网”（http://zxgk.court.gov.cn/shixin）失信被执行人、“信用中国”网站（www.creditchina.gov.cn）重大税收违法失信主体、“中国政府采购网”（http://www.ccgp.gov.cn）政府采购严重违法失信行为名单，提供网页查询信息截图；（查询时间自公告发布之日起）；</w:t>
            </w:r>
          </w:p>
        </w:tc>
        <w:tc>
          <w:tcPr>
            <w:tcW w:w="635" w:type="dxa"/>
            <w:tcBorders>
              <w:top w:val="single" w:color="auto" w:sz="4" w:space="0"/>
              <w:left w:val="single" w:color="auto" w:sz="4" w:space="0"/>
              <w:bottom w:val="single" w:color="auto" w:sz="4" w:space="0"/>
              <w:right w:val="single" w:color="auto" w:sz="4" w:space="0"/>
            </w:tcBorders>
            <w:vAlign w:val="center"/>
          </w:tcPr>
          <w:p w14:paraId="628E6B86">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478C5859">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不符合</w:t>
            </w:r>
          </w:p>
        </w:tc>
      </w:tr>
      <w:tr w14:paraId="1AC5433E">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2006" w:hRule="atLeast"/>
        </w:trPr>
        <w:tc>
          <w:tcPr>
            <w:tcW w:w="471" w:type="dxa"/>
            <w:vMerge w:val="continue"/>
            <w:tcBorders>
              <w:left w:val="single" w:color="auto" w:sz="4" w:space="0"/>
              <w:right w:val="single" w:color="auto" w:sz="4" w:space="0"/>
            </w:tcBorders>
            <w:vAlign w:val="top"/>
          </w:tcPr>
          <w:p w14:paraId="135DE9F5">
            <w:pPr>
              <w:pStyle w:val="15"/>
              <w:keepNext w:val="0"/>
              <w:keepLines w:val="0"/>
              <w:pageBreakBefore w:val="0"/>
              <w:widowControl/>
              <w:kinsoku w:val="0"/>
              <w:wordWrap/>
              <w:overflowPunct/>
              <w:topLinePunct w:val="0"/>
              <w:autoSpaceDE w:val="0"/>
              <w:autoSpaceDN w:val="0"/>
              <w:bidi w:val="0"/>
              <w:adjustRightInd w:val="0"/>
              <w:snapToGrid w:val="0"/>
              <w:ind w:left="0" w:right="0"/>
              <w:textAlignment w:val="baseline"/>
              <w:outlineLvl w:val="9"/>
              <w:rPr>
                <w:rFonts w:hint="eastAsia" w:ascii="宋体" w:hAnsi="宋体" w:eastAsia="宋体" w:cs="宋体"/>
                <w:color w:val="auto"/>
                <w:sz w:val="24"/>
                <w:szCs w:val="24"/>
                <w:highlight w:val="none"/>
              </w:rPr>
            </w:pPr>
          </w:p>
        </w:tc>
        <w:tc>
          <w:tcPr>
            <w:tcW w:w="664" w:type="dxa"/>
            <w:vMerge w:val="continue"/>
            <w:tcBorders>
              <w:left w:val="single" w:color="auto" w:sz="4" w:space="0"/>
              <w:right w:val="single" w:color="auto" w:sz="4" w:space="0"/>
            </w:tcBorders>
            <w:textDirection w:val="tbRlV"/>
            <w:vAlign w:val="top"/>
          </w:tcPr>
          <w:p w14:paraId="7990678B">
            <w:pPr>
              <w:pStyle w:val="15"/>
              <w:keepNext w:val="0"/>
              <w:keepLines w:val="0"/>
              <w:pageBreakBefore w:val="0"/>
              <w:widowControl/>
              <w:kinsoku w:val="0"/>
              <w:wordWrap/>
              <w:overflowPunct/>
              <w:topLinePunct w:val="0"/>
              <w:autoSpaceDE w:val="0"/>
              <w:autoSpaceDN w:val="0"/>
              <w:bidi w:val="0"/>
              <w:adjustRightInd w:val="0"/>
              <w:snapToGrid w:val="0"/>
              <w:ind w:left="0" w:right="0"/>
              <w:textAlignment w:val="baseline"/>
              <w:outlineLvl w:val="9"/>
              <w:rPr>
                <w:rFonts w:hint="eastAsia" w:ascii="宋体" w:hAnsi="宋体" w:eastAsia="宋体" w:cs="宋体"/>
                <w:color w:val="auto"/>
                <w:sz w:val="24"/>
                <w:szCs w:val="24"/>
                <w:highlight w:val="none"/>
              </w:rPr>
            </w:pPr>
          </w:p>
        </w:tc>
        <w:tc>
          <w:tcPr>
            <w:tcW w:w="2286" w:type="dxa"/>
            <w:tcBorders>
              <w:top w:val="single" w:color="auto" w:sz="4" w:space="0"/>
              <w:left w:val="single" w:color="auto" w:sz="4" w:space="0"/>
              <w:bottom w:val="single" w:color="auto" w:sz="4" w:space="0"/>
              <w:right w:val="single" w:color="auto" w:sz="4" w:space="0"/>
            </w:tcBorders>
            <w:vAlign w:val="center"/>
          </w:tcPr>
          <w:p w14:paraId="796958B7">
            <w:pPr>
              <w:keepNext w:val="0"/>
              <w:keepLines w:val="0"/>
              <w:pageBreakBefore w:val="0"/>
              <w:widowControl/>
              <w:kinsoku w:val="0"/>
              <w:wordWrap/>
              <w:overflowPunct/>
              <w:topLinePunct w:val="0"/>
              <w:autoSpaceDE w:val="0"/>
              <w:autoSpaceDN w:val="0"/>
              <w:bidi w:val="0"/>
              <w:adjustRightInd w:val="0"/>
              <w:snapToGrid w:val="0"/>
              <w:spacing w:line="234" w:lineRule="auto"/>
              <w:ind w:left="0" w:leftChars="0" w:right="0" w:firstLine="0" w:firstLineChars="0"/>
              <w:jc w:val="center"/>
              <w:textAlignment w:val="baseline"/>
              <w:outlineLvl w:val="9"/>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“国家企业信用信息公示系统”</w:t>
            </w:r>
            <w:r>
              <w:rPr>
                <w:rFonts w:hint="eastAsia" w:ascii="宋体" w:hAnsi="宋体" w:eastAsia="宋体" w:cs="宋体"/>
                <w:color w:val="auto"/>
                <w:spacing w:val="-2"/>
                <w:sz w:val="24"/>
                <w:szCs w:val="24"/>
                <w:highlight w:val="none"/>
                <w:lang w:val="en-US" w:eastAsia="zh-CN"/>
              </w:rPr>
              <w:t>查询</w:t>
            </w:r>
          </w:p>
        </w:tc>
        <w:tc>
          <w:tcPr>
            <w:tcW w:w="5196" w:type="dxa"/>
            <w:tcBorders>
              <w:top w:val="single" w:color="auto" w:sz="4" w:space="0"/>
              <w:left w:val="single" w:color="auto" w:sz="4" w:space="0"/>
              <w:bottom w:val="single" w:color="auto" w:sz="4" w:space="0"/>
              <w:right w:val="single" w:color="auto" w:sz="4" w:space="0"/>
            </w:tcBorders>
            <w:vAlign w:val="center"/>
          </w:tcPr>
          <w:p w14:paraId="4A5BD9CE">
            <w:pPr>
              <w:pStyle w:val="6"/>
              <w:keepNext w:val="0"/>
              <w:keepLines w:val="0"/>
              <w:pageBreakBefore w:val="0"/>
              <w:widowControl/>
              <w:kinsoku w:val="0"/>
              <w:wordWrap w:val="0"/>
              <w:overflowPunct/>
              <w:topLinePunct w:val="0"/>
              <w:autoSpaceDE w:val="0"/>
              <w:autoSpaceDN w:val="0"/>
              <w:bidi w:val="0"/>
              <w:adjustRightInd w:val="0"/>
              <w:snapToGrid w:val="0"/>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单位负责人为同一人或者存在控股、管理关系的不同单位，不得同时参加本项目（提供“国家企业信用信息公示系统”</w:t>
            </w:r>
            <w:r>
              <w:rPr>
                <w:rFonts w:hint="eastAsia" w:asciiTheme="minorEastAsia" w:hAnsiTheme="minorEastAsia" w:eastAsiaTheme="minorEastAsia" w:cstheme="minorEastAsia"/>
                <w:color w:val="auto"/>
                <w:sz w:val="24"/>
                <w:szCs w:val="24"/>
                <w:highlight w:val="none"/>
                <w:lang w:val="en-US" w:eastAsia="zh-CN"/>
              </w:rPr>
              <w:t>中</w:t>
            </w:r>
            <w:r>
              <w:rPr>
                <w:rFonts w:hint="eastAsia" w:asciiTheme="minorEastAsia" w:hAnsiTheme="minorEastAsia" w:eastAsiaTheme="minorEastAsia" w:cstheme="minorEastAsia"/>
                <w:color w:val="auto"/>
                <w:sz w:val="24"/>
                <w:szCs w:val="24"/>
                <w:highlight w:val="none"/>
                <w:lang w:eastAsia="zh-CN"/>
              </w:rPr>
              <w:t>公示的公司信息、股东或投资人信息）。（查询时间自公告发布之日起）；</w:t>
            </w:r>
          </w:p>
        </w:tc>
        <w:tc>
          <w:tcPr>
            <w:tcW w:w="635" w:type="dxa"/>
            <w:tcBorders>
              <w:top w:val="single" w:color="auto" w:sz="4" w:space="0"/>
              <w:left w:val="single" w:color="auto" w:sz="4" w:space="0"/>
              <w:bottom w:val="single" w:color="auto" w:sz="4" w:space="0"/>
              <w:right w:val="single" w:color="auto" w:sz="4" w:space="0"/>
            </w:tcBorders>
            <w:vAlign w:val="center"/>
          </w:tcPr>
          <w:p w14:paraId="49161A7A">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718AD59D">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不符合</w:t>
            </w:r>
          </w:p>
        </w:tc>
      </w:tr>
      <w:tr w14:paraId="70F93945">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1133" w:hRule="atLeast"/>
        </w:trPr>
        <w:tc>
          <w:tcPr>
            <w:tcW w:w="471" w:type="dxa"/>
            <w:vMerge w:val="continue"/>
            <w:tcBorders>
              <w:left w:val="single" w:color="auto" w:sz="4" w:space="0"/>
              <w:right w:val="single" w:color="auto" w:sz="4" w:space="0"/>
            </w:tcBorders>
            <w:vAlign w:val="top"/>
          </w:tcPr>
          <w:p w14:paraId="705FD649">
            <w:pPr>
              <w:pStyle w:val="15"/>
              <w:keepNext w:val="0"/>
              <w:keepLines w:val="0"/>
              <w:pageBreakBefore w:val="0"/>
              <w:widowControl/>
              <w:kinsoku w:val="0"/>
              <w:wordWrap/>
              <w:overflowPunct/>
              <w:topLinePunct w:val="0"/>
              <w:autoSpaceDE w:val="0"/>
              <w:autoSpaceDN w:val="0"/>
              <w:bidi w:val="0"/>
              <w:adjustRightInd w:val="0"/>
              <w:snapToGrid w:val="0"/>
              <w:ind w:left="0" w:right="0"/>
              <w:textAlignment w:val="baseline"/>
              <w:outlineLvl w:val="9"/>
              <w:rPr>
                <w:rFonts w:hint="eastAsia" w:ascii="宋体" w:hAnsi="宋体" w:eastAsia="宋体" w:cs="宋体"/>
                <w:color w:val="auto"/>
                <w:sz w:val="24"/>
                <w:szCs w:val="24"/>
                <w:highlight w:val="none"/>
              </w:rPr>
            </w:pPr>
          </w:p>
        </w:tc>
        <w:tc>
          <w:tcPr>
            <w:tcW w:w="664" w:type="dxa"/>
            <w:vMerge w:val="continue"/>
            <w:tcBorders>
              <w:left w:val="single" w:color="auto" w:sz="4" w:space="0"/>
              <w:right w:val="single" w:color="auto" w:sz="4" w:space="0"/>
            </w:tcBorders>
            <w:textDirection w:val="tbRlV"/>
            <w:vAlign w:val="top"/>
          </w:tcPr>
          <w:p w14:paraId="5C402B1C">
            <w:pPr>
              <w:pStyle w:val="15"/>
              <w:keepNext w:val="0"/>
              <w:keepLines w:val="0"/>
              <w:pageBreakBefore w:val="0"/>
              <w:widowControl/>
              <w:kinsoku w:val="0"/>
              <w:wordWrap/>
              <w:overflowPunct/>
              <w:topLinePunct w:val="0"/>
              <w:autoSpaceDE w:val="0"/>
              <w:autoSpaceDN w:val="0"/>
              <w:bidi w:val="0"/>
              <w:adjustRightInd w:val="0"/>
              <w:snapToGrid w:val="0"/>
              <w:ind w:left="0" w:right="0"/>
              <w:textAlignment w:val="baseline"/>
              <w:outlineLvl w:val="9"/>
              <w:rPr>
                <w:rFonts w:hint="eastAsia" w:ascii="宋体" w:hAnsi="宋体" w:eastAsia="宋体" w:cs="宋体"/>
                <w:color w:val="auto"/>
                <w:sz w:val="24"/>
                <w:szCs w:val="24"/>
                <w:highlight w:val="none"/>
              </w:rPr>
            </w:pPr>
          </w:p>
        </w:tc>
        <w:tc>
          <w:tcPr>
            <w:tcW w:w="2286" w:type="dxa"/>
            <w:tcBorders>
              <w:top w:val="single" w:color="auto" w:sz="4" w:space="0"/>
              <w:left w:val="single" w:color="auto" w:sz="4" w:space="0"/>
              <w:bottom w:val="single" w:color="auto" w:sz="4" w:space="0"/>
              <w:right w:val="single" w:color="auto" w:sz="4" w:space="0"/>
            </w:tcBorders>
            <w:vAlign w:val="center"/>
          </w:tcPr>
          <w:p w14:paraId="61E0AF45">
            <w:pPr>
              <w:keepNext w:val="0"/>
              <w:keepLines w:val="0"/>
              <w:pageBreakBefore w:val="0"/>
              <w:widowControl/>
              <w:kinsoku w:val="0"/>
              <w:wordWrap/>
              <w:overflowPunct/>
              <w:topLinePunct w:val="0"/>
              <w:autoSpaceDE w:val="0"/>
              <w:autoSpaceDN w:val="0"/>
              <w:bidi w:val="0"/>
              <w:adjustRightInd w:val="0"/>
              <w:snapToGrid w:val="0"/>
              <w:spacing w:line="234" w:lineRule="auto"/>
              <w:ind w:left="0" w:leftChars="0" w:right="0" w:rightChars="0" w:firstLine="0" w:firstLineChars="0"/>
              <w:jc w:val="center"/>
              <w:textAlignment w:val="baseline"/>
              <w:outlineLvl w:val="9"/>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9"/>
                <w:sz w:val="24"/>
                <w:szCs w:val="24"/>
                <w:highlight w:val="none"/>
                <w:lang w:eastAsia="zh-CN"/>
              </w:rPr>
              <w:t>本项目不接受联合体投标</w:t>
            </w:r>
          </w:p>
        </w:tc>
        <w:tc>
          <w:tcPr>
            <w:tcW w:w="5196" w:type="dxa"/>
            <w:tcBorders>
              <w:top w:val="single" w:color="auto" w:sz="4" w:space="0"/>
              <w:left w:val="single" w:color="auto" w:sz="4" w:space="0"/>
              <w:bottom w:val="single" w:color="auto" w:sz="4" w:space="0"/>
              <w:right w:val="single" w:color="auto" w:sz="4" w:space="0"/>
            </w:tcBorders>
            <w:vAlign w:val="center"/>
          </w:tcPr>
          <w:p w14:paraId="606B1A0B">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rightChars="0" w:firstLine="0" w:firstLineChars="0"/>
              <w:jc w:val="both"/>
              <w:textAlignment w:val="baseline"/>
              <w:outlineLvl w:val="9"/>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lang w:eastAsia="zh-CN"/>
              </w:rPr>
              <w:t>本项目不接受联合体投标（</w:t>
            </w:r>
            <w:r>
              <w:rPr>
                <w:rFonts w:hint="eastAsia" w:ascii="宋体" w:hAnsi="宋体" w:eastAsia="宋体" w:cs="宋体"/>
                <w:color w:val="auto"/>
                <w:spacing w:val="-1"/>
                <w:sz w:val="24"/>
                <w:szCs w:val="24"/>
                <w:highlight w:val="none"/>
              </w:rPr>
              <w:t>提供供应商承诺书</w:t>
            </w:r>
            <w:r>
              <w:rPr>
                <w:rFonts w:hint="eastAsia" w:ascii="宋体" w:hAnsi="宋体" w:eastAsia="宋体" w:cs="宋体"/>
                <w:color w:val="auto"/>
                <w:spacing w:val="9"/>
                <w:sz w:val="24"/>
                <w:szCs w:val="24"/>
                <w:highlight w:val="none"/>
                <w:lang w:eastAsia="zh-CN"/>
              </w:rPr>
              <w:t>）</w:t>
            </w:r>
          </w:p>
        </w:tc>
        <w:tc>
          <w:tcPr>
            <w:tcW w:w="635" w:type="dxa"/>
            <w:tcBorders>
              <w:top w:val="single" w:color="auto" w:sz="4" w:space="0"/>
              <w:left w:val="single" w:color="auto" w:sz="4" w:space="0"/>
              <w:bottom w:val="single" w:color="auto" w:sz="4" w:space="0"/>
              <w:right w:val="single" w:color="auto" w:sz="4" w:space="0"/>
            </w:tcBorders>
            <w:vAlign w:val="center"/>
          </w:tcPr>
          <w:p w14:paraId="22730903">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符合</w:t>
            </w:r>
          </w:p>
        </w:tc>
        <w:tc>
          <w:tcPr>
            <w:tcW w:w="885" w:type="dxa"/>
            <w:tcBorders>
              <w:top w:val="single" w:color="auto" w:sz="4" w:space="0"/>
              <w:left w:val="single" w:color="auto" w:sz="4" w:space="0"/>
              <w:bottom w:val="single" w:color="auto" w:sz="4" w:space="0"/>
              <w:right w:val="single" w:color="auto" w:sz="4" w:space="0"/>
            </w:tcBorders>
            <w:vAlign w:val="center"/>
          </w:tcPr>
          <w:p w14:paraId="410DD34A">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不符合</w:t>
            </w:r>
          </w:p>
        </w:tc>
      </w:tr>
    </w:tbl>
    <w:p w14:paraId="371CDD6F">
      <w:pPr>
        <w:keepNext w:val="0"/>
        <w:keepLines w:val="0"/>
        <w:pageBreakBefore w:val="0"/>
        <w:widowControl/>
        <w:kinsoku w:val="0"/>
        <w:wordWrap/>
        <w:overflowPunct/>
        <w:topLinePunct w:val="0"/>
        <w:autoSpaceDE w:val="0"/>
        <w:autoSpaceDN w:val="0"/>
        <w:bidi w:val="0"/>
        <w:adjustRightInd w:val="0"/>
        <w:snapToGrid w:val="0"/>
        <w:spacing w:line="234" w:lineRule="auto"/>
        <w:ind w:left="0" w:leftChars="0" w:right="0" w:firstLine="0" w:firstLineChars="0"/>
        <w:jc w:val="both"/>
        <w:textAlignment w:val="baseline"/>
        <w:outlineLvl w:val="9"/>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注：由代理机构辅助征集人组建的征集人小组对供应商上传“响应文件”进行核查；</w:t>
      </w:r>
    </w:p>
    <w:p w14:paraId="1720924C">
      <w:pPr>
        <w:keepNext w:val="0"/>
        <w:keepLines w:val="0"/>
        <w:pageBreakBefore w:val="0"/>
        <w:widowControl/>
        <w:kinsoku w:val="0"/>
        <w:wordWrap/>
        <w:overflowPunct/>
        <w:topLinePunct w:val="0"/>
        <w:autoSpaceDE w:val="0"/>
        <w:autoSpaceDN w:val="0"/>
        <w:bidi w:val="0"/>
        <w:adjustRightInd w:val="0"/>
        <w:snapToGrid w:val="0"/>
        <w:spacing w:line="234" w:lineRule="auto"/>
        <w:ind w:left="0" w:leftChars="0" w:right="0" w:firstLine="0" w:firstLineChars="0"/>
        <w:jc w:val="both"/>
        <w:textAlignment w:val="baseline"/>
        <w:outlineLvl w:val="9"/>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资格审查不合格的供应商的响应文件按无效文件处理，不再进行下一步的评审。</w:t>
      </w:r>
    </w:p>
    <w:p w14:paraId="008EDD6F">
      <w:pPr>
        <w:keepNext w:val="0"/>
        <w:keepLines w:val="0"/>
        <w:pageBreakBefore w:val="0"/>
        <w:wordWrap/>
        <w:overflowPunct/>
        <w:topLinePunct w:val="0"/>
        <w:bidi w:val="0"/>
        <w:adjustRightInd w:val="0"/>
        <w:snapToGrid w:val="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7E8F9292">
      <w:pPr>
        <w:keepNext w:val="0"/>
        <w:keepLines w:val="0"/>
        <w:pageBreakBefore w:val="0"/>
        <w:wordWrap/>
        <w:overflowPunct/>
        <w:topLinePunct w:val="0"/>
        <w:bidi w:val="0"/>
        <w:adjustRightInd w:val="0"/>
        <w:snapToGrid w:val="0"/>
        <w:ind w:firstLine="544" w:firstLineChars="200"/>
        <w:outlineLvl w:val="9"/>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pPr>
      <w:bookmarkStart w:id="285" w:name="_Toc3775"/>
      <w:bookmarkStart w:id="286" w:name="_Toc24684"/>
      <w:bookmarkStart w:id="287" w:name="_Toc10155"/>
      <w:bookmarkStart w:id="288" w:name="_Toc27671"/>
    </w:p>
    <w:p w14:paraId="50D6488F">
      <w:pPr>
        <w:keepNext w:val="0"/>
        <w:keepLines w:val="0"/>
        <w:pageBreakBefore w:val="0"/>
        <w:wordWrap/>
        <w:overflowPunct/>
        <w:topLinePunct w:val="0"/>
        <w:bidi w:val="0"/>
        <w:adjustRightInd w:val="0"/>
        <w:snapToGrid w:val="0"/>
        <w:ind w:left="0" w:leftChars="0" w:firstLine="0" w:firstLineChars="0"/>
        <w:jc w:val="center"/>
        <w:outlineLvl w:val="9"/>
        <w:rPr>
          <w:rFonts w:hint="eastAsia"/>
          <w:sz w:val="28"/>
          <w:szCs w:val="28"/>
          <w:highlight w:val="none"/>
        </w:rPr>
      </w:pPr>
      <w:r>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t>附表二：符合性审查表</w:t>
      </w:r>
      <w:bookmarkEnd w:id="285"/>
      <w:bookmarkEnd w:id="286"/>
      <w:bookmarkEnd w:id="287"/>
      <w:bookmarkEnd w:id="288"/>
    </w:p>
    <w:tbl>
      <w:tblPr>
        <w:tblStyle w:val="11"/>
        <w:tblpPr w:leftFromText="180" w:rightFromText="180" w:vertAnchor="text" w:horzAnchor="page" w:tblpX="1164" w:tblpY="1362"/>
        <w:tblOverlap w:val="never"/>
        <w:tblW w:w="96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8"/>
        <w:gridCol w:w="1078"/>
        <w:gridCol w:w="1805"/>
        <w:gridCol w:w="6098"/>
      </w:tblGrid>
      <w:tr w14:paraId="76301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1706" w:type="dxa"/>
            <w:gridSpan w:val="2"/>
            <w:tcBorders>
              <w:top w:val="single" w:color="000000" w:sz="4" w:space="0"/>
              <w:left w:val="single" w:color="000000" w:sz="4" w:space="0"/>
              <w:bottom w:val="single" w:color="000000" w:sz="4" w:space="0"/>
              <w:right w:val="single" w:color="000000" w:sz="4" w:space="0"/>
            </w:tcBorders>
            <w:noWrap w:val="0"/>
            <w:vAlign w:val="center"/>
          </w:tcPr>
          <w:p w14:paraId="63A2FA27">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条款号</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573EF109">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评审因素</w:t>
            </w:r>
          </w:p>
        </w:tc>
        <w:tc>
          <w:tcPr>
            <w:tcW w:w="6098" w:type="dxa"/>
            <w:tcBorders>
              <w:top w:val="single" w:color="000000" w:sz="4" w:space="0"/>
              <w:left w:val="single" w:color="000000" w:sz="4" w:space="0"/>
              <w:bottom w:val="single" w:color="000000" w:sz="4" w:space="0"/>
              <w:right w:val="single" w:color="000000" w:sz="4" w:space="0"/>
            </w:tcBorders>
            <w:noWrap w:val="0"/>
            <w:vAlign w:val="center"/>
          </w:tcPr>
          <w:p w14:paraId="7D3D6526">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评审标准</w:t>
            </w:r>
          </w:p>
        </w:tc>
      </w:tr>
      <w:tr w14:paraId="73648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8" w:hRule="atLeast"/>
        </w:trPr>
        <w:tc>
          <w:tcPr>
            <w:tcW w:w="628" w:type="dxa"/>
            <w:vMerge w:val="restart"/>
            <w:tcBorders>
              <w:top w:val="single" w:color="000000" w:sz="4" w:space="0"/>
              <w:left w:val="single" w:color="000000" w:sz="4" w:space="0"/>
              <w:right w:val="single" w:color="000000" w:sz="4" w:space="0"/>
            </w:tcBorders>
            <w:noWrap w:val="0"/>
            <w:vAlign w:val="center"/>
          </w:tcPr>
          <w:p w14:paraId="7D13D1C9">
            <w:pPr>
              <w:keepNext w:val="0"/>
              <w:keepLines w:val="0"/>
              <w:pageBreakBefore w:val="0"/>
              <w:wordWrap/>
              <w:overflowPunct/>
              <w:topLinePunct w:val="0"/>
              <w:bidi w:val="0"/>
              <w:adjustRightInd w:val="0"/>
              <w:snapToGrid w:val="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078" w:type="dxa"/>
            <w:vMerge w:val="restart"/>
            <w:tcBorders>
              <w:top w:val="single" w:color="000000" w:sz="4" w:space="0"/>
              <w:left w:val="single" w:color="000000" w:sz="4" w:space="0"/>
              <w:right w:val="single" w:color="000000" w:sz="4" w:space="0"/>
            </w:tcBorders>
            <w:noWrap w:val="0"/>
            <w:vAlign w:val="center"/>
          </w:tcPr>
          <w:p w14:paraId="1782C955">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p w14:paraId="3F011E18">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符合性审查标准</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412AFB79">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w:t>
            </w:r>
          </w:p>
        </w:tc>
        <w:tc>
          <w:tcPr>
            <w:tcW w:w="6098" w:type="dxa"/>
            <w:tcBorders>
              <w:top w:val="single" w:color="000000" w:sz="4" w:space="0"/>
              <w:left w:val="single" w:color="000000" w:sz="4" w:space="0"/>
              <w:bottom w:val="single" w:color="000000" w:sz="4" w:space="0"/>
              <w:right w:val="single" w:color="000000" w:sz="4" w:space="0"/>
            </w:tcBorders>
            <w:noWrap w:val="0"/>
            <w:vAlign w:val="center"/>
          </w:tcPr>
          <w:p w14:paraId="6F837344">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与营业执照一致</w:t>
            </w:r>
          </w:p>
        </w:tc>
      </w:tr>
      <w:tr w14:paraId="22E50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3" w:hRule="atLeast"/>
        </w:trPr>
        <w:tc>
          <w:tcPr>
            <w:tcW w:w="628" w:type="dxa"/>
            <w:vMerge w:val="continue"/>
            <w:tcBorders>
              <w:left w:val="single" w:color="000000" w:sz="4" w:space="0"/>
              <w:right w:val="single" w:color="000000" w:sz="4" w:space="0"/>
            </w:tcBorders>
            <w:noWrap w:val="0"/>
            <w:vAlign w:val="center"/>
          </w:tcPr>
          <w:p w14:paraId="4EC71EE2">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078" w:type="dxa"/>
            <w:vMerge w:val="continue"/>
            <w:tcBorders>
              <w:left w:val="single" w:color="000000" w:sz="4" w:space="0"/>
              <w:right w:val="single" w:color="000000" w:sz="4" w:space="0"/>
            </w:tcBorders>
            <w:noWrap w:val="0"/>
            <w:vAlign w:val="center"/>
          </w:tcPr>
          <w:p w14:paraId="415947BA">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1612A574">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响应文件签署、盖章</w:t>
            </w:r>
          </w:p>
        </w:tc>
        <w:tc>
          <w:tcPr>
            <w:tcW w:w="6098" w:type="dxa"/>
            <w:tcBorders>
              <w:top w:val="single" w:color="000000" w:sz="4" w:space="0"/>
              <w:left w:val="single" w:color="000000" w:sz="4" w:space="0"/>
              <w:bottom w:val="single" w:color="000000" w:sz="4" w:space="0"/>
              <w:right w:val="single" w:color="000000" w:sz="4" w:space="0"/>
            </w:tcBorders>
            <w:noWrap w:val="0"/>
            <w:vAlign w:val="center"/>
          </w:tcPr>
          <w:p w14:paraId="69F7B57B">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响应文件按征集文件要求签署、盖章的</w:t>
            </w:r>
          </w:p>
        </w:tc>
      </w:tr>
      <w:tr w14:paraId="3A9DB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3" w:hRule="atLeast"/>
        </w:trPr>
        <w:tc>
          <w:tcPr>
            <w:tcW w:w="628" w:type="dxa"/>
            <w:vMerge w:val="continue"/>
            <w:tcBorders>
              <w:left w:val="single" w:color="000000" w:sz="4" w:space="0"/>
              <w:right w:val="single" w:color="000000" w:sz="4" w:space="0"/>
            </w:tcBorders>
            <w:noWrap w:val="0"/>
            <w:vAlign w:val="center"/>
          </w:tcPr>
          <w:p w14:paraId="6C61709A">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078" w:type="dxa"/>
            <w:vMerge w:val="continue"/>
            <w:tcBorders>
              <w:left w:val="single" w:color="000000" w:sz="4" w:space="0"/>
              <w:right w:val="single" w:color="000000" w:sz="4" w:space="0"/>
            </w:tcBorders>
            <w:noWrap w:val="0"/>
            <w:vAlign w:val="center"/>
          </w:tcPr>
          <w:p w14:paraId="45CB5368">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77FAD466">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投标文件格式</w:t>
            </w:r>
          </w:p>
        </w:tc>
        <w:tc>
          <w:tcPr>
            <w:tcW w:w="6098" w:type="dxa"/>
            <w:tcBorders>
              <w:top w:val="single" w:color="000000" w:sz="4" w:space="0"/>
              <w:left w:val="single" w:color="000000" w:sz="4" w:space="0"/>
              <w:bottom w:val="single" w:color="000000" w:sz="4" w:space="0"/>
              <w:right w:val="single" w:color="000000" w:sz="4" w:space="0"/>
            </w:tcBorders>
            <w:noWrap w:val="0"/>
            <w:vAlign w:val="center"/>
          </w:tcPr>
          <w:p w14:paraId="53A141CF">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符合第七章“投标文件格式”的要求</w:t>
            </w:r>
          </w:p>
        </w:tc>
      </w:tr>
      <w:tr w14:paraId="0B22E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3" w:hRule="atLeast"/>
        </w:trPr>
        <w:tc>
          <w:tcPr>
            <w:tcW w:w="628" w:type="dxa"/>
            <w:vMerge w:val="continue"/>
            <w:tcBorders>
              <w:left w:val="single" w:color="000000" w:sz="4" w:space="0"/>
              <w:right w:val="single" w:color="000000" w:sz="4" w:space="0"/>
            </w:tcBorders>
            <w:noWrap w:val="0"/>
            <w:vAlign w:val="center"/>
          </w:tcPr>
          <w:p w14:paraId="7B505275">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078" w:type="dxa"/>
            <w:vMerge w:val="continue"/>
            <w:tcBorders>
              <w:left w:val="single" w:color="000000" w:sz="4" w:space="0"/>
              <w:right w:val="single" w:color="000000" w:sz="4" w:space="0"/>
            </w:tcBorders>
            <w:noWrap w:val="0"/>
            <w:vAlign w:val="center"/>
          </w:tcPr>
          <w:p w14:paraId="0BB179EC">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01B1796B">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报价唯一</w:t>
            </w:r>
          </w:p>
        </w:tc>
        <w:tc>
          <w:tcPr>
            <w:tcW w:w="6098" w:type="dxa"/>
            <w:tcBorders>
              <w:top w:val="single" w:color="000000" w:sz="4" w:space="0"/>
              <w:left w:val="single" w:color="000000" w:sz="4" w:space="0"/>
              <w:bottom w:val="single" w:color="000000" w:sz="4" w:space="0"/>
              <w:right w:val="single" w:color="000000" w:sz="4" w:space="0"/>
            </w:tcBorders>
            <w:noWrap w:val="0"/>
            <w:vAlign w:val="center"/>
          </w:tcPr>
          <w:p w14:paraId="630C636D">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只能有一个有效报价</w:t>
            </w:r>
          </w:p>
        </w:tc>
      </w:tr>
    </w:tbl>
    <w:p w14:paraId="270C6B0C">
      <w:pPr>
        <w:keepNext w:val="0"/>
        <w:keepLines w:val="0"/>
        <w:pageBreakBefore w:val="0"/>
        <w:wordWrap/>
        <w:overflowPunct/>
        <w:topLinePunct w:val="0"/>
        <w:bidi w:val="0"/>
        <w:adjustRightInd w:val="0"/>
        <w:snapToGrid w:val="0"/>
        <w:ind w:firstLine="480" w:firstLineChars="200"/>
        <w:outlineLvl w:val="9"/>
        <w:rPr>
          <w:rFonts w:hint="eastAsia"/>
          <w:highlight w:val="none"/>
        </w:rPr>
      </w:pPr>
    </w:p>
    <w:p w14:paraId="46B872FB">
      <w:pPr>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pPr>
      <w:bookmarkStart w:id="289" w:name="_Toc24053"/>
      <w:bookmarkStart w:id="290" w:name="_Toc22426"/>
      <w:bookmarkStart w:id="291" w:name="_Toc26240"/>
      <w:bookmarkStart w:id="292" w:name="_Toc11054"/>
      <w:r>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br w:type="page"/>
      </w:r>
    </w:p>
    <w:p w14:paraId="314ADAFA">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pPr>
      <w:r>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t>附表三：实质性响应表</w:t>
      </w:r>
    </w:p>
    <w:tbl>
      <w:tblPr>
        <w:tblStyle w:val="11"/>
        <w:tblpPr w:leftFromText="180" w:rightFromText="180" w:vertAnchor="text" w:horzAnchor="page" w:tblpX="1273" w:tblpY="541"/>
        <w:tblOverlap w:val="never"/>
        <w:tblW w:w="978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4"/>
        <w:gridCol w:w="1022"/>
        <w:gridCol w:w="1985"/>
        <w:gridCol w:w="6095"/>
      </w:tblGrid>
      <w:tr w14:paraId="76D7E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4" w:hRule="atLeast"/>
        </w:trPr>
        <w:tc>
          <w:tcPr>
            <w:tcW w:w="1706" w:type="dxa"/>
            <w:gridSpan w:val="2"/>
            <w:tcBorders>
              <w:top w:val="single" w:color="000000" w:sz="4" w:space="0"/>
              <w:left w:val="single" w:color="000000" w:sz="4" w:space="0"/>
              <w:bottom w:val="single" w:color="000000" w:sz="4" w:space="0"/>
              <w:right w:val="single" w:color="000000" w:sz="4" w:space="0"/>
            </w:tcBorders>
            <w:noWrap w:val="0"/>
            <w:vAlign w:val="center"/>
          </w:tcPr>
          <w:p w14:paraId="1AF2D390">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条款号</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5FFFF3D9">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评审因素</w:t>
            </w:r>
          </w:p>
        </w:tc>
        <w:tc>
          <w:tcPr>
            <w:tcW w:w="6095" w:type="dxa"/>
            <w:tcBorders>
              <w:top w:val="single" w:color="000000" w:sz="4" w:space="0"/>
              <w:left w:val="single" w:color="000000" w:sz="4" w:space="0"/>
              <w:bottom w:val="single" w:color="000000" w:sz="4" w:space="0"/>
              <w:right w:val="single" w:color="000000" w:sz="4" w:space="0"/>
            </w:tcBorders>
            <w:noWrap w:val="0"/>
            <w:vAlign w:val="center"/>
          </w:tcPr>
          <w:p w14:paraId="500439BE">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评审标准</w:t>
            </w:r>
          </w:p>
        </w:tc>
      </w:tr>
      <w:tr w14:paraId="4C129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3" w:hRule="atLeast"/>
        </w:trPr>
        <w:tc>
          <w:tcPr>
            <w:tcW w:w="684" w:type="dxa"/>
            <w:vMerge w:val="restart"/>
            <w:tcBorders>
              <w:left w:val="single" w:color="000000" w:sz="4" w:space="0"/>
              <w:right w:val="single" w:color="000000" w:sz="4" w:space="0"/>
            </w:tcBorders>
            <w:noWrap w:val="0"/>
            <w:vAlign w:val="center"/>
          </w:tcPr>
          <w:p w14:paraId="7E404D03">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022" w:type="dxa"/>
            <w:vMerge w:val="restart"/>
            <w:tcBorders>
              <w:left w:val="single" w:color="000000" w:sz="4" w:space="0"/>
              <w:right w:val="single" w:color="000000" w:sz="4" w:space="0"/>
            </w:tcBorders>
            <w:noWrap w:val="0"/>
            <w:vAlign w:val="center"/>
          </w:tcPr>
          <w:p w14:paraId="69CBB686">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实质性</w:t>
            </w:r>
          </w:p>
          <w:p w14:paraId="380CFCA8">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响应评审标准</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76E66A74">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框架协议的期限/服务期限</w:t>
            </w:r>
          </w:p>
        </w:tc>
        <w:tc>
          <w:tcPr>
            <w:tcW w:w="6095" w:type="dxa"/>
            <w:tcBorders>
              <w:top w:val="single" w:color="000000" w:sz="4" w:space="0"/>
              <w:left w:val="single" w:color="000000" w:sz="4" w:space="0"/>
              <w:bottom w:val="single" w:color="000000" w:sz="4" w:space="0"/>
              <w:right w:val="single" w:color="000000" w:sz="4" w:space="0"/>
            </w:tcBorders>
            <w:noWrap w:val="0"/>
            <w:vAlign w:val="center"/>
          </w:tcPr>
          <w:p w14:paraId="49FC4BB3">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w:t>
            </w:r>
          </w:p>
        </w:tc>
      </w:tr>
      <w:tr w14:paraId="084CF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3" w:hRule="atLeast"/>
        </w:trPr>
        <w:tc>
          <w:tcPr>
            <w:tcW w:w="684" w:type="dxa"/>
            <w:vMerge w:val="continue"/>
            <w:tcBorders>
              <w:left w:val="single" w:color="000000" w:sz="4" w:space="0"/>
              <w:right w:val="single" w:color="000000" w:sz="4" w:space="0"/>
            </w:tcBorders>
            <w:noWrap w:val="0"/>
            <w:vAlign w:val="center"/>
          </w:tcPr>
          <w:p w14:paraId="3F3E29C4">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022" w:type="dxa"/>
            <w:vMerge w:val="continue"/>
            <w:tcBorders>
              <w:left w:val="single" w:color="000000" w:sz="4" w:space="0"/>
              <w:right w:val="single" w:color="000000" w:sz="4" w:space="0"/>
            </w:tcBorders>
            <w:noWrap w:val="0"/>
            <w:vAlign w:val="center"/>
          </w:tcPr>
          <w:p w14:paraId="324BCA0D">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6B152A3D">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服务标准</w:t>
            </w:r>
          </w:p>
        </w:tc>
        <w:tc>
          <w:tcPr>
            <w:tcW w:w="6095" w:type="dxa"/>
            <w:tcBorders>
              <w:top w:val="single" w:color="000000" w:sz="4" w:space="0"/>
              <w:left w:val="single" w:color="000000" w:sz="4" w:space="0"/>
              <w:bottom w:val="single" w:color="000000" w:sz="4" w:space="0"/>
              <w:right w:val="single" w:color="000000" w:sz="4" w:space="0"/>
            </w:tcBorders>
            <w:noWrap w:val="0"/>
            <w:vAlign w:val="center"/>
          </w:tcPr>
          <w:p w14:paraId="5F191E11">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符合国家及行业合格标准，满足征集人及服务对象要求</w:t>
            </w:r>
          </w:p>
        </w:tc>
      </w:tr>
      <w:tr w14:paraId="2F8A7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3" w:hRule="atLeast"/>
        </w:trPr>
        <w:tc>
          <w:tcPr>
            <w:tcW w:w="684" w:type="dxa"/>
            <w:vMerge w:val="continue"/>
            <w:tcBorders>
              <w:left w:val="single" w:color="000000" w:sz="4" w:space="0"/>
              <w:bottom w:val="single" w:color="000000" w:sz="4" w:space="0"/>
              <w:right w:val="single" w:color="000000" w:sz="4" w:space="0"/>
            </w:tcBorders>
            <w:noWrap w:val="0"/>
            <w:vAlign w:val="center"/>
          </w:tcPr>
          <w:p w14:paraId="0AB70A40">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022" w:type="dxa"/>
            <w:vMerge w:val="continue"/>
            <w:tcBorders>
              <w:left w:val="single" w:color="000000" w:sz="4" w:space="0"/>
              <w:bottom w:val="single" w:color="000000" w:sz="4" w:space="0"/>
              <w:right w:val="single" w:color="000000" w:sz="4" w:space="0"/>
            </w:tcBorders>
            <w:noWrap w:val="0"/>
            <w:vAlign w:val="center"/>
          </w:tcPr>
          <w:p w14:paraId="3C98A744">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283C7F52">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投标有效期</w:t>
            </w:r>
          </w:p>
        </w:tc>
        <w:tc>
          <w:tcPr>
            <w:tcW w:w="6095" w:type="dxa"/>
            <w:tcBorders>
              <w:top w:val="single" w:color="000000" w:sz="4" w:space="0"/>
              <w:left w:val="single" w:color="000000" w:sz="4" w:space="0"/>
              <w:bottom w:val="single" w:color="000000" w:sz="4" w:space="0"/>
              <w:right w:val="single" w:color="000000" w:sz="4" w:space="0"/>
            </w:tcBorders>
            <w:noWrap w:val="0"/>
            <w:vAlign w:val="center"/>
          </w:tcPr>
          <w:p w14:paraId="649AD2B3">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投标截止之日起</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0日历天</w:t>
            </w:r>
          </w:p>
        </w:tc>
      </w:tr>
      <w:tr w14:paraId="371F2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3" w:hRule="atLeast"/>
        </w:trPr>
        <w:tc>
          <w:tcPr>
            <w:tcW w:w="684" w:type="dxa"/>
            <w:vMerge w:val="continue"/>
            <w:tcBorders>
              <w:left w:val="single" w:color="000000" w:sz="4" w:space="0"/>
              <w:bottom w:val="single" w:color="000000" w:sz="4" w:space="0"/>
              <w:right w:val="single" w:color="000000" w:sz="4" w:space="0"/>
            </w:tcBorders>
            <w:noWrap w:val="0"/>
            <w:vAlign w:val="center"/>
          </w:tcPr>
          <w:p w14:paraId="15900124">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022" w:type="dxa"/>
            <w:vMerge w:val="continue"/>
            <w:tcBorders>
              <w:left w:val="single" w:color="000000" w:sz="4" w:space="0"/>
              <w:bottom w:val="single" w:color="000000" w:sz="4" w:space="0"/>
              <w:right w:val="single" w:color="000000" w:sz="4" w:space="0"/>
            </w:tcBorders>
            <w:noWrap w:val="0"/>
            <w:vAlign w:val="center"/>
          </w:tcPr>
          <w:p w14:paraId="10D23F87">
            <w:pPr>
              <w:keepNext w:val="0"/>
              <w:keepLines w:val="0"/>
              <w:pageBreakBefore w:val="0"/>
              <w:wordWrap/>
              <w:overflowPunct/>
              <w:topLinePunct w:val="0"/>
              <w:bidi w:val="0"/>
              <w:adjustRightInd w:val="0"/>
              <w:snapToGrid w:val="0"/>
              <w:outlineLvl w:val="9"/>
              <w:rPr>
                <w:rFonts w:hint="eastAsia" w:ascii="宋体" w:hAnsi="宋体" w:eastAsia="宋体" w:cs="宋体"/>
                <w:sz w:val="24"/>
                <w:szCs w:val="24"/>
                <w:highlight w:val="none"/>
              </w:rPr>
            </w:pP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551F9ABE">
            <w:pPr>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投标报价</w:t>
            </w:r>
          </w:p>
        </w:tc>
        <w:tc>
          <w:tcPr>
            <w:tcW w:w="6095" w:type="dxa"/>
            <w:tcBorders>
              <w:top w:val="single" w:color="000000" w:sz="4" w:space="0"/>
              <w:left w:val="single" w:color="000000" w:sz="4" w:space="0"/>
              <w:bottom w:val="single" w:color="000000" w:sz="4" w:space="0"/>
              <w:right w:val="single" w:color="000000" w:sz="4" w:space="0"/>
            </w:tcBorders>
            <w:noWrap w:val="0"/>
            <w:vAlign w:val="center"/>
          </w:tcPr>
          <w:p w14:paraId="563C24EB">
            <w:pPr>
              <w:keepNext w:val="0"/>
              <w:keepLines w:val="0"/>
              <w:pageBreakBefore w:val="0"/>
              <w:wordWrap/>
              <w:overflowPunct/>
              <w:topLinePunct w:val="0"/>
              <w:bidi w:val="0"/>
              <w:adjustRightInd w:val="0"/>
              <w:snapToGrid w:val="0"/>
              <w:ind w:left="0" w:lef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未超过征集文件中规定的最高限价（费率）的</w:t>
            </w:r>
          </w:p>
        </w:tc>
      </w:tr>
    </w:tbl>
    <w:p w14:paraId="63DCDCE4">
      <w:pPr>
        <w:spacing w:after="120" w:line="480" w:lineRule="exact"/>
        <w:ind w:left="480" w:leftChars="200" w:firstLine="482" w:firstLineChars="200"/>
        <w:rPr>
          <w:rFonts w:hint="eastAsia" w:ascii="宋体" w:hAnsi="宋体" w:cs="宋体"/>
          <w:b/>
          <w:bCs/>
          <w:sz w:val="24"/>
        </w:rPr>
      </w:pPr>
    </w:p>
    <w:p w14:paraId="6DB4738F">
      <w:pPr>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pPr>
      <w:r>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br w:type="page"/>
      </w:r>
    </w:p>
    <w:p w14:paraId="2E55D51E">
      <w:pPr>
        <w:keepNext w:val="0"/>
        <w:keepLines w:val="0"/>
        <w:pageBreakBefore w:val="0"/>
        <w:wordWrap/>
        <w:overflowPunct/>
        <w:topLinePunct w:val="0"/>
        <w:bidi w:val="0"/>
        <w:adjustRightInd w:val="0"/>
        <w:snapToGrid w:val="0"/>
        <w:spacing w:before="91" w:line="219" w:lineRule="auto"/>
        <w:ind w:left="268" w:leftChars="0" w:firstLine="544" w:firstLineChars="200"/>
        <w:outlineLvl w:val="9"/>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pPr>
      <w:r>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t>附表</w:t>
      </w:r>
      <w:r>
        <w:rPr>
          <w:rFonts w:hint="eastAsia" w:ascii="宋体" w:hAnsi="宋体" w:eastAsia="宋体" w:cs="宋体"/>
          <w:color w:val="auto"/>
          <w:spacing w:val="-4"/>
          <w:sz w:val="28"/>
          <w:szCs w:val="28"/>
          <w:highlight w:val="none"/>
          <w:lang w:val="en-US" w:eastAsia="zh-CN"/>
          <w14:textOutline w14:w="5094" w14:cap="flat" w14:cmpd="sng">
            <w14:solidFill>
              <w14:srgbClr w14:val="000000"/>
            </w14:solidFill>
            <w14:prstDash w14:val="solid"/>
            <w14:miter w14:val="0"/>
          </w14:textOutline>
        </w:rPr>
        <w:t>四</w:t>
      </w:r>
      <w:r>
        <w:rPr>
          <w:rFonts w:hint="eastAsia" w:ascii="宋体" w:hAnsi="宋体" w:eastAsia="宋体" w:cs="宋体"/>
          <w:color w:val="auto"/>
          <w:spacing w:val="-4"/>
          <w:sz w:val="28"/>
          <w:szCs w:val="28"/>
          <w:highlight w:val="none"/>
          <w14:textOutline w14:w="5094" w14:cap="flat" w14:cmpd="sng">
            <w14:solidFill>
              <w14:srgbClr w14:val="000000"/>
            </w14:solidFill>
            <w14:prstDash w14:val="solid"/>
            <w14:miter w14:val="0"/>
          </w14:textOutline>
        </w:rPr>
        <w:t>：详细评审表</w:t>
      </w:r>
      <w:bookmarkEnd w:id="289"/>
      <w:bookmarkEnd w:id="290"/>
      <w:bookmarkEnd w:id="291"/>
      <w:bookmarkEnd w:id="292"/>
    </w:p>
    <w:p w14:paraId="5BCF9485">
      <w:pPr>
        <w:pStyle w:val="6"/>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outlineLvl w:val="9"/>
        <w:rPr>
          <w:rFonts w:hint="eastAsia"/>
          <w:sz w:val="24"/>
          <w:szCs w:val="24"/>
          <w:highlight w:val="none"/>
        </w:rPr>
      </w:pPr>
    </w:p>
    <w:tbl>
      <w:tblPr>
        <w:tblStyle w:val="14"/>
        <w:tblpPr w:leftFromText="180" w:rightFromText="180" w:vertAnchor="text" w:horzAnchor="page" w:tblpX="1207" w:tblpY="28"/>
        <w:tblOverlap w:val="never"/>
        <w:tblW w:w="95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5"/>
        <w:gridCol w:w="1454"/>
        <w:gridCol w:w="7073"/>
      </w:tblGrid>
      <w:tr w14:paraId="721F04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2519" w:type="dxa"/>
            <w:gridSpan w:val="2"/>
            <w:vAlign w:val="center"/>
          </w:tcPr>
          <w:p w14:paraId="57509171">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分项划分</w:t>
            </w:r>
          </w:p>
        </w:tc>
        <w:tc>
          <w:tcPr>
            <w:tcW w:w="7073" w:type="dxa"/>
            <w:vAlign w:val="center"/>
          </w:tcPr>
          <w:p w14:paraId="6A050A92">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打分细则</w:t>
            </w:r>
          </w:p>
        </w:tc>
      </w:tr>
      <w:tr w14:paraId="40BAB6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2519" w:type="dxa"/>
            <w:gridSpan w:val="2"/>
            <w:vMerge w:val="restart"/>
            <w:tcBorders>
              <w:bottom w:val="nil"/>
            </w:tcBorders>
            <w:vAlign w:val="center"/>
          </w:tcPr>
          <w:p w14:paraId="192B872F">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分值构成</w:t>
            </w:r>
          </w:p>
          <w:p w14:paraId="2CAD2FE5">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（总分</w:t>
            </w:r>
            <w:r>
              <w:rPr>
                <w:rFonts w:hint="eastAsia" w:ascii="宋体" w:hAnsi="宋体" w:eastAsia="宋体" w:cs="宋体"/>
                <w:color w:val="auto"/>
                <w:spacing w:val="-19"/>
                <w:sz w:val="24"/>
                <w:szCs w:val="24"/>
                <w:highlight w:val="none"/>
              </w:rPr>
              <w:t xml:space="preserve"> </w:t>
            </w:r>
            <w:r>
              <w:rPr>
                <w:rFonts w:hint="eastAsia" w:ascii="宋体" w:hAnsi="宋体" w:eastAsia="宋体" w:cs="宋体"/>
                <w:color w:val="auto"/>
                <w:spacing w:val="-9"/>
                <w:sz w:val="24"/>
                <w:szCs w:val="24"/>
                <w:highlight w:val="none"/>
              </w:rPr>
              <w:t>100</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9"/>
                <w:sz w:val="24"/>
                <w:szCs w:val="24"/>
                <w:highlight w:val="none"/>
              </w:rPr>
              <w:t>分）</w:t>
            </w:r>
          </w:p>
        </w:tc>
        <w:tc>
          <w:tcPr>
            <w:tcW w:w="7073" w:type="dxa"/>
            <w:vAlign w:val="top"/>
          </w:tcPr>
          <w:p w14:paraId="5A8FEBA0">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响应报价：</w:t>
            </w:r>
            <w:r>
              <w:rPr>
                <w:rFonts w:hint="eastAsia" w:ascii="宋体" w:hAnsi="宋体" w:eastAsia="宋体" w:cs="宋体"/>
                <w:color w:val="auto"/>
                <w:spacing w:val="-3"/>
                <w:sz w:val="24"/>
                <w:szCs w:val="24"/>
                <w:highlight w:val="none"/>
                <w:lang w:val="en-US" w:eastAsia="zh-CN"/>
              </w:rPr>
              <w:t>20</w:t>
            </w:r>
            <w:r>
              <w:rPr>
                <w:rFonts w:hint="eastAsia" w:ascii="宋体" w:hAnsi="宋体" w:eastAsia="宋体" w:cs="宋体"/>
                <w:color w:val="auto"/>
                <w:spacing w:val="-3"/>
                <w:sz w:val="24"/>
                <w:szCs w:val="24"/>
                <w:highlight w:val="none"/>
              </w:rPr>
              <w:t>分</w:t>
            </w:r>
          </w:p>
        </w:tc>
      </w:tr>
      <w:tr w14:paraId="4739DC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2519" w:type="dxa"/>
            <w:gridSpan w:val="2"/>
            <w:vMerge w:val="continue"/>
            <w:tcBorders>
              <w:top w:val="nil"/>
              <w:bottom w:val="nil"/>
            </w:tcBorders>
            <w:vAlign w:val="top"/>
          </w:tcPr>
          <w:p w14:paraId="116ADDA9">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tc>
        <w:tc>
          <w:tcPr>
            <w:tcW w:w="7073" w:type="dxa"/>
            <w:vAlign w:val="top"/>
          </w:tcPr>
          <w:p w14:paraId="6672432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技术部分：</w:t>
            </w:r>
            <w:r>
              <w:rPr>
                <w:rFonts w:hint="eastAsia" w:ascii="宋体" w:hAnsi="宋体" w:eastAsia="宋体" w:cs="宋体"/>
                <w:color w:val="auto"/>
                <w:spacing w:val="-2"/>
                <w:sz w:val="24"/>
                <w:szCs w:val="24"/>
                <w:highlight w:val="none"/>
                <w:lang w:val="en-US" w:eastAsia="zh-CN"/>
              </w:rPr>
              <w:t>60</w:t>
            </w:r>
            <w:r>
              <w:rPr>
                <w:rFonts w:hint="eastAsia" w:ascii="宋体" w:hAnsi="宋体" w:eastAsia="宋体" w:cs="宋体"/>
                <w:color w:val="auto"/>
                <w:spacing w:val="-44"/>
                <w:sz w:val="24"/>
                <w:szCs w:val="24"/>
                <w:highlight w:val="none"/>
              </w:rPr>
              <w:t xml:space="preserve"> </w:t>
            </w:r>
            <w:r>
              <w:rPr>
                <w:rFonts w:hint="eastAsia" w:ascii="宋体" w:hAnsi="宋体" w:eastAsia="宋体" w:cs="宋体"/>
                <w:color w:val="auto"/>
                <w:spacing w:val="-2"/>
                <w:sz w:val="24"/>
                <w:szCs w:val="24"/>
                <w:highlight w:val="none"/>
              </w:rPr>
              <w:t>分</w:t>
            </w:r>
          </w:p>
        </w:tc>
      </w:tr>
      <w:tr w14:paraId="17F5F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2519" w:type="dxa"/>
            <w:gridSpan w:val="2"/>
            <w:vMerge w:val="continue"/>
            <w:tcBorders>
              <w:top w:val="nil"/>
            </w:tcBorders>
            <w:vAlign w:val="top"/>
          </w:tcPr>
          <w:p w14:paraId="54D66554">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tc>
        <w:tc>
          <w:tcPr>
            <w:tcW w:w="7073" w:type="dxa"/>
            <w:vAlign w:val="top"/>
          </w:tcPr>
          <w:p w14:paraId="176ED84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综合部分：</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18"/>
                <w:sz w:val="24"/>
                <w:szCs w:val="24"/>
                <w:highlight w:val="none"/>
              </w:rPr>
              <w:t>20</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18"/>
                <w:sz w:val="24"/>
                <w:szCs w:val="24"/>
                <w:highlight w:val="none"/>
              </w:rPr>
              <w:t>分</w:t>
            </w:r>
          </w:p>
        </w:tc>
      </w:tr>
      <w:tr w14:paraId="1AB7D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065" w:type="dxa"/>
            <w:vAlign w:val="center"/>
          </w:tcPr>
          <w:p w14:paraId="66832CBA">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3B2FAB5C">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1C7796AC">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5745D8AE">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23A56656">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4134CF57">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5D1F8DEF">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4C9EC7A1">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18120424">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78935BF8">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1D44DDEA">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3943BE9E">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5FA6FB54">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2318FB21">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68791BB2">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商务标</w:t>
            </w:r>
            <w:r>
              <w:rPr>
                <w:rFonts w:hint="eastAsia" w:ascii="宋体" w:hAnsi="宋体" w:eastAsia="宋体" w:cs="宋体"/>
                <w:color w:val="auto"/>
                <w:spacing w:val="-2"/>
                <w:sz w:val="24"/>
                <w:szCs w:val="24"/>
                <w:highlight w:val="none"/>
              </w:rPr>
              <w:t>评审标</w:t>
            </w:r>
            <w:r>
              <w:rPr>
                <w:rFonts w:hint="eastAsia" w:ascii="宋体" w:hAnsi="宋体" w:eastAsia="宋体" w:cs="宋体"/>
                <w:color w:val="auto"/>
                <w:sz w:val="24"/>
                <w:szCs w:val="24"/>
                <w:highlight w:val="none"/>
              </w:rPr>
              <w:t>准</w:t>
            </w:r>
          </w:p>
          <w:p w14:paraId="5795C1A2">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9"/>
                <w:sz w:val="24"/>
                <w:szCs w:val="24"/>
                <w:highlight w:val="none"/>
                <w:lang w:val="en-US" w:eastAsia="zh-CN"/>
              </w:rPr>
              <w:t>20</w:t>
            </w:r>
            <w:r>
              <w:rPr>
                <w:rFonts w:hint="eastAsia" w:ascii="宋体" w:hAnsi="宋体" w:eastAsia="宋体" w:cs="宋体"/>
                <w:color w:val="auto"/>
                <w:spacing w:val="-9"/>
                <w:sz w:val="24"/>
                <w:szCs w:val="24"/>
                <w:highlight w:val="none"/>
              </w:rPr>
              <w:t>分）</w:t>
            </w:r>
          </w:p>
        </w:tc>
        <w:tc>
          <w:tcPr>
            <w:tcW w:w="1454" w:type="dxa"/>
            <w:vAlign w:val="top"/>
          </w:tcPr>
          <w:p w14:paraId="0C0BDE83">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5C5EB3AE">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7F87AD99">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52EECD05">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483856C5">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1C1437E6">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27355714">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48A535AD">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061DC90E">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517537F9">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1DA3BE91">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61978512">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51BED199">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79A6EC85">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7DAD77F9">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0F6B119C">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21193570">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501BC018">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559D73F2">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10E0AF92">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603C0942">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p>
          <w:p w14:paraId="1AA67B42">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响应报价</w:t>
            </w:r>
          </w:p>
        </w:tc>
        <w:tc>
          <w:tcPr>
            <w:tcW w:w="7073" w:type="dxa"/>
            <w:vAlign w:val="top"/>
          </w:tcPr>
          <w:p w14:paraId="5056EAB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
              <w:jc w:val="both"/>
              <w:textAlignment w:val="baseline"/>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本项目投标价超出最高限价的，采购人不予接受，且投标为无效标。</w:t>
            </w:r>
          </w:p>
          <w:p w14:paraId="4E188AB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
              <w:jc w:val="both"/>
              <w:textAlignment w:val="baseline"/>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投标报价得分：价格分采用低价优先法计算，即满足招标文件要求且投标价格最低的投标报价为评标基准价，得</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0分，其他供应商的价格分按照下列公式计算：报价得分=（评标基准价/投标报价）×</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0×100%</w:t>
            </w:r>
          </w:p>
          <w:p w14:paraId="1DACE80B">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
              <w:jc w:val="both"/>
              <w:textAlignment w:val="baseline"/>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 1.得分四舍五入后保留两位小数。</w:t>
            </w:r>
          </w:p>
          <w:p w14:paraId="74AE452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
              <w:jc w:val="both"/>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2.评审小组发现供应商的报价明显低于其他响应报价，使得其响应</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z w:val="24"/>
                <w:szCs w:val="24"/>
                <w:highlight w:val="none"/>
              </w:rPr>
              <w:t>报价可能低于其个别成本的，应当要求该供应</w:t>
            </w:r>
            <w:r>
              <w:rPr>
                <w:rFonts w:hint="eastAsia" w:ascii="宋体" w:hAnsi="宋体" w:eastAsia="宋体" w:cs="宋体"/>
                <w:color w:val="auto"/>
                <w:spacing w:val="-1"/>
                <w:sz w:val="24"/>
                <w:szCs w:val="24"/>
                <w:highlight w:val="none"/>
              </w:rPr>
              <w:t>商作出书面说明并提</w:t>
            </w:r>
            <w:r>
              <w:rPr>
                <w:rFonts w:hint="eastAsia" w:ascii="宋体" w:hAnsi="宋体" w:eastAsia="宋体" w:cs="宋体"/>
                <w:color w:val="auto"/>
                <w:sz w:val="24"/>
                <w:szCs w:val="24"/>
                <w:highlight w:val="none"/>
              </w:rPr>
              <w:t>供相应的证明材料。供应商不能合理说明或者</w:t>
            </w:r>
            <w:r>
              <w:rPr>
                <w:rFonts w:hint="eastAsia" w:ascii="宋体" w:hAnsi="宋体" w:eastAsia="宋体" w:cs="宋体"/>
                <w:color w:val="auto"/>
                <w:spacing w:val="-1"/>
                <w:sz w:val="24"/>
                <w:szCs w:val="24"/>
                <w:highlight w:val="none"/>
              </w:rPr>
              <w:t>不能提供相应证明材</w:t>
            </w:r>
            <w:r>
              <w:rPr>
                <w:rFonts w:hint="eastAsia" w:ascii="宋体" w:hAnsi="宋体" w:eastAsia="宋体" w:cs="宋体"/>
                <w:color w:val="auto"/>
                <w:sz w:val="24"/>
                <w:szCs w:val="24"/>
                <w:highlight w:val="none"/>
              </w:rPr>
              <w:t>料的，由评审小组认定该供应商以低于成本报价</w:t>
            </w:r>
            <w:r>
              <w:rPr>
                <w:rFonts w:hint="eastAsia" w:ascii="宋体" w:hAnsi="宋体" w:eastAsia="宋体" w:cs="宋体"/>
                <w:color w:val="auto"/>
                <w:spacing w:val="-1"/>
                <w:sz w:val="24"/>
                <w:szCs w:val="24"/>
                <w:highlight w:val="none"/>
              </w:rPr>
              <w:t>竞标，其响应作无</w:t>
            </w:r>
            <w:r>
              <w:rPr>
                <w:rFonts w:hint="eastAsia" w:ascii="宋体" w:hAnsi="宋体" w:eastAsia="宋体" w:cs="宋体"/>
                <w:color w:val="auto"/>
                <w:spacing w:val="-7"/>
                <w:sz w:val="24"/>
                <w:szCs w:val="24"/>
                <w:highlight w:val="none"/>
              </w:rPr>
              <w:t>效响应处理。</w:t>
            </w:r>
          </w:p>
          <w:p w14:paraId="48CEAA0C">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2"/>
              <w:jc w:val="both"/>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3.为了促进中小企业发展，根据《中华人民共和国政府采购法实施条例》第六条和财库</w:t>
            </w:r>
            <w:r>
              <w:rPr>
                <w:rFonts w:hint="eastAsia" w:ascii="宋体" w:hAnsi="宋体" w:eastAsia="宋体" w:cs="宋体"/>
                <w:color w:val="auto"/>
                <w:spacing w:val="-1"/>
                <w:sz w:val="24"/>
                <w:szCs w:val="24"/>
                <w:highlight w:val="none"/>
                <w:lang w:eastAsia="zh-CN"/>
              </w:rPr>
              <w:t>〔2020〕</w:t>
            </w:r>
            <w:r>
              <w:rPr>
                <w:rFonts w:hint="eastAsia" w:ascii="宋体" w:hAnsi="宋体" w:eastAsia="宋体" w:cs="宋体"/>
                <w:color w:val="auto"/>
                <w:spacing w:val="-1"/>
                <w:sz w:val="24"/>
                <w:szCs w:val="24"/>
                <w:highlight w:val="none"/>
              </w:rPr>
              <w:t>46</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1"/>
                <w:sz w:val="24"/>
                <w:szCs w:val="24"/>
                <w:highlight w:val="none"/>
              </w:rPr>
              <w:t>号规定、财政部民政部中国残疾人联</w:t>
            </w:r>
            <w:r>
              <w:rPr>
                <w:rFonts w:hint="eastAsia" w:ascii="宋体" w:hAnsi="宋体" w:eastAsia="宋体" w:cs="宋体"/>
                <w:color w:val="auto"/>
                <w:sz w:val="24"/>
                <w:szCs w:val="24"/>
                <w:highlight w:val="none"/>
              </w:rPr>
              <w:t>合会《关于促进残疾人就业政府采购政策的通</w:t>
            </w:r>
            <w:r>
              <w:rPr>
                <w:rFonts w:hint="eastAsia" w:ascii="宋体" w:hAnsi="宋体" w:eastAsia="宋体" w:cs="宋体"/>
                <w:color w:val="auto"/>
                <w:spacing w:val="-1"/>
                <w:sz w:val="24"/>
                <w:szCs w:val="24"/>
                <w:highlight w:val="none"/>
              </w:rPr>
              <w:t>知》（财库〔2017〕</w:t>
            </w:r>
            <w:r>
              <w:rPr>
                <w:rFonts w:hint="eastAsia" w:ascii="宋体" w:hAnsi="宋体" w:eastAsia="宋体" w:cs="宋体"/>
                <w:color w:val="auto"/>
                <w:spacing w:val="-5"/>
                <w:sz w:val="24"/>
                <w:szCs w:val="24"/>
                <w:highlight w:val="none"/>
              </w:rPr>
              <w:t>141</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5"/>
                <w:sz w:val="24"/>
                <w:szCs w:val="24"/>
                <w:highlight w:val="none"/>
              </w:rPr>
              <w:t>号）规定、财政部司法部《关于政府采购支持监狱企业发展有关</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问题的通知》（财库</w:t>
            </w:r>
            <w:r>
              <w:rPr>
                <w:rFonts w:hint="eastAsia" w:ascii="宋体" w:hAnsi="宋体" w:eastAsia="宋体" w:cs="宋体"/>
                <w:color w:val="auto"/>
                <w:spacing w:val="-1"/>
                <w:sz w:val="24"/>
                <w:szCs w:val="24"/>
                <w:highlight w:val="none"/>
              </w:rPr>
              <w:t>〔201</w:t>
            </w:r>
            <w:r>
              <w:rPr>
                <w:rFonts w:hint="eastAsia" w:ascii="宋体" w:hAnsi="宋体" w:eastAsia="宋体" w:cs="宋体"/>
                <w:color w:val="auto"/>
                <w:spacing w:val="-1"/>
                <w:sz w:val="24"/>
                <w:szCs w:val="24"/>
                <w:highlight w:val="none"/>
                <w:lang w:val="en-US" w:eastAsia="zh-CN"/>
              </w:rPr>
              <w:t>4</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3"/>
                <w:sz w:val="24"/>
                <w:szCs w:val="24"/>
                <w:highlight w:val="none"/>
              </w:rPr>
              <w:t>68</w:t>
            </w:r>
            <w:r>
              <w:rPr>
                <w:rFonts w:hint="eastAsia" w:ascii="宋体" w:hAnsi="宋体" w:eastAsia="宋体" w:cs="宋体"/>
                <w:color w:val="auto"/>
                <w:spacing w:val="-36"/>
                <w:sz w:val="24"/>
                <w:szCs w:val="24"/>
                <w:highlight w:val="none"/>
              </w:rPr>
              <w:t xml:space="preserve"> </w:t>
            </w:r>
            <w:r>
              <w:rPr>
                <w:rFonts w:hint="eastAsia" w:ascii="宋体" w:hAnsi="宋体" w:eastAsia="宋体" w:cs="宋体"/>
                <w:color w:val="auto"/>
                <w:spacing w:val="-3"/>
                <w:sz w:val="24"/>
                <w:szCs w:val="24"/>
                <w:highlight w:val="none"/>
              </w:rPr>
              <w:t>号）规定，国务院</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3"/>
                <w:sz w:val="24"/>
                <w:szCs w:val="24"/>
                <w:highlight w:val="none"/>
              </w:rPr>
              <w:t>2022</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3"/>
                <w:sz w:val="24"/>
                <w:szCs w:val="24"/>
                <w:highlight w:val="none"/>
              </w:rPr>
              <w:t>年</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3"/>
                <w:sz w:val="24"/>
                <w:szCs w:val="24"/>
                <w:highlight w:val="none"/>
              </w:rPr>
              <w:t>5</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3"/>
                <w:sz w:val="24"/>
                <w:szCs w:val="24"/>
                <w:highlight w:val="none"/>
              </w:rPr>
              <w:t>月</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3"/>
                <w:sz w:val="24"/>
                <w:szCs w:val="24"/>
                <w:highlight w:val="none"/>
              </w:rPr>
              <w:t>31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日印发《扎实稳住经济的一揽子政策措施》，加大政府采购支持中</w:t>
            </w:r>
            <w:r>
              <w:rPr>
                <w:rFonts w:hint="eastAsia" w:ascii="宋体" w:hAnsi="宋体" w:eastAsia="宋体" w:cs="宋体"/>
                <w:color w:val="auto"/>
                <w:spacing w:val="-3"/>
                <w:sz w:val="24"/>
                <w:szCs w:val="24"/>
                <w:highlight w:val="none"/>
              </w:rPr>
              <w:t>小企业力度，将对所投标的小型和微型企业的报价给予</w:t>
            </w:r>
            <w:r>
              <w:rPr>
                <w:rFonts w:hint="eastAsia" w:ascii="宋体" w:hAnsi="宋体" w:eastAsia="宋体" w:cs="宋体"/>
                <w:b w:val="0"/>
                <w:bCs w:val="0"/>
                <w:color w:val="auto"/>
                <w:spacing w:val="-28"/>
                <w:sz w:val="24"/>
                <w:szCs w:val="24"/>
                <w:highlight w:val="none"/>
              </w:rPr>
              <w:t xml:space="preserve"> </w:t>
            </w:r>
            <w:r>
              <w:rPr>
                <w:rFonts w:hint="eastAsia" w:ascii="宋体" w:hAnsi="宋体" w:eastAsia="宋体" w:cs="宋体"/>
                <w:b w:val="0"/>
                <w:bCs w:val="0"/>
                <w:color w:val="auto"/>
                <w:spacing w:val="-3"/>
                <w:sz w:val="24"/>
                <w:szCs w:val="24"/>
                <w:highlight w:val="none"/>
                <w:lang w:val="en-US" w:eastAsia="zh-CN"/>
                <w14:textOutline w14:w="4354" w14:cap="flat" w14:cmpd="sng">
                  <w14:solidFill>
                    <w14:srgbClr w14:val="000000"/>
                  </w14:solidFill>
                  <w14:prstDash w14:val="solid"/>
                  <w14:miter w14:val="0"/>
                </w14:textOutline>
              </w:rPr>
              <w:t>2</w:t>
            </w:r>
            <w:r>
              <w:rPr>
                <w:rFonts w:hint="eastAsia" w:ascii="宋体" w:hAnsi="宋体" w:eastAsia="宋体" w:cs="宋体"/>
                <w:b w:val="0"/>
                <w:bCs w:val="0"/>
                <w:color w:val="auto"/>
                <w:spacing w:val="-3"/>
                <w:sz w:val="24"/>
                <w:szCs w:val="24"/>
                <w:highlight w:val="none"/>
                <w14:textOutline w14:w="4354" w14:cap="flat" w14:cmpd="sng">
                  <w14:solidFill>
                    <w14:srgbClr w14:val="000000"/>
                  </w14:solidFill>
                  <w14:prstDash w14:val="solid"/>
                  <w14:miter w14:val="0"/>
                </w14:textOutline>
              </w:rPr>
              <w:t>0%</w:t>
            </w:r>
            <w:r>
              <w:rPr>
                <w:rFonts w:hint="eastAsia" w:ascii="宋体" w:hAnsi="宋体" w:eastAsia="宋体" w:cs="宋体"/>
                <w:color w:val="auto"/>
                <w:spacing w:val="-3"/>
                <w:sz w:val="24"/>
                <w:szCs w:val="24"/>
                <w:highlight w:val="none"/>
              </w:rPr>
              <w:t>的扣除</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1"/>
                <w:sz w:val="24"/>
                <w:szCs w:val="24"/>
                <w:highlight w:val="none"/>
              </w:rPr>
              <w:t>用扣除后的价格参与评审。中小企业划型标准见《关于印发中小企</w:t>
            </w:r>
            <w:r>
              <w:rPr>
                <w:rFonts w:hint="eastAsia" w:ascii="宋体" w:hAnsi="宋体" w:eastAsia="宋体" w:cs="宋体"/>
                <w:color w:val="auto"/>
                <w:spacing w:val="-2"/>
                <w:sz w:val="24"/>
                <w:szCs w:val="24"/>
                <w:highlight w:val="none"/>
              </w:rPr>
              <w:t>业划型</w:t>
            </w:r>
            <w:r>
              <w:rPr>
                <w:rFonts w:hint="eastAsia" w:ascii="宋体" w:hAnsi="宋体" w:eastAsia="宋体" w:cs="宋体"/>
                <w:color w:val="auto"/>
                <w:spacing w:val="-2"/>
                <w:sz w:val="24"/>
                <w:szCs w:val="24"/>
                <w:highlight w:val="none"/>
                <w:lang w:eastAsia="zh-CN"/>
              </w:rPr>
              <w:t>标准</w:t>
            </w:r>
            <w:r>
              <w:rPr>
                <w:rFonts w:hint="eastAsia" w:ascii="宋体" w:hAnsi="宋体" w:eastAsia="宋体" w:cs="宋体"/>
                <w:color w:val="auto"/>
                <w:spacing w:val="-2"/>
                <w:sz w:val="24"/>
                <w:szCs w:val="24"/>
                <w:highlight w:val="none"/>
              </w:rPr>
              <w:t>规定的通知》（工信部联企业</w:t>
            </w:r>
            <w:r>
              <w:rPr>
                <w:rFonts w:hint="eastAsia" w:ascii="宋体" w:hAnsi="宋体" w:eastAsia="宋体" w:cs="宋体"/>
                <w:color w:val="auto"/>
                <w:spacing w:val="-1"/>
                <w:sz w:val="24"/>
                <w:szCs w:val="24"/>
                <w:highlight w:val="none"/>
              </w:rPr>
              <w:t>〔201</w:t>
            </w:r>
            <w:r>
              <w:rPr>
                <w:rFonts w:hint="eastAsia" w:ascii="宋体" w:hAnsi="宋体" w:eastAsia="宋体" w:cs="宋体"/>
                <w:color w:val="auto"/>
                <w:spacing w:val="-1"/>
                <w:sz w:val="24"/>
                <w:szCs w:val="24"/>
                <w:highlight w:val="none"/>
                <w:lang w:val="en-US" w:eastAsia="zh-CN"/>
              </w:rPr>
              <w:t>1</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2"/>
                <w:sz w:val="24"/>
                <w:szCs w:val="24"/>
                <w:highlight w:val="none"/>
              </w:rPr>
              <w:t>300</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pacing w:val="-2"/>
                <w:sz w:val="24"/>
                <w:szCs w:val="24"/>
                <w:highlight w:val="none"/>
              </w:rPr>
              <w:t>号）。</w:t>
            </w:r>
          </w:p>
          <w:p w14:paraId="367A518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both"/>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4.提供有效证明材料（相关行业主管部门开</w:t>
            </w:r>
            <w:r>
              <w:rPr>
                <w:rFonts w:hint="eastAsia" w:ascii="宋体" w:hAnsi="宋体" w:eastAsia="宋体" w:cs="宋体"/>
                <w:color w:val="auto"/>
                <w:spacing w:val="-1"/>
                <w:sz w:val="24"/>
                <w:szCs w:val="24"/>
                <w:highlight w:val="none"/>
              </w:rPr>
              <w:t>具的有效认定意见或按</w:t>
            </w:r>
            <w:r>
              <w:rPr>
                <w:rFonts w:hint="eastAsia" w:ascii="宋体" w:hAnsi="宋体" w:eastAsia="宋体" w:cs="宋体"/>
                <w:color w:val="auto"/>
                <w:spacing w:val="-2"/>
                <w:sz w:val="24"/>
                <w:szCs w:val="24"/>
                <w:highlight w:val="none"/>
              </w:rPr>
              <w:t>照“工信部联企业</w:t>
            </w:r>
            <w:r>
              <w:rPr>
                <w:rFonts w:hint="eastAsia" w:ascii="宋体" w:hAnsi="宋体" w:eastAsia="宋体" w:cs="宋体"/>
                <w:color w:val="auto"/>
                <w:spacing w:val="-1"/>
                <w:sz w:val="24"/>
                <w:szCs w:val="24"/>
                <w:highlight w:val="none"/>
              </w:rPr>
              <w:t>〔201</w:t>
            </w:r>
            <w:r>
              <w:rPr>
                <w:rFonts w:hint="eastAsia" w:ascii="宋体" w:hAnsi="宋体" w:eastAsia="宋体" w:cs="宋体"/>
                <w:color w:val="auto"/>
                <w:spacing w:val="-1"/>
                <w:sz w:val="24"/>
                <w:szCs w:val="24"/>
                <w:highlight w:val="none"/>
                <w:lang w:val="en-US" w:eastAsia="zh-CN"/>
              </w:rPr>
              <w:t>1</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2"/>
                <w:sz w:val="24"/>
                <w:szCs w:val="24"/>
                <w:highlight w:val="none"/>
              </w:rPr>
              <w:t>300 号</w:t>
            </w:r>
            <w:r>
              <w:rPr>
                <w:rFonts w:hint="eastAsia" w:ascii="宋体" w:hAnsi="宋体" w:eastAsia="宋体" w:cs="宋体"/>
                <w:color w:val="auto"/>
                <w:spacing w:val="-3"/>
                <w:sz w:val="24"/>
                <w:szCs w:val="24"/>
                <w:highlight w:val="none"/>
              </w:rPr>
              <w:t>”文件规定提供的人员、营业收入、</w:t>
            </w:r>
            <w:r>
              <w:rPr>
                <w:rFonts w:hint="eastAsia" w:ascii="宋体" w:hAnsi="宋体" w:eastAsia="宋体" w:cs="宋体"/>
                <w:color w:val="auto"/>
                <w:spacing w:val="-1"/>
                <w:sz w:val="24"/>
                <w:szCs w:val="24"/>
                <w:highlight w:val="none"/>
              </w:rPr>
              <w:t>资产等有效证明材料）后附中小企业声明函；残疾人福利性单位参加政府采购活动时，应当提供《残疾人福利性单位声明函》；监狱企业参加政府采购活动时，应当提供由省级以上监狱管理局、戒毒</w:t>
            </w:r>
            <w:r>
              <w:rPr>
                <w:rFonts w:hint="eastAsia" w:ascii="宋体" w:hAnsi="宋体" w:eastAsia="宋体" w:cs="宋体"/>
                <w:color w:val="auto"/>
                <w:spacing w:val="-2"/>
                <w:sz w:val="24"/>
                <w:szCs w:val="24"/>
                <w:highlight w:val="none"/>
              </w:rPr>
              <w:t>管理局（含新疆生产建设兵团）出具的属于监狱企业的证明文件。</w:t>
            </w:r>
          </w:p>
          <w:p w14:paraId="5F9E9AE7">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5.没有提供有效证明材料的供应商将被视为不接受响应报价的扣除</w:t>
            </w:r>
            <w:r>
              <w:rPr>
                <w:rFonts w:hint="eastAsia" w:ascii="宋体" w:hAnsi="宋体" w:eastAsia="宋体" w:cs="宋体"/>
                <w:b/>
                <w:bCs/>
                <w:color w:val="auto"/>
                <w:sz w:val="24"/>
                <w:szCs w:val="24"/>
                <w:highlight w:val="none"/>
                <w:lang w:eastAsia="zh-CN"/>
              </w:rPr>
              <w:t>，使</w:t>
            </w:r>
            <w:r>
              <w:rPr>
                <w:rFonts w:hint="eastAsia" w:ascii="宋体" w:hAnsi="宋体" w:eastAsia="宋体" w:cs="宋体"/>
                <w:b/>
                <w:bCs/>
                <w:color w:val="auto"/>
                <w:sz w:val="24"/>
                <w:szCs w:val="24"/>
                <w:highlight w:val="none"/>
              </w:rPr>
              <w:t>用原响应报价参与评审。</w:t>
            </w:r>
          </w:p>
        </w:tc>
      </w:tr>
      <w:tr w14:paraId="597BA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1" w:hRule="atLeast"/>
        </w:trPr>
        <w:tc>
          <w:tcPr>
            <w:tcW w:w="1065" w:type="dxa"/>
            <w:vMerge w:val="restart"/>
            <w:vAlign w:val="center"/>
          </w:tcPr>
          <w:p w14:paraId="7AE6E5ED">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技术标</w:t>
            </w:r>
          </w:p>
          <w:p w14:paraId="115A8BCD">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评审标</w:t>
            </w:r>
          </w:p>
          <w:p w14:paraId="5624520D">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9"/>
                <w:sz w:val="24"/>
                <w:szCs w:val="24"/>
                <w:highlight w:val="none"/>
              </w:rPr>
            </w:pPr>
            <w:r>
              <w:rPr>
                <w:rFonts w:hint="eastAsia" w:ascii="宋体" w:hAnsi="宋体" w:eastAsia="宋体" w:cs="宋体"/>
                <w:color w:val="auto"/>
                <w:sz w:val="24"/>
                <w:szCs w:val="24"/>
                <w:highlight w:val="none"/>
              </w:rPr>
              <w:t>准</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9"/>
                <w:sz w:val="24"/>
                <w:szCs w:val="24"/>
                <w:highlight w:val="none"/>
                <w:lang w:val="en-US" w:eastAsia="zh-CN"/>
              </w:rPr>
              <w:t>60</w:t>
            </w:r>
            <w:r>
              <w:rPr>
                <w:rFonts w:hint="eastAsia" w:ascii="宋体" w:hAnsi="宋体" w:eastAsia="宋体" w:cs="宋体"/>
                <w:color w:val="auto"/>
                <w:spacing w:val="-9"/>
                <w:sz w:val="24"/>
                <w:szCs w:val="24"/>
                <w:highlight w:val="none"/>
              </w:rPr>
              <w:t>分）</w:t>
            </w:r>
          </w:p>
        </w:tc>
        <w:tc>
          <w:tcPr>
            <w:tcW w:w="1454" w:type="dxa"/>
            <w:vAlign w:val="center"/>
          </w:tcPr>
          <w:p w14:paraId="5099C089">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3"/>
                <w:sz w:val="24"/>
                <w:szCs w:val="24"/>
                <w:highlight w:val="none"/>
              </w:rPr>
              <w:t>总体工作方案</w:t>
            </w:r>
            <w:r>
              <w:rPr>
                <w:rFonts w:hint="eastAsia" w:ascii="宋体" w:hAnsi="宋体" w:eastAsia="宋体" w:cs="宋体"/>
                <w:color w:val="auto"/>
                <w:spacing w:val="-8"/>
                <w:sz w:val="24"/>
                <w:szCs w:val="24"/>
                <w:highlight w:val="none"/>
              </w:rPr>
              <w:t>（</w:t>
            </w:r>
            <w:r>
              <w:rPr>
                <w:rFonts w:hint="eastAsia" w:ascii="宋体" w:hAnsi="宋体" w:eastAsia="宋体" w:cs="宋体"/>
                <w:color w:val="auto"/>
                <w:spacing w:val="-8"/>
                <w:sz w:val="24"/>
                <w:szCs w:val="24"/>
                <w:highlight w:val="none"/>
                <w:lang w:val="en-US" w:eastAsia="zh-CN"/>
              </w:rPr>
              <w:t>10</w:t>
            </w:r>
            <w:r>
              <w:rPr>
                <w:rFonts w:hint="eastAsia" w:ascii="宋体" w:hAnsi="宋体" w:eastAsia="宋体" w:cs="宋体"/>
                <w:color w:val="auto"/>
                <w:spacing w:val="-8"/>
                <w:sz w:val="24"/>
                <w:szCs w:val="24"/>
                <w:highlight w:val="none"/>
              </w:rPr>
              <w:t>分）</w:t>
            </w:r>
          </w:p>
        </w:tc>
        <w:tc>
          <w:tcPr>
            <w:tcW w:w="7073" w:type="dxa"/>
            <w:vAlign w:val="top"/>
          </w:tcPr>
          <w:p w14:paraId="4365400B">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根据总体工作实施方案合理性、科学性、先进性以及能保证各项进度目标的实现进行综合比较：</w:t>
            </w:r>
          </w:p>
          <w:p w14:paraId="6D954C3E">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切实合理可行，易于操作实现得</w:t>
            </w:r>
            <w:r>
              <w:rPr>
                <w:rFonts w:hint="eastAsia" w:ascii="宋体" w:hAnsi="宋体" w:eastAsia="宋体" w:cs="宋体"/>
                <w:color w:val="auto"/>
                <w:spacing w:val="-4"/>
                <w:sz w:val="24"/>
                <w:szCs w:val="24"/>
                <w:highlight w:val="none"/>
                <w:lang w:val="en-US" w:eastAsia="zh-CN"/>
              </w:rPr>
              <w:t>10</w:t>
            </w:r>
            <w:r>
              <w:rPr>
                <w:rFonts w:hint="eastAsia" w:ascii="宋体" w:hAnsi="宋体" w:eastAsia="宋体" w:cs="宋体"/>
                <w:sz w:val="24"/>
                <w:szCs w:val="24"/>
                <w:highlight w:val="none"/>
              </w:rPr>
              <w:t>分；</w:t>
            </w:r>
          </w:p>
          <w:p w14:paraId="74FE3363">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合理可行得</w:t>
            </w:r>
            <w:r>
              <w:rPr>
                <w:rFonts w:hint="eastAsia" w:ascii="宋体" w:hAnsi="宋体" w:eastAsia="宋体" w:cs="宋体"/>
                <w:color w:val="auto"/>
                <w:spacing w:val="-4"/>
                <w:sz w:val="24"/>
                <w:szCs w:val="24"/>
                <w:highlight w:val="none"/>
                <w:lang w:val="en-US" w:eastAsia="zh-CN"/>
              </w:rPr>
              <w:t>7</w:t>
            </w:r>
            <w:r>
              <w:rPr>
                <w:rFonts w:hint="eastAsia" w:ascii="宋体" w:hAnsi="宋体" w:eastAsia="宋体" w:cs="宋体"/>
                <w:sz w:val="24"/>
                <w:szCs w:val="24"/>
                <w:highlight w:val="none"/>
              </w:rPr>
              <w:t>分；</w:t>
            </w:r>
          </w:p>
          <w:p w14:paraId="516A1FBE">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不够完善、不易实现得</w:t>
            </w:r>
            <w:r>
              <w:rPr>
                <w:rFonts w:hint="eastAsia" w:ascii="宋体" w:hAnsi="宋体" w:eastAsia="宋体" w:cs="宋体"/>
                <w:color w:val="auto"/>
                <w:spacing w:val="-4"/>
                <w:sz w:val="24"/>
                <w:szCs w:val="24"/>
                <w:highlight w:val="none"/>
                <w:lang w:val="en-US" w:eastAsia="zh-CN"/>
              </w:rPr>
              <w:t>4</w:t>
            </w:r>
            <w:r>
              <w:rPr>
                <w:rFonts w:hint="eastAsia" w:ascii="宋体" w:hAnsi="宋体" w:eastAsia="宋体" w:cs="宋体"/>
                <w:sz w:val="24"/>
                <w:szCs w:val="24"/>
                <w:highlight w:val="none"/>
              </w:rPr>
              <w:t>分；</w:t>
            </w:r>
          </w:p>
        </w:tc>
      </w:tr>
      <w:tr w14:paraId="44246A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1" w:hRule="atLeast"/>
        </w:trPr>
        <w:tc>
          <w:tcPr>
            <w:tcW w:w="1065" w:type="dxa"/>
            <w:vMerge w:val="continue"/>
            <w:vAlign w:val="center"/>
          </w:tcPr>
          <w:p w14:paraId="35FDF330">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7AF56B65">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3"/>
                <w:sz w:val="24"/>
                <w:szCs w:val="24"/>
                <w:highlight w:val="none"/>
              </w:rPr>
            </w:pPr>
            <w:r>
              <w:rPr>
                <w:rFonts w:hint="eastAsia" w:ascii="宋体" w:hAnsi="宋体" w:eastAsia="宋体" w:cs="宋体"/>
                <w:color w:val="auto"/>
                <w:spacing w:val="-2"/>
                <w:sz w:val="24"/>
                <w:szCs w:val="24"/>
                <w:highlight w:val="none"/>
              </w:rPr>
              <w:t>评审工作流程</w:t>
            </w:r>
            <w:r>
              <w:rPr>
                <w:rFonts w:hint="eastAsia" w:ascii="宋体" w:hAnsi="宋体" w:eastAsia="宋体" w:cs="宋体"/>
                <w:color w:val="auto"/>
                <w:spacing w:val="-8"/>
                <w:sz w:val="24"/>
                <w:szCs w:val="24"/>
                <w:highlight w:val="none"/>
              </w:rPr>
              <w:t>（</w:t>
            </w:r>
            <w:r>
              <w:rPr>
                <w:rFonts w:hint="eastAsia" w:ascii="宋体" w:hAnsi="宋体" w:eastAsia="宋体" w:cs="宋体"/>
                <w:color w:val="auto"/>
                <w:spacing w:val="-8"/>
                <w:sz w:val="24"/>
                <w:szCs w:val="24"/>
                <w:highlight w:val="none"/>
                <w:lang w:val="en-US" w:eastAsia="zh-CN"/>
              </w:rPr>
              <w:t>10</w:t>
            </w:r>
            <w:r>
              <w:rPr>
                <w:rFonts w:hint="eastAsia" w:ascii="宋体" w:hAnsi="宋体" w:eastAsia="宋体" w:cs="宋体"/>
                <w:color w:val="auto"/>
                <w:spacing w:val="-8"/>
                <w:sz w:val="24"/>
                <w:szCs w:val="24"/>
                <w:highlight w:val="none"/>
              </w:rPr>
              <w:t>分）</w:t>
            </w:r>
          </w:p>
        </w:tc>
        <w:tc>
          <w:tcPr>
            <w:tcW w:w="7073" w:type="dxa"/>
            <w:vAlign w:val="top"/>
          </w:tcPr>
          <w:p w14:paraId="127EB506">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根据供应商编制的服务方案的具体内容，重点对职责分工说明、工作开展流程、咨询工作内部管理制度进行评价。</w:t>
            </w:r>
          </w:p>
          <w:p w14:paraId="6EB52B11">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切实合理可行，易于操作实现得</w:t>
            </w:r>
            <w:r>
              <w:rPr>
                <w:rFonts w:hint="eastAsia" w:ascii="宋体" w:hAnsi="宋体" w:eastAsia="宋体" w:cs="宋体"/>
                <w:color w:val="auto"/>
                <w:spacing w:val="-4"/>
                <w:sz w:val="24"/>
                <w:szCs w:val="24"/>
                <w:highlight w:val="none"/>
                <w:lang w:val="en-US" w:eastAsia="zh-CN"/>
              </w:rPr>
              <w:t>10</w:t>
            </w:r>
            <w:r>
              <w:rPr>
                <w:rFonts w:hint="eastAsia" w:ascii="宋体" w:hAnsi="宋体" w:eastAsia="宋体" w:cs="宋体"/>
                <w:color w:val="auto"/>
                <w:spacing w:val="-4"/>
                <w:sz w:val="24"/>
                <w:szCs w:val="24"/>
                <w:highlight w:val="none"/>
              </w:rPr>
              <w:t>分；</w:t>
            </w:r>
          </w:p>
          <w:p w14:paraId="5C1723B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合理可行得</w:t>
            </w:r>
            <w:r>
              <w:rPr>
                <w:rFonts w:hint="eastAsia" w:ascii="宋体" w:hAnsi="宋体" w:eastAsia="宋体" w:cs="宋体"/>
                <w:color w:val="auto"/>
                <w:spacing w:val="-4"/>
                <w:sz w:val="24"/>
                <w:szCs w:val="24"/>
                <w:highlight w:val="none"/>
                <w:lang w:val="en-US" w:eastAsia="zh-CN"/>
              </w:rPr>
              <w:t>7</w:t>
            </w:r>
            <w:r>
              <w:rPr>
                <w:rFonts w:hint="eastAsia" w:ascii="宋体" w:hAnsi="宋体" w:eastAsia="宋体" w:cs="宋体"/>
                <w:color w:val="auto"/>
                <w:spacing w:val="-4"/>
                <w:sz w:val="24"/>
                <w:szCs w:val="24"/>
                <w:highlight w:val="none"/>
              </w:rPr>
              <w:t>分；</w:t>
            </w:r>
          </w:p>
          <w:p w14:paraId="79B27A9F">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不够完善、不易实现得</w:t>
            </w:r>
            <w:r>
              <w:rPr>
                <w:rFonts w:hint="eastAsia" w:ascii="宋体" w:hAnsi="宋体" w:eastAsia="宋体" w:cs="宋体"/>
                <w:color w:val="auto"/>
                <w:spacing w:val="-4"/>
                <w:sz w:val="24"/>
                <w:szCs w:val="24"/>
                <w:highlight w:val="none"/>
                <w:lang w:val="en-US" w:eastAsia="zh-CN"/>
              </w:rPr>
              <w:t>4</w:t>
            </w:r>
            <w:r>
              <w:rPr>
                <w:rFonts w:hint="eastAsia" w:ascii="宋体" w:hAnsi="宋体" w:eastAsia="宋体" w:cs="宋体"/>
                <w:color w:val="auto"/>
                <w:spacing w:val="-4"/>
                <w:sz w:val="24"/>
                <w:szCs w:val="24"/>
                <w:highlight w:val="none"/>
              </w:rPr>
              <w:t>分；</w:t>
            </w:r>
          </w:p>
        </w:tc>
      </w:tr>
      <w:tr w14:paraId="64958A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065" w:type="dxa"/>
            <w:vMerge w:val="continue"/>
            <w:vAlign w:val="center"/>
          </w:tcPr>
          <w:p w14:paraId="192EA6F0">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0237D278">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8"/>
                <w:sz w:val="24"/>
                <w:szCs w:val="24"/>
                <w:highlight w:val="none"/>
              </w:rPr>
            </w:pPr>
            <w:r>
              <w:rPr>
                <w:rFonts w:hint="eastAsia" w:ascii="宋体" w:hAnsi="宋体" w:eastAsia="宋体" w:cs="宋体"/>
                <w:color w:val="auto"/>
                <w:spacing w:val="-6"/>
                <w:sz w:val="24"/>
                <w:szCs w:val="24"/>
                <w:highlight w:val="none"/>
              </w:rPr>
              <w:t>评审工作重点、</w:t>
            </w:r>
            <w:r>
              <w:rPr>
                <w:rFonts w:hint="eastAsia" w:ascii="宋体" w:hAnsi="宋体" w:eastAsia="宋体" w:cs="宋体"/>
                <w:color w:val="auto"/>
                <w:spacing w:val="-2"/>
                <w:sz w:val="24"/>
                <w:szCs w:val="24"/>
                <w:highlight w:val="none"/>
              </w:rPr>
              <w:t>难点分析及相关的处理方法</w:t>
            </w:r>
            <w:r>
              <w:rPr>
                <w:rFonts w:hint="eastAsia" w:ascii="宋体" w:hAnsi="宋体" w:eastAsia="宋体" w:cs="宋体"/>
                <w:color w:val="auto"/>
                <w:spacing w:val="-8"/>
                <w:sz w:val="24"/>
                <w:szCs w:val="24"/>
                <w:highlight w:val="none"/>
              </w:rPr>
              <w:t>（</w:t>
            </w:r>
            <w:r>
              <w:rPr>
                <w:rFonts w:hint="eastAsia" w:ascii="宋体" w:hAnsi="宋体" w:eastAsia="宋体" w:cs="宋体"/>
                <w:color w:val="auto"/>
                <w:spacing w:val="-8"/>
                <w:sz w:val="24"/>
                <w:szCs w:val="24"/>
                <w:highlight w:val="none"/>
                <w:lang w:val="en-US" w:eastAsia="zh-CN"/>
              </w:rPr>
              <w:t>5</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8"/>
                <w:sz w:val="24"/>
                <w:szCs w:val="24"/>
                <w:highlight w:val="none"/>
              </w:rPr>
              <w:t>分）</w:t>
            </w:r>
          </w:p>
        </w:tc>
        <w:tc>
          <w:tcPr>
            <w:tcW w:w="7073" w:type="dxa"/>
            <w:vAlign w:val="top"/>
          </w:tcPr>
          <w:p w14:paraId="4301F42E">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评审工作重点、难点分析及相关的处理方法的完整性，根据方案是否科学可行、合理有效及针对性进行评价：</w:t>
            </w:r>
          </w:p>
          <w:p w14:paraId="5AA54857">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切实合理可行，易于操作实现得5分；</w:t>
            </w:r>
          </w:p>
          <w:p w14:paraId="5A3964F6">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合理可行得3分；</w:t>
            </w:r>
          </w:p>
          <w:p w14:paraId="59187013">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不够完善、不易实现得1分；</w:t>
            </w:r>
          </w:p>
        </w:tc>
      </w:tr>
      <w:tr w14:paraId="1F9333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1" w:hRule="atLeast"/>
        </w:trPr>
        <w:tc>
          <w:tcPr>
            <w:tcW w:w="1065" w:type="dxa"/>
            <w:vMerge w:val="continue"/>
            <w:vAlign w:val="center"/>
          </w:tcPr>
          <w:p w14:paraId="42E496B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7FC4B4B1">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2"/>
                <w:sz w:val="24"/>
                <w:szCs w:val="24"/>
                <w:highlight w:val="none"/>
              </w:rPr>
              <w:t>评审工作中争</w:t>
            </w:r>
            <w:r>
              <w:rPr>
                <w:rFonts w:hint="eastAsia" w:ascii="宋体" w:hAnsi="宋体" w:eastAsia="宋体" w:cs="宋体"/>
                <w:color w:val="auto"/>
                <w:spacing w:val="13"/>
                <w:sz w:val="24"/>
                <w:szCs w:val="24"/>
                <w:highlight w:val="none"/>
              </w:rPr>
              <w:t>议的处理方法</w:t>
            </w:r>
            <w:r>
              <w:rPr>
                <w:rFonts w:hint="eastAsia" w:ascii="宋体" w:hAnsi="宋体" w:eastAsia="宋体" w:cs="宋体"/>
                <w:color w:val="auto"/>
                <w:spacing w:val="-6"/>
                <w:sz w:val="24"/>
                <w:szCs w:val="24"/>
                <w:highlight w:val="none"/>
              </w:rPr>
              <w:t>和措施</w:t>
            </w:r>
          </w:p>
          <w:p w14:paraId="55DBEEA1">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8"/>
                <w:sz w:val="24"/>
                <w:szCs w:val="24"/>
                <w:highlight w:val="none"/>
              </w:rPr>
            </w:pP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lang w:val="en-US" w:eastAsia="zh-CN"/>
              </w:rPr>
              <w:t>5</w:t>
            </w:r>
            <w:r>
              <w:rPr>
                <w:rFonts w:hint="eastAsia" w:ascii="宋体" w:hAnsi="宋体" w:eastAsia="宋体" w:cs="宋体"/>
                <w:color w:val="auto"/>
                <w:spacing w:val="-6"/>
                <w:sz w:val="24"/>
                <w:szCs w:val="24"/>
                <w:highlight w:val="none"/>
              </w:rPr>
              <w:t>分）</w:t>
            </w:r>
          </w:p>
        </w:tc>
        <w:tc>
          <w:tcPr>
            <w:tcW w:w="7073" w:type="dxa"/>
            <w:vAlign w:val="top"/>
          </w:tcPr>
          <w:p w14:paraId="09653ADD">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评审工作中争议的处理方法和措施齐全，根据措施是否科学可行，合理有效进行评价：</w:t>
            </w:r>
          </w:p>
          <w:p w14:paraId="503903B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切实合理可行，易于操作实现得5分；</w:t>
            </w:r>
          </w:p>
          <w:p w14:paraId="392CFD61">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合理可行得3分；</w:t>
            </w:r>
          </w:p>
          <w:p w14:paraId="1F41ABC4">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不够完善、不易实现得1分；</w:t>
            </w:r>
          </w:p>
        </w:tc>
      </w:tr>
      <w:tr w14:paraId="2198E6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trPr>
        <w:tc>
          <w:tcPr>
            <w:tcW w:w="1065" w:type="dxa"/>
            <w:vMerge w:val="continue"/>
            <w:vAlign w:val="center"/>
          </w:tcPr>
          <w:p w14:paraId="51D1C11C">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06623143">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3"/>
                <w:sz w:val="24"/>
                <w:szCs w:val="24"/>
                <w:highlight w:val="none"/>
              </w:rPr>
            </w:pPr>
            <w:r>
              <w:rPr>
                <w:rFonts w:hint="eastAsia" w:ascii="宋体" w:hAnsi="宋体" w:eastAsia="宋体" w:cs="宋体"/>
                <w:color w:val="auto"/>
                <w:spacing w:val="-2"/>
                <w:sz w:val="24"/>
                <w:szCs w:val="24"/>
                <w:highlight w:val="none"/>
              </w:rPr>
              <w:t>委托任务的工</w:t>
            </w:r>
            <w:r>
              <w:rPr>
                <w:rFonts w:hint="eastAsia" w:ascii="宋体" w:hAnsi="宋体" w:eastAsia="宋体" w:cs="宋体"/>
                <w:color w:val="auto"/>
                <w:spacing w:val="-3"/>
                <w:sz w:val="24"/>
                <w:szCs w:val="24"/>
                <w:highlight w:val="none"/>
              </w:rPr>
              <w:t>期保证措施</w:t>
            </w:r>
          </w:p>
          <w:p w14:paraId="72CCB301">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w:t>
            </w:r>
            <w:r>
              <w:rPr>
                <w:rFonts w:hint="eastAsia" w:ascii="宋体" w:hAnsi="宋体" w:eastAsia="宋体" w:cs="宋体"/>
                <w:color w:val="auto"/>
                <w:spacing w:val="-8"/>
                <w:sz w:val="24"/>
                <w:szCs w:val="24"/>
                <w:highlight w:val="none"/>
                <w:lang w:val="en-US" w:eastAsia="zh-CN"/>
              </w:rPr>
              <w:t>5</w:t>
            </w:r>
            <w:r>
              <w:rPr>
                <w:rFonts w:hint="eastAsia" w:ascii="宋体" w:hAnsi="宋体" w:eastAsia="宋体" w:cs="宋体"/>
                <w:color w:val="auto"/>
                <w:spacing w:val="-8"/>
                <w:sz w:val="24"/>
                <w:szCs w:val="24"/>
                <w:highlight w:val="none"/>
              </w:rPr>
              <w:t>分）</w:t>
            </w:r>
          </w:p>
        </w:tc>
        <w:tc>
          <w:tcPr>
            <w:tcW w:w="7073" w:type="dxa"/>
            <w:vAlign w:val="top"/>
          </w:tcPr>
          <w:p w14:paraId="4BDA15E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确保按征集人要求时间完成委托任务的保证措施，根据措施是否 科学可行，合理有效进行评价：</w:t>
            </w:r>
          </w:p>
          <w:p w14:paraId="67049162">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切实合理可行，易于操作实现得5分；</w:t>
            </w:r>
          </w:p>
          <w:p w14:paraId="002498D4">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合理可行得3分 ；</w:t>
            </w:r>
          </w:p>
          <w:p w14:paraId="523B3FD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不够完善、不易实现得1分；</w:t>
            </w:r>
          </w:p>
        </w:tc>
      </w:tr>
      <w:tr w14:paraId="6A5EF8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1" w:hRule="atLeast"/>
        </w:trPr>
        <w:tc>
          <w:tcPr>
            <w:tcW w:w="1065" w:type="dxa"/>
            <w:vMerge w:val="continue"/>
            <w:vAlign w:val="center"/>
          </w:tcPr>
          <w:p w14:paraId="077FA3A0">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123BDFDE">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2"/>
                <w:sz w:val="24"/>
                <w:szCs w:val="24"/>
                <w:highlight w:val="none"/>
              </w:rPr>
              <w:t>进度管理体系</w:t>
            </w:r>
            <w:r>
              <w:rPr>
                <w:rFonts w:hint="eastAsia" w:ascii="宋体" w:hAnsi="宋体" w:eastAsia="宋体" w:cs="宋体"/>
                <w:color w:val="auto"/>
                <w:spacing w:val="-6"/>
                <w:sz w:val="24"/>
                <w:szCs w:val="24"/>
                <w:highlight w:val="none"/>
              </w:rPr>
              <w:t>与措施</w:t>
            </w:r>
          </w:p>
          <w:p w14:paraId="3E2FF7A2">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8"/>
                <w:sz w:val="24"/>
                <w:szCs w:val="24"/>
                <w:highlight w:val="none"/>
              </w:rPr>
            </w:pPr>
            <w:r>
              <w:rPr>
                <w:rFonts w:hint="eastAsia" w:ascii="宋体" w:hAnsi="宋体" w:eastAsia="宋体" w:cs="宋体"/>
                <w:color w:val="auto"/>
                <w:spacing w:val="-6"/>
                <w:sz w:val="24"/>
                <w:szCs w:val="24"/>
                <w:highlight w:val="none"/>
              </w:rPr>
              <w:t>（5</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6"/>
                <w:sz w:val="24"/>
                <w:szCs w:val="24"/>
                <w:highlight w:val="none"/>
              </w:rPr>
              <w:t>分）</w:t>
            </w:r>
          </w:p>
        </w:tc>
        <w:tc>
          <w:tcPr>
            <w:tcW w:w="7073" w:type="dxa"/>
            <w:vAlign w:val="top"/>
          </w:tcPr>
          <w:p w14:paraId="3AB2FCC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1"/>
              <w:jc w:val="both"/>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有针对本项目工作的进度安排，工作进度安排科学合理、切实可</w:t>
            </w:r>
            <w:r>
              <w:rPr>
                <w:rFonts w:hint="eastAsia" w:ascii="宋体" w:hAnsi="宋体" w:eastAsia="宋体" w:cs="宋体"/>
                <w:color w:val="auto"/>
                <w:spacing w:val="-8"/>
                <w:sz w:val="24"/>
                <w:szCs w:val="24"/>
                <w:highlight w:val="none"/>
              </w:rPr>
              <w:t>行，成果提交计划有效</w:t>
            </w:r>
            <w:r>
              <w:rPr>
                <w:rFonts w:hint="eastAsia" w:ascii="宋体" w:hAnsi="宋体" w:eastAsia="宋体" w:cs="宋体"/>
                <w:color w:val="auto"/>
                <w:spacing w:val="-8"/>
                <w:sz w:val="24"/>
                <w:szCs w:val="24"/>
                <w:highlight w:val="none"/>
                <w:lang w:eastAsia="zh-CN"/>
              </w:rPr>
              <w:t>地</w:t>
            </w:r>
            <w:r>
              <w:rPr>
                <w:rFonts w:hint="eastAsia" w:ascii="宋体" w:hAnsi="宋体" w:eastAsia="宋体" w:cs="宋体"/>
                <w:color w:val="auto"/>
                <w:spacing w:val="-8"/>
                <w:sz w:val="24"/>
                <w:szCs w:val="24"/>
                <w:highlight w:val="none"/>
              </w:rPr>
              <w:t>满足业主单位要求</w:t>
            </w:r>
            <w:r>
              <w:rPr>
                <w:rFonts w:hint="eastAsia" w:ascii="宋体" w:hAnsi="宋体" w:eastAsia="宋体" w:cs="宋体"/>
                <w:color w:val="auto"/>
                <w:spacing w:val="-8"/>
                <w:sz w:val="24"/>
                <w:szCs w:val="24"/>
                <w:highlight w:val="none"/>
                <w:lang w:eastAsia="zh-CN"/>
              </w:rPr>
              <w:t>，</w:t>
            </w:r>
            <w:r>
              <w:rPr>
                <w:rFonts w:hint="eastAsia" w:ascii="宋体" w:hAnsi="宋体" w:eastAsia="宋体" w:cs="宋体"/>
                <w:color w:val="auto"/>
                <w:spacing w:val="-8"/>
                <w:sz w:val="24"/>
                <w:szCs w:val="24"/>
                <w:highlight w:val="none"/>
              </w:rPr>
              <w:t>根据进度安排进行</w:t>
            </w:r>
            <w:r>
              <w:rPr>
                <w:rFonts w:hint="eastAsia" w:ascii="宋体" w:hAnsi="宋体" w:eastAsia="宋体" w:cs="宋体"/>
                <w:color w:val="auto"/>
                <w:spacing w:val="-15"/>
                <w:sz w:val="24"/>
                <w:szCs w:val="24"/>
                <w:highlight w:val="none"/>
              </w:rPr>
              <w:t>评价：</w:t>
            </w:r>
          </w:p>
          <w:p w14:paraId="636942BC">
            <w:pPr>
              <w:keepNext w:val="0"/>
              <w:keepLines w:val="0"/>
              <w:pageBreakBefore w:val="0"/>
              <w:widowControl/>
              <w:kinsoku w:val="0"/>
              <w:wordWrap/>
              <w:overflowPunct/>
              <w:topLinePunct w:val="0"/>
              <w:autoSpaceDE w:val="0"/>
              <w:autoSpaceDN w:val="0"/>
              <w:bidi w:val="0"/>
              <w:adjustRightInd w:val="0"/>
              <w:snapToGrid w:val="0"/>
              <w:spacing w:line="300" w:lineRule="auto"/>
              <w:ind w:left="0" w:right="0" w:hanging="4"/>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进度管理体系完整、措施切实合理可行，易于操作实现得</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1"/>
                <w:sz w:val="24"/>
                <w:szCs w:val="24"/>
                <w:highlight w:val="none"/>
              </w:rPr>
              <w:t>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8"/>
                <w:sz w:val="24"/>
                <w:szCs w:val="24"/>
                <w:highlight w:val="none"/>
              </w:rPr>
              <w:t>分；</w:t>
            </w:r>
          </w:p>
          <w:p w14:paraId="3AC2159F">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进度管理体系比较完整、措施切实合理可行得3分 ；</w:t>
            </w:r>
          </w:p>
          <w:p w14:paraId="59CBF250">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进度管理体系不够完整、措施切实合理方案不够完善、不易实现</w:t>
            </w:r>
            <w:r>
              <w:rPr>
                <w:rFonts w:hint="eastAsia" w:ascii="宋体" w:hAnsi="宋体" w:eastAsia="宋体" w:cs="宋体"/>
                <w:color w:val="auto"/>
                <w:spacing w:val="-10"/>
                <w:sz w:val="24"/>
                <w:szCs w:val="24"/>
                <w:highlight w:val="none"/>
              </w:rPr>
              <w:t>得</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0"/>
                <w:sz w:val="24"/>
                <w:szCs w:val="24"/>
                <w:highlight w:val="none"/>
                <w:lang w:val="en-US" w:eastAsia="zh-CN"/>
              </w:rPr>
              <w:t>1</w:t>
            </w:r>
            <w:r>
              <w:rPr>
                <w:rFonts w:hint="eastAsia" w:ascii="宋体" w:hAnsi="宋体" w:eastAsia="宋体" w:cs="宋体"/>
                <w:color w:val="auto"/>
                <w:spacing w:val="-10"/>
                <w:sz w:val="24"/>
                <w:szCs w:val="24"/>
                <w:highlight w:val="none"/>
              </w:rPr>
              <w:t>分；</w:t>
            </w:r>
          </w:p>
        </w:tc>
      </w:tr>
      <w:tr w14:paraId="6DAC04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1065" w:type="dxa"/>
            <w:vMerge w:val="continue"/>
            <w:vAlign w:val="center"/>
          </w:tcPr>
          <w:p w14:paraId="23DF1D72">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61BF7FCD">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质量控制措施</w:t>
            </w:r>
            <w:r>
              <w:rPr>
                <w:rFonts w:hint="eastAsia" w:ascii="宋体" w:hAnsi="宋体" w:eastAsia="宋体" w:cs="宋体"/>
                <w:color w:val="auto"/>
                <w:spacing w:val="-8"/>
                <w:sz w:val="24"/>
                <w:szCs w:val="24"/>
                <w:highlight w:val="none"/>
              </w:rPr>
              <w:t>（5</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8"/>
                <w:sz w:val="24"/>
                <w:szCs w:val="24"/>
                <w:highlight w:val="none"/>
              </w:rPr>
              <w:t>分）</w:t>
            </w:r>
          </w:p>
        </w:tc>
        <w:tc>
          <w:tcPr>
            <w:tcW w:w="7073" w:type="dxa"/>
            <w:vAlign w:val="top"/>
          </w:tcPr>
          <w:p w14:paraId="2CC9D922">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有质量控制措施且措施内容合理，方案切实可行，根据措施内容进行评价：</w:t>
            </w:r>
          </w:p>
          <w:p w14:paraId="7D3845E7">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切实合理可行，易于操作实现得5分；</w:t>
            </w:r>
          </w:p>
          <w:p w14:paraId="2C5781A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合理可行得3分 ；</w:t>
            </w:r>
          </w:p>
          <w:p w14:paraId="2DA0736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不够完善、不易实现得1 ；</w:t>
            </w:r>
          </w:p>
        </w:tc>
      </w:tr>
      <w:tr w14:paraId="4A70B1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trPr>
        <w:tc>
          <w:tcPr>
            <w:tcW w:w="1065" w:type="dxa"/>
            <w:vMerge w:val="continue"/>
            <w:vAlign w:val="center"/>
          </w:tcPr>
          <w:p w14:paraId="3BB1629E">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73BAA597">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8"/>
                <w:sz w:val="24"/>
                <w:szCs w:val="24"/>
                <w:highlight w:val="none"/>
              </w:rPr>
            </w:pPr>
            <w:r>
              <w:rPr>
                <w:rFonts w:hint="eastAsia" w:ascii="宋体" w:hAnsi="宋体" w:eastAsia="宋体" w:cs="宋体"/>
                <w:color w:val="auto"/>
                <w:spacing w:val="-2"/>
                <w:sz w:val="24"/>
                <w:szCs w:val="24"/>
                <w:highlight w:val="none"/>
              </w:rPr>
              <w:t>廉洁工作保证</w:t>
            </w:r>
            <w:r>
              <w:rPr>
                <w:rFonts w:hint="eastAsia" w:ascii="宋体" w:hAnsi="宋体" w:eastAsia="宋体" w:cs="宋体"/>
                <w:color w:val="auto"/>
                <w:spacing w:val="-4"/>
                <w:sz w:val="24"/>
                <w:szCs w:val="24"/>
                <w:highlight w:val="none"/>
              </w:rPr>
              <w:t>措施（5</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4"/>
                <w:sz w:val="24"/>
                <w:szCs w:val="24"/>
                <w:highlight w:val="none"/>
              </w:rPr>
              <w:t>分）</w:t>
            </w:r>
          </w:p>
        </w:tc>
        <w:tc>
          <w:tcPr>
            <w:tcW w:w="7073" w:type="dxa"/>
            <w:vAlign w:val="top"/>
          </w:tcPr>
          <w:p w14:paraId="52D0540D">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廉洁工作保证措施切实合理可行</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
                <w:sz w:val="24"/>
                <w:szCs w:val="24"/>
                <w:highlight w:val="none"/>
              </w:rPr>
              <w:t>易于操作实现得</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4"/>
                <w:sz w:val="24"/>
                <w:szCs w:val="24"/>
                <w:highlight w:val="none"/>
              </w:rPr>
              <w:t>5</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4"/>
                <w:sz w:val="24"/>
                <w:szCs w:val="24"/>
                <w:highlight w:val="none"/>
              </w:rPr>
              <w:t>分</w:t>
            </w:r>
            <w:r>
              <w:rPr>
                <w:rFonts w:hint="eastAsia" w:ascii="宋体" w:hAnsi="宋体" w:eastAsia="宋体" w:cs="宋体"/>
                <w:color w:val="auto"/>
                <w:spacing w:val="-4"/>
                <w:sz w:val="24"/>
                <w:szCs w:val="24"/>
                <w:highlight w:val="none"/>
                <w:lang w:val="en-US" w:eastAsia="zh-CN"/>
              </w:rPr>
              <w:t>；</w:t>
            </w:r>
            <w:r>
              <w:rPr>
                <w:rFonts w:hint="eastAsia" w:ascii="宋体" w:hAnsi="宋体" w:eastAsia="宋体" w:cs="宋体"/>
                <w:color w:val="auto"/>
                <w:spacing w:val="-2"/>
                <w:sz w:val="24"/>
                <w:szCs w:val="24"/>
                <w:highlight w:val="none"/>
              </w:rPr>
              <w:t>廉洁工作保证措施合理可行得3分 ；</w:t>
            </w:r>
          </w:p>
          <w:p w14:paraId="4862B64F">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廉洁工作保证措施不够完善保证措施，措施不易实现得</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2"/>
                <w:sz w:val="24"/>
                <w:szCs w:val="24"/>
                <w:highlight w:val="none"/>
              </w:rPr>
              <w:t>分</w:t>
            </w:r>
            <w:r>
              <w:rPr>
                <w:rFonts w:hint="eastAsia" w:ascii="宋体" w:hAnsi="宋体" w:eastAsia="宋体" w:cs="宋体"/>
                <w:color w:val="auto"/>
                <w:spacing w:val="-2"/>
                <w:sz w:val="24"/>
                <w:szCs w:val="24"/>
                <w:highlight w:val="none"/>
                <w:lang w:val="en-US" w:eastAsia="zh-CN"/>
              </w:rPr>
              <w:t>；</w:t>
            </w:r>
          </w:p>
        </w:tc>
      </w:tr>
      <w:tr w14:paraId="290AB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1" w:hRule="atLeast"/>
        </w:trPr>
        <w:tc>
          <w:tcPr>
            <w:tcW w:w="1065" w:type="dxa"/>
            <w:vMerge w:val="continue"/>
            <w:vAlign w:val="center"/>
          </w:tcPr>
          <w:p w14:paraId="02306A0B">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25C05769">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合理化建议</w:t>
            </w:r>
          </w:p>
          <w:p w14:paraId="70329542">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2"/>
                <w:sz w:val="24"/>
                <w:szCs w:val="24"/>
                <w:highlight w:val="none"/>
              </w:rPr>
            </w:pPr>
            <w:r>
              <w:rPr>
                <w:rFonts w:hint="eastAsia" w:ascii="宋体" w:hAnsi="宋体" w:eastAsia="宋体" w:cs="宋体"/>
                <w:color w:val="auto"/>
                <w:spacing w:val="-8"/>
                <w:sz w:val="24"/>
                <w:szCs w:val="24"/>
                <w:highlight w:val="none"/>
              </w:rPr>
              <w:t>（5</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8"/>
                <w:sz w:val="24"/>
                <w:szCs w:val="24"/>
                <w:highlight w:val="none"/>
              </w:rPr>
              <w:t>分）</w:t>
            </w:r>
          </w:p>
        </w:tc>
        <w:tc>
          <w:tcPr>
            <w:tcW w:w="7073" w:type="dxa"/>
            <w:vAlign w:val="top"/>
          </w:tcPr>
          <w:p w14:paraId="67D49FFE">
            <w:pPr>
              <w:keepNext w:val="0"/>
              <w:keepLines w:val="0"/>
              <w:pageBreakBefore w:val="0"/>
              <w:widowControl/>
              <w:kinsoku w:val="0"/>
              <w:wordWrap/>
              <w:overflowPunct/>
              <w:topLinePunct w:val="0"/>
              <w:autoSpaceDE w:val="0"/>
              <w:autoSpaceDN w:val="0"/>
              <w:bidi w:val="0"/>
              <w:adjustRightInd w:val="0"/>
              <w:snapToGrid w:val="0"/>
              <w:spacing w:line="300" w:lineRule="auto"/>
              <w:ind w:left="0" w:right="0" w:hanging="8"/>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9"/>
                <w:sz w:val="24"/>
                <w:szCs w:val="24"/>
                <w:highlight w:val="none"/>
              </w:rPr>
              <w:t>有针对本项目编制的建议，建议合理且具有完善性，科学性，前</w:t>
            </w:r>
            <w:r>
              <w:rPr>
                <w:rFonts w:hint="eastAsia" w:ascii="宋体" w:hAnsi="宋体" w:eastAsia="宋体" w:cs="宋体"/>
                <w:color w:val="auto"/>
                <w:spacing w:val="-2"/>
                <w:sz w:val="24"/>
                <w:szCs w:val="24"/>
                <w:highlight w:val="none"/>
              </w:rPr>
              <w:t>瞻性，根据建议内容进行评价：</w:t>
            </w:r>
          </w:p>
          <w:p w14:paraId="6CD671D2">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position w:val="8"/>
                <w:sz w:val="24"/>
                <w:szCs w:val="24"/>
                <w:highlight w:val="none"/>
              </w:rPr>
              <w:t>建议切实合理可行，易于操作实现得</w:t>
            </w:r>
            <w:r>
              <w:rPr>
                <w:rFonts w:hint="eastAsia" w:ascii="宋体" w:hAnsi="宋体" w:eastAsia="宋体" w:cs="宋体"/>
                <w:color w:val="auto"/>
                <w:spacing w:val="-44"/>
                <w:position w:val="8"/>
                <w:sz w:val="24"/>
                <w:szCs w:val="24"/>
                <w:highlight w:val="none"/>
              </w:rPr>
              <w:t xml:space="preserve"> </w:t>
            </w:r>
            <w:r>
              <w:rPr>
                <w:rFonts w:hint="eastAsia" w:ascii="宋体" w:hAnsi="宋体" w:eastAsia="宋体" w:cs="宋体"/>
                <w:color w:val="auto"/>
                <w:spacing w:val="-3"/>
                <w:position w:val="8"/>
                <w:sz w:val="24"/>
                <w:szCs w:val="24"/>
                <w:highlight w:val="none"/>
              </w:rPr>
              <w:t>5</w:t>
            </w:r>
            <w:r>
              <w:rPr>
                <w:rFonts w:hint="eastAsia" w:ascii="宋体" w:hAnsi="宋体" w:eastAsia="宋体" w:cs="宋体"/>
                <w:color w:val="auto"/>
                <w:spacing w:val="-48"/>
                <w:position w:val="8"/>
                <w:sz w:val="24"/>
                <w:szCs w:val="24"/>
                <w:highlight w:val="none"/>
              </w:rPr>
              <w:t xml:space="preserve"> </w:t>
            </w:r>
            <w:r>
              <w:rPr>
                <w:rFonts w:hint="eastAsia" w:ascii="宋体" w:hAnsi="宋体" w:eastAsia="宋体" w:cs="宋体"/>
                <w:color w:val="auto"/>
                <w:spacing w:val="-3"/>
                <w:position w:val="8"/>
                <w:sz w:val="24"/>
                <w:szCs w:val="24"/>
                <w:highlight w:val="none"/>
              </w:rPr>
              <w:t>分；</w:t>
            </w:r>
          </w:p>
          <w:p w14:paraId="16E039A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方案合理可行得</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3"/>
                <w:sz w:val="24"/>
                <w:szCs w:val="24"/>
                <w:highlight w:val="none"/>
              </w:rPr>
              <w:t>3</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3"/>
                <w:sz w:val="24"/>
                <w:szCs w:val="24"/>
                <w:highlight w:val="none"/>
              </w:rPr>
              <w:t>分 ；</w:t>
            </w:r>
          </w:p>
          <w:p w14:paraId="31FFCE3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2"/>
                <w:sz w:val="24"/>
                <w:szCs w:val="24"/>
                <w:highlight w:val="none"/>
              </w:rPr>
            </w:pPr>
            <w:r>
              <w:rPr>
                <w:rFonts w:hint="eastAsia" w:ascii="宋体" w:hAnsi="宋体" w:eastAsia="宋体" w:cs="宋体"/>
                <w:color w:val="auto"/>
                <w:spacing w:val="-4"/>
                <w:sz w:val="24"/>
                <w:szCs w:val="24"/>
                <w:highlight w:val="none"/>
              </w:rPr>
              <w:t>方案不够完善、不易实现得</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4"/>
                <w:sz w:val="24"/>
                <w:szCs w:val="24"/>
                <w:highlight w:val="none"/>
              </w:rPr>
              <w:t>1</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4"/>
                <w:sz w:val="24"/>
                <w:szCs w:val="24"/>
                <w:highlight w:val="none"/>
              </w:rPr>
              <w:t>分；</w:t>
            </w:r>
          </w:p>
        </w:tc>
      </w:tr>
      <w:tr w14:paraId="0DFF70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trPr>
        <w:tc>
          <w:tcPr>
            <w:tcW w:w="1065" w:type="dxa"/>
            <w:vMerge w:val="continue"/>
            <w:vAlign w:val="center"/>
          </w:tcPr>
          <w:p w14:paraId="4372494D">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9"/>
                <w:sz w:val="24"/>
                <w:szCs w:val="24"/>
                <w:highlight w:val="none"/>
              </w:rPr>
            </w:pPr>
          </w:p>
        </w:tc>
        <w:tc>
          <w:tcPr>
            <w:tcW w:w="1454" w:type="dxa"/>
            <w:vAlign w:val="center"/>
          </w:tcPr>
          <w:p w14:paraId="11DE07BF">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8"/>
                <w:sz w:val="24"/>
                <w:szCs w:val="24"/>
                <w:highlight w:val="none"/>
              </w:rPr>
            </w:pPr>
            <w:r>
              <w:rPr>
                <w:rFonts w:hint="eastAsia" w:ascii="宋体" w:hAnsi="宋体" w:eastAsia="宋体" w:cs="宋体"/>
                <w:color w:val="auto"/>
                <w:spacing w:val="-2"/>
                <w:sz w:val="24"/>
                <w:szCs w:val="24"/>
                <w:highlight w:val="none"/>
              </w:rPr>
              <w:t>针对项目的档案管理措施和</w:t>
            </w:r>
            <w:r>
              <w:rPr>
                <w:rFonts w:hint="eastAsia" w:ascii="宋体" w:hAnsi="宋体" w:eastAsia="宋体" w:cs="宋体"/>
                <w:color w:val="auto"/>
                <w:sz w:val="24"/>
                <w:szCs w:val="24"/>
                <w:highlight w:val="none"/>
              </w:rPr>
              <w:t>方法（5</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z w:val="24"/>
                <w:szCs w:val="24"/>
                <w:highlight w:val="none"/>
              </w:rPr>
              <w:t>分）</w:t>
            </w:r>
          </w:p>
        </w:tc>
        <w:tc>
          <w:tcPr>
            <w:tcW w:w="7073" w:type="dxa"/>
            <w:vAlign w:val="top"/>
          </w:tcPr>
          <w:p w14:paraId="4FAB790C">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1"/>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有针对本项目的档案管理措施和方法、内容，根据内容进行评价</w:t>
            </w:r>
            <w:r>
              <w:rPr>
                <w:rFonts w:hint="eastAsia" w:ascii="宋体" w:hAnsi="宋体" w:eastAsia="宋体" w:cs="宋体"/>
                <w:color w:val="auto"/>
                <w:spacing w:val="-10"/>
                <w:sz w:val="24"/>
                <w:szCs w:val="24"/>
                <w:highlight w:val="none"/>
                <w:lang w:eastAsia="zh-CN"/>
              </w:rPr>
              <w:t>：</w:t>
            </w:r>
            <w:r>
              <w:rPr>
                <w:rFonts w:hint="eastAsia" w:ascii="宋体" w:hAnsi="宋体" w:eastAsia="宋体" w:cs="宋体"/>
                <w:color w:val="auto"/>
                <w:spacing w:val="-3"/>
                <w:sz w:val="24"/>
                <w:szCs w:val="24"/>
                <w:highlight w:val="none"/>
              </w:rPr>
              <w:t>切实合理可行，易于操作实现得</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3"/>
                <w:sz w:val="24"/>
                <w:szCs w:val="24"/>
                <w:highlight w:val="none"/>
              </w:rPr>
              <w:t>5</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3"/>
                <w:sz w:val="24"/>
                <w:szCs w:val="24"/>
                <w:highlight w:val="none"/>
              </w:rPr>
              <w:t>分；</w:t>
            </w:r>
          </w:p>
          <w:p w14:paraId="02531A3B">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合理可行得</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4"/>
                <w:sz w:val="24"/>
                <w:szCs w:val="24"/>
                <w:highlight w:val="none"/>
              </w:rPr>
              <w:t>3</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4"/>
                <w:sz w:val="24"/>
                <w:szCs w:val="24"/>
                <w:highlight w:val="none"/>
              </w:rPr>
              <w:t>分 ；</w:t>
            </w:r>
          </w:p>
          <w:p w14:paraId="32F0E7B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不够完善、不易实现得</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4"/>
                <w:sz w:val="24"/>
                <w:szCs w:val="24"/>
                <w:highlight w:val="none"/>
              </w:rPr>
              <w:t>1</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4"/>
                <w:sz w:val="24"/>
                <w:szCs w:val="24"/>
                <w:highlight w:val="none"/>
              </w:rPr>
              <w:t>分；</w:t>
            </w:r>
          </w:p>
        </w:tc>
      </w:tr>
      <w:tr w14:paraId="2B45E0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9592" w:type="dxa"/>
            <w:gridSpan w:val="3"/>
            <w:vAlign w:val="top"/>
          </w:tcPr>
          <w:p w14:paraId="218C57C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pacing w:val="-4"/>
                <w:sz w:val="24"/>
                <w:szCs w:val="24"/>
                <w:highlight w:val="none"/>
              </w:rPr>
            </w:pPr>
            <w:r>
              <w:rPr>
                <w:rFonts w:hint="eastAsia" w:ascii="宋体" w:hAnsi="宋体" w:eastAsia="宋体" w:cs="宋体"/>
                <w:b/>
                <w:bCs/>
                <w:color w:val="auto"/>
                <w:spacing w:val="-3"/>
                <w:sz w:val="24"/>
                <w:szCs w:val="24"/>
                <w:highlight w:val="none"/>
              </w:rPr>
              <w:t>注：以上内容若有缺项，该项不得分。</w:t>
            </w:r>
          </w:p>
        </w:tc>
      </w:tr>
      <w:tr w14:paraId="5040CA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1" w:hRule="atLeast"/>
        </w:trPr>
        <w:tc>
          <w:tcPr>
            <w:tcW w:w="1065" w:type="dxa"/>
            <w:vMerge w:val="restart"/>
            <w:vAlign w:val="center"/>
          </w:tcPr>
          <w:p w14:paraId="189DC54D">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2"/>
                <w:sz w:val="24"/>
                <w:szCs w:val="24"/>
                <w:highlight w:val="none"/>
              </w:rPr>
            </w:pPr>
            <w:r>
              <w:rPr>
                <w:rFonts w:hint="eastAsia" w:ascii="宋体" w:hAnsi="宋体" w:eastAsia="宋体" w:cs="宋体"/>
                <w:color w:val="auto"/>
                <w:spacing w:val="-9"/>
                <w:sz w:val="24"/>
                <w:szCs w:val="24"/>
                <w:highlight w:val="none"/>
              </w:rPr>
              <w:t>综合标</w:t>
            </w:r>
            <w:r>
              <w:rPr>
                <w:rFonts w:hint="eastAsia" w:ascii="宋体" w:hAnsi="宋体" w:eastAsia="宋体" w:cs="宋体"/>
                <w:color w:val="auto"/>
                <w:spacing w:val="-2"/>
                <w:sz w:val="24"/>
                <w:szCs w:val="24"/>
                <w:highlight w:val="none"/>
              </w:rPr>
              <w:t>评审标准</w:t>
            </w:r>
          </w:p>
          <w:p w14:paraId="1C783246">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9"/>
                <w:sz w:val="24"/>
                <w:szCs w:val="24"/>
                <w:highlight w:val="none"/>
              </w:rPr>
            </w:pPr>
            <w:r>
              <w:rPr>
                <w:rFonts w:hint="eastAsia" w:ascii="宋体" w:hAnsi="宋体" w:eastAsia="宋体" w:cs="宋体"/>
                <w:color w:val="auto"/>
                <w:spacing w:val="-13"/>
                <w:sz w:val="24"/>
                <w:szCs w:val="24"/>
                <w:highlight w:val="none"/>
              </w:rPr>
              <w:t>（20</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3"/>
                <w:sz w:val="24"/>
                <w:szCs w:val="24"/>
                <w:highlight w:val="none"/>
              </w:rPr>
              <w:t>分）</w:t>
            </w:r>
          </w:p>
        </w:tc>
        <w:tc>
          <w:tcPr>
            <w:tcW w:w="1454" w:type="dxa"/>
            <w:shd w:val="clear" w:color="auto" w:fill="auto"/>
            <w:vAlign w:val="center"/>
          </w:tcPr>
          <w:p w14:paraId="492624A1">
            <w:pPr>
              <w:pStyle w:val="15"/>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center"/>
              <w:textAlignment w:val="baseline"/>
              <w:outlineLvl w:val="9"/>
              <w:rPr>
                <w:rFonts w:hint="eastAsia" w:ascii="宋体" w:hAnsi="宋体" w:eastAsia="宋体" w:cs="宋体"/>
                <w:color w:val="auto"/>
                <w:sz w:val="24"/>
                <w:szCs w:val="24"/>
                <w:highlight w:val="none"/>
              </w:rPr>
            </w:pPr>
          </w:p>
          <w:p w14:paraId="6BEFE9B4">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color w:val="auto"/>
                <w:spacing w:val="-4"/>
                <w:position w:val="8"/>
                <w:sz w:val="24"/>
                <w:szCs w:val="24"/>
                <w:highlight w:val="none"/>
              </w:rPr>
            </w:pPr>
            <w:r>
              <w:rPr>
                <w:rFonts w:hint="eastAsia" w:ascii="宋体" w:hAnsi="宋体" w:eastAsia="宋体" w:cs="宋体"/>
                <w:color w:val="auto"/>
                <w:spacing w:val="-4"/>
                <w:position w:val="8"/>
                <w:sz w:val="24"/>
                <w:szCs w:val="24"/>
                <w:highlight w:val="none"/>
              </w:rPr>
              <w:t>企业业绩</w:t>
            </w:r>
          </w:p>
          <w:p w14:paraId="1FDE212D">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firstLine="0" w:firstLineChars="0"/>
              <w:jc w:val="center"/>
              <w:textAlignment w:val="baseline"/>
              <w:outlineLvl w:val="9"/>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pacing w:val="-6"/>
                <w:sz w:val="24"/>
                <w:szCs w:val="24"/>
                <w:highlight w:val="none"/>
              </w:rPr>
              <w:t>（10</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6"/>
                <w:sz w:val="24"/>
                <w:szCs w:val="24"/>
                <w:highlight w:val="none"/>
              </w:rPr>
              <w:t>分）</w:t>
            </w:r>
          </w:p>
        </w:tc>
        <w:tc>
          <w:tcPr>
            <w:tcW w:w="7073" w:type="dxa"/>
            <w:shd w:val="clear" w:color="auto" w:fill="auto"/>
            <w:vAlign w:val="center"/>
          </w:tcPr>
          <w:p w14:paraId="662FC316">
            <w:pPr>
              <w:keepNext w:val="0"/>
              <w:keepLines w:val="0"/>
              <w:pageBreakBefore w:val="0"/>
              <w:widowControl/>
              <w:kinsoku w:val="0"/>
              <w:wordWrap/>
              <w:overflowPunct/>
              <w:topLinePunct w:val="0"/>
              <w:autoSpaceDE w:val="0"/>
              <w:autoSpaceDN w:val="0"/>
              <w:bidi w:val="0"/>
              <w:adjustRightInd w:val="0"/>
              <w:snapToGrid w:val="0"/>
              <w:spacing w:line="300" w:lineRule="auto"/>
              <w:ind w:right="0" w:rightChars="0"/>
              <w:jc w:val="both"/>
              <w:textAlignment w:val="baseline"/>
              <w:outlineLvl w:val="9"/>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pacing w:val="-11"/>
                <w:sz w:val="24"/>
                <w:szCs w:val="24"/>
                <w:highlight w:val="none"/>
              </w:rPr>
              <w:t>自</w:t>
            </w:r>
            <w:r>
              <w:rPr>
                <w:rFonts w:hint="eastAsia" w:ascii="宋体" w:hAnsi="宋体" w:eastAsia="宋体" w:cs="宋体"/>
                <w:color w:val="auto"/>
                <w:spacing w:val="-44"/>
                <w:sz w:val="24"/>
                <w:szCs w:val="24"/>
                <w:highlight w:val="none"/>
              </w:rPr>
              <w:t xml:space="preserve"> </w:t>
            </w:r>
            <w:r>
              <w:rPr>
                <w:rFonts w:hint="eastAsia" w:ascii="宋体" w:hAnsi="宋体" w:eastAsia="宋体" w:cs="宋体"/>
                <w:color w:val="auto"/>
                <w:spacing w:val="-11"/>
                <w:sz w:val="24"/>
                <w:szCs w:val="24"/>
                <w:highlight w:val="none"/>
              </w:rPr>
              <w:t>202</w:t>
            </w:r>
            <w:r>
              <w:rPr>
                <w:rFonts w:hint="eastAsia" w:ascii="宋体" w:hAnsi="宋体" w:eastAsia="宋体" w:cs="宋体"/>
                <w:color w:val="auto"/>
                <w:spacing w:val="-11"/>
                <w:sz w:val="24"/>
                <w:szCs w:val="24"/>
                <w:highlight w:val="none"/>
                <w:lang w:val="en-US" w:eastAsia="zh-CN"/>
              </w:rPr>
              <w:t>3</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11"/>
                <w:sz w:val="24"/>
                <w:szCs w:val="24"/>
                <w:highlight w:val="none"/>
              </w:rPr>
              <w:t>年</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11"/>
                <w:sz w:val="24"/>
                <w:szCs w:val="24"/>
                <w:highlight w:val="none"/>
              </w:rPr>
              <w:t>1</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11"/>
                <w:sz w:val="24"/>
                <w:szCs w:val="24"/>
                <w:highlight w:val="none"/>
              </w:rPr>
              <w:t>月</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11"/>
                <w:sz w:val="24"/>
                <w:szCs w:val="24"/>
                <w:highlight w:val="none"/>
              </w:rPr>
              <w:t>1日至今评审过</w:t>
            </w:r>
            <w:r>
              <w:rPr>
                <w:rFonts w:hint="eastAsia" w:ascii="宋体" w:hAnsi="宋体" w:eastAsia="宋体" w:cs="宋体"/>
                <w:color w:val="auto"/>
                <w:spacing w:val="-11"/>
                <w:sz w:val="24"/>
                <w:szCs w:val="24"/>
                <w:highlight w:val="none"/>
                <w:lang w:val="en-US" w:eastAsia="zh-CN"/>
              </w:rPr>
              <w:t>房建、</w:t>
            </w:r>
            <w:r>
              <w:rPr>
                <w:rFonts w:hint="eastAsia" w:ascii="宋体" w:hAnsi="宋体" w:eastAsia="宋体" w:cs="宋体"/>
                <w:color w:val="auto"/>
                <w:spacing w:val="-11"/>
                <w:sz w:val="24"/>
                <w:szCs w:val="24"/>
                <w:highlight w:val="none"/>
              </w:rPr>
              <w:t>市政、公路、水利、园林、</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4"/>
                <w:sz w:val="24"/>
                <w:szCs w:val="24"/>
                <w:highlight w:val="none"/>
              </w:rPr>
              <w:t>土地整理、电力等业绩（合同、成果文件</w:t>
            </w:r>
            <w:r>
              <w:rPr>
                <w:rFonts w:hint="eastAsia" w:ascii="宋体" w:hAnsi="宋体" w:eastAsia="宋体" w:cs="宋体"/>
                <w:color w:val="auto"/>
                <w:spacing w:val="-14"/>
                <w:sz w:val="24"/>
                <w:szCs w:val="24"/>
                <w:highlight w:val="none"/>
                <w:lang w:eastAsia="zh-CN"/>
              </w:rPr>
              <w:t>，</w:t>
            </w:r>
            <w:r>
              <w:rPr>
                <w:rFonts w:hint="eastAsia" w:ascii="宋体" w:hAnsi="宋体" w:eastAsia="宋体" w:cs="宋体"/>
                <w:color w:val="auto"/>
                <w:spacing w:val="-14"/>
                <w:sz w:val="24"/>
                <w:szCs w:val="24"/>
                <w:highlight w:val="none"/>
              </w:rPr>
              <w:t>缺一不可</w:t>
            </w: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pacing w:val="-15"/>
                <w:sz w:val="24"/>
                <w:szCs w:val="24"/>
                <w:highlight w:val="none"/>
                <w:lang w:eastAsia="zh-CN"/>
              </w:rPr>
              <w:t>，</w:t>
            </w:r>
            <w:r>
              <w:rPr>
                <w:rFonts w:hint="eastAsia" w:ascii="宋体" w:hAnsi="宋体" w:eastAsia="宋体" w:cs="宋体"/>
                <w:color w:val="auto"/>
                <w:spacing w:val="-3"/>
                <w:sz w:val="24"/>
                <w:szCs w:val="24"/>
                <w:highlight w:val="none"/>
              </w:rPr>
              <w:t>每涉及一方面加</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pacing w:val="-3"/>
                <w:sz w:val="24"/>
                <w:szCs w:val="24"/>
                <w:highlight w:val="none"/>
              </w:rPr>
              <w:t>2</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pacing w:val="-3"/>
                <w:sz w:val="24"/>
                <w:szCs w:val="24"/>
                <w:highlight w:val="none"/>
              </w:rPr>
              <w:t>分，最多加</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pacing w:val="-3"/>
                <w:sz w:val="24"/>
                <w:szCs w:val="24"/>
                <w:highlight w:val="none"/>
              </w:rPr>
              <w:t>10</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3"/>
                <w:sz w:val="24"/>
                <w:szCs w:val="24"/>
                <w:highlight w:val="none"/>
              </w:rPr>
              <w:t>分</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3"/>
                <w:sz w:val="24"/>
                <w:szCs w:val="24"/>
                <w:highlight w:val="none"/>
              </w:rPr>
              <w:t>同一个业绩涉及不同专业的，不重复计分）</w:t>
            </w:r>
          </w:p>
        </w:tc>
      </w:tr>
      <w:tr w14:paraId="73EE57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1065" w:type="dxa"/>
            <w:vMerge w:val="continue"/>
          </w:tcPr>
          <w:p w14:paraId="17AE029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right"/>
              <w:textAlignment w:val="baseline"/>
              <w:outlineLvl w:val="9"/>
              <w:rPr>
                <w:rFonts w:hint="eastAsia" w:ascii="宋体" w:hAnsi="宋体" w:eastAsia="宋体" w:cs="宋体"/>
                <w:color w:val="auto"/>
                <w:spacing w:val="-9"/>
                <w:sz w:val="24"/>
                <w:szCs w:val="24"/>
                <w:highlight w:val="none"/>
              </w:rPr>
            </w:pPr>
          </w:p>
        </w:tc>
        <w:tc>
          <w:tcPr>
            <w:tcW w:w="1454" w:type="dxa"/>
            <w:shd w:val="clear" w:color="auto" w:fill="auto"/>
            <w:vAlign w:val="center"/>
          </w:tcPr>
          <w:p w14:paraId="61E7B524">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rightChars="0" w:firstLine="0" w:firstLineChars="0"/>
              <w:jc w:val="center"/>
              <w:textAlignment w:val="baseline"/>
              <w:outlineLvl w:val="9"/>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pacing w:val="-5"/>
                <w:sz w:val="24"/>
                <w:szCs w:val="24"/>
                <w:highlight w:val="none"/>
              </w:rPr>
              <w:t>本地化服务</w:t>
            </w: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lang w:val="en-US" w:eastAsia="zh-CN"/>
              </w:rPr>
              <w:t>5</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6"/>
                <w:sz w:val="24"/>
                <w:szCs w:val="24"/>
                <w:highlight w:val="none"/>
              </w:rPr>
              <w:t>分）</w:t>
            </w:r>
          </w:p>
        </w:tc>
        <w:tc>
          <w:tcPr>
            <w:tcW w:w="7073" w:type="dxa"/>
            <w:shd w:val="clear" w:color="auto" w:fill="auto"/>
            <w:vAlign w:val="center"/>
          </w:tcPr>
          <w:p w14:paraId="1FC25234">
            <w:pPr>
              <w:keepNext w:val="0"/>
              <w:keepLines w:val="0"/>
              <w:pageBreakBefore w:val="0"/>
              <w:widowControl/>
              <w:kinsoku w:val="0"/>
              <w:wordWrap/>
              <w:overflowPunct/>
              <w:topLinePunct w:val="0"/>
              <w:autoSpaceDE w:val="0"/>
              <w:autoSpaceDN w:val="0"/>
              <w:bidi w:val="0"/>
              <w:adjustRightInd w:val="0"/>
              <w:snapToGrid w:val="0"/>
              <w:spacing w:line="300" w:lineRule="auto"/>
              <w:ind w:right="0" w:rightChars="0"/>
              <w:jc w:val="both"/>
              <w:textAlignment w:val="baseline"/>
              <w:outlineLvl w:val="9"/>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pacing w:val="-5"/>
                <w:sz w:val="24"/>
                <w:szCs w:val="24"/>
                <w:highlight w:val="none"/>
              </w:rPr>
              <w:t>本地化服务机构</w:t>
            </w:r>
            <w:r>
              <w:rPr>
                <w:rFonts w:hint="eastAsia" w:ascii="宋体" w:hAnsi="宋体" w:eastAsia="宋体" w:cs="宋体"/>
                <w:color w:val="auto"/>
                <w:spacing w:val="-48"/>
                <w:sz w:val="24"/>
                <w:szCs w:val="24"/>
                <w:highlight w:val="none"/>
                <w:lang w:val="en-US" w:eastAsia="zh-CN"/>
              </w:rPr>
              <w:t>5</w:t>
            </w:r>
            <w:r>
              <w:rPr>
                <w:rFonts w:hint="eastAsia" w:ascii="宋体" w:hAnsi="宋体" w:eastAsia="宋体" w:cs="宋体"/>
                <w:color w:val="auto"/>
                <w:spacing w:val="-5"/>
                <w:sz w:val="24"/>
                <w:szCs w:val="24"/>
                <w:highlight w:val="none"/>
              </w:rPr>
              <w:t>分（须提供办公场所房产证或</w:t>
            </w:r>
            <w:r>
              <w:rPr>
                <w:rFonts w:hint="eastAsia" w:ascii="宋体" w:hAnsi="宋体" w:eastAsia="宋体" w:cs="宋体"/>
                <w:color w:val="auto"/>
                <w:spacing w:val="-6"/>
                <w:sz w:val="24"/>
                <w:szCs w:val="24"/>
                <w:highlight w:val="none"/>
              </w:rPr>
              <w:t>房屋租赁合同证</w:t>
            </w:r>
            <w:r>
              <w:rPr>
                <w:rFonts w:hint="eastAsia" w:ascii="宋体" w:hAnsi="宋体" w:eastAsia="宋体" w:cs="宋体"/>
                <w:color w:val="auto"/>
                <w:spacing w:val="-13"/>
                <w:sz w:val="24"/>
                <w:szCs w:val="24"/>
                <w:highlight w:val="none"/>
              </w:rPr>
              <w:t>明</w:t>
            </w:r>
            <w:r>
              <w:rPr>
                <w:rFonts w:hint="eastAsia" w:ascii="宋体" w:hAnsi="宋体" w:eastAsia="宋体" w:cs="宋体"/>
                <w:color w:val="auto"/>
                <w:spacing w:val="-21"/>
                <w:sz w:val="24"/>
                <w:szCs w:val="24"/>
                <w:highlight w:val="none"/>
              </w:rPr>
              <w:t>）</w:t>
            </w:r>
          </w:p>
        </w:tc>
      </w:tr>
      <w:tr w14:paraId="4826A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1065" w:type="dxa"/>
            <w:vMerge w:val="continue"/>
          </w:tcPr>
          <w:p w14:paraId="0354FDC3">
            <w:pPr>
              <w:keepNext w:val="0"/>
              <w:keepLines w:val="0"/>
              <w:pageBreakBefore w:val="0"/>
              <w:widowControl/>
              <w:kinsoku w:val="0"/>
              <w:wordWrap/>
              <w:overflowPunct/>
              <w:topLinePunct w:val="0"/>
              <w:autoSpaceDE w:val="0"/>
              <w:autoSpaceDN w:val="0"/>
              <w:bidi w:val="0"/>
              <w:adjustRightInd w:val="0"/>
              <w:snapToGrid w:val="0"/>
              <w:spacing w:line="300" w:lineRule="auto"/>
              <w:ind w:left="0" w:right="0"/>
              <w:jc w:val="right"/>
              <w:textAlignment w:val="baseline"/>
              <w:outlineLvl w:val="9"/>
              <w:rPr>
                <w:rFonts w:hint="eastAsia" w:ascii="宋体" w:hAnsi="宋体" w:eastAsia="宋体" w:cs="宋体"/>
                <w:color w:val="auto"/>
                <w:spacing w:val="-9"/>
                <w:sz w:val="24"/>
                <w:szCs w:val="24"/>
                <w:highlight w:val="none"/>
              </w:rPr>
            </w:pPr>
          </w:p>
        </w:tc>
        <w:tc>
          <w:tcPr>
            <w:tcW w:w="1454" w:type="dxa"/>
            <w:shd w:val="clear" w:color="auto" w:fill="auto"/>
            <w:vAlign w:val="center"/>
          </w:tcPr>
          <w:p w14:paraId="1D7BDA86">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rightChars="0" w:firstLine="0" w:firstLineChars="0"/>
              <w:jc w:val="center"/>
              <w:textAlignment w:val="baseline"/>
              <w:outlineLvl w:val="9"/>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pacing w:val="-3"/>
                <w:sz w:val="24"/>
                <w:szCs w:val="24"/>
                <w:highlight w:val="none"/>
              </w:rPr>
              <w:t>项目负责人荣</w:t>
            </w:r>
            <w:r>
              <w:rPr>
                <w:rFonts w:hint="eastAsia" w:ascii="宋体" w:hAnsi="宋体" w:eastAsia="宋体" w:cs="宋体"/>
                <w:color w:val="auto"/>
                <w:spacing w:val="-5"/>
                <w:sz w:val="24"/>
                <w:szCs w:val="24"/>
                <w:highlight w:val="none"/>
              </w:rPr>
              <w:t>誉（</w:t>
            </w:r>
            <w:r>
              <w:rPr>
                <w:rFonts w:hint="eastAsia" w:ascii="宋体" w:hAnsi="宋体" w:eastAsia="宋体" w:cs="宋体"/>
                <w:color w:val="auto"/>
                <w:spacing w:val="-5"/>
                <w:sz w:val="24"/>
                <w:szCs w:val="24"/>
                <w:highlight w:val="none"/>
                <w:lang w:val="en-US" w:eastAsia="zh-CN"/>
              </w:rPr>
              <w:t>5</w:t>
            </w:r>
            <w:r>
              <w:rPr>
                <w:rFonts w:hint="eastAsia" w:ascii="宋体" w:hAnsi="宋体" w:eastAsia="宋体" w:cs="宋体"/>
                <w:color w:val="auto"/>
                <w:spacing w:val="-5"/>
                <w:sz w:val="24"/>
                <w:szCs w:val="24"/>
                <w:highlight w:val="none"/>
              </w:rPr>
              <w:t>分）</w:t>
            </w:r>
          </w:p>
        </w:tc>
        <w:tc>
          <w:tcPr>
            <w:tcW w:w="7073" w:type="dxa"/>
            <w:shd w:val="clear" w:color="auto" w:fill="auto"/>
            <w:vAlign w:val="center"/>
          </w:tcPr>
          <w:p w14:paraId="24A076B5">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rightChars="0"/>
              <w:jc w:val="both"/>
              <w:textAlignment w:val="baseline"/>
              <w:outlineLvl w:val="9"/>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en-US" w:bidi="ar-SA"/>
              </w:rPr>
              <w:t>项目管理机构中专业人员（项目负责人除外），有中级技术职称或高级技术职称或相关注册证书的得1分，此项</w:t>
            </w:r>
            <w:r>
              <w:rPr>
                <w:rFonts w:hint="eastAsia" w:ascii="宋体" w:hAnsi="宋体" w:eastAsia="宋体" w:cs="宋体"/>
                <w:snapToGrid w:val="0"/>
                <w:color w:val="auto"/>
                <w:kern w:val="0"/>
                <w:sz w:val="24"/>
                <w:szCs w:val="24"/>
                <w:highlight w:val="none"/>
                <w:lang w:val="en-US" w:eastAsia="zh-CN" w:bidi="ar-SA"/>
              </w:rPr>
              <w:t>最</w:t>
            </w:r>
            <w:r>
              <w:rPr>
                <w:rFonts w:hint="eastAsia" w:ascii="宋体" w:hAnsi="宋体" w:eastAsia="宋体" w:cs="宋体"/>
                <w:snapToGrid w:val="0"/>
                <w:color w:val="auto"/>
                <w:kern w:val="0"/>
                <w:sz w:val="24"/>
                <w:szCs w:val="24"/>
                <w:highlight w:val="none"/>
                <w:lang w:val="en-US" w:eastAsia="en-US" w:bidi="ar-SA"/>
              </w:rPr>
              <w:t>多得</w:t>
            </w:r>
            <w:r>
              <w:rPr>
                <w:rFonts w:hint="eastAsia" w:ascii="宋体" w:hAnsi="宋体" w:eastAsia="宋体" w:cs="宋体"/>
                <w:snapToGrid w:val="0"/>
                <w:color w:val="auto"/>
                <w:kern w:val="0"/>
                <w:sz w:val="24"/>
                <w:szCs w:val="24"/>
                <w:highlight w:val="none"/>
                <w:lang w:val="en-US" w:eastAsia="zh-CN" w:bidi="ar-SA"/>
              </w:rPr>
              <w:t>5</w:t>
            </w:r>
            <w:r>
              <w:rPr>
                <w:rFonts w:hint="eastAsia" w:ascii="宋体" w:hAnsi="宋体" w:eastAsia="宋体" w:cs="宋体"/>
                <w:snapToGrid w:val="0"/>
                <w:color w:val="auto"/>
                <w:kern w:val="0"/>
                <w:sz w:val="24"/>
                <w:szCs w:val="24"/>
                <w:highlight w:val="none"/>
                <w:lang w:val="en-US" w:eastAsia="en-US" w:bidi="ar-SA"/>
              </w:rPr>
              <w:t>分。</w:t>
            </w:r>
          </w:p>
        </w:tc>
      </w:tr>
      <w:tr w14:paraId="61BFA4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9592" w:type="dxa"/>
            <w:gridSpan w:val="3"/>
          </w:tcPr>
          <w:p w14:paraId="5593A534">
            <w:pPr>
              <w:keepNext w:val="0"/>
              <w:keepLines w:val="0"/>
              <w:pageBreakBefore w:val="0"/>
              <w:widowControl/>
              <w:kinsoku w:val="0"/>
              <w:wordWrap/>
              <w:overflowPunct/>
              <w:topLinePunct w:val="0"/>
              <w:autoSpaceDE w:val="0"/>
              <w:autoSpaceDN w:val="0"/>
              <w:bidi w:val="0"/>
              <w:adjustRightInd w:val="0"/>
              <w:snapToGrid w:val="0"/>
              <w:spacing w:line="300" w:lineRule="auto"/>
              <w:ind w:left="0" w:leftChars="0" w:right="0" w:rightChars="0"/>
              <w:jc w:val="both"/>
              <w:textAlignment w:val="baseline"/>
              <w:outlineLvl w:val="9"/>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注：供应商响应</w:t>
            </w:r>
            <w:r>
              <w:rPr>
                <w:rFonts w:hint="eastAsia" w:ascii="宋体" w:hAnsi="宋体" w:eastAsia="宋体" w:cs="宋体"/>
                <w:color w:val="auto"/>
                <w:spacing w:val="-5"/>
                <w:sz w:val="24"/>
                <w:szCs w:val="24"/>
                <w:highlight w:val="none"/>
                <w:lang w:eastAsia="zh-CN"/>
              </w:rPr>
              <w:t>涉及</w:t>
            </w:r>
            <w:r>
              <w:rPr>
                <w:rFonts w:hint="eastAsia" w:ascii="宋体" w:hAnsi="宋体" w:eastAsia="宋体" w:cs="宋体"/>
                <w:color w:val="auto"/>
                <w:spacing w:val="-5"/>
                <w:sz w:val="24"/>
                <w:szCs w:val="24"/>
                <w:highlight w:val="none"/>
              </w:rPr>
              <w:t>的证书须将原件扫描件制作在“响应文件”中，否则不得分。同时供</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应商须自行完善主体库信息。</w:t>
            </w:r>
          </w:p>
        </w:tc>
      </w:tr>
    </w:tbl>
    <w:p w14:paraId="5C36E463">
      <w:pPr>
        <w:spacing w:line="174" w:lineRule="exact"/>
        <w:rPr>
          <w:rFonts w:hint="eastAsia" w:ascii="宋体" w:hAnsi="宋体" w:eastAsia="宋体" w:cs="宋体"/>
          <w:color w:val="auto"/>
          <w:highlight w:val="none"/>
        </w:rPr>
      </w:pPr>
    </w:p>
    <w:p w14:paraId="0FB70C27">
      <w:pPr>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宋体" w:hAnsi="宋体" w:eastAsia="宋体" w:cs="宋体"/>
          <w:color w:val="auto"/>
          <w:sz w:val="28"/>
          <w:szCs w:val="28"/>
          <w:highlight w:val="none"/>
        </w:rPr>
        <w:sectPr>
          <w:footerReference r:id="rId6" w:type="default"/>
          <w:pgSz w:w="11912" w:h="16841"/>
          <w:pgMar w:top="1440" w:right="1800" w:bottom="1440" w:left="1800" w:header="0" w:footer="787" w:gutter="0"/>
          <w:pgNumType w:fmt="decimal"/>
          <w:cols w:space="720" w:num="1"/>
        </w:sectPr>
      </w:pPr>
    </w:p>
    <w:p w14:paraId="027CF406">
      <w:pPr>
        <w:spacing w:before="64" w:line="224" w:lineRule="auto"/>
        <w:jc w:val="center"/>
        <w:outlineLvl w:val="9"/>
        <w:rPr>
          <w:rFonts w:hint="eastAsia" w:ascii="宋体" w:hAnsi="宋体" w:eastAsia="宋体" w:cs="宋体"/>
          <w:color w:val="auto"/>
          <w:spacing w:val="8"/>
          <w:sz w:val="32"/>
          <w:szCs w:val="32"/>
          <w:highlight w:val="none"/>
          <w14:textOutline w14:w="5791" w14:cap="flat" w14:cmpd="sng">
            <w14:solidFill>
              <w14:srgbClr w14:val="000000"/>
            </w14:solidFill>
            <w14:prstDash w14:val="solid"/>
            <w14:miter w14:val="0"/>
          </w14:textOutline>
        </w:rPr>
      </w:pPr>
      <w:bookmarkStart w:id="293" w:name="_Toc8753"/>
      <w:bookmarkStart w:id="294" w:name="_Toc20382"/>
    </w:p>
    <w:p w14:paraId="30E8F480">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Theme="majorEastAsia" w:hAnsiTheme="majorEastAsia" w:eastAsiaTheme="majorEastAsia" w:cstheme="majorEastAsia"/>
          <w:b/>
          <w:bCs/>
          <w:spacing w:val="3930"/>
          <w:w w:val="100"/>
          <w:kern w:val="0"/>
          <w:sz w:val="32"/>
          <w:szCs w:val="32"/>
          <w:highlight w:val="none"/>
          <w:fitText w:val="4250" w:id="1836938133"/>
        </w:rPr>
      </w:pPr>
      <w:bookmarkStart w:id="295" w:name="_Toc14252"/>
      <w:bookmarkStart w:id="296" w:name="_Toc15011"/>
      <w:bookmarkStart w:id="297" w:name="_Toc2275"/>
      <w:bookmarkStart w:id="298" w:name="_Toc25888"/>
      <w:bookmarkStart w:id="299" w:name="_Toc15777"/>
      <w:bookmarkStart w:id="300" w:name="_Toc14001"/>
      <w:bookmarkStart w:id="301" w:name="_Toc20472"/>
      <w:bookmarkStart w:id="302" w:name="_Toc14260"/>
      <w:bookmarkStart w:id="303" w:name="_Toc20117"/>
      <w:bookmarkStart w:id="304" w:name="_Toc14514"/>
      <w:bookmarkStart w:id="305" w:name="_Toc2834"/>
      <w:r>
        <w:rPr>
          <w:rFonts w:hint="eastAsia" w:asciiTheme="majorEastAsia" w:hAnsiTheme="majorEastAsia" w:eastAsiaTheme="majorEastAsia" w:cstheme="majorEastAsia"/>
          <w:b/>
          <w:bCs/>
          <w:spacing w:val="67"/>
          <w:w w:val="100"/>
          <w:kern w:val="0"/>
          <w:sz w:val="32"/>
          <w:szCs w:val="32"/>
          <w:highlight w:val="none"/>
          <w:fitText w:val="4250" w:id="586880337"/>
        </w:rPr>
        <w:t>第四章 框架协议文</w:t>
      </w:r>
      <w:r>
        <w:rPr>
          <w:rFonts w:hint="eastAsia" w:asciiTheme="majorEastAsia" w:hAnsiTheme="majorEastAsia" w:eastAsiaTheme="majorEastAsia" w:cstheme="majorEastAsia"/>
          <w:b/>
          <w:bCs/>
          <w:spacing w:val="2"/>
          <w:w w:val="100"/>
          <w:kern w:val="0"/>
          <w:sz w:val="32"/>
          <w:szCs w:val="32"/>
          <w:highlight w:val="none"/>
          <w:fitText w:val="4250" w:id="586880337"/>
        </w:rPr>
        <w:t>本</w:t>
      </w:r>
      <w:bookmarkEnd w:id="293"/>
      <w:bookmarkEnd w:id="294"/>
      <w:bookmarkEnd w:id="295"/>
      <w:bookmarkEnd w:id="296"/>
      <w:bookmarkEnd w:id="297"/>
      <w:bookmarkEnd w:id="298"/>
      <w:bookmarkEnd w:id="299"/>
      <w:bookmarkEnd w:id="300"/>
      <w:bookmarkEnd w:id="301"/>
      <w:bookmarkEnd w:id="302"/>
      <w:bookmarkEnd w:id="303"/>
      <w:bookmarkEnd w:id="304"/>
      <w:bookmarkEnd w:id="305"/>
    </w:p>
    <w:p w14:paraId="68F5065D">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9"/>
        <w:rPr>
          <w:rFonts w:hint="eastAsia" w:ascii="黑体" w:hAnsi="黑体" w:eastAsia="黑体" w:cs="黑体"/>
          <w:b/>
          <w:bCs/>
          <w:spacing w:val="3828"/>
          <w:w w:val="100"/>
          <w:kern w:val="0"/>
          <w:sz w:val="44"/>
          <w:szCs w:val="44"/>
          <w:highlight w:val="none"/>
          <w:fitText w:val="4268" w:id="807167569"/>
        </w:rPr>
      </w:pPr>
    </w:p>
    <w:p w14:paraId="220A02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合同编号：__________ </w:t>
      </w:r>
    </w:p>
    <w:p w14:paraId="608323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征集人（甲方）：三门峡市陕州区发展和改革委员会 </w:t>
      </w:r>
    </w:p>
    <w:p w14:paraId="2563F8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统一社会信用代码：________________ </w:t>
      </w:r>
    </w:p>
    <w:p w14:paraId="0206F8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地址：________________________ </w:t>
      </w:r>
    </w:p>
    <w:p w14:paraId="222893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联系人：__________ </w:t>
      </w:r>
    </w:p>
    <w:p w14:paraId="1D4905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联系电话：________________</w:t>
      </w:r>
    </w:p>
    <w:p w14:paraId="52F048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入围供应商（乙方）：________________________ </w:t>
      </w:r>
    </w:p>
    <w:p w14:paraId="71BA6C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统一社会信用代码：________________ </w:t>
      </w:r>
    </w:p>
    <w:p w14:paraId="1F19E0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注册地址：________________________ </w:t>
      </w:r>
    </w:p>
    <w:p w14:paraId="7DDA73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办公地址（三门峡本地服务场所）：________________________ </w:t>
      </w:r>
    </w:p>
    <w:p w14:paraId="75CC4E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法定代表人：__________ </w:t>
      </w:r>
    </w:p>
    <w:p w14:paraId="7F6C0C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联系电话：________________</w:t>
      </w:r>
    </w:p>
    <w:p w14:paraId="61016C6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依据</w:t>
      </w:r>
    </w:p>
    <w:p w14:paraId="56A7B542">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《中华人民共和国政府采购法》《中华人民共和国政府采购法实施条例》</w:t>
      </w:r>
    </w:p>
    <w:p w14:paraId="3B716F6A">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《政府采购框架协议采购方式管理暂行办法》</w:t>
      </w:r>
    </w:p>
    <w:p w14:paraId="40C10380">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本项目征集文件、乙方响应文件、评审结果、入围通知书</w:t>
      </w:r>
    </w:p>
    <w:p w14:paraId="2F2E6775">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国家、河南省、三门峡市工程咨询、规划设计评审相关法律法规、规范标准 甲乙双方本着平等自愿、诚实信用、公平公正原则，就甲方委托乙方提供陕州区政府投资项目可行性研究报告、初步设计评审服务事宜，签订本三年期封闭式框架协议，共同遵照执行。</w:t>
      </w:r>
    </w:p>
    <w:p w14:paraId="0317D41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第一条 协议服务范围、标段划分</w:t>
      </w:r>
    </w:p>
    <w:p w14:paraId="356052C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1.1 标段约定</w:t>
      </w:r>
    </w:p>
    <w:p w14:paraId="639DEE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 一标段：陕州区政府投资项目可行性研究报告评审服务 □ 二标段：陕州区政府投资项目初步设计评审服务 乙方仅承接自身入围标段对应评审业务，不得跨标段承揽。</w:t>
      </w:r>
    </w:p>
    <w:p w14:paraId="5228036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1.2 服务地域</w:t>
      </w:r>
    </w:p>
    <w:p w14:paraId="74EB8F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三门峡市陕州区全域范围内，甲方统筹管理的全部政府投资新建、改建、扩建项目。</w:t>
      </w:r>
    </w:p>
    <w:p w14:paraId="715D457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1.3 服务期限</w:t>
      </w:r>
    </w:p>
    <w:p w14:paraId="710AB2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本框架协议有效期</w:t>
      </w:r>
      <w:r>
        <w:rPr>
          <w:rStyle w:val="13"/>
          <w:rFonts w:hint="eastAsia" w:asciiTheme="minorEastAsia" w:hAnsiTheme="minorEastAsia" w:eastAsiaTheme="minorEastAsia" w:cstheme="minorEastAsia"/>
          <w:color w:val="000000"/>
          <w:kern w:val="0"/>
          <w:sz w:val="24"/>
          <w:szCs w:val="24"/>
          <w:lang w:val="en-US" w:eastAsia="zh-CN" w:bidi="ar"/>
        </w:rPr>
        <w:t>3 年</w:t>
      </w:r>
      <w:r>
        <w:rPr>
          <w:rFonts w:hint="eastAsia" w:asciiTheme="minorEastAsia" w:hAnsiTheme="minorEastAsia" w:eastAsiaTheme="minorEastAsia" w:cstheme="minorEastAsia"/>
          <w:color w:val="000000"/>
          <w:kern w:val="0"/>
          <w:sz w:val="24"/>
          <w:szCs w:val="24"/>
          <w:lang w:val="en-US" w:eastAsia="zh-CN" w:bidi="ar"/>
        </w:rPr>
        <w:t>，自______年____月____日起至______年____月____日止。 协议期满前 30 日，双方可协商续约；未达成续约共识的，本协议自动终止。</w:t>
      </w:r>
    </w:p>
    <w:p w14:paraId="3866B81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第二条 服务内容与工作标准</w:t>
      </w:r>
    </w:p>
    <w:p w14:paraId="6DA4017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2.1 核心服务内容</w:t>
      </w:r>
    </w:p>
    <w:p w14:paraId="403023E1">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Style w:val="13"/>
          <w:rFonts w:hint="eastAsia" w:asciiTheme="minorEastAsia" w:hAnsiTheme="minorEastAsia" w:eastAsiaTheme="minorEastAsia" w:cstheme="minorEastAsia"/>
          <w:color w:val="000000"/>
          <w:sz w:val="24"/>
          <w:szCs w:val="24"/>
        </w:rPr>
        <w:t>一标段（可研评审）</w:t>
      </w:r>
      <w:r>
        <w:rPr>
          <w:rFonts w:hint="eastAsia" w:asciiTheme="minorEastAsia" w:hAnsiTheme="minorEastAsia" w:eastAsiaTheme="minorEastAsia" w:cstheme="minorEastAsia"/>
          <w:color w:val="000000"/>
          <w:sz w:val="24"/>
          <w:szCs w:val="24"/>
        </w:rPr>
        <w:t xml:space="preserve"> 接收甲方委托，对政府投资项目可行性研究报告开展专业评审；核查项目建设必要性、建设方案、投资估算、资金筹措、效益分析、节能、土地、环评、社会稳定风险等内容；出具规范、合规的可行性研究报告评审意见书，明确修改意见、整改要求、评审结论。</w:t>
      </w:r>
    </w:p>
    <w:p w14:paraId="0126A1F9">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Style w:val="13"/>
          <w:rFonts w:hint="eastAsia" w:asciiTheme="minorEastAsia" w:hAnsiTheme="minorEastAsia" w:eastAsiaTheme="minorEastAsia" w:cstheme="minorEastAsia"/>
          <w:color w:val="000000"/>
          <w:sz w:val="24"/>
          <w:szCs w:val="24"/>
        </w:rPr>
        <w:t>二标段（初设评审）</w:t>
      </w:r>
      <w:r>
        <w:rPr>
          <w:rFonts w:hint="eastAsia" w:asciiTheme="minorEastAsia" w:hAnsiTheme="minorEastAsia" w:eastAsiaTheme="minorEastAsia" w:cstheme="minorEastAsia"/>
          <w:color w:val="000000"/>
          <w:sz w:val="24"/>
          <w:szCs w:val="24"/>
        </w:rPr>
        <w:t xml:space="preserve"> 接收甲方委托，对项目初步设计文件、概算开展评审；核查设计方案合规性、工艺技术、总图布置、建筑结构、配套设施、概算编制、取费标准等；出具初步设计评审意见书，核定合理投资概算，列明设计修改、概算调整要求。</w:t>
      </w:r>
    </w:p>
    <w:p w14:paraId="0A21E469">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配套服务：配合甲方完成项目上报、主管部门核查、审计巡查；对项目单位、设计单位提供政策、技术咨询；完整归档全部评审资料；按甲方要求组织专家评审会议。</w:t>
      </w:r>
    </w:p>
    <w:p w14:paraId="7619E45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2.2 服务标准</w:t>
      </w:r>
    </w:p>
    <w:p w14:paraId="43FA7EA0">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严格执行现行国家、行业、河南省工程咨询、规划设计、造价、政府投资管理强制性规范、标准；文件存在规范冲突时，按最严格标准执行。</w:t>
      </w:r>
    </w:p>
    <w:p w14:paraId="22E06C45">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评审流程、成果文件格式符合三门峡市发改委、财政、公共资源交易管理相关要求。</w:t>
      </w:r>
    </w:p>
    <w:p w14:paraId="25B44FDB">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评审成果真实、客观、公正，无重大技术疏漏、数据错误，符合财政评审、审计核查要求。</w:t>
      </w:r>
    </w:p>
    <w:p w14:paraId="1EAFACFF">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全部评审档案纸质 + 电子双套留存，保存期限不少于协议到期后 5 年。</w:t>
      </w:r>
    </w:p>
    <w:p w14:paraId="347736A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2.3 工期要求</w:t>
      </w:r>
    </w:p>
    <w:p w14:paraId="5387D4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甲方下达单项评审委托单后：</w:t>
      </w:r>
    </w:p>
    <w:p w14:paraId="7D6E3373">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小型项目（总投资 1000 万元以内）：3 个工作日内完成初审，5 个工作日出具正式评审意见书；</w:t>
      </w:r>
    </w:p>
    <w:p w14:paraId="52A2656A">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中型项目（总投资 1000 万 —5000 万元）：5 个工作日内完成初审，7 个工作日出具正式评审意见书；</w:t>
      </w:r>
    </w:p>
    <w:p w14:paraId="5D052263">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大型项目（总投资 5000 万元以上、复杂专项工程）：协商确定工期，最长不超过 10 个工作日。 因项目单位资料提交延迟、多次修改返工的，工期相应顺延，乙方需书面告知甲方。</w:t>
      </w:r>
    </w:p>
    <w:p w14:paraId="3ACB59D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第三条 服务收费标准与支付方式</w:t>
      </w:r>
    </w:p>
    <w:p w14:paraId="4A0BA26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3.1 费率报价</w:t>
      </w:r>
    </w:p>
    <w:p w14:paraId="5EFDB4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乙方响应报价：按豫发改投资【2023】172号文规定收费标准的</w:t>
      </w:r>
      <w:r>
        <w:rPr>
          <w:rFonts w:hint="eastAsia" w:asciiTheme="minorEastAsia" w:hAnsiTheme="minorEastAsia" w:eastAsiaTheme="minorEastAsia" w:cstheme="minorEastAsia"/>
          <w:color w:val="000000"/>
          <w:kern w:val="0"/>
          <w:sz w:val="24"/>
          <w:szCs w:val="24"/>
          <w:u w:val="single"/>
          <w:lang w:val="en-US" w:eastAsia="zh-CN" w:bidi="ar"/>
        </w:rPr>
        <w:t xml:space="preserve">      </w:t>
      </w:r>
      <w:r>
        <w:rPr>
          <w:rFonts w:hint="eastAsia" w:asciiTheme="minorEastAsia" w:hAnsiTheme="minorEastAsia" w:eastAsiaTheme="minorEastAsia" w:cstheme="minorEastAsia"/>
          <w:color w:val="000000"/>
          <w:kern w:val="0"/>
          <w:sz w:val="24"/>
          <w:szCs w:val="24"/>
          <w:lang w:val="en-US" w:eastAsia="zh-CN" w:bidi="ar"/>
        </w:rPr>
        <w:t>‰（百分之</w:t>
      </w:r>
      <w:r>
        <w:rPr>
          <w:rFonts w:hint="eastAsia" w:asciiTheme="minorEastAsia" w:hAnsiTheme="minorEastAsia" w:eastAsiaTheme="minorEastAsia" w:cstheme="minorEastAsia"/>
          <w:color w:val="000000"/>
          <w:kern w:val="0"/>
          <w:sz w:val="24"/>
          <w:szCs w:val="24"/>
          <w:u w:val="single"/>
          <w:lang w:val="en-US" w:eastAsia="zh-CN" w:bidi="ar"/>
        </w:rPr>
        <w:t xml:space="preserve">     </w:t>
      </w:r>
      <w:r>
        <w:rPr>
          <w:rFonts w:hint="eastAsia" w:asciiTheme="minorEastAsia" w:hAnsiTheme="minorEastAsia" w:eastAsiaTheme="minorEastAsia" w:cstheme="minorEastAsia"/>
          <w:color w:val="000000"/>
          <w:kern w:val="0"/>
          <w:sz w:val="24"/>
          <w:szCs w:val="24"/>
          <w:lang w:val="en-US" w:eastAsia="zh-CN" w:bidi="ar"/>
        </w:rPr>
        <w:t>）计取服务费，该费率为协议期内固定费率，不作上浮。 本项目采用费率计价，单项服务费 = 对应文件标准收费总额 × 乙方中标费率。</w:t>
      </w:r>
    </w:p>
    <w:p w14:paraId="6256EE8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3.2 最高限价约束</w:t>
      </w:r>
    </w:p>
    <w:p w14:paraId="44185F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单项评审服务费不得超过豫发改投资【2023】172号文全额标准，超出部分甲方不予支付。</w:t>
      </w:r>
    </w:p>
    <w:p w14:paraId="7BA1382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3.3 费用包含范围</w:t>
      </w:r>
    </w:p>
    <w:p w14:paraId="4A2F43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报价包含专家劳务、会务、资料编制、档案整理、交通、办公、税费、现场踏勘、售后咨询等全部成本，甲方无需额外支付任何其他费用。</w:t>
      </w:r>
    </w:p>
    <w:p w14:paraId="652261C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3.4 付款方式</w:t>
      </w:r>
    </w:p>
    <w:p w14:paraId="157DEC0F">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资金来源：陕州区财政资金；</w:t>
      </w:r>
    </w:p>
    <w:p w14:paraId="2716443D">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结算周期：按季度结算。每季度末 5 个工作日内，乙方汇总本季度全部完成评审项目，提供完整结算资料（委托单、评审意见书、发票、项目清单）报送甲方；</w:t>
      </w:r>
    </w:p>
    <w:p w14:paraId="6B237C74">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甲方审核无误后，提交区财政局办理资金拨付，财政拨款周期按财政统一流程执行；</w:t>
      </w:r>
    </w:p>
    <w:p w14:paraId="03D00085">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乙方须开具合法合规增值税发票，未按要求提供发票的，甲方有权顺延付款，不承担逾期付款违约责任。</w:t>
      </w:r>
    </w:p>
    <w:p w14:paraId="3A982B3D">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本协议不收取履约保证金。</w:t>
      </w:r>
    </w:p>
    <w:p w14:paraId="4A3D794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第四条 第二阶段项目选定规则</w:t>
      </w:r>
    </w:p>
    <w:p w14:paraId="3EFC1808">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甲方有评审需求时，从本框架协议入围供应商库中</w:t>
      </w:r>
      <w:r>
        <w:rPr>
          <w:rStyle w:val="13"/>
          <w:rFonts w:hint="eastAsia" w:asciiTheme="minorEastAsia" w:hAnsiTheme="minorEastAsia" w:eastAsiaTheme="minorEastAsia" w:cstheme="minorEastAsia"/>
          <w:color w:val="000000"/>
          <w:sz w:val="24"/>
          <w:szCs w:val="24"/>
        </w:rPr>
        <w:t>直接选定</w:t>
      </w:r>
      <w:r>
        <w:rPr>
          <w:rFonts w:hint="eastAsia" w:asciiTheme="minorEastAsia" w:hAnsiTheme="minorEastAsia" w:eastAsiaTheme="minorEastAsia" w:cstheme="minorEastAsia"/>
          <w:color w:val="000000"/>
          <w:sz w:val="24"/>
          <w:szCs w:val="24"/>
        </w:rPr>
        <w:t>服务商；</w:t>
      </w:r>
    </w:p>
    <w:p w14:paraId="48782356">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选定综合考量因素：乙方报价费率、过往评审质量、交付时效、本地服务响应速度、往期项目单位评价、投诉记录；</w:t>
      </w:r>
    </w:p>
    <w:p w14:paraId="73DFF60F">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单项项目委托以《评审服务委托单》作为单次业务执行依据，委托单为本协议不可分割附件；</w:t>
      </w:r>
    </w:p>
    <w:p w14:paraId="35D2098D">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同等条件下，优先选择小微企业、本地常驻服务机构供应商。</w:t>
      </w:r>
    </w:p>
    <w:p w14:paraId="664F246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第五条 双方权利与义务</w:t>
      </w:r>
    </w:p>
    <w:p w14:paraId="0414187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5.1 甲方权利义务</w:t>
      </w:r>
    </w:p>
    <w:p w14:paraId="62927A5E">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向乙方提供评审所需项目基础资料、政府投资政策文件、项目批复文件；</w:t>
      </w:r>
    </w:p>
    <w:p w14:paraId="3817286E">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按时下达单项评审委托，明确项目评审时限、特殊要求；</w:t>
      </w:r>
    </w:p>
    <w:p w14:paraId="12225551">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对乙方评审成果进行审核，对存在重大瑕疵、违规内容的，有权要求乙方无偿修改、重评；</w:t>
      </w:r>
    </w:p>
    <w:p w14:paraId="7068D106">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建立服务商评价台账，将服务质量、时效、投诉情况作为后续项目选定依据；</w:t>
      </w:r>
    </w:p>
    <w:p w14:paraId="62FB5BEE">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按协议约定按时完成费用审核、配合财政拨款；</w:t>
      </w:r>
    </w:p>
    <w:p w14:paraId="6864492E">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不得干预乙方独立专业评审，不得明示、暗示出具虚假评审意见。</w:t>
      </w:r>
    </w:p>
    <w:p w14:paraId="67727F2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5.2 乙方权利义务</w:t>
      </w:r>
    </w:p>
    <w:p w14:paraId="79E2CD6D">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Style w:val="13"/>
          <w:rFonts w:hint="eastAsia" w:asciiTheme="minorEastAsia" w:hAnsiTheme="minorEastAsia" w:eastAsiaTheme="minorEastAsia" w:cstheme="minorEastAsia"/>
          <w:color w:val="000000"/>
          <w:sz w:val="24"/>
          <w:szCs w:val="24"/>
        </w:rPr>
        <w:t>人员配置要求</w:t>
      </w:r>
      <w:r>
        <w:rPr>
          <w:rFonts w:hint="eastAsia" w:asciiTheme="minorEastAsia" w:hAnsiTheme="minorEastAsia" w:eastAsiaTheme="minorEastAsia" w:cstheme="minorEastAsia"/>
          <w:color w:val="000000"/>
          <w:sz w:val="24"/>
          <w:szCs w:val="24"/>
        </w:rPr>
        <w:t xml:space="preserve"> 1）配备本协议标段对应专业项目负责人 1 名，具备相关专业中级及以上职称，提供连续社保；项目负责人不得擅自更换，确需更换须提前 15 日书面报甲方审核同意； 2）配备足额专业评审技术人员，满足多项目同步评审需求；</w:t>
      </w:r>
    </w:p>
    <w:p w14:paraId="4ACF7B6E">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Style w:val="13"/>
          <w:rFonts w:hint="eastAsia" w:asciiTheme="minorEastAsia" w:hAnsiTheme="minorEastAsia" w:eastAsiaTheme="minorEastAsia" w:cstheme="minorEastAsia"/>
          <w:color w:val="000000"/>
          <w:sz w:val="24"/>
          <w:szCs w:val="24"/>
        </w:rPr>
        <w:t>资质合规义务</w:t>
      </w:r>
      <w:r>
        <w:rPr>
          <w:rFonts w:hint="eastAsia" w:asciiTheme="minorEastAsia" w:hAnsiTheme="minorEastAsia" w:eastAsiaTheme="minorEastAsia" w:cstheme="minorEastAsia"/>
          <w:color w:val="000000"/>
          <w:sz w:val="24"/>
          <w:szCs w:val="24"/>
        </w:rPr>
        <w:t xml:space="preserve"> 协议期内乙方资质持续有效：一标段保持工程咨询乙级及以上资信，二标段保持规划 / 设计乙级及以上资质；资质到期、降级、注销的，须立即书面告知甲方，甲方有权清退出围；</w:t>
      </w:r>
    </w:p>
    <w:p w14:paraId="0FF6442C">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Style w:val="13"/>
          <w:rFonts w:hint="eastAsia" w:asciiTheme="minorEastAsia" w:hAnsiTheme="minorEastAsia" w:eastAsiaTheme="minorEastAsia" w:cstheme="minorEastAsia"/>
          <w:color w:val="000000"/>
          <w:sz w:val="24"/>
          <w:szCs w:val="24"/>
        </w:rPr>
        <w:t>执业规范义务</w:t>
      </w:r>
      <w:r>
        <w:rPr>
          <w:rFonts w:hint="eastAsia" w:asciiTheme="minorEastAsia" w:hAnsiTheme="minorEastAsia" w:eastAsiaTheme="minorEastAsia" w:cstheme="minorEastAsia"/>
          <w:color w:val="000000"/>
          <w:sz w:val="24"/>
          <w:szCs w:val="24"/>
        </w:rPr>
        <w:t xml:space="preserve"> 独立、客观开展评审，严禁与项目建设、设计单位串通出具不实评审意见；严禁商业贿赂、不正当竞争；</w:t>
      </w:r>
    </w:p>
    <w:p w14:paraId="3CF923AA">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Style w:val="13"/>
          <w:rFonts w:hint="eastAsia" w:asciiTheme="minorEastAsia" w:hAnsiTheme="minorEastAsia" w:eastAsiaTheme="minorEastAsia" w:cstheme="minorEastAsia"/>
          <w:color w:val="000000"/>
          <w:sz w:val="24"/>
          <w:szCs w:val="24"/>
        </w:rPr>
        <w:t>本地化服务义务</w:t>
      </w:r>
      <w:r>
        <w:rPr>
          <w:rFonts w:hint="eastAsia" w:asciiTheme="minorEastAsia" w:hAnsiTheme="minorEastAsia" w:eastAsiaTheme="minorEastAsia" w:cstheme="minorEastAsia"/>
          <w:color w:val="000000"/>
          <w:sz w:val="24"/>
          <w:szCs w:val="24"/>
        </w:rPr>
        <w:t xml:space="preserve"> 保证三门峡本地常设服务对接人员，工作日 1 小时内响应甲方咨询、整改通知；无本地固定办公场所的，按承诺限期设立本地服务点；</w:t>
      </w:r>
    </w:p>
    <w:p w14:paraId="197132BB">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Style w:val="13"/>
          <w:rFonts w:hint="eastAsia" w:asciiTheme="minorEastAsia" w:hAnsiTheme="minorEastAsia" w:eastAsiaTheme="minorEastAsia" w:cstheme="minorEastAsia"/>
          <w:color w:val="000000"/>
          <w:sz w:val="24"/>
          <w:szCs w:val="24"/>
        </w:rPr>
        <w:t>档案与保密义务</w:t>
      </w:r>
      <w:r>
        <w:rPr>
          <w:rFonts w:hint="eastAsia" w:asciiTheme="minorEastAsia" w:hAnsiTheme="minorEastAsia" w:eastAsiaTheme="minorEastAsia" w:cstheme="minorEastAsia"/>
          <w:color w:val="000000"/>
          <w:sz w:val="24"/>
          <w:szCs w:val="24"/>
        </w:rPr>
        <w:t xml:space="preserve"> 妥善保管全部项目涉密、财政数据资料，不得对外泄露项目投资、规划、征地等涉密信息；协议终止后完整移交全部电子、纸质档案；</w:t>
      </w:r>
    </w:p>
    <w:p w14:paraId="55483EAD">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Style w:val="13"/>
          <w:rFonts w:hint="eastAsia" w:asciiTheme="minorEastAsia" w:hAnsiTheme="minorEastAsia" w:eastAsiaTheme="minorEastAsia" w:cstheme="minorEastAsia"/>
          <w:color w:val="000000"/>
          <w:sz w:val="24"/>
          <w:szCs w:val="24"/>
        </w:rPr>
        <w:t>廉洁自律义务</w:t>
      </w:r>
      <w:r>
        <w:rPr>
          <w:rFonts w:hint="eastAsia" w:asciiTheme="minorEastAsia" w:hAnsiTheme="minorEastAsia" w:eastAsiaTheme="minorEastAsia" w:cstheme="minorEastAsia"/>
          <w:color w:val="000000"/>
          <w:sz w:val="24"/>
          <w:szCs w:val="24"/>
        </w:rPr>
        <w:t xml:space="preserve"> 建立内部廉洁管控机制，严禁评审专家、工作人员收受项目单位礼品、礼金、宴请；主动接受甲方、财政、审计部门监督检查；</w:t>
      </w:r>
    </w:p>
    <w:p w14:paraId="259AE655">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配合甲方、财政、审计、纪检部门开展巡查、核查、专项审计，无偿提供全部评审原始资料。</w:t>
      </w:r>
    </w:p>
    <w:p w14:paraId="738A7ED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第六条 入围供应商清退与补充规则</w:t>
      </w:r>
    </w:p>
    <w:p w14:paraId="16D4696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6.1 甲方可单方解除本协议、清退乙方的情形</w:t>
      </w:r>
    </w:p>
    <w:p w14:paraId="458AD2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出现下列任一情况，甲方立即取消乙方入围资格，解除框架协议，三年内不得参与本地区同类框架协议采购：</w:t>
      </w:r>
    </w:p>
    <w:p w14:paraId="2807BD35">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提供虚假资质、业绩、社保证明、承诺文件获取入围资格；</w:t>
      </w:r>
    </w:p>
    <w:p w14:paraId="16536FB9">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与其他供应商、项目单位串通围标、串标、虚假评审；</w:t>
      </w:r>
    </w:p>
    <w:p w14:paraId="0CBCD26A">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无正当理由拒绝甲方单项评审委托，累计 2 次及以上；</w:t>
      </w:r>
    </w:p>
    <w:p w14:paraId="514158FB">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评审成果出现重大数据错误、结论失真，造成财政资金损失；经甲方催告拒不无偿修改、重评；</w:t>
      </w:r>
    </w:p>
    <w:p w14:paraId="7C281BCE">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存在商业贿赂、行贿记录，被裁判文书、信用平台公示；</w:t>
      </w:r>
    </w:p>
    <w:p w14:paraId="09A4592F">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被列入失信被执行人、重大税收违法失信、政府采购严重违法失信名单；</w:t>
      </w:r>
    </w:p>
    <w:p w14:paraId="2F7DBDBA">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资质失效、降级，未及时告知甲方且无法在限期内补齐有效资质；</w:t>
      </w:r>
    </w:p>
    <w:p w14:paraId="6F057878">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擅自转包、分包本协议评审服务；</w:t>
      </w:r>
    </w:p>
    <w:p w14:paraId="6DD06D06">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多次收到项目单位有效投诉，整改后仍无法满足服务要求；</w:t>
      </w:r>
    </w:p>
    <w:p w14:paraId="32947506">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违反政府采购法律法规、本协议其他根本性约定。</w:t>
      </w:r>
    </w:p>
    <w:p w14:paraId="3B0B310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6.2 协议补充征集规则</w:t>
      </w:r>
    </w:p>
    <w:p w14:paraId="748D8A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若清退后剩余入围供应商不足原定入围总数 70%，无法满足全区评审业务需求，甲方按原征集文件标准启动补充征集；补充入围供应商执行本协议全部条款。</w:t>
      </w:r>
    </w:p>
    <w:p w14:paraId="24ABE57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6.3 乙方主动退出限制</w:t>
      </w:r>
    </w:p>
    <w:p w14:paraId="3D5402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乙方无正当理由不得单方面解除、退出本框架协议；确有特殊情况需退出的，须提前 60 日书面申请，完成在手全部项目归档移交并承担相应违约责任。</w:t>
      </w:r>
    </w:p>
    <w:p w14:paraId="773B7E4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第七条 违约责任</w:t>
      </w:r>
    </w:p>
    <w:p w14:paraId="0964351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7.1 乙方违约</w:t>
      </w:r>
    </w:p>
    <w:p w14:paraId="661A2309">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逾期交付评审成果：每逾期 1 个工作日，扣除该单项服务费 5%；逾期超 5 个工作日，甲方有权取消本次委托，乙方承担该项目重新委托产生的全部差价损失；</w:t>
      </w:r>
    </w:p>
    <w:p w14:paraId="4C91D892">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评审成果存在重大瑕疵、虚假结论，造成财政资金浪费、审计追责的：乙方全额退还该项目服务费，并赔偿甲方实际经济损失；情节严重的，清退出围并上报财政监管部门；</w:t>
      </w:r>
    </w:p>
    <w:p w14:paraId="4F506DF3">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泄露项目涉密资料、商业秘密，给甲方或项目单位造成损失的，乙方承担全部赔偿责任；涉嫌违法的，移交司法机关；</w:t>
      </w:r>
    </w:p>
    <w:p w14:paraId="4BDF0CEF">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存在行贿、串通、虚假材料等违法违规行为，甲方解除协议，不予支付未结算服务费，同时上报陕州区财政局政府采购监管科记入不良行为记录；</w:t>
      </w:r>
    </w:p>
    <w:p w14:paraId="0356450D">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擅自更换项目负责人、无本地服务响应、拒不配合审计核查的，甲方有权暂缓结算服务费，限期整改，整改不合格予以清退。</w:t>
      </w:r>
    </w:p>
    <w:p w14:paraId="7080AC9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7.2 甲方违约</w:t>
      </w:r>
    </w:p>
    <w:p w14:paraId="4BF20FE4">
      <w:pPr>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甲方无正当理由逾期审核结算资料、拖延财政申报，且非财政拨款流程原因的，按同期 LPR 支付逾期资金利息；</w:t>
      </w:r>
    </w:p>
    <w:p w14:paraId="0CC9E735">
      <w:pPr>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甲方非法干预乙方独立评审、强制要求出具不实意见，乙方有权拒绝，由此产生的责任由甲方承担。</w:t>
      </w:r>
    </w:p>
    <w:p w14:paraId="587268A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第八条 知识产权与保密</w:t>
      </w:r>
    </w:p>
    <w:p w14:paraId="510997E3">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乙方基于本协议出具的全部评审报告、意见书、技术档案知识产权归甲方所有；乙方仅可用于自身档案留存，不得用于其他商业项目；</w:t>
      </w:r>
    </w:p>
    <w:p w14:paraId="79723DBD">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双方对协议履行过程获取的对方内部数据、财政资金信息、项目涉密内容永久保密，协议终止后保密义务持续有效；未经对方书面许可，不得向第三方泄露。</w:t>
      </w:r>
    </w:p>
    <w:p w14:paraId="3758369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第九条 政府采购政策执行</w:t>
      </w:r>
    </w:p>
    <w:p w14:paraId="3EA0AB80">
      <w:pPr>
        <w:keepNext w:val="0"/>
        <w:keepLines w:val="0"/>
        <w:widowControl/>
        <w:numPr>
          <w:ilvl w:val="0"/>
          <w:numId w:val="1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乙方如为小微企业、残疾人福利单位、监狱企业，可按政府采购政策享受评审价格扣除优惠，结算不改变协议固定费率；</w:t>
      </w:r>
    </w:p>
    <w:p w14:paraId="128E2649">
      <w:pPr>
        <w:keepNext w:val="0"/>
        <w:keepLines w:val="0"/>
        <w:widowControl/>
        <w:numPr>
          <w:ilvl w:val="0"/>
          <w:numId w:val="1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乙方须主动落实中小企业扶持政策，不得排斥、变相限制中小设计、咨询单位合作。</w:t>
      </w:r>
    </w:p>
    <w:p w14:paraId="55C891D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第十条 争议解决</w:t>
      </w:r>
    </w:p>
    <w:p w14:paraId="49CC41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本协议履行发生争议，双方优先友好协商；协商不成，提交</w:t>
      </w:r>
      <w:r>
        <w:rPr>
          <w:rStyle w:val="13"/>
          <w:rFonts w:hint="eastAsia" w:asciiTheme="minorEastAsia" w:hAnsiTheme="minorEastAsia" w:eastAsiaTheme="minorEastAsia" w:cstheme="minorEastAsia"/>
          <w:color w:val="000000"/>
          <w:kern w:val="0"/>
          <w:sz w:val="24"/>
          <w:szCs w:val="24"/>
          <w:lang w:val="en-US" w:eastAsia="zh-CN" w:bidi="ar"/>
        </w:rPr>
        <w:t>三门峡市陕州区人民法院</w:t>
      </w:r>
      <w:r>
        <w:rPr>
          <w:rFonts w:hint="eastAsia" w:asciiTheme="minorEastAsia" w:hAnsiTheme="minorEastAsia" w:eastAsiaTheme="minorEastAsia" w:cstheme="minorEastAsia"/>
          <w:color w:val="000000"/>
          <w:kern w:val="0"/>
          <w:sz w:val="24"/>
          <w:szCs w:val="24"/>
          <w:lang w:val="en-US" w:eastAsia="zh-CN" w:bidi="ar"/>
        </w:rPr>
        <w:t>诉讼解决。</w:t>
      </w:r>
    </w:p>
    <w:p w14:paraId="169315E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第十一条 其他约定</w:t>
      </w:r>
    </w:p>
    <w:p w14:paraId="15216FEC">
      <w:pPr>
        <w:keepNext w:val="0"/>
        <w:keepLines w:val="0"/>
        <w:widowControl/>
        <w:numPr>
          <w:ilvl w:val="0"/>
          <w:numId w:val="1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招标征集文件、乙方响应文件、入围通知书、单项《评审委托单》、乙方各项承诺函均为本协议有效附件，与本合同具有同等法律效力；附件与本合同不一致，以本协议为准；本协议未约定事项，以征集文件规定为准。</w:t>
      </w:r>
    </w:p>
    <w:p w14:paraId="5BF41E3D">
      <w:pPr>
        <w:keepNext w:val="0"/>
        <w:keepLines w:val="0"/>
        <w:widowControl/>
        <w:numPr>
          <w:ilvl w:val="0"/>
          <w:numId w:val="1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本协议一式肆份，甲方贰份、乙方壹份、陕州区财政局政府采购监管科备案壹份，电子签章与纸质盖章具备同等法律效力。</w:t>
      </w:r>
    </w:p>
    <w:p w14:paraId="2372634F">
      <w:pPr>
        <w:keepNext w:val="0"/>
        <w:keepLines w:val="0"/>
        <w:widowControl/>
        <w:numPr>
          <w:ilvl w:val="0"/>
          <w:numId w:val="1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本协议自甲乙双方电子签章 / 纸质盖章之日起生效。</w:t>
      </w:r>
    </w:p>
    <w:p w14:paraId="26060AD2">
      <w:pPr>
        <w:keepNext w:val="0"/>
        <w:keepLines w:val="0"/>
        <w:widowControl/>
        <w:numPr>
          <w:ilvl w:val="0"/>
          <w:numId w:val="1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本协议未尽事宜，双方可签订书面补充协议，补充协议与本合同一体执行。</w:t>
      </w:r>
    </w:p>
    <w:p w14:paraId="1615FA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（以下无正文）</w:t>
      </w:r>
    </w:p>
    <w:p w14:paraId="65ADD4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甲方（征集人）：三门峡市陕州区发展和改革委员会（盖章） </w:t>
      </w:r>
    </w:p>
    <w:p w14:paraId="083887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法定代表人 / 授权代表签字：________________ </w:t>
      </w:r>
    </w:p>
    <w:p w14:paraId="2512DE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签订日期：______年____月____日</w:t>
      </w:r>
    </w:p>
    <w:p w14:paraId="550AF4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Style w:val="13"/>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乙方（入围供应商）：______</w:t>
      </w:r>
      <w:r>
        <w:rPr>
          <w:rStyle w:val="13"/>
          <w:rFonts w:hint="eastAsia" w:asciiTheme="minorEastAsia" w:hAnsiTheme="minorEastAsia" w:eastAsiaTheme="minorEastAsia" w:cstheme="minorEastAsia"/>
          <w:color w:val="000000"/>
          <w:kern w:val="0"/>
          <w:sz w:val="24"/>
          <w:szCs w:val="24"/>
          <w:lang w:val="en-US" w:eastAsia="zh-CN" w:bidi="ar"/>
        </w:rPr>
        <w:t xml:space="preserve">（电子公章 / 纸质公章） </w:t>
      </w:r>
    </w:p>
    <w:p w14:paraId="4CACDD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Style w:val="13"/>
          <w:rFonts w:hint="eastAsia" w:asciiTheme="minorEastAsia" w:hAnsiTheme="minorEastAsia" w:eastAsiaTheme="minorEastAsia" w:cstheme="minorEastAsia"/>
          <w:color w:val="000000"/>
          <w:kern w:val="0"/>
          <w:sz w:val="24"/>
          <w:szCs w:val="24"/>
          <w:lang w:val="en-US" w:eastAsia="zh-CN" w:bidi="ar"/>
        </w:rPr>
      </w:pPr>
      <w:r>
        <w:rPr>
          <w:rStyle w:val="13"/>
          <w:rFonts w:hint="eastAsia" w:asciiTheme="minorEastAsia" w:hAnsiTheme="minorEastAsia" w:eastAsiaTheme="minorEastAsia" w:cstheme="minorEastAsia"/>
          <w:color w:val="000000"/>
          <w:kern w:val="0"/>
          <w:sz w:val="24"/>
          <w:szCs w:val="24"/>
          <w:lang w:val="en-US" w:eastAsia="zh-CN" w:bidi="ar"/>
        </w:rPr>
        <w:t xml:space="preserve">法定代表人签字：______________ </w:t>
      </w:r>
    </w:p>
    <w:p w14:paraId="34FDCC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Style w:val="13"/>
          <w:rFonts w:hint="eastAsia" w:asciiTheme="minorEastAsia" w:hAnsiTheme="minorEastAsia" w:eastAsiaTheme="minorEastAsia" w:cstheme="minorEastAsia"/>
          <w:color w:val="000000"/>
          <w:kern w:val="0"/>
          <w:sz w:val="24"/>
          <w:szCs w:val="24"/>
          <w:lang w:val="en-US" w:eastAsia="zh-CN" w:bidi="ar"/>
        </w:rPr>
        <w:t>联系电话：</w:t>
      </w:r>
      <w:r>
        <w:rPr>
          <w:rFonts w:hint="eastAsia" w:asciiTheme="minorEastAsia" w:hAnsiTheme="minorEastAsia" w:eastAsiaTheme="minorEastAsia" w:cstheme="minorEastAsia"/>
          <w:color w:val="000000"/>
          <w:kern w:val="0"/>
          <w:sz w:val="24"/>
          <w:szCs w:val="24"/>
          <w:lang w:val="en-US" w:eastAsia="zh-CN" w:bidi="ar"/>
        </w:rPr>
        <w:t xml:space="preserve"> </w:t>
      </w:r>
    </w:p>
    <w:p w14:paraId="3905B3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签订日期：______年____月____日</w:t>
      </w:r>
    </w:p>
    <w:p w14:paraId="30942E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p>
    <w:p w14:paraId="457C0DD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p>
    <w:p w14:paraId="7F24B45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p>
    <w:p w14:paraId="0EE7947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p>
    <w:p w14:paraId="548A2E4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附件 1：单项评审服务委托单（单次业务执行凭证）</w:t>
      </w:r>
    </w:p>
    <w:p w14:paraId="1C4B20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委托编号：________ </w:t>
      </w:r>
    </w:p>
    <w:p w14:paraId="573F79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一、项目基本信息 项目名称：________________________________ </w:t>
      </w:r>
    </w:p>
    <w:p w14:paraId="7D0D04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项目建设单位：____________________________ </w:t>
      </w:r>
    </w:p>
    <w:p w14:paraId="290194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项目总投资：________万元 </w:t>
      </w:r>
    </w:p>
    <w:p w14:paraId="46F97B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□可研评审 □初步设计评审 </w:t>
      </w:r>
    </w:p>
    <w:p w14:paraId="579C20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委托交付时限：______年____月____日前出具正式评审意见书</w:t>
      </w:r>
    </w:p>
    <w:p w14:paraId="67548E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二、委托要求</w:t>
      </w:r>
    </w:p>
    <w:p w14:paraId="4B0E05F2">
      <w:pPr>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严格按照本框架协议约定标准、费率完成评审；</w:t>
      </w:r>
    </w:p>
    <w:p w14:paraId="529CA668">
      <w:pPr>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评审意见客观公正，完整覆盖投资、技术、合规性核查；</w:t>
      </w:r>
    </w:p>
    <w:p w14:paraId="2BB96044">
      <w:pPr>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按时提交纸质版意见书 2 份 + 电子版全套资料。</w:t>
      </w:r>
    </w:p>
    <w:p w14:paraId="31EC31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三、费用核算 本项目标准收费：____</w:t>
      </w:r>
      <w:r>
        <w:rPr>
          <w:rStyle w:val="13"/>
          <w:rFonts w:hint="eastAsia" w:asciiTheme="minorEastAsia" w:hAnsiTheme="minorEastAsia" w:eastAsiaTheme="minorEastAsia" w:cstheme="minorEastAsia"/>
          <w:color w:val="000000"/>
          <w:kern w:val="0"/>
          <w:sz w:val="24"/>
          <w:szCs w:val="24"/>
          <w:lang w:val="en-US" w:eastAsia="zh-CN" w:bidi="ar"/>
        </w:rPr>
        <w:t>元，协议费率</w:t>
      </w:r>
      <w:r>
        <w:rPr>
          <w:rFonts w:hint="eastAsia" w:asciiTheme="minorEastAsia" w:hAnsiTheme="minorEastAsia" w:eastAsiaTheme="minorEastAsia" w:cstheme="minorEastAsia"/>
          <w:color w:val="000000"/>
          <w:kern w:val="0"/>
          <w:sz w:val="24"/>
          <w:szCs w:val="24"/>
          <w:lang w:val="en-US" w:eastAsia="zh-CN" w:bidi="ar"/>
        </w:rPr>
        <w:t>‰，本次应付服务费：________元</w:t>
      </w:r>
    </w:p>
    <w:p w14:paraId="507866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甲方经办人：________ </w:t>
      </w:r>
    </w:p>
    <w:p w14:paraId="7F9552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签字：________ </w:t>
      </w:r>
    </w:p>
    <w:p w14:paraId="34B699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日期：________ </w:t>
      </w:r>
    </w:p>
    <w:p w14:paraId="6DA52B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乙方接收人：________ </w:t>
      </w:r>
    </w:p>
    <w:p w14:paraId="3281A1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签字：________ </w:t>
      </w:r>
    </w:p>
    <w:p w14:paraId="0B8EF4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日期：________</w:t>
      </w:r>
    </w:p>
    <w:p w14:paraId="3D9EFB6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p>
    <w:p w14:paraId="3E6BF50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p>
    <w:p w14:paraId="649196B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附件 2：廉洁从业补充协议（配套签署）</w:t>
      </w:r>
    </w:p>
    <w:p w14:paraId="669FCC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为规范政府投资评审服务行为，甲乙双方额外约定廉洁条款：</w:t>
      </w:r>
    </w:p>
    <w:p w14:paraId="1CDC645B">
      <w:pPr>
        <w:keepNext w:val="0"/>
        <w:keepLines w:val="0"/>
        <w:widowControl/>
        <w:numPr>
          <w:ilvl w:val="0"/>
          <w:numId w:val="1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甲方工作人员不得索要、收受乙方礼品、礼金、消费卡、宴请、旅游安排；不得指定、暗示调整评审结论；</w:t>
      </w:r>
    </w:p>
    <w:p w14:paraId="27B0B6AC">
      <w:pPr>
        <w:keepNext w:val="0"/>
        <w:keepLines w:val="0"/>
        <w:widowControl/>
        <w:numPr>
          <w:ilvl w:val="0"/>
          <w:numId w:val="1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乙方不得向甲方、项目单位工作人员输送任何财物、利益，不得通过中介、第三方变相行贿；</w:t>
      </w:r>
    </w:p>
    <w:p w14:paraId="5D890ACB">
      <w:pPr>
        <w:keepNext w:val="0"/>
        <w:keepLines w:val="0"/>
        <w:widowControl/>
        <w:numPr>
          <w:ilvl w:val="0"/>
          <w:numId w:val="16"/>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任何一方违反廉洁约定，守约方有权单方解除框架协议，报送纪检监察、政府采购监管部门追责，造成损失由违约方全额赔偿。</w:t>
      </w:r>
    </w:p>
    <w:p w14:paraId="62C025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甲方盖章：</w:t>
      </w:r>
      <w:r>
        <w:rPr>
          <w:rFonts w:hint="eastAsia" w:asciiTheme="minorEastAsia" w:hAnsiTheme="minorEastAsia" w:cstheme="minorEastAsia"/>
          <w:color w:val="000000"/>
          <w:kern w:val="0"/>
          <w:sz w:val="24"/>
          <w:szCs w:val="24"/>
          <w:lang w:val="en-US" w:eastAsia="zh-CN" w:bidi="ar"/>
        </w:rPr>
        <w:t xml:space="preserve">                     </w:t>
      </w:r>
      <w:r>
        <w:rPr>
          <w:rFonts w:hint="eastAsia" w:asciiTheme="minorEastAsia" w:hAnsiTheme="minorEastAsia" w:eastAsiaTheme="minorEastAsia" w:cstheme="minorEastAsia"/>
          <w:color w:val="000000"/>
          <w:kern w:val="0"/>
          <w:sz w:val="24"/>
          <w:szCs w:val="24"/>
          <w:lang w:val="en-US" w:eastAsia="zh-CN" w:bidi="ar"/>
        </w:rPr>
        <w:t xml:space="preserve"> 乙方盖章： </w:t>
      </w:r>
    </w:p>
    <w:p w14:paraId="1D5F73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日期：</w:t>
      </w:r>
      <w:r>
        <w:rPr>
          <w:rFonts w:hint="eastAsia" w:asciiTheme="minorEastAsia" w:hAnsiTheme="minorEastAsia" w:cstheme="minorEastAsia"/>
          <w:color w:val="000000"/>
          <w:kern w:val="0"/>
          <w:sz w:val="24"/>
          <w:szCs w:val="24"/>
          <w:lang w:val="en-US" w:eastAsia="zh-CN" w:bidi="ar"/>
        </w:rPr>
        <w:t xml:space="preserve">                          </w:t>
      </w:r>
      <w:r>
        <w:rPr>
          <w:rFonts w:hint="eastAsia" w:asciiTheme="minorEastAsia" w:hAnsiTheme="minorEastAsia" w:eastAsiaTheme="minorEastAsia" w:cstheme="minorEastAsia"/>
          <w:color w:val="000000"/>
          <w:kern w:val="0"/>
          <w:sz w:val="24"/>
          <w:szCs w:val="24"/>
          <w:lang w:val="en-US" w:eastAsia="zh-CN" w:bidi="ar"/>
        </w:rPr>
        <w:t xml:space="preserve"> 日期：</w:t>
      </w:r>
    </w:p>
    <w:p w14:paraId="5AC28A1A">
      <w:pPr>
        <w:rPr>
          <w:rFonts w:hint="eastAsia" w:asciiTheme="minorEastAsia" w:hAnsiTheme="minorEastAsia" w:eastAsiaTheme="minorEastAsia" w:cstheme="minorEastAsia"/>
          <w:sz w:val="24"/>
          <w:szCs w:val="24"/>
        </w:rPr>
      </w:pPr>
    </w:p>
    <w:p w14:paraId="0193C0A2">
      <w:pPr>
        <w:pStyle w:val="5"/>
        <w:spacing w:line="278" w:lineRule="auto"/>
        <w:rPr>
          <w:rFonts w:hint="eastAsia" w:ascii="宋体" w:hAnsi="宋体" w:eastAsia="宋体" w:cs="宋体"/>
          <w:color w:val="auto"/>
          <w:highlight w:val="none"/>
        </w:rPr>
      </w:pPr>
    </w:p>
    <w:p w14:paraId="5681427F">
      <w:pPr>
        <w:pStyle w:val="5"/>
        <w:spacing w:line="278" w:lineRule="auto"/>
        <w:rPr>
          <w:rFonts w:hint="eastAsia" w:ascii="宋体" w:hAnsi="宋体" w:eastAsia="宋体" w:cs="宋体"/>
          <w:color w:val="auto"/>
          <w:highlight w:val="none"/>
        </w:rPr>
      </w:pPr>
    </w:p>
    <w:p w14:paraId="123A32CD">
      <w:pPr>
        <w:pStyle w:val="5"/>
        <w:spacing w:line="278" w:lineRule="auto"/>
        <w:rPr>
          <w:rFonts w:hint="eastAsia" w:ascii="宋体" w:hAnsi="宋体" w:eastAsia="宋体" w:cs="宋体"/>
          <w:color w:val="auto"/>
          <w:highlight w:val="none"/>
        </w:rPr>
      </w:pPr>
    </w:p>
    <w:p w14:paraId="7091A057">
      <w:pPr>
        <w:pStyle w:val="5"/>
        <w:spacing w:line="278" w:lineRule="auto"/>
        <w:rPr>
          <w:rFonts w:hint="eastAsia" w:ascii="宋体" w:hAnsi="宋体" w:eastAsia="宋体" w:cs="宋体"/>
          <w:color w:val="auto"/>
          <w:highlight w:val="none"/>
        </w:rPr>
      </w:pPr>
    </w:p>
    <w:p w14:paraId="1A297158">
      <w:pPr>
        <w:rPr>
          <w:rFonts w:hint="eastAsia" w:ascii="宋体" w:hAnsi="宋体" w:eastAsia="宋体" w:cs="宋体"/>
          <w:b/>
          <w:bCs/>
          <w:color w:val="auto"/>
          <w:spacing w:val="9"/>
          <w:sz w:val="32"/>
          <w:szCs w:val="32"/>
          <w:highlight w:val="none"/>
          <w:lang w:val="en-US" w:eastAsia="zh-CN"/>
        </w:rPr>
      </w:pPr>
      <w:r>
        <w:rPr>
          <w:rFonts w:hint="eastAsia" w:ascii="宋体" w:hAnsi="宋体" w:eastAsia="宋体" w:cs="宋体"/>
          <w:b/>
          <w:bCs/>
          <w:color w:val="auto"/>
          <w:spacing w:val="9"/>
          <w:sz w:val="32"/>
          <w:szCs w:val="32"/>
          <w:highlight w:val="none"/>
          <w:lang w:val="en-US" w:eastAsia="zh-CN"/>
        </w:rPr>
        <w:t xml:space="preserve">      </w:t>
      </w:r>
    </w:p>
    <w:p w14:paraId="610B9CB2">
      <w:pPr>
        <w:rPr>
          <w:rFonts w:hint="eastAsia" w:ascii="宋体" w:hAnsi="宋体" w:eastAsia="宋体" w:cs="宋体"/>
          <w:b/>
          <w:bCs/>
          <w:color w:val="auto"/>
          <w:spacing w:val="9"/>
          <w:sz w:val="32"/>
          <w:szCs w:val="32"/>
          <w:highlight w:val="none"/>
          <w:lang w:val="en-US" w:eastAsia="zh-CN"/>
        </w:rPr>
      </w:pPr>
    </w:p>
    <w:p w14:paraId="217517EE">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Theme="majorEastAsia" w:hAnsiTheme="majorEastAsia" w:eastAsiaTheme="majorEastAsia" w:cstheme="majorEastAsia"/>
          <w:b/>
          <w:bCs/>
          <w:spacing w:val="3930"/>
          <w:w w:val="100"/>
          <w:kern w:val="0"/>
          <w:sz w:val="32"/>
          <w:szCs w:val="32"/>
          <w:highlight w:val="none"/>
          <w:fitText w:val="4250" w:id="1836938133"/>
        </w:rPr>
      </w:pPr>
      <w:bookmarkStart w:id="306" w:name="_Toc5306"/>
      <w:bookmarkStart w:id="307" w:name="_Toc26589"/>
      <w:bookmarkStart w:id="308" w:name="_Toc7223"/>
      <w:bookmarkStart w:id="309" w:name="_Toc5914"/>
      <w:bookmarkStart w:id="310" w:name="_Toc11639"/>
      <w:bookmarkStart w:id="311" w:name="_Toc22407"/>
      <w:bookmarkStart w:id="312" w:name="_Toc18174"/>
      <w:bookmarkStart w:id="313" w:name="_Toc1040"/>
      <w:bookmarkStart w:id="314" w:name="_Toc12388"/>
      <w:bookmarkStart w:id="315" w:name="_Toc12383"/>
      <w:bookmarkStart w:id="316" w:name="_Toc23332"/>
      <w:r>
        <w:rPr>
          <w:rFonts w:hint="eastAsia" w:asciiTheme="majorEastAsia" w:hAnsiTheme="majorEastAsia" w:eastAsiaTheme="majorEastAsia" w:cstheme="majorEastAsia"/>
          <w:b/>
          <w:bCs/>
          <w:spacing w:val="44"/>
          <w:w w:val="100"/>
          <w:kern w:val="0"/>
          <w:sz w:val="32"/>
          <w:szCs w:val="32"/>
          <w:highlight w:val="none"/>
          <w:fitText w:val="4250" w:id="2039443817"/>
        </w:rPr>
        <w:t>第五章 服务内容及要</w:t>
      </w:r>
      <w:r>
        <w:rPr>
          <w:rFonts w:hint="eastAsia" w:asciiTheme="majorEastAsia" w:hAnsiTheme="majorEastAsia" w:eastAsiaTheme="majorEastAsia" w:cstheme="majorEastAsia"/>
          <w:b/>
          <w:bCs/>
          <w:spacing w:val="5"/>
          <w:w w:val="100"/>
          <w:kern w:val="0"/>
          <w:sz w:val="32"/>
          <w:szCs w:val="32"/>
          <w:highlight w:val="none"/>
          <w:fitText w:val="4250" w:id="2039443817"/>
        </w:rPr>
        <w:t>求</w:t>
      </w:r>
      <w:bookmarkEnd w:id="306"/>
      <w:bookmarkEnd w:id="307"/>
      <w:bookmarkEnd w:id="308"/>
      <w:bookmarkEnd w:id="309"/>
      <w:bookmarkEnd w:id="310"/>
      <w:bookmarkEnd w:id="311"/>
      <w:bookmarkEnd w:id="312"/>
      <w:bookmarkEnd w:id="313"/>
      <w:bookmarkEnd w:id="314"/>
      <w:bookmarkEnd w:id="315"/>
      <w:bookmarkEnd w:id="316"/>
    </w:p>
    <w:p w14:paraId="4833679C">
      <w:pPr>
        <w:pStyle w:val="6"/>
        <w:rPr>
          <w:rFonts w:hint="eastAsia" w:ascii="宋体" w:hAnsi="宋体" w:eastAsia="宋体" w:cs="宋体"/>
          <w:b/>
          <w:bCs/>
          <w:sz w:val="28"/>
          <w:szCs w:val="28"/>
          <w:highlight w:val="none"/>
        </w:rPr>
      </w:pPr>
    </w:p>
    <w:p w14:paraId="2323A4DA">
      <w:pPr>
        <w:pStyle w:val="6"/>
        <w:rPr>
          <w:rFonts w:hint="eastAsia" w:ascii="宋体" w:hAnsi="宋体" w:eastAsia="宋体" w:cs="宋体"/>
          <w:highlight w:val="none"/>
        </w:rPr>
      </w:pPr>
      <w:r>
        <w:rPr>
          <w:rFonts w:hint="eastAsia" w:ascii="宋体" w:hAnsi="宋体" w:eastAsia="宋体" w:cs="宋体"/>
          <w:highlight w:val="none"/>
        </w:rPr>
        <w:t>根据国家、行业规范相关标准指定他们各自的最新版本。如果有规范、规程和标准之间出现矛盾或与合同其他内容存在不一致，按其中最高的要求或最严格的标准执行。</w:t>
      </w:r>
    </w:p>
    <w:p w14:paraId="51E1076B">
      <w:pPr>
        <w:pStyle w:val="6"/>
        <w:rPr>
          <w:rFonts w:hint="eastAsia" w:ascii="宋体" w:hAnsi="宋体" w:eastAsia="宋体" w:cs="宋体"/>
          <w:highlight w:val="none"/>
        </w:rPr>
      </w:pPr>
    </w:p>
    <w:p w14:paraId="5F6A1701">
      <w:pPr>
        <w:pStyle w:val="6"/>
        <w:rPr>
          <w:rFonts w:hint="eastAsia" w:ascii="宋体" w:hAnsi="宋体" w:eastAsia="宋体" w:cs="宋体"/>
          <w:highlight w:val="none"/>
        </w:rPr>
      </w:pPr>
    </w:p>
    <w:p w14:paraId="4A900A00">
      <w:pPr>
        <w:pStyle w:val="6"/>
        <w:rPr>
          <w:rFonts w:hint="eastAsia" w:ascii="宋体" w:hAnsi="宋体" w:eastAsia="宋体" w:cs="宋体"/>
          <w:highlight w:val="none"/>
        </w:rPr>
      </w:pPr>
    </w:p>
    <w:p w14:paraId="1B74C25B">
      <w:pPr>
        <w:pStyle w:val="6"/>
        <w:rPr>
          <w:rFonts w:hint="eastAsia" w:ascii="宋体" w:hAnsi="宋体" w:eastAsia="宋体" w:cs="宋体"/>
          <w:highlight w:val="none"/>
        </w:rPr>
      </w:pPr>
    </w:p>
    <w:p w14:paraId="44E9D5A5">
      <w:pPr>
        <w:pStyle w:val="6"/>
        <w:rPr>
          <w:rFonts w:hint="eastAsia" w:ascii="宋体" w:hAnsi="宋体" w:eastAsia="宋体" w:cs="宋体"/>
          <w:highlight w:val="none"/>
        </w:rPr>
      </w:pPr>
    </w:p>
    <w:p w14:paraId="63A7B4F0">
      <w:pPr>
        <w:pStyle w:val="6"/>
        <w:rPr>
          <w:rFonts w:hint="eastAsia" w:ascii="宋体" w:hAnsi="宋体" w:eastAsia="宋体" w:cs="宋体"/>
          <w:highlight w:val="none"/>
        </w:rPr>
      </w:pPr>
    </w:p>
    <w:p w14:paraId="57737299">
      <w:pPr>
        <w:pStyle w:val="6"/>
        <w:rPr>
          <w:rFonts w:hint="eastAsia" w:ascii="宋体" w:hAnsi="宋体" w:eastAsia="宋体" w:cs="宋体"/>
          <w:highlight w:val="none"/>
        </w:rPr>
      </w:pPr>
    </w:p>
    <w:p w14:paraId="44AA1B90">
      <w:pPr>
        <w:pStyle w:val="6"/>
        <w:rPr>
          <w:rFonts w:hint="eastAsia" w:ascii="宋体" w:hAnsi="宋体" w:eastAsia="宋体" w:cs="宋体"/>
          <w:highlight w:val="none"/>
        </w:rPr>
      </w:pPr>
    </w:p>
    <w:p w14:paraId="2FF0B35C">
      <w:pPr>
        <w:pStyle w:val="6"/>
        <w:rPr>
          <w:rFonts w:hint="eastAsia" w:ascii="宋体" w:hAnsi="宋体" w:eastAsia="宋体" w:cs="宋体"/>
          <w:highlight w:val="none"/>
        </w:rPr>
      </w:pPr>
    </w:p>
    <w:p w14:paraId="47DBD741">
      <w:pPr>
        <w:pStyle w:val="6"/>
        <w:rPr>
          <w:rFonts w:hint="eastAsia" w:ascii="宋体" w:hAnsi="宋体" w:eastAsia="宋体" w:cs="宋体"/>
          <w:highlight w:val="none"/>
        </w:rPr>
      </w:pPr>
    </w:p>
    <w:p w14:paraId="67276EE2">
      <w:pPr>
        <w:pStyle w:val="6"/>
        <w:rPr>
          <w:rFonts w:hint="eastAsia" w:ascii="宋体" w:hAnsi="宋体" w:eastAsia="宋体" w:cs="宋体"/>
          <w:highlight w:val="none"/>
        </w:rPr>
      </w:pPr>
    </w:p>
    <w:p w14:paraId="04934DEA">
      <w:pPr>
        <w:pStyle w:val="6"/>
        <w:rPr>
          <w:rFonts w:hint="eastAsia" w:ascii="宋体" w:hAnsi="宋体" w:eastAsia="宋体" w:cs="宋体"/>
          <w:highlight w:val="none"/>
        </w:rPr>
      </w:pPr>
    </w:p>
    <w:p w14:paraId="4D17E2A5">
      <w:pPr>
        <w:pStyle w:val="6"/>
        <w:rPr>
          <w:rFonts w:hint="eastAsia" w:ascii="宋体" w:hAnsi="宋体" w:eastAsia="宋体" w:cs="宋体"/>
          <w:highlight w:val="none"/>
        </w:rPr>
      </w:pPr>
    </w:p>
    <w:p w14:paraId="625D7F13">
      <w:pPr>
        <w:pStyle w:val="6"/>
        <w:rPr>
          <w:rFonts w:hint="eastAsia" w:ascii="宋体" w:hAnsi="宋体" w:eastAsia="宋体" w:cs="宋体"/>
          <w:highlight w:val="none"/>
        </w:rPr>
      </w:pPr>
    </w:p>
    <w:p w14:paraId="4A1971ED">
      <w:pPr>
        <w:pStyle w:val="6"/>
        <w:rPr>
          <w:rFonts w:hint="eastAsia" w:ascii="宋体" w:hAnsi="宋体" w:eastAsia="宋体" w:cs="宋体"/>
          <w:highlight w:val="none"/>
        </w:rPr>
      </w:pPr>
    </w:p>
    <w:p w14:paraId="38D6E26C">
      <w:pPr>
        <w:pStyle w:val="6"/>
        <w:rPr>
          <w:rFonts w:hint="eastAsia" w:ascii="宋体" w:hAnsi="宋体" w:eastAsia="宋体" w:cs="宋体"/>
          <w:highlight w:val="none"/>
        </w:rPr>
      </w:pPr>
    </w:p>
    <w:p w14:paraId="706E149A">
      <w:pPr>
        <w:pStyle w:val="6"/>
        <w:rPr>
          <w:rFonts w:hint="eastAsia" w:ascii="宋体" w:hAnsi="宋体" w:eastAsia="宋体" w:cs="宋体"/>
          <w:highlight w:val="none"/>
        </w:rPr>
      </w:pPr>
    </w:p>
    <w:p w14:paraId="7432F3EA">
      <w:pPr>
        <w:pStyle w:val="6"/>
        <w:rPr>
          <w:rFonts w:hint="eastAsia" w:ascii="宋体" w:hAnsi="宋体" w:eastAsia="宋体" w:cs="宋体"/>
          <w:highlight w:val="none"/>
        </w:rPr>
      </w:pPr>
    </w:p>
    <w:p w14:paraId="2CA793C1">
      <w:pPr>
        <w:pStyle w:val="6"/>
        <w:rPr>
          <w:rFonts w:hint="eastAsia" w:ascii="宋体" w:hAnsi="宋体" w:eastAsia="宋体" w:cs="宋体"/>
          <w:highlight w:val="none"/>
        </w:rPr>
      </w:pPr>
    </w:p>
    <w:p w14:paraId="7CC3515C">
      <w:pPr>
        <w:pStyle w:val="6"/>
        <w:rPr>
          <w:rFonts w:hint="eastAsia" w:ascii="宋体" w:hAnsi="宋体" w:eastAsia="宋体" w:cs="宋体"/>
          <w:highlight w:val="none"/>
        </w:rPr>
      </w:pPr>
    </w:p>
    <w:p w14:paraId="24E79A75">
      <w:pPr>
        <w:pStyle w:val="6"/>
        <w:rPr>
          <w:rFonts w:hint="eastAsia" w:ascii="宋体" w:hAnsi="宋体" w:eastAsia="宋体" w:cs="宋体"/>
          <w:highlight w:val="none"/>
        </w:rPr>
      </w:pPr>
    </w:p>
    <w:p w14:paraId="7A61789F">
      <w:pPr>
        <w:pStyle w:val="6"/>
        <w:rPr>
          <w:rFonts w:hint="eastAsia" w:ascii="宋体" w:hAnsi="宋体" w:eastAsia="宋体" w:cs="宋体"/>
          <w:highlight w:val="none"/>
        </w:rPr>
      </w:pPr>
    </w:p>
    <w:p w14:paraId="3A4585DA">
      <w:pPr>
        <w:pStyle w:val="6"/>
        <w:ind w:left="0" w:leftChars="0" w:firstLine="0" w:firstLineChars="0"/>
        <w:rPr>
          <w:rFonts w:hint="eastAsia" w:ascii="宋体" w:hAnsi="宋体" w:eastAsia="宋体" w:cs="宋体"/>
          <w:highlight w:val="none"/>
        </w:rPr>
      </w:pPr>
    </w:p>
    <w:p w14:paraId="7A6361C9">
      <w:pPr>
        <w:pStyle w:val="6"/>
        <w:ind w:left="0" w:leftChars="0" w:firstLine="0" w:firstLineChars="0"/>
        <w:rPr>
          <w:rFonts w:hint="eastAsia" w:ascii="宋体" w:hAnsi="宋体" w:eastAsia="宋体" w:cs="宋体"/>
          <w:highlight w:val="none"/>
        </w:rPr>
      </w:pPr>
    </w:p>
    <w:p w14:paraId="5FCA581A">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0"/>
        <w:rPr>
          <w:rFonts w:hint="eastAsia" w:asciiTheme="majorEastAsia" w:hAnsiTheme="majorEastAsia" w:eastAsiaTheme="majorEastAsia" w:cstheme="majorEastAsia"/>
          <w:b/>
          <w:bCs/>
          <w:spacing w:val="3930"/>
          <w:w w:val="100"/>
          <w:kern w:val="0"/>
          <w:sz w:val="32"/>
          <w:szCs w:val="32"/>
          <w:highlight w:val="none"/>
          <w:fitText w:val="4250" w:id="1836938133"/>
        </w:rPr>
      </w:pPr>
      <w:bookmarkStart w:id="317" w:name="_Toc371"/>
      <w:bookmarkStart w:id="318" w:name="_Toc90"/>
      <w:bookmarkStart w:id="319" w:name="_Toc29864"/>
      <w:bookmarkStart w:id="320" w:name="_Toc20019"/>
      <w:bookmarkStart w:id="321" w:name="_Toc32267"/>
      <w:bookmarkStart w:id="322" w:name="_Toc16427"/>
      <w:bookmarkStart w:id="323" w:name="_Toc28111"/>
      <w:bookmarkStart w:id="324" w:name="_Toc13951"/>
      <w:bookmarkStart w:id="325" w:name="_Toc30039"/>
      <w:bookmarkStart w:id="326" w:name="_Toc22871"/>
      <w:bookmarkStart w:id="327" w:name="_Toc23328"/>
      <w:r>
        <w:rPr>
          <w:rFonts w:hint="eastAsia" w:asciiTheme="majorEastAsia" w:hAnsiTheme="majorEastAsia" w:eastAsiaTheme="majorEastAsia" w:cstheme="majorEastAsia"/>
          <w:b/>
          <w:bCs/>
          <w:spacing w:val="67"/>
          <w:w w:val="100"/>
          <w:kern w:val="0"/>
          <w:sz w:val="32"/>
          <w:szCs w:val="32"/>
          <w:highlight w:val="none"/>
          <w:fitText w:val="4250" w:id="377960891"/>
        </w:rPr>
        <w:t>第</w:t>
      </w:r>
      <w:r>
        <w:rPr>
          <w:rFonts w:hint="eastAsia" w:asciiTheme="majorEastAsia" w:hAnsiTheme="majorEastAsia" w:eastAsiaTheme="majorEastAsia" w:cstheme="majorEastAsia"/>
          <w:b/>
          <w:bCs/>
          <w:spacing w:val="67"/>
          <w:w w:val="100"/>
          <w:kern w:val="0"/>
          <w:sz w:val="32"/>
          <w:szCs w:val="32"/>
          <w:highlight w:val="none"/>
          <w:fitText w:val="4250" w:id="377960891"/>
          <w:lang w:eastAsia="zh-CN"/>
        </w:rPr>
        <w:t>六</w:t>
      </w:r>
      <w:r>
        <w:rPr>
          <w:rFonts w:hint="eastAsia" w:asciiTheme="majorEastAsia" w:hAnsiTheme="majorEastAsia" w:eastAsiaTheme="majorEastAsia" w:cstheme="majorEastAsia"/>
          <w:b/>
          <w:bCs/>
          <w:spacing w:val="67"/>
          <w:w w:val="100"/>
          <w:kern w:val="0"/>
          <w:sz w:val="32"/>
          <w:szCs w:val="32"/>
          <w:highlight w:val="none"/>
          <w:fitText w:val="4250" w:id="377960891"/>
        </w:rPr>
        <w:t>章 响应文件格</w:t>
      </w:r>
      <w:r>
        <w:rPr>
          <w:rFonts w:hint="eastAsia" w:asciiTheme="majorEastAsia" w:hAnsiTheme="majorEastAsia" w:eastAsiaTheme="majorEastAsia" w:cstheme="majorEastAsia"/>
          <w:b/>
          <w:bCs/>
          <w:spacing w:val="2"/>
          <w:w w:val="100"/>
          <w:kern w:val="0"/>
          <w:sz w:val="32"/>
          <w:szCs w:val="32"/>
          <w:highlight w:val="none"/>
          <w:fitText w:val="4250" w:id="377960891"/>
        </w:rPr>
        <w:t>式</w:t>
      </w:r>
      <w:bookmarkEnd w:id="317"/>
      <w:bookmarkEnd w:id="318"/>
      <w:bookmarkEnd w:id="319"/>
      <w:bookmarkEnd w:id="320"/>
      <w:bookmarkEnd w:id="321"/>
      <w:bookmarkEnd w:id="322"/>
      <w:bookmarkEnd w:id="323"/>
      <w:bookmarkEnd w:id="324"/>
      <w:bookmarkEnd w:id="325"/>
      <w:bookmarkEnd w:id="326"/>
      <w:bookmarkEnd w:id="327"/>
    </w:p>
    <w:p w14:paraId="5A304ABF">
      <w:pPr>
        <w:pStyle w:val="6"/>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0" w:firstLineChars="0"/>
        <w:jc w:val="center"/>
        <w:textAlignment w:val="baseline"/>
        <w:outlineLvl w:val="9"/>
        <w:rPr>
          <w:rFonts w:hint="eastAsia" w:ascii="微软雅黑" w:hAnsi="微软雅黑" w:eastAsia="微软雅黑" w:cs="微软雅黑"/>
          <w:b/>
          <w:bCs/>
          <w:spacing w:val="3906"/>
          <w:w w:val="100"/>
          <w:kern w:val="0"/>
          <w:sz w:val="36"/>
          <w:szCs w:val="36"/>
          <w:highlight w:val="none"/>
          <w:fitText w:val="4266" w:id="1438187801"/>
        </w:rPr>
      </w:pPr>
    </w:p>
    <w:p w14:paraId="6F2DE205">
      <w:pPr>
        <w:pStyle w:val="5"/>
        <w:keepNext w:val="0"/>
        <w:keepLines w:val="0"/>
        <w:pageBreakBefore w:val="0"/>
        <w:widowControl w:val="0"/>
        <w:kinsoku/>
        <w:wordWrap/>
        <w:overflowPunct/>
        <w:topLinePunct w:val="0"/>
        <w:autoSpaceDE/>
        <w:autoSpaceDN/>
        <w:bidi w:val="0"/>
        <w:adjustRightInd w:val="0"/>
        <w:snapToGrid w:val="0"/>
        <w:spacing w:line="285" w:lineRule="auto"/>
        <w:jc w:val="center"/>
        <w:textAlignment w:val="auto"/>
        <w:outlineLvl w:val="9"/>
        <w:rPr>
          <w:rFonts w:hint="eastAsia" w:ascii="宋体" w:hAnsi="宋体" w:eastAsia="宋体" w:cs="宋体"/>
          <w:color w:val="auto"/>
          <w:highlight w:val="none"/>
        </w:rPr>
      </w:pPr>
    </w:p>
    <w:p w14:paraId="25FDDA8B">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1487EE32">
      <w:pPr>
        <w:pStyle w:val="5"/>
        <w:keepNext w:val="0"/>
        <w:keepLines w:val="0"/>
        <w:pageBreakBefore w:val="0"/>
        <w:widowControl w:val="0"/>
        <w:kinsoku/>
        <w:wordWrap/>
        <w:overflowPunct/>
        <w:topLinePunct w:val="0"/>
        <w:autoSpaceDE/>
        <w:autoSpaceDN/>
        <w:bidi w:val="0"/>
        <w:adjustRightInd w:val="0"/>
        <w:snapToGrid w:val="0"/>
        <w:spacing w:line="285" w:lineRule="auto"/>
        <w:jc w:val="center"/>
        <w:textAlignment w:val="auto"/>
        <w:outlineLvl w:val="9"/>
        <w:rPr>
          <w:rFonts w:hint="eastAsia" w:ascii="宋体" w:hAnsi="宋体" w:eastAsia="宋体" w:cs="宋体"/>
          <w:color w:val="auto"/>
          <w:highlight w:val="none"/>
        </w:rPr>
      </w:pPr>
    </w:p>
    <w:p w14:paraId="21A042B0">
      <w:pPr>
        <w:pStyle w:val="5"/>
        <w:keepNext w:val="0"/>
        <w:keepLines w:val="0"/>
        <w:pageBreakBefore w:val="0"/>
        <w:widowControl w:val="0"/>
        <w:kinsoku/>
        <w:wordWrap/>
        <w:overflowPunct/>
        <w:topLinePunct w:val="0"/>
        <w:autoSpaceDE/>
        <w:autoSpaceDN/>
        <w:bidi w:val="0"/>
        <w:adjustRightInd w:val="0"/>
        <w:snapToGrid w:val="0"/>
        <w:spacing w:line="286" w:lineRule="auto"/>
        <w:jc w:val="center"/>
        <w:textAlignment w:val="auto"/>
        <w:outlineLvl w:val="9"/>
        <w:rPr>
          <w:rFonts w:hint="eastAsia" w:ascii="宋体" w:hAnsi="宋体" w:eastAsia="宋体" w:cs="宋体"/>
          <w:color w:val="auto"/>
          <w:highlight w:val="none"/>
        </w:rPr>
      </w:pPr>
    </w:p>
    <w:p w14:paraId="51A49AA9">
      <w:pPr>
        <w:keepNext w:val="0"/>
        <w:keepLines w:val="0"/>
        <w:pageBreakBefore w:val="0"/>
        <w:widowControl w:val="0"/>
        <w:tabs>
          <w:tab w:val="left" w:pos="5734"/>
        </w:tabs>
        <w:kinsoku/>
        <w:wordWrap/>
        <w:overflowPunct/>
        <w:topLinePunct w:val="0"/>
        <w:autoSpaceDE/>
        <w:autoSpaceDN/>
        <w:bidi w:val="0"/>
        <w:adjustRightInd w:val="0"/>
        <w:snapToGrid w:val="0"/>
        <w:spacing w:before="169" w:line="221" w:lineRule="auto"/>
        <w:jc w:val="both"/>
        <w:textAlignment w:val="auto"/>
        <w:outlineLvl w:val="9"/>
        <w:rPr>
          <w:rFonts w:hint="eastAsia" w:ascii="宋体" w:hAnsi="宋体" w:eastAsia="宋体" w:cs="宋体"/>
          <w:color w:val="auto"/>
          <w:sz w:val="52"/>
          <w:szCs w:val="52"/>
          <w:highlight w:val="none"/>
          <w:lang w:eastAsia="zh-CN"/>
        </w:rPr>
      </w:pPr>
      <w:r>
        <w:rPr>
          <w:rFonts w:hint="eastAsia" w:ascii="宋体" w:hAnsi="宋体" w:eastAsia="宋体" w:cs="宋体"/>
          <w:color w:val="auto"/>
          <w:spacing w:val="-231"/>
          <w:sz w:val="52"/>
          <w:szCs w:val="52"/>
          <w:highlight w:val="none"/>
          <w:lang w:val="en-US" w:eastAsia="zh-CN"/>
        </w:rPr>
        <w:t xml:space="preserve">       </w:t>
      </w:r>
      <w:r>
        <w:rPr>
          <w:rFonts w:hint="eastAsia" w:ascii="宋体" w:hAnsi="宋体" w:eastAsia="宋体" w:cs="宋体"/>
          <w:color w:val="auto"/>
          <w:spacing w:val="-7"/>
          <w:sz w:val="52"/>
          <w:szCs w:val="52"/>
          <w:highlight w:val="none"/>
          <w14:textOutline w14:w="9448" w14:cap="flat" w14:cmpd="sng">
            <w14:solidFill>
              <w14:srgbClr w14:val="000000"/>
            </w14:solidFill>
            <w14:prstDash w14:val="solid"/>
            <w14:miter w14:val="0"/>
          </w14:textOutline>
        </w:rPr>
        <w:t>项目</w:t>
      </w:r>
      <w:r>
        <w:rPr>
          <w:rFonts w:hint="eastAsia" w:ascii="宋体" w:hAnsi="宋体" w:eastAsia="宋体" w:cs="宋体"/>
          <w:color w:val="auto"/>
          <w:spacing w:val="-7"/>
          <w:sz w:val="52"/>
          <w:szCs w:val="52"/>
          <w:highlight w:val="none"/>
          <w:lang w:val="en-US" w:eastAsia="zh-CN"/>
          <w14:textOutline w14:w="9448" w14:cap="flat" w14:cmpd="sng">
            <w14:solidFill>
              <w14:srgbClr w14:val="000000"/>
            </w14:solidFill>
            <w14:prstDash w14:val="solid"/>
            <w14:miter w14:val="0"/>
          </w14:textOutline>
        </w:rPr>
        <w:t xml:space="preserve">名称 </w:t>
      </w:r>
      <w:r>
        <w:rPr>
          <w:rFonts w:hint="eastAsia" w:ascii="宋体" w:hAnsi="宋体" w:eastAsia="宋体" w:cs="宋体"/>
          <w:color w:val="auto"/>
          <w:spacing w:val="-7"/>
          <w:sz w:val="52"/>
          <w:szCs w:val="52"/>
          <w:highlight w:val="none"/>
          <w:u w:val="single"/>
          <w:lang w:val="en-US" w:eastAsia="zh-CN"/>
          <w14:textOutline w14:w="9448" w14:cap="flat" w14:cmpd="sng">
            <w14:solidFill>
              <w14:srgbClr w14:val="000000"/>
            </w14:solidFill>
            <w14:prstDash w14:val="solid"/>
            <w14:miter w14:val="0"/>
          </w14:textOutline>
        </w:rPr>
        <w:t xml:space="preserve">               </w:t>
      </w:r>
      <w:r>
        <w:rPr>
          <w:rFonts w:hint="eastAsia" w:ascii="宋体" w:hAnsi="宋体" w:eastAsia="宋体" w:cs="宋体"/>
          <w:color w:val="auto"/>
          <w:spacing w:val="-7"/>
          <w:sz w:val="52"/>
          <w:szCs w:val="52"/>
          <w:highlight w:val="none"/>
          <w:lang w:eastAsia="zh-CN"/>
          <w14:textOutline w14:w="9448" w14:cap="flat" w14:cmpd="sng">
            <w14:solidFill>
              <w14:srgbClr w14:val="000000"/>
            </w14:solidFill>
            <w14:prstDash w14:val="solid"/>
            <w14:miter w14:val="0"/>
          </w14:textOutline>
        </w:rPr>
        <w:t>（</w:t>
      </w:r>
      <w:r>
        <w:rPr>
          <w:rFonts w:hint="eastAsia" w:ascii="宋体" w:hAnsi="宋体" w:eastAsia="宋体" w:cs="宋体"/>
          <w:color w:val="auto"/>
          <w:spacing w:val="-7"/>
          <w:sz w:val="52"/>
          <w:szCs w:val="52"/>
          <w:highlight w:val="none"/>
          <w:lang w:val="en-US" w:eastAsia="zh-CN"/>
          <w14:textOutline w14:w="9448" w14:cap="flat" w14:cmpd="sng">
            <w14:solidFill>
              <w14:srgbClr w14:val="000000"/>
            </w14:solidFill>
            <w14:prstDash w14:val="solid"/>
            <w14:miter w14:val="0"/>
          </w14:textOutline>
        </w:rPr>
        <w:t xml:space="preserve">  标段</w:t>
      </w:r>
      <w:r>
        <w:rPr>
          <w:rFonts w:hint="eastAsia" w:ascii="宋体" w:hAnsi="宋体" w:eastAsia="宋体" w:cs="宋体"/>
          <w:color w:val="auto"/>
          <w:spacing w:val="-7"/>
          <w:sz w:val="52"/>
          <w:szCs w:val="52"/>
          <w:highlight w:val="none"/>
          <w:lang w:eastAsia="zh-CN"/>
          <w14:textOutline w14:w="9448" w14:cap="flat" w14:cmpd="sng">
            <w14:solidFill>
              <w14:srgbClr w14:val="000000"/>
            </w14:solidFill>
            <w14:prstDash w14:val="solid"/>
            <w14:miter w14:val="0"/>
          </w14:textOutline>
        </w:rPr>
        <w:t>）</w:t>
      </w:r>
    </w:p>
    <w:p w14:paraId="61EFECFF">
      <w:pPr>
        <w:pStyle w:val="5"/>
        <w:keepNext w:val="0"/>
        <w:keepLines w:val="0"/>
        <w:pageBreakBefore w:val="0"/>
        <w:widowControl w:val="0"/>
        <w:kinsoku/>
        <w:wordWrap/>
        <w:overflowPunct/>
        <w:topLinePunct w:val="0"/>
        <w:autoSpaceDE/>
        <w:autoSpaceDN/>
        <w:bidi w:val="0"/>
        <w:adjustRightInd w:val="0"/>
        <w:snapToGrid w:val="0"/>
        <w:spacing w:line="255" w:lineRule="auto"/>
        <w:jc w:val="both"/>
        <w:textAlignment w:val="auto"/>
        <w:outlineLvl w:val="9"/>
        <w:rPr>
          <w:rFonts w:hint="eastAsia" w:ascii="宋体" w:hAnsi="宋体" w:eastAsia="宋体" w:cs="宋体"/>
          <w:color w:val="auto"/>
          <w:highlight w:val="none"/>
        </w:rPr>
      </w:pPr>
    </w:p>
    <w:p w14:paraId="2ADC9499">
      <w:pPr>
        <w:pStyle w:val="5"/>
        <w:keepNext w:val="0"/>
        <w:keepLines w:val="0"/>
        <w:pageBreakBefore w:val="0"/>
        <w:widowControl w:val="0"/>
        <w:kinsoku/>
        <w:wordWrap/>
        <w:overflowPunct/>
        <w:topLinePunct w:val="0"/>
        <w:autoSpaceDE/>
        <w:autoSpaceDN/>
        <w:bidi w:val="0"/>
        <w:adjustRightInd w:val="0"/>
        <w:snapToGrid w:val="0"/>
        <w:spacing w:line="255" w:lineRule="auto"/>
        <w:jc w:val="center"/>
        <w:textAlignment w:val="auto"/>
        <w:outlineLvl w:val="9"/>
        <w:rPr>
          <w:rFonts w:hint="eastAsia" w:ascii="宋体" w:hAnsi="宋体" w:eastAsia="宋体" w:cs="宋体"/>
          <w:color w:val="auto"/>
          <w:highlight w:val="none"/>
        </w:rPr>
      </w:pPr>
    </w:p>
    <w:p w14:paraId="645F30F1">
      <w:pPr>
        <w:pStyle w:val="5"/>
        <w:keepNext w:val="0"/>
        <w:keepLines w:val="0"/>
        <w:pageBreakBefore w:val="0"/>
        <w:widowControl w:val="0"/>
        <w:kinsoku/>
        <w:wordWrap/>
        <w:overflowPunct/>
        <w:topLinePunct w:val="0"/>
        <w:autoSpaceDE/>
        <w:autoSpaceDN/>
        <w:bidi w:val="0"/>
        <w:adjustRightInd w:val="0"/>
        <w:snapToGrid w:val="0"/>
        <w:spacing w:line="255" w:lineRule="auto"/>
        <w:jc w:val="center"/>
        <w:textAlignment w:val="auto"/>
        <w:outlineLvl w:val="9"/>
        <w:rPr>
          <w:rFonts w:hint="eastAsia" w:ascii="宋体" w:hAnsi="宋体" w:eastAsia="宋体" w:cs="宋体"/>
          <w:color w:val="auto"/>
          <w:highlight w:val="none"/>
        </w:rPr>
      </w:pPr>
    </w:p>
    <w:p w14:paraId="285EE675">
      <w:pPr>
        <w:pStyle w:val="5"/>
        <w:keepNext w:val="0"/>
        <w:keepLines w:val="0"/>
        <w:pageBreakBefore w:val="0"/>
        <w:widowControl w:val="0"/>
        <w:kinsoku/>
        <w:wordWrap/>
        <w:overflowPunct/>
        <w:topLinePunct w:val="0"/>
        <w:autoSpaceDE/>
        <w:autoSpaceDN/>
        <w:bidi w:val="0"/>
        <w:adjustRightInd w:val="0"/>
        <w:snapToGrid w:val="0"/>
        <w:spacing w:line="285" w:lineRule="auto"/>
        <w:jc w:val="center"/>
        <w:textAlignment w:val="auto"/>
        <w:outlineLvl w:val="9"/>
        <w:rPr>
          <w:rFonts w:hint="eastAsia" w:ascii="宋体" w:hAnsi="宋体" w:eastAsia="宋体" w:cs="宋体"/>
          <w:color w:val="auto"/>
          <w:highlight w:val="none"/>
        </w:rPr>
      </w:pPr>
    </w:p>
    <w:p w14:paraId="112BE68E">
      <w:pPr>
        <w:keepNext w:val="0"/>
        <w:keepLines w:val="0"/>
        <w:pageBreakBefore w:val="0"/>
        <w:widowControl w:val="0"/>
        <w:kinsoku/>
        <w:wordWrap/>
        <w:overflowPunct/>
        <w:topLinePunct w:val="0"/>
        <w:autoSpaceDE/>
        <w:autoSpaceDN/>
        <w:bidi w:val="0"/>
        <w:adjustRightInd w:val="0"/>
        <w:snapToGrid w:val="0"/>
        <w:spacing w:before="91" w:line="220" w:lineRule="auto"/>
        <w:ind w:left="1724"/>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pacing w:val="-9"/>
          <w:sz w:val="28"/>
          <w:szCs w:val="28"/>
          <w:highlight w:val="none"/>
          <w14:textOutline w14:w="5094" w14:cap="flat" w14:cmpd="sng">
            <w14:solidFill>
              <w14:srgbClr w14:val="000000"/>
            </w14:solidFill>
            <w14:prstDash w14:val="solid"/>
            <w14:miter w14:val="0"/>
          </w14:textOutline>
        </w:rPr>
        <w:t>项目编号：</w:t>
      </w:r>
    </w:p>
    <w:p w14:paraId="290AE743">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7952A52B">
      <w:pPr>
        <w:pStyle w:val="5"/>
        <w:keepNext w:val="0"/>
        <w:keepLines w:val="0"/>
        <w:pageBreakBefore w:val="0"/>
        <w:widowControl w:val="0"/>
        <w:kinsoku/>
        <w:wordWrap/>
        <w:overflowPunct/>
        <w:topLinePunct w:val="0"/>
        <w:autoSpaceDE/>
        <w:autoSpaceDN/>
        <w:bidi w:val="0"/>
        <w:adjustRightInd w:val="0"/>
        <w:snapToGrid w:val="0"/>
        <w:spacing w:line="256" w:lineRule="auto"/>
        <w:jc w:val="both"/>
        <w:textAlignment w:val="auto"/>
        <w:outlineLvl w:val="9"/>
        <w:rPr>
          <w:rFonts w:hint="eastAsia" w:ascii="宋体" w:hAnsi="宋体" w:eastAsia="宋体" w:cs="宋体"/>
          <w:color w:val="auto"/>
          <w:highlight w:val="none"/>
        </w:rPr>
      </w:pPr>
    </w:p>
    <w:p w14:paraId="70A6BE2E">
      <w:pPr>
        <w:keepNext w:val="0"/>
        <w:keepLines w:val="0"/>
        <w:pageBreakBefore w:val="0"/>
        <w:widowControl w:val="0"/>
        <w:kinsoku/>
        <w:wordWrap/>
        <w:overflowPunct/>
        <w:topLinePunct w:val="0"/>
        <w:autoSpaceDE/>
        <w:autoSpaceDN/>
        <w:bidi w:val="0"/>
        <w:adjustRightInd w:val="0"/>
        <w:snapToGrid w:val="0"/>
        <w:spacing w:before="273" w:line="221" w:lineRule="auto"/>
        <w:ind w:left="1922"/>
        <w:jc w:val="left"/>
        <w:textAlignment w:val="auto"/>
        <w:outlineLvl w:val="9"/>
        <w:rPr>
          <w:rFonts w:hint="eastAsia" w:ascii="宋体" w:hAnsi="宋体" w:eastAsia="宋体" w:cs="宋体"/>
          <w:color w:val="auto"/>
          <w:sz w:val="60"/>
          <w:szCs w:val="60"/>
          <w:highlight w:val="none"/>
        </w:rPr>
      </w:pPr>
      <w:bookmarkStart w:id="328" w:name="bookmark9"/>
      <w:bookmarkEnd w:id="328"/>
      <w:bookmarkStart w:id="329" w:name="_Toc18080"/>
      <w:bookmarkStart w:id="330" w:name="_Toc32336"/>
      <w:bookmarkStart w:id="331" w:name="_Toc25931"/>
      <w:r>
        <w:rPr>
          <w:rFonts w:hint="eastAsia" w:ascii="宋体" w:hAnsi="宋体" w:eastAsia="宋体" w:cs="宋体"/>
          <w:color w:val="auto"/>
          <w:spacing w:val="-37"/>
          <w:sz w:val="60"/>
          <w:szCs w:val="60"/>
          <w:highlight w:val="none"/>
          <w14:textOutline w14:w="15240" w14:cap="flat" w14:cmpd="sng">
            <w14:solidFill>
              <w14:srgbClr w14:val="000000"/>
            </w14:solidFill>
            <w14:prstDash w14:val="solid"/>
            <w14:miter w14:val="0"/>
          </w14:textOutline>
        </w:rPr>
        <w:t>响</w:t>
      </w:r>
      <w:r>
        <w:rPr>
          <w:rFonts w:hint="eastAsia" w:ascii="宋体" w:hAnsi="宋体" w:eastAsia="宋体" w:cs="宋体"/>
          <w:color w:val="auto"/>
          <w:spacing w:val="35"/>
          <w:sz w:val="60"/>
          <w:szCs w:val="60"/>
          <w:highlight w:val="none"/>
        </w:rPr>
        <w:t xml:space="preserve"> </w:t>
      </w:r>
      <w:r>
        <w:rPr>
          <w:rFonts w:hint="eastAsia" w:ascii="宋体" w:hAnsi="宋体" w:eastAsia="宋体" w:cs="宋体"/>
          <w:color w:val="auto"/>
          <w:spacing w:val="-37"/>
          <w:sz w:val="60"/>
          <w:szCs w:val="60"/>
          <w:highlight w:val="none"/>
          <w14:textOutline w14:w="15240" w14:cap="flat" w14:cmpd="sng">
            <w14:solidFill>
              <w14:srgbClr w14:val="000000"/>
            </w14:solidFill>
            <w14:prstDash w14:val="solid"/>
            <w14:miter w14:val="0"/>
          </w14:textOutline>
        </w:rPr>
        <w:t>应</w:t>
      </w:r>
      <w:r>
        <w:rPr>
          <w:rFonts w:hint="eastAsia" w:ascii="宋体" w:hAnsi="宋体" w:eastAsia="宋体" w:cs="宋体"/>
          <w:color w:val="auto"/>
          <w:spacing w:val="44"/>
          <w:sz w:val="60"/>
          <w:szCs w:val="60"/>
          <w:highlight w:val="none"/>
        </w:rPr>
        <w:t xml:space="preserve"> </w:t>
      </w:r>
      <w:r>
        <w:rPr>
          <w:rFonts w:hint="eastAsia" w:ascii="宋体" w:hAnsi="宋体" w:eastAsia="宋体" w:cs="宋体"/>
          <w:color w:val="auto"/>
          <w:spacing w:val="-37"/>
          <w:sz w:val="60"/>
          <w:szCs w:val="60"/>
          <w:highlight w:val="none"/>
          <w14:textOutline w14:w="15240" w14:cap="flat" w14:cmpd="sng">
            <w14:solidFill>
              <w14:srgbClr w14:val="000000"/>
            </w14:solidFill>
            <w14:prstDash w14:val="solid"/>
            <w14:miter w14:val="0"/>
          </w14:textOutline>
        </w:rPr>
        <w:t>文</w:t>
      </w:r>
      <w:r>
        <w:rPr>
          <w:rFonts w:hint="eastAsia" w:ascii="宋体" w:hAnsi="宋体" w:eastAsia="宋体" w:cs="宋体"/>
          <w:color w:val="auto"/>
          <w:spacing w:val="37"/>
          <w:sz w:val="60"/>
          <w:szCs w:val="60"/>
          <w:highlight w:val="none"/>
        </w:rPr>
        <w:t xml:space="preserve"> </w:t>
      </w:r>
      <w:r>
        <w:rPr>
          <w:rFonts w:hint="eastAsia" w:ascii="宋体" w:hAnsi="宋体" w:eastAsia="宋体" w:cs="宋体"/>
          <w:color w:val="auto"/>
          <w:spacing w:val="-37"/>
          <w:sz w:val="60"/>
          <w:szCs w:val="60"/>
          <w:highlight w:val="none"/>
          <w14:textOutline w14:w="15240" w14:cap="flat" w14:cmpd="sng">
            <w14:solidFill>
              <w14:srgbClr w14:val="000000"/>
            </w14:solidFill>
            <w14:prstDash w14:val="solid"/>
            <w14:miter w14:val="0"/>
          </w14:textOutline>
        </w:rPr>
        <w:t>件</w:t>
      </w:r>
      <w:bookmarkEnd w:id="329"/>
      <w:bookmarkEnd w:id="330"/>
      <w:bookmarkEnd w:id="331"/>
    </w:p>
    <w:p w14:paraId="28097CC6">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6DD01724">
      <w:pPr>
        <w:pStyle w:val="5"/>
        <w:keepNext w:val="0"/>
        <w:keepLines w:val="0"/>
        <w:pageBreakBefore w:val="0"/>
        <w:widowControl w:val="0"/>
        <w:kinsoku/>
        <w:wordWrap/>
        <w:overflowPunct/>
        <w:topLinePunct w:val="0"/>
        <w:autoSpaceDE/>
        <w:autoSpaceDN/>
        <w:bidi w:val="0"/>
        <w:adjustRightInd w:val="0"/>
        <w:snapToGrid w:val="0"/>
        <w:spacing w:line="256" w:lineRule="auto"/>
        <w:jc w:val="center"/>
        <w:textAlignment w:val="auto"/>
        <w:outlineLvl w:val="9"/>
        <w:rPr>
          <w:rFonts w:hint="eastAsia" w:ascii="宋体" w:hAnsi="宋体" w:eastAsia="宋体" w:cs="宋体"/>
          <w:color w:val="auto"/>
          <w:highlight w:val="none"/>
        </w:rPr>
      </w:pPr>
    </w:p>
    <w:p w14:paraId="23FBA76F">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3B5271D7">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09FA5DFC">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78969DDE">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5E6B8120">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77A96218">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6F600C1C">
      <w:pPr>
        <w:pStyle w:val="5"/>
        <w:keepNext w:val="0"/>
        <w:keepLines w:val="0"/>
        <w:pageBreakBefore w:val="0"/>
        <w:widowControl w:val="0"/>
        <w:kinsoku/>
        <w:wordWrap/>
        <w:overflowPunct/>
        <w:topLinePunct w:val="0"/>
        <w:autoSpaceDE/>
        <w:autoSpaceDN/>
        <w:bidi w:val="0"/>
        <w:adjustRightInd w:val="0"/>
        <w:snapToGrid w:val="0"/>
        <w:spacing w:line="260" w:lineRule="auto"/>
        <w:jc w:val="center"/>
        <w:textAlignment w:val="auto"/>
        <w:outlineLvl w:val="9"/>
        <w:rPr>
          <w:rFonts w:hint="eastAsia" w:ascii="宋体" w:hAnsi="宋体" w:eastAsia="宋体" w:cs="宋体"/>
          <w:color w:val="auto"/>
          <w:highlight w:val="none"/>
        </w:rPr>
      </w:pPr>
    </w:p>
    <w:p w14:paraId="6D228333">
      <w:pPr>
        <w:pStyle w:val="5"/>
        <w:keepNext w:val="0"/>
        <w:keepLines w:val="0"/>
        <w:pageBreakBefore w:val="0"/>
        <w:widowControl w:val="0"/>
        <w:kinsoku/>
        <w:wordWrap/>
        <w:overflowPunct/>
        <w:topLinePunct w:val="0"/>
        <w:autoSpaceDE/>
        <w:autoSpaceDN/>
        <w:bidi w:val="0"/>
        <w:adjustRightInd w:val="0"/>
        <w:snapToGrid w:val="0"/>
        <w:spacing w:line="261" w:lineRule="auto"/>
        <w:jc w:val="center"/>
        <w:textAlignment w:val="auto"/>
        <w:outlineLvl w:val="9"/>
        <w:rPr>
          <w:rFonts w:hint="eastAsia" w:ascii="宋体" w:hAnsi="宋体" w:eastAsia="宋体" w:cs="宋体"/>
          <w:color w:val="auto"/>
          <w:highlight w:val="none"/>
        </w:rPr>
      </w:pPr>
    </w:p>
    <w:p w14:paraId="39C18D41">
      <w:pPr>
        <w:pStyle w:val="5"/>
        <w:keepNext w:val="0"/>
        <w:keepLines w:val="0"/>
        <w:pageBreakBefore w:val="0"/>
        <w:widowControl w:val="0"/>
        <w:kinsoku/>
        <w:wordWrap/>
        <w:overflowPunct/>
        <w:topLinePunct w:val="0"/>
        <w:autoSpaceDE/>
        <w:autoSpaceDN/>
        <w:bidi w:val="0"/>
        <w:adjustRightInd w:val="0"/>
        <w:snapToGrid w:val="0"/>
        <w:spacing w:line="261" w:lineRule="auto"/>
        <w:jc w:val="center"/>
        <w:textAlignment w:val="auto"/>
        <w:outlineLvl w:val="9"/>
        <w:rPr>
          <w:rFonts w:hint="eastAsia" w:ascii="宋体" w:hAnsi="宋体" w:eastAsia="宋体" w:cs="宋体"/>
          <w:color w:val="auto"/>
          <w:highlight w:val="none"/>
        </w:rPr>
      </w:pPr>
    </w:p>
    <w:p w14:paraId="47446795">
      <w:pPr>
        <w:keepNext w:val="0"/>
        <w:keepLines w:val="0"/>
        <w:pageBreakBefore w:val="0"/>
        <w:widowControl w:val="0"/>
        <w:kinsoku/>
        <w:wordWrap/>
        <w:overflowPunct/>
        <w:topLinePunct w:val="0"/>
        <w:autoSpaceDE/>
        <w:autoSpaceDN/>
        <w:bidi w:val="0"/>
        <w:adjustRightInd w:val="0"/>
        <w:snapToGrid w:val="0"/>
        <w:spacing w:before="78" w:line="543" w:lineRule="auto"/>
        <w:ind w:left="772"/>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14:textOutline w14:w="4354" w14:cap="flat" w14:cmpd="sng">
            <w14:solidFill>
              <w14:srgbClr w14:val="000000"/>
            </w14:solidFill>
            <w14:prstDash w14:val="solid"/>
            <w14:miter w14:val="0"/>
          </w14:textOutline>
        </w:rPr>
        <w:t>供应商</w:t>
      </w:r>
      <w:r>
        <w:rPr>
          <w:rFonts w:hint="eastAsia" w:ascii="宋体" w:hAnsi="宋体" w:eastAsia="宋体" w:cs="宋体"/>
          <w:color w:val="auto"/>
          <w:spacing w:val="4"/>
          <w:sz w:val="24"/>
          <w:szCs w:val="24"/>
          <w:highlight w:val="none"/>
          <w14:textOutline w14:w="4354" w14:cap="flat" w14:cmpd="sng">
            <w14:solidFill>
              <w14:srgbClr w14:val="000000"/>
            </w14:solidFill>
            <w14:prstDash w14:val="solid"/>
            <w14:miter w14:val="0"/>
          </w14:textOutli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4"/>
          <w:sz w:val="24"/>
          <w:szCs w:val="24"/>
          <w:highlight w:val="none"/>
          <w14:textOutline w14:w="4354" w14:cap="flat" w14:cmpd="sng">
            <w14:solidFill>
              <w14:srgbClr w14:val="000000"/>
            </w14:solidFill>
            <w14:prstDash w14:val="solid"/>
            <w14:miter w14:val="0"/>
          </w14:textOutline>
        </w:rPr>
        <w:t>（</w:t>
      </w:r>
      <w:r>
        <w:rPr>
          <w:rFonts w:hint="eastAsia" w:ascii="宋体" w:hAnsi="宋体" w:eastAsia="宋体" w:cs="宋体"/>
          <w:color w:val="auto"/>
          <w:spacing w:val="-10"/>
          <w:sz w:val="24"/>
          <w:szCs w:val="24"/>
          <w:highlight w:val="none"/>
          <w14:textOutline w14:w="4354" w14:cap="flat" w14:cmpd="sng">
            <w14:solidFill>
              <w14:srgbClr w14:val="000000"/>
            </w14:solidFill>
            <w14:prstDash w14:val="solid"/>
            <w14:miter w14:val="0"/>
          </w14:textOutline>
        </w:rPr>
        <w:t>电子签章）</w:t>
      </w:r>
    </w:p>
    <w:p w14:paraId="369070C4">
      <w:pPr>
        <w:keepNext w:val="0"/>
        <w:keepLines w:val="0"/>
        <w:pageBreakBefore w:val="0"/>
        <w:widowControl w:val="0"/>
        <w:kinsoku/>
        <w:wordWrap/>
        <w:overflowPunct/>
        <w:topLinePunct w:val="0"/>
        <w:autoSpaceDE/>
        <w:autoSpaceDN/>
        <w:bidi w:val="0"/>
        <w:adjustRightInd w:val="0"/>
        <w:snapToGrid w:val="0"/>
        <w:spacing w:before="1" w:line="218" w:lineRule="auto"/>
        <w:ind w:left="492"/>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14:textOutline w14:w="4354" w14:cap="flat" w14:cmpd="sng">
            <w14:solidFill>
              <w14:srgbClr w14:val="000000"/>
            </w14:solidFill>
            <w14:prstDash w14:val="solid"/>
            <w14:miter w14:val="0"/>
          </w14:textOutline>
        </w:rPr>
        <w:t xml:space="preserve">    </w:t>
      </w:r>
      <w:r>
        <w:rPr>
          <w:rFonts w:hint="eastAsia" w:ascii="宋体" w:hAnsi="宋体" w:eastAsia="宋体" w:cs="宋体"/>
          <w:color w:val="auto"/>
          <w:spacing w:val="-4"/>
          <w:sz w:val="24"/>
          <w:szCs w:val="24"/>
          <w:highlight w:val="none"/>
          <w14:textOutline w14:w="4354" w14:cap="flat" w14:cmpd="sng">
            <w14:solidFill>
              <w14:srgbClr w14:val="000000"/>
            </w14:solidFill>
            <w14:prstDash w14:val="solid"/>
            <w14:miter w14:val="0"/>
          </w14:textOutline>
        </w:rPr>
        <w:t>法定代表人或其委托代理人</w:t>
      </w:r>
      <w:r>
        <w:rPr>
          <w:rFonts w:hint="eastAsia" w:ascii="宋体" w:hAnsi="宋体" w:eastAsia="宋体" w:cs="宋体"/>
          <w:color w:val="auto"/>
          <w:spacing w:val="-15"/>
          <w:sz w:val="24"/>
          <w:szCs w:val="24"/>
          <w:highlight w:val="none"/>
          <w14:textOutline w14:w="4354" w14:cap="flat" w14:cmpd="sng">
            <w14:solidFill>
              <w14:srgbClr w14:val="000000"/>
            </w14:solidFill>
            <w14:prstDash w14:val="solid"/>
            <w14:miter w14:val="0"/>
          </w14:textOutline>
        </w:rPr>
        <w:t>：</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5"/>
          <w:sz w:val="24"/>
          <w:szCs w:val="24"/>
          <w:highlight w:val="none"/>
          <w14:textOutline w14:w="4354" w14:cap="flat" w14:cmpd="sng">
            <w14:solidFill>
              <w14:srgbClr w14:val="000000"/>
            </w14:solidFill>
            <w14:prstDash w14:val="solid"/>
            <w14:miter w14:val="0"/>
          </w14:textOutline>
        </w:rPr>
        <w:t>（</w:t>
      </w:r>
      <w:r>
        <w:rPr>
          <w:rFonts w:hint="eastAsia" w:ascii="宋体" w:hAnsi="宋体" w:eastAsia="宋体" w:cs="宋体"/>
          <w:color w:val="auto"/>
          <w:spacing w:val="-4"/>
          <w:sz w:val="24"/>
          <w:szCs w:val="24"/>
          <w:highlight w:val="none"/>
          <w14:textOutline w14:w="4354" w14:cap="flat" w14:cmpd="sng">
            <w14:solidFill>
              <w14:srgbClr w14:val="000000"/>
            </w14:solidFill>
            <w14:prstDash w14:val="solid"/>
            <w14:miter w14:val="0"/>
          </w14:textOutline>
        </w:rPr>
        <w:t>电子签章）</w:t>
      </w:r>
    </w:p>
    <w:p w14:paraId="35389241">
      <w:pPr>
        <w:pStyle w:val="5"/>
        <w:keepNext w:val="0"/>
        <w:keepLines w:val="0"/>
        <w:pageBreakBefore w:val="0"/>
        <w:widowControl w:val="0"/>
        <w:kinsoku/>
        <w:wordWrap/>
        <w:overflowPunct/>
        <w:topLinePunct w:val="0"/>
        <w:autoSpaceDE/>
        <w:autoSpaceDN/>
        <w:bidi w:val="0"/>
        <w:adjustRightInd w:val="0"/>
        <w:snapToGrid w:val="0"/>
        <w:spacing w:line="342" w:lineRule="auto"/>
        <w:jc w:val="center"/>
        <w:textAlignment w:val="auto"/>
        <w:outlineLvl w:val="9"/>
        <w:rPr>
          <w:rFonts w:hint="eastAsia" w:ascii="宋体" w:hAnsi="宋体" w:eastAsia="宋体" w:cs="宋体"/>
          <w:color w:val="auto"/>
          <w:highlight w:val="none"/>
        </w:rPr>
      </w:pPr>
    </w:p>
    <w:p w14:paraId="02665206">
      <w:pPr>
        <w:keepNext w:val="0"/>
        <w:keepLines w:val="0"/>
        <w:pageBreakBefore w:val="0"/>
        <w:widowControl w:val="0"/>
        <w:kinsoku/>
        <w:wordWrap/>
        <w:overflowPunct/>
        <w:topLinePunct w:val="0"/>
        <w:autoSpaceDE/>
        <w:autoSpaceDN/>
        <w:bidi w:val="0"/>
        <w:adjustRightInd w:val="0"/>
        <w:snapToGrid w:val="0"/>
        <w:spacing w:before="79" w:line="220" w:lineRule="auto"/>
        <w:ind w:left="813"/>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14:textOutline w14:w="4354" w14:cap="flat" w14:cmpd="sng">
            <w14:solidFill>
              <w14:srgbClr w14:val="000000"/>
            </w14:solidFill>
            <w14:prstDash w14:val="solid"/>
            <w14:miter w14:val="0"/>
          </w14:textOutline>
        </w:rPr>
        <w:t>日</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20"/>
          <w:sz w:val="24"/>
          <w:szCs w:val="24"/>
          <w:highlight w:val="none"/>
          <w14:textOutline w14:w="4354" w14:cap="flat" w14:cmpd="sng">
            <w14:solidFill>
              <w14:srgbClr w14:val="000000"/>
            </w14:solidFill>
            <w14:prstDash w14:val="solid"/>
            <w14:miter w14:val="0"/>
          </w14:textOutline>
        </w:rPr>
        <w:t>期：</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20"/>
          <w:sz w:val="24"/>
          <w:szCs w:val="24"/>
          <w:highlight w:val="none"/>
          <w:u w:val="single" w:color="000000"/>
          <w14:textOutline w14:w="4354" w14:cap="flat" w14:cmpd="sng">
            <w14:solidFill>
              <w14:srgbClr w14:val="000000"/>
            </w14:solidFill>
            <w14:prstDash w14:val="solid"/>
            <w14:miter w14:val="0"/>
          </w14:textOutline>
        </w:rPr>
        <w:t>年</w:t>
      </w:r>
      <w:r>
        <w:rPr>
          <w:rFonts w:hint="eastAsia" w:ascii="宋体" w:hAnsi="宋体" w:eastAsia="宋体" w:cs="宋体"/>
          <w:color w:val="auto"/>
          <w:spacing w:val="-20"/>
          <w:sz w:val="24"/>
          <w:szCs w:val="24"/>
          <w:highlight w:val="none"/>
          <w:u w:val="single" w:color="auto"/>
        </w:rPr>
        <w:t xml:space="preserve">        </w:t>
      </w:r>
      <w:r>
        <w:rPr>
          <w:rFonts w:hint="eastAsia" w:ascii="宋体" w:hAnsi="宋体" w:eastAsia="宋体" w:cs="宋体"/>
          <w:color w:val="auto"/>
          <w:spacing w:val="-20"/>
          <w:sz w:val="24"/>
          <w:szCs w:val="24"/>
          <w:highlight w:val="none"/>
          <w:u w:val="single" w:color="000000"/>
          <w14:textOutline w14:w="4354" w14:cap="flat" w14:cmpd="sng">
            <w14:solidFill>
              <w14:srgbClr w14:val="000000"/>
            </w14:solidFill>
            <w14:prstDash w14:val="solid"/>
            <w14:miter w14:val="0"/>
          </w14:textOutline>
        </w:rPr>
        <w:t>月</w:t>
      </w:r>
      <w:r>
        <w:rPr>
          <w:rFonts w:hint="eastAsia"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20"/>
          <w:sz w:val="24"/>
          <w:szCs w:val="24"/>
          <w:highlight w:val="none"/>
          <w:u w:val="single" w:color="000000"/>
          <w14:textOutline w14:w="4354" w14:cap="flat" w14:cmpd="sng">
            <w14:solidFill>
              <w14:srgbClr w14:val="000000"/>
            </w14:solidFill>
            <w14:prstDash w14:val="solid"/>
            <w14:miter w14:val="0"/>
          </w14:textOutline>
        </w:rPr>
        <w:t>日</w:t>
      </w:r>
    </w:p>
    <w:p w14:paraId="3DF2F7C8">
      <w:pPr>
        <w:keepNext w:val="0"/>
        <w:keepLines w:val="0"/>
        <w:pageBreakBefore w:val="0"/>
        <w:widowControl w:val="0"/>
        <w:kinsoku/>
        <w:wordWrap/>
        <w:overflowPunct/>
        <w:topLinePunct w:val="0"/>
        <w:autoSpaceDE/>
        <w:autoSpaceDN/>
        <w:bidi w:val="0"/>
        <w:adjustRightInd w:val="0"/>
        <w:snapToGrid w:val="0"/>
        <w:spacing w:line="220" w:lineRule="auto"/>
        <w:jc w:val="center"/>
        <w:textAlignment w:val="auto"/>
        <w:outlineLvl w:val="9"/>
        <w:rPr>
          <w:rFonts w:hint="eastAsia" w:ascii="宋体" w:hAnsi="宋体" w:eastAsia="宋体" w:cs="宋体"/>
          <w:color w:val="auto"/>
          <w:sz w:val="24"/>
          <w:szCs w:val="24"/>
          <w:highlight w:val="none"/>
        </w:rPr>
        <w:sectPr>
          <w:footerReference r:id="rId7" w:type="default"/>
          <w:pgSz w:w="11907" w:h="16839"/>
          <w:pgMar w:top="1353" w:right="1785" w:bottom="1155" w:left="1785" w:header="0" w:footer="991" w:gutter="0"/>
          <w:pgNumType w:fmt="decimal"/>
          <w:cols w:space="720" w:num="1"/>
        </w:sectPr>
      </w:pPr>
    </w:p>
    <w:p w14:paraId="469EB276">
      <w:pPr>
        <w:keepNext w:val="0"/>
        <w:keepLines w:val="0"/>
        <w:pageBreakBefore w:val="0"/>
        <w:widowControl w:val="0"/>
        <w:kinsoku/>
        <w:wordWrap/>
        <w:overflowPunct/>
        <w:topLinePunct w:val="0"/>
        <w:autoSpaceDE/>
        <w:autoSpaceDN/>
        <w:bidi w:val="0"/>
        <w:adjustRightInd w:val="0"/>
        <w:snapToGrid w:val="0"/>
        <w:spacing w:before="217" w:line="227" w:lineRule="auto"/>
        <w:ind w:left="3758"/>
        <w:textAlignment w:val="auto"/>
        <w:outlineLvl w:val="9"/>
        <w:rPr>
          <w:rFonts w:ascii="宋体" w:hAnsi="宋体" w:eastAsia="宋体" w:cs="宋体"/>
          <w:color w:val="auto"/>
          <w:sz w:val="32"/>
          <w:szCs w:val="32"/>
          <w:highlight w:val="none"/>
        </w:rPr>
      </w:pPr>
      <w:r>
        <w:rPr>
          <w:rFonts w:ascii="宋体" w:hAnsi="宋体" w:eastAsia="宋体" w:cs="宋体"/>
          <w:color w:val="auto"/>
          <w:spacing w:val="-33"/>
          <w:sz w:val="32"/>
          <w:szCs w:val="32"/>
          <w:highlight w:val="none"/>
          <w14:textOutline w14:w="5791" w14:cap="flat" w14:cmpd="sng">
            <w14:solidFill>
              <w14:srgbClr w14:val="000000"/>
            </w14:solidFill>
            <w14:prstDash w14:val="solid"/>
            <w14:miter w14:val="0"/>
          </w14:textOutline>
        </w:rPr>
        <w:t>目</w:t>
      </w:r>
      <w:r>
        <w:rPr>
          <w:rFonts w:ascii="宋体" w:hAnsi="宋体" w:eastAsia="宋体" w:cs="宋体"/>
          <w:color w:val="auto"/>
          <w:spacing w:val="15"/>
          <w:sz w:val="32"/>
          <w:szCs w:val="32"/>
          <w:highlight w:val="none"/>
        </w:rPr>
        <w:t xml:space="preserve">  </w:t>
      </w:r>
      <w:r>
        <w:rPr>
          <w:rFonts w:ascii="宋体" w:hAnsi="宋体" w:eastAsia="宋体" w:cs="宋体"/>
          <w:color w:val="auto"/>
          <w:spacing w:val="-33"/>
          <w:sz w:val="32"/>
          <w:szCs w:val="32"/>
          <w:highlight w:val="none"/>
          <w14:textOutline w14:w="5791" w14:cap="flat" w14:cmpd="sng">
            <w14:solidFill>
              <w14:srgbClr w14:val="000000"/>
            </w14:solidFill>
            <w14:prstDash w14:val="solid"/>
            <w14:miter w14:val="0"/>
          </w14:textOutline>
        </w:rPr>
        <w:t>录</w:t>
      </w:r>
    </w:p>
    <w:p w14:paraId="2B3782FA">
      <w:pPr>
        <w:keepNext w:val="0"/>
        <w:keepLines w:val="0"/>
        <w:pageBreakBefore w:val="0"/>
        <w:widowControl w:val="0"/>
        <w:kinsoku/>
        <w:wordWrap/>
        <w:overflowPunct/>
        <w:topLinePunct w:val="0"/>
        <w:autoSpaceDE/>
        <w:autoSpaceDN/>
        <w:bidi w:val="0"/>
        <w:adjustRightInd w:val="0"/>
        <w:snapToGrid w:val="0"/>
        <w:spacing w:before="230" w:line="219" w:lineRule="auto"/>
        <w:ind w:left="3624"/>
        <w:textAlignment w:val="auto"/>
        <w:outlineLvl w:val="9"/>
        <w:rPr>
          <w:rFonts w:ascii="宋体" w:hAnsi="宋体" w:eastAsia="宋体" w:cs="宋体"/>
          <w:color w:val="auto"/>
          <w:sz w:val="28"/>
          <w:szCs w:val="28"/>
          <w:highlight w:val="none"/>
        </w:rPr>
      </w:pPr>
      <w:r>
        <w:rPr>
          <w:rFonts w:ascii="宋体" w:hAnsi="宋体" w:eastAsia="宋体" w:cs="宋体"/>
          <w:color w:val="auto"/>
          <w:spacing w:val="-7"/>
          <w:sz w:val="28"/>
          <w:szCs w:val="28"/>
          <w:highlight w:val="none"/>
        </w:rPr>
        <w:t>（自拟）</w:t>
      </w:r>
    </w:p>
    <w:p w14:paraId="0B96FE46">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199DF33E">
      <w:pPr>
        <w:rPr>
          <w:rFonts w:hint="eastAsia"/>
          <w:highlight w:val="none"/>
        </w:rPr>
      </w:pPr>
    </w:p>
    <w:p w14:paraId="6D5DD82B">
      <w:pPr>
        <w:rPr>
          <w:rFonts w:hint="eastAsia"/>
          <w:highlight w:val="none"/>
        </w:rPr>
      </w:pPr>
    </w:p>
    <w:p w14:paraId="6C604593">
      <w:pPr>
        <w:rPr>
          <w:rFonts w:hint="eastAsia"/>
          <w:highlight w:val="none"/>
        </w:rPr>
      </w:pPr>
    </w:p>
    <w:p w14:paraId="6BDDA390">
      <w:pPr>
        <w:rPr>
          <w:rFonts w:hint="eastAsia"/>
          <w:highlight w:val="none"/>
        </w:rPr>
      </w:pPr>
    </w:p>
    <w:p w14:paraId="4B0DF072">
      <w:pPr>
        <w:rPr>
          <w:rFonts w:hint="eastAsia"/>
          <w:highlight w:val="none"/>
        </w:rPr>
      </w:pPr>
    </w:p>
    <w:p w14:paraId="2C597902">
      <w:pPr>
        <w:rPr>
          <w:rFonts w:hint="eastAsia"/>
          <w:highlight w:val="none"/>
        </w:rPr>
      </w:pPr>
    </w:p>
    <w:p w14:paraId="011EF9A5">
      <w:pPr>
        <w:rPr>
          <w:rFonts w:hint="eastAsia"/>
          <w:highlight w:val="none"/>
        </w:rPr>
      </w:pPr>
    </w:p>
    <w:p w14:paraId="5E23351B">
      <w:pPr>
        <w:rPr>
          <w:rFonts w:hint="eastAsia"/>
          <w:highlight w:val="none"/>
        </w:rPr>
      </w:pPr>
    </w:p>
    <w:p w14:paraId="197E8DAA">
      <w:pPr>
        <w:rPr>
          <w:rFonts w:hint="eastAsia"/>
          <w:highlight w:val="none"/>
        </w:rPr>
      </w:pPr>
    </w:p>
    <w:p w14:paraId="5D397E38">
      <w:pPr>
        <w:rPr>
          <w:rFonts w:hint="eastAsia"/>
          <w:highlight w:val="none"/>
        </w:rPr>
      </w:pPr>
    </w:p>
    <w:p w14:paraId="2B226976">
      <w:pPr>
        <w:rPr>
          <w:rFonts w:hint="eastAsia"/>
          <w:highlight w:val="none"/>
        </w:rPr>
      </w:pPr>
    </w:p>
    <w:p w14:paraId="63122982">
      <w:pPr>
        <w:rPr>
          <w:rFonts w:hint="eastAsia"/>
          <w:highlight w:val="none"/>
        </w:rPr>
      </w:pPr>
    </w:p>
    <w:p w14:paraId="0DE06525">
      <w:pPr>
        <w:rPr>
          <w:rFonts w:hint="eastAsia"/>
          <w:highlight w:val="none"/>
        </w:rPr>
      </w:pPr>
    </w:p>
    <w:p w14:paraId="4EBBBF5B">
      <w:pPr>
        <w:rPr>
          <w:rFonts w:hint="eastAsia"/>
          <w:highlight w:val="none"/>
        </w:rPr>
      </w:pPr>
    </w:p>
    <w:p w14:paraId="37E33627">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0F06FBB6">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57DF02FD">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630275D6">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73C98230">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57903CDE">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71725FAC">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5691295E">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74F28C8F">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06D52F57">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2BF93FED">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12A2F979">
      <w:pPr>
        <w:pStyle w:val="6"/>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宋体" w:hAnsi="宋体" w:eastAsia="宋体" w:cs="宋体"/>
          <w:highlight w:val="none"/>
        </w:rPr>
      </w:pPr>
    </w:p>
    <w:p w14:paraId="49C8F167">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332" w:name="_Toc19858"/>
      <w:bookmarkStart w:id="333" w:name="_Toc2351"/>
      <w:bookmarkStart w:id="334" w:name="_Toc4468"/>
      <w:bookmarkStart w:id="335" w:name="_Toc3683"/>
      <w:bookmarkStart w:id="336" w:name="_Toc21333"/>
      <w:bookmarkStart w:id="337" w:name="_Toc28097"/>
      <w:r>
        <w:rPr>
          <w:rFonts w:hint="eastAsia" w:asciiTheme="minorEastAsia" w:hAnsiTheme="minorEastAsia" w:eastAsiaTheme="minorEastAsia" w:cstheme="minorEastAsia"/>
          <w:b/>
          <w:bCs/>
          <w:sz w:val="28"/>
          <w:szCs w:val="28"/>
          <w:highlight w:val="none"/>
          <w:lang w:val="en-US" w:eastAsia="zh-CN"/>
        </w:rPr>
        <w:t>一、响应函及响应函附录</w:t>
      </w:r>
      <w:bookmarkEnd w:id="332"/>
      <w:bookmarkEnd w:id="333"/>
      <w:bookmarkEnd w:id="334"/>
      <w:bookmarkEnd w:id="335"/>
      <w:bookmarkEnd w:id="336"/>
      <w:bookmarkEnd w:id="337"/>
    </w:p>
    <w:p w14:paraId="6A3E7973">
      <w:pPr>
        <w:pStyle w:val="6"/>
        <w:keepNext w:val="0"/>
        <w:keepLines w:val="0"/>
        <w:pageBreakBefore w:val="0"/>
        <w:wordWrap/>
        <w:overflowPunct/>
        <w:topLinePunct w:val="0"/>
        <w:bidi w:val="0"/>
        <w:adjustRightInd w:val="0"/>
        <w:snapToGrid w:val="0"/>
        <w:ind w:left="0" w:leftChars="0" w:firstLine="0" w:firstLineChars="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（1）响应函</w:t>
      </w:r>
    </w:p>
    <w:p w14:paraId="0601905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20" w:firstLineChars="200"/>
        <w:textAlignment w:val="baseline"/>
        <w:rPr>
          <w:rFonts w:hint="eastAsia" w:ascii="宋体" w:hAnsi="宋体" w:eastAsia="宋体" w:cs="宋体"/>
          <w:color w:val="auto"/>
          <w:spacing w:val="-10"/>
          <w:sz w:val="28"/>
          <w:szCs w:val="28"/>
          <w:highlight w:val="none"/>
        </w:rPr>
      </w:pPr>
    </w:p>
    <w:p w14:paraId="245FF375">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致</w:t>
      </w: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10"/>
          <w:sz w:val="24"/>
          <w:szCs w:val="24"/>
          <w:highlight w:val="none"/>
        </w:rPr>
        <w:t>征集人名称）</w:t>
      </w:r>
    </w:p>
    <w:p w14:paraId="047FBCB6">
      <w:pPr>
        <w:keepNext w:val="0"/>
        <w:keepLines w:val="0"/>
        <w:pageBreakBefore w:val="0"/>
        <w:widowControl/>
        <w:kinsoku w:val="0"/>
        <w:wordWrap/>
        <w:overflowPunct/>
        <w:topLinePunct w:val="0"/>
        <w:autoSpaceDE w:val="0"/>
        <w:autoSpaceDN w:val="0"/>
        <w:bidi w:val="0"/>
        <w:adjustRightInd w:val="0"/>
        <w:snapToGrid w:val="0"/>
        <w:spacing w:line="480" w:lineRule="auto"/>
        <w:ind w:left="0" w:right="0" w:firstLine="43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我方已仔细研究了</w:t>
      </w:r>
      <w:r>
        <w:rPr>
          <w:rFonts w:hint="eastAsia" w:ascii="宋体" w:hAnsi="宋体" w:eastAsia="宋体" w:cs="宋体"/>
          <w:color w:val="auto"/>
          <w:spacing w:val="-11"/>
          <w:sz w:val="24"/>
          <w:szCs w:val="24"/>
          <w:highlight w:val="none"/>
          <w:u w:val="single" w:color="auto"/>
        </w:rPr>
        <w:t xml:space="preserve">                      （项目名称）</w:t>
      </w:r>
      <w:r>
        <w:rPr>
          <w:rFonts w:hint="eastAsia" w:ascii="宋体" w:hAnsi="宋体" w:eastAsia="宋体" w:cs="宋体"/>
          <w:color w:val="auto"/>
          <w:spacing w:val="-38"/>
          <w:sz w:val="24"/>
          <w:szCs w:val="24"/>
          <w:highlight w:val="none"/>
          <w:u w:val="single" w:color="auto"/>
        </w:rPr>
        <w:t xml:space="preserve"> </w:t>
      </w:r>
      <w:r>
        <w:rPr>
          <w:rFonts w:hint="eastAsia" w:ascii="宋体" w:hAnsi="宋体" w:eastAsia="宋体" w:cs="宋体"/>
          <w:color w:val="auto"/>
          <w:spacing w:val="-11"/>
          <w:sz w:val="24"/>
          <w:szCs w:val="24"/>
          <w:highlight w:val="none"/>
        </w:rPr>
        <w:t>征集文件的全部内容</w:t>
      </w:r>
      <w:r>
        <w:rPr>
          <w:rFonts w:hint="eastAsia" w:ascii="宋体" w:hAnsi="宋体" w:eastAsia="宋体" w:cs="宋体"/>
          <w:color w:val="auto"/>
          <w:spacing w:val="-8"/>
          <w:sz w:val="24"/>
          <w:szCs w:val="24"/>
          <w:highlight w:val="none"/>
          <w:u w:val="single" w:color="auto"/>
        </w:rPr>
        <w:t>，愿意</w:t>
      </w:r>
      <w:r>
        <w:rPr>
          <w:rFonts w:hint="eastAsia" w:ascii="宋体" w:hAnsi="宋体" w:eastAsia="宋体" w:cs="宋体"/>
          <w:color w:val="auto"/>
          <w:spacing w:val="-8"/>
          <w:sz w:val="24"/>
          <w:szCs w:val="24"/>
          <w:highlight w:val="none"/>
          <w:u w:val="single" w:color="auto"/>
          <w:lang w:eastAsia="zh-CN"/>
        </w:rPr>
        <w:t>以豫发改投资【2023】172号文要求中各控制价的</w:t>
      </w:r>
      <w:r>
        <w:rPr>
          <w:rFonts w:hint="eastAsia" w:ascii="宋体" w:hAnsi="宋体" w:eastAsia="宋体" w:cs="宋体"/>
          <w:color w:val="auto"/>
          <w:spacing w:val="-8"/>
          <w:sz w:val="24"/>
          <w:szCs w:val="24"/>
          <w:highlight w:val="none"/>
          <w:u w:val="single" w:color="auto"/>
        </w:rPr>
        <w:t xml:space="preserve">   ‰</w:t>
      </w:r>
      <w:r>
        <w:rPr>
          <w:rFonts w:hint="eastAsia" w:ascii="宋体" w:hAnsi="宋体" w:eastAsia="宋体" w:cs="宋体"/>
          <w:color w:val="auto"/>
          <w:spacing w:val="-6"/>
          <w:sz w:val="24"/>
          <w:szCs w:val="24"/>
          <w:highlight w:val="none"/>
        </w:rPr>
        <w:t>作为响应报价，按合同约定实施和完成承包本项目采购活动，修补服务过</w:t>
      </w:r>
      <w:r>
        <w:rPr>
          <w:rFonts w:hint="eastAsia" w:ascii="宋体" w:hAnsi="宋体" w:eastAsia="宋体" w:cs="宋体"/>
          <w:color w:val="auto"/>
          <w:spacing w:val="-6"/>
          <w:sz w:val="24"/>
          <w:szCs w:val="24"/>
          <w:highlight w:val="none"/>
          <w:lang w:eastAsia="zh-CN"/>
        </w:rPr>
        <w:t>程中</w:t>
      </w:r>
      <w:r>
        <w:rPr>
          <w:rFonts w:hint="eastAsia" w:ascii="宋体" w:hAnsi="宋体" w:eastAsia="宋体" w:cs="宋体"/>
          <w:color w:val="auto"/>
          <w:spacing w:val="-6"/>
          <w:sz w:val="24"/>
          <w:szCs w:val="24"/>
          <w:highlight w:val="none"/>
        </w:rPr>
        <w:t>的任何缺</w:t>
      </w:r>
      <w:r>
        <w:rPr>
          <w:rFonts w:hint="eastAsia" w:ascii="宋体" w:hAnsi="宋体" w:eastAsia="宋体" w:cs="宋体"/>
          <w:color w:val="auto"/>
          <w:spacing w:val="-7"/>
          <w:sz w:val="24"/>
          <w:szCs w:val="24"/>
          <w:highlight w:val="none"/>
        </w:rPr>
        <w:t>陷，框架</w:t>
      </w:r>
      <w:r>
        <w:rPr>
          <w:rFonts w:hint="eastAsia" w:ascii="宋体" w:hAnsi="宋体" w:eastAsia="宋体" w:cs="宋体"/>
          <w:color w:val="auto"/>
          <w:spacing w:val="-1"/>
          <w:sz w:val="24"/>
          <w:szCs w:val="24"/>
          <w:highlight w:val="none"/>
        </w:rPr>
        <w:t>协议期限/服务期限为</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30"/>
          <w:sz w:val="24"/>
          <w:szCs w:val="24"/>
          <w:highlight w:val="none"/>
        </w:rPr>
        <w:t xml:space="preserve"> </w:t>
      </w:r>
      <w:r>
        <w:rPr>
          <w:rFonts w:hint="eastAsia" w:ascii="宋体" w:hAnsi="宋体" w:eastAsia="宋体" w:cs="宋体"/>
          <w:color w:val="auto"/>
          <w:spacing w:val="-1"/>
          <w:sz w:val="24"/>
          <w:szCs w:val="24"/>
          <w:highlight w:val="none"/>
        </w:rPr>
        <w:t>；服务标准</w:t>
      </w:r>
      <w:r>
        <w:rPr>
          <w:rFonts w:hint="eastAsia" w:ascii="宋体" w:hAnsi="宋体" w:eastAsia="宋体" w:cs="宋体"/>
          <w:color w:val="auto"/>
          <w:spacing w:val="-120"/>
          <w:sz w:val="24"/>
          <w:szCs w:val="24"/>
          <w:highlight w:val="none"/>
        </w:rPr>
        <w:t xml:space="preserve"> </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rPr>
        <w:t>。</w:t>
      </w:r>
    </w:p>
    <w:p w14:paraId="4040E481">
      <w:pPr>
        <w:keepNext w:val="0"/>
        <w:keepLines w:val="0"/>
        <w:pageBreakBefore w:val="0"/>
        <w:widowControl/>
        <w:kinsoku w:val="0"/>
        <w:wordWrap/>
        <w:overflowPunct/>
        <w:topLinePunct w:val="0"/>
        <w:autoSpaceDE w:val="0"/>
        <w:autoSpaceDN w:val="0"/>
        <w:bidi w:val="0"/>
        <w:adjustRightInd w:val="0"/>
        <w:snapToGrid w:val="0"/>
        <w:spacing w:line="480" w:lineRule="auto"/>
        <w:ind w:left="0" w:right="0" w:firstLine="47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position w:val="21"/>
          <w:sz w:val="24"/>
          <w:szCs w:val="24"/>
          <w:highlight w:val="none"/>
          <w:lang w:eastAsia="zh-CN"/>
        </w:rPr>
        <w:t>2.</w:t>
      </w:r>
      <w:r>
        <w:rPr>
          <w:rFonts w:hint="eastAsia" w:ascii="宋体" w:hAnsi="宋体" w:eastAsia="宋体" w:cs="宋体"/>
          <w:color w:val="auto"/>
          <w:spacing w:val="-1"/>
          <w:position w:val="21"/>
          <w:sz w:val="24"/>
          <w:szCs w:val="24"/>
          <w:highlight w:val="none"/>
        </w:rPr>
        <w:t>我方承诺在响应文件有效期（提交响应文件的截止之日起60日历天）内不修改、撤销响应文件。</w:t>
      </w:r>
    </w:p>
    <w:p w14:paraId="3FAA059A">
      <w:pPr>
        <w:keepNext w:val="0"/>
        <w:keepLines w:val="0"/>
        <w:pageBreakBefore w:val="0"/>
        <w:widowControl/>
        <w:kinsoku w:val="0"/>
        <w:wordWrap/>
        <w:overflowPunct/>
        <w:topLinePunct w:val="0"/>
        <w:autoSpaceDE w:val="0"/>
        <w:autoSpaceDN w:val="0"/>
        <w:bidi w:val="0"/>
        <w:adjustRightInd w:val="0"/>
        <w:snapToGrid w:val="0"/>
        <w:spacing w:line="480" w:lineRule="auto"/>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我方已详细审核全部征集文件，包括修改文件（如有）及有关附</w:t>
      </w:r>
      <w:r>
        <w:rPr>
          <w:rFonts w:hint="eastAsia" w:ascii="宋体" w:hAnsi="宋体" w:eastAsia="宋体" w:cs="宋体"/>
          <w:color w:val="auto"/>
          <w:spacing w:val="-1"/>
          <w:sz w:val="24"/>
          <w:szCs w:val="24"/>
          <w:highlight w:val="none"/>
        </w:rPr>
        <w:t>件，已充分理解并掌</w:t>
      </w:r>
      <w:r>
        <w:rPr>
          <w:rFonts w:hint="eastAsia" w:ascii="宋体" w:hAnsi="宋体" w:eastAsia="宋体" w:cs="宋体"/>
          <w:color w:val="auto"/>
          <w:spacing w:val="-3"/>
          <w:sz w:val="24"/>
          <w:szCs w:val="24"/>
          <w:highlight w:val="none"/>
        </w:rPr>
        <w:t>握了本项目的全部有关情况，认为征集文件符合法律</w:t>
      </w:r>
      <w:r>
        <w:rPr>
          <w:rFonts w:hint="eastAsia" w:ascii="宋体" w:hAnsi="宋体" w:eastAsia="宋体" w:cs="宋体"/>
          <w:color w:val="auto"/>
          <w:spacing w:val="-4"/>
          <w:sz w:val="24"/>
          <w:szCs w:val="24"/>
          <w:highlight w:val="none"/>
        </w:rPr>
        <w:t>法规的要求</w:t>
      </w:r>
      <w:r>
        <w:rPr>
          <w:rFonts w:hint="eastAsia" w:ascii="宋体" w:hAnsi="宋体" w:eastAsia="宋体" w:cs="宋体"/>
          <w:color w:val="auto"/>
          <w:spacing w:val="-4"/>
          <w:sz w:val="24"/>
          <w:szCs w:val="24"/>
          <w:highlight w:val="none"/>
          <w:lang w:eastAsia="zh-CN"/>
        </w:rPr>
        <w:t>，</w:t>
      </w:r>
      <w:r>
        <w:rPr>
          <w:rFonts w:hint="eastAsia" w:ascii="宋体" w:hAnsi="宋体" w:eastAsia="宋体" w:cs="宋体"/>
          <w:color w:val="auto"/>
          <w:spacing w:val="-4"/>
          <w:sz w:val="24"/>
          <w:szCs w:val="24"/>
          <w:highlight w:val="none"/>
        </w:rPr>
        <w:t>充分体现了公开、公平、</w:t>
      </w:r>
    </w:p>
    <w:p w14:paraId="69BBC585">
      <w:pPr>
        <w:keepNext w:val="0"/>
        <w:keepLines w:val="0"/>
        <w:pageBreakBefore w:val="0"/>
        <w:widowControl/>
        <w:kinsoku w:val="0"/>
        <w:wordWrap/>
        <w:overflowPunct/>
        <w:topLinePunct w:val="0"/>
        <w:autoSpaceDE w:val="0"/>
        <w:autoSpaceDN w:val="0"/>
        <w:bidi w:val="0"/>
        <w:adjustRightInd w:val="0"/>
        <w:snapToGrid w:val="0"/>
        <w:spacing w:line="480" w:lineRule="auto"/>
        <w:ind w:left="0" w:right="0" w:firstLine="47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公正和诚实信用原则，我方对征集文件没有任何异议。同意接受征集文件的全部内容和条件。</w:t>
      </w:r>
    </w:p>
    <w:p w14:paraId="47FC0368">
      <w:pPr>
        <w:keepNext w:val="0"/>
        <w:keepLines w:val="0"/>
        <w:pageBreakBefore w:val="0"/>
        <w:widowControl/>
        <w:kinsoku w:val="0"/>
        <w:wordWrap/>
        <w:overflowPunct/>
        <w:topLinePunct w:val="0"/>
        <w:autoSpaceDE w:val="0"/>
        <w:autoSpaceDN w:val="0"/>
        <w:bidi w:val="0"/>
        <w:adjustRightInd w:val="0"/>
        <w:snapToGrid w:val="0"/>
        <w:spacing w:line="480" w:lineRule="auto"/>
        <w:ind w:left="0" w:right="0" w:firstLine="47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eastAsia="zh-CN"/>
        </w:rPr>
        <w:t>4.</w:t>
      </w:r>
      <w:r>
        <w:rPr>
          <w:rFonts w:hint="eastAsia" w:ascii="宋体" w:hAnsi="宋体" w:eastAsia="宋体" w:cs="宋体"/>
          <w:color w:val="auto"/>
          <w:spacing w:val="-1"/>
          <w:sz w:val="24"/>
          <w:szCs w:val="24"/>
          <w:highlight w:val="none"/>
        </w:rPr>
        <w:t>我方在此声明，所递交的响应文件及有关资料内容</w:t>
      </w:r>
      <w:r>
        <w:rPr>
          <w:rFonts w:hint="eastAsia" w:ascii="宋体" w:hAnsi="宋体" w:eastAsia="宋体" w:cs="宋体"/>
          <w:color w:val="auto"/>
          <w:spacing w:val="-2"/>
          <w:sz w:val="24"/>
          <w:szCs w:val="24"/>
          <w:highlight w:val="none"/>
        </w:rPr>
        <w:t>完整、真实和准确。</w:t>
      </w:r>
    </w:p>
    <w:p w14:paraId="37687FA1">
      <w:pPr>
        <w:pStyle w:val="6"/>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sz w:val="28"/>
          <w:szCs w:val="28"/>
          <w:highlight w:val="none"/>
        </w:rPr>
      </w:pPr>
    </w:p>
    <w:p w14:paraId="19ED54CD">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068FE3F0">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6543DAB8">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206F89D6">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71C037D3">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19DDCFED">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2AB83175">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33C2EB39">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1BF0CE99">
      <w:pPr>
        <w:pStyle w:val="6"/>
        <w:keepNext w:val="0"/>
        <w:keepLines w:val="0"/>
        <w:pageBreakBefore w:val="0"/>
        <w:wordWrap/>
        <w:overflowPunct/>
        <w:topLinePunct w:val="0"/>
        <w:bidi w:val="0"/>
        <w:adjustRightInd w:val="0"/>
        <w:snapToGrid w:val="0"/>
        <w:rPr>
          <w:rFonts w:hint="eastAsia" w:ascii="宋体" w:hAnsi="宋体" w:eastAsia="宋体" w:cs="宋体"/>
          <w:sz w:val="28"/>
          <w:szCs w:val="28"/>
          <w:highlight w:val="none"/>
        </w:rPr>
      </w:pPr>
    </w:p>
    <w:p w14:paraId="659CB21E">
      <w:pPr>
        <w:keepNext w:val="0"/>
        <w:keepLines w:val="0"/>
        <w:pageBreakBefore w:val="0"/>
        <w:wordWrap/>
        <w:overflowPunct/>
        <w:topLinePunct w:val="0"/>
        <w:bidi w:val="0"/>
        <w:adjustRightInd w:val="0"/>
        <w:snapToGrid w:val="0"/>
        <w:spacing w:before="56" w:line="219" w:lineRule="auto"/>
        <w:ind w:left="0" w:leftChars="0"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pacing w:val="-2"/>
          <w:sz w:val="28"/>
          <w:szCs w:val="28"/>
          <w:highlight w:val="none"/>
          <w14:textOutline w14:w="5094" w14:cap="flat" w14:cmpd="sng">
            <w14:solidFill>
              <w14:srgbClr w14:val="000000"/>
            </w14:solidFill>
            <w14:prstDash w14:val="solid"/>
            <w14:miter w14:val="0"/>
          </w14:textOutline>
        </w:rPr>
        <w:t>（2）响应函附录</w:t>
      </w:r>
    </w:p>
    <w:p w14:paraId="184EE4E5">
      <w:pPr>
        <w:keepNext w:val="0"/>
        <w:keepLines w:val="0"/>
        <w:pageBreakBefore w:val="0"/>
        <w:wordWrap/>
        <w:overflowPunct/>
        <w:topLinePunct w:val="0"/>
        <w:bidi w:val="0"/>
        <w:adjustRightInd w:val="0"/>
        <w:snapToGrid w:val="0"/>
        <w:spacing w:line="213" w:lineRule="exact"/>
        <w:rPr>
          <w:rFonts w:hint="eastAsia" w:ascii="宋体" w:hAnsi="宋体" w:eastAsia="宋体" w:cs="宋体"/>
          <w:color w:val="auto"/>
          <w:highlight w:val="none"/>
        </w:rPr>
      </w:pPr>
    </w:p>
    <w:tbl>
      <w:tblPr>
        <w:tblStyle w:val="14"/>
        <w:tblpPr w:leftFromText="180" w:rightFromText="180" w:vertAnchor="text" w:horzAnchor="page" w:tblpX="1232" w:tblpY="216"/>
        <w:tblOverlap w:val="never"/>
        <w:tblW w:w="915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85"/>
        <w:gridCol w:w="2162"/>
        <w:gridCol w:w="2450"/>
        <w:gridCol w:w="2462"/>
      </w:tblGrid>
      <w:tr w14:paraId="2B1153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2085" w:type="dxa"/>
            <w:vAlign w:val="center"/>
          </w:tcPr>
          <w:p w14:paraId="2031158E">
            <w:pPr>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项目名称</w:t>
            </w:r>
          </w:p>
        </w:tc>
        <w:tc>
          <w:tcPr>
            <w:tcW w:w="7074" w:type="dxa"/>
            <w:gridSpan w:val="3"/>
            <w:vAlign w:val="center"/>
          </w:tcPr>
          <w:p w14:paraId="005FE2E0">
            <w:pPr>
              <w:pStyle w:val="15"/>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hint="eastAsia" w:ascii="宋体" w:hAnsi="宋体" w:eastAsia="宋体" w:cs="宋体"/>
                <w:color w:val="auto"/>
                <w:sz w:val="24"/>
                <w:szCs w:val="24"/>
                <w:highlight w:val="none"/>
              </w:rPr>
            </w:pPr>
          </w:p>
        </w:tc>
      </w:tr>
      <w:tr w14:paraId="366C96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1" w:hRule="atLeast"/>
        </w:trPr>
        <w:tc>
          <w:tcPr>
            <w:tcW w:w="2085" w:type="dxa"/>
            <w:vAlign w:val="center"/>
          </w:tcPr>
          <w:p w14:paraId="6C3280DD">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供应商名称</w:t>
            </w:r>
          </w:p>
        </w:tc>
        <w:tc>
          <w:tcPr>
            <w:tcW w:w="7074" w:type="dxa"/>
            <w:gridSpan w:val="3"/>
            <w:vAlign w:val="center"/>
          </w:tcPr>
          <w:p w14:paraId="0F1050E6">
            <w:pPr>
              <w:pStyle w:val="15"/>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hint="eastAsia" w:ascii="宋体" w:hAnsi="宋体" w:eastAsia="宋体" w:cs="宋体"/>
                <w:color w:val="auto"/>
                <w:sz w:val="24"/>
                <w:szCs w:val="24"/>
                <w:highlight w:val="none"/>
              </w:rPr>
            </w:pPr>
          </w:p>
        </w:tc>
      </w:tr>
      <w:tr w14:paraId="762CA3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2085" w:type="dxa"/>
            <w:vAlign w:val="center"/>
          </w:tcPr>
          <w:p w14:paraId="2F3A1B0D">
            <w:pPr>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拟派项目负责</w:t>
            </w:r>
            <w:r>
              <w:rPr>
                <w:rFonts w:hint="eastAsia" w:ascii="宋体" w:hAnsi="宋体" w:eastAsia="宋体" w:cs="宋体"/>
                <w:color w:val="auto"/>
                <w:sz w:val="24"/>
                <w:szCs w:val="24"/>
                <w:highlight w:val="none"/>
              </w:rPr>
              <w:t>人</w:t>
            </w:r>
          </w:p>
        </w:tc>
        <w:tc>
          <w:tcPr>
            <w:tcW w:w="2162" w:type="dxa"/>
            <w:vAlign w:val="center"/>
          </w:tcPr>
          <w:p w14:paraId="0CEF6DAF">
            <w:pPr>
              <w:pStyle w:val="15"/>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hint="eastAsia" w:ascii="宋体" w:hAnsi="宋体" w:eastAsia="宋体" w:cs="宋体"/>
                <w:color w:val="auto"/>
                <w:sz w:val="24"/>
                <w:szCs w:val="24"/>
                <w:highlight w:val="none"/>
              </w:rPr>
            </w:pPr>
          </w:p>
        </w:tc>
        <w:tc>
          <w:tcPr>
            <w:tcW w:w="2450" w:type="dxa"/>
            <w:vAlign w:val="center"/>
          </w:tcPr>
          <w:p w14:paraId="38043B6C">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证书编号</w:t>
            </w:r>
          </w:p>
        </w:tc>
        <w:tc>
          <w:tcPr>
            <w:tcW w:w="2462" w:type="dxa"/>
            <w:vAlign w:val="center"/>
          </w:tcPr>
          <w:p w14:paraId="102570EA">
            <w:pPr>
              <w:pStyle w:val="15"/>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hint="eastAsia" w:ascii="宋体" w:hAnsi="宋体" w:eastAsia="宋体" w:cs="宋体"/>
                <w:color w:val="auto"/>
                <w:sz w:val="24"/>
                <w:szCs w:val="24"/>
                <w:highlight w:val="none"/>
              </w:rPr>
            </w:pPr>
          </w:p>
        </w:tc>
      </w:tr>
      <w:tr w14:paraId="780C6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7" w:hRule="atLeast"/>
        </w:trPr>
        <w:tc>
          <w:tcPr>
            <w:tcW w:w="2085" w:type="dxa"/>
            <w:vAlign w:val="center"/>
          </w:tcPr>
          <w:p w14:paraId="4092C42A">
            <w:pPr>
              <w:keepNext w:val="0"/>
              <w:keepLines w:val="0"/>
              <w:pageBreakBefore w:val="0"/>
              <w:widowControl/>
              <w:kinsoku w:val="0"/>
              <w:wordWrap/>
              <w:overflowPunct/>
              <w:topLinePunct w:val="0"/>
              <w:autoSpaceDE w:val="0"/>
              <w:autoSpaceDN w:val="0"/>
              <w:bidi w:val="0"/>
              <w:adjustRightInd w:val="0"/>
              <w:snapToGrid w:val="0"/>
              <w:spacing w:line="218"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响应报价</w:t>
            </w:r>
          </w:p>
        </w:tc>
        <w:tc>
          <w:tcPr>
            <w:tcW w:w="7074" w:type="dxa"/>
            <w:gridSpan w:val="3"/>
            <w:vAlign w:val="center"/>
          </w:tcPr>
          <w:p w14:paraId="785869B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76" w:lineRule="auto"/>
              <w:ind w:left="0" w:leftChars="0" w:right="0" w:rightChars="0" w:firstLine="0" w:firstLineChars="0"/>
              <w:jc w:val="center"/>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 </w:t>
            </w:r>
          </w:p>
          <w:p w14:paraId="728792AD">
            <w:pPr>
              <w:pStyle w:val="15"/>
              <w:keepNext w:val="0"/>
              <w:keepLines w:val="0"/>
              <w:pageBreakBefore w:val="0"/>
              <w:widowControl/>
              <w:kinsoku w:val="0"/>
              <w:wordWrap/>
              <w:overflowPunct/>
              <w:topLinePunct w:val="0"/>
              <w:autoSpaceDE w:val="0"/>
              <w:autoSpaceDN w:val="0"/>
              <w:bidi w:val="0"/>
              <w:adjustRightInd w:val="0"/>
              <w:snapToGrid w:val="0"/>
              <w:spacing w:line="290" w:lineRule="auto"/>
              <w:ind w:left="0" w:right="0" w:firstLine="0" w:firstLineChars="0"/>
              <w:jc w:val="center"/>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豫发改投资【2023】172号要求中各控制价的</w:t>
            </w:r>
            <w:r>
              <w:rPr>
                <w:rFonts w:hint="eastAsia" w:ascii="宋体" w:hAnsi="宋体" w:eastAsia="宋体" w:cs="宋体"/>
                <w:color w:val="auto"/>
                <w:sz w:val="24"/>
                <w:szCs w:val="24"/>
                <w:highlight w:val="none"/>
                <w:lang w:val="en-US" w:eastAsia="zh-CN"/>
              </w:rPr>
              <w:t xml:space="preserve">     %</w:t>
            </w:r>
          </w:p>
          <w:p w14:paraId="5D9DA594">
            <w:pPr>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hint="eastAsia" w:ascii="宋体" w:hAnsi="宋体" w:eastAsia="宋体" w:cs="宋体"/>
                <w:color w:val="auto"/>
                <w:sz w:val="24"/>
                <w:szCs w:val="24"/>
                <w:highlight w:val="none"/>
              </w:rPr>
            </w:pPr>
          </w:p>
        </w:tc>
      </w:tr>
      <w:tr w14:paraId="4390A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2085" w:type="dxa"/>
            <w:vAlign w:val="center"/>
          </w:tcPr>
          <w:p w14:paraId="449EDED0">
            <w:pPr>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框架协议期限/</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
                <w:sz w:val="24"/>
                <w:szCs w:val="24"/>
                <w:highlight w:val="none"/>
              </w:rPr>
              <w:t>服务期限</w:t>
            </w:r>
          </w:p>
        </w:tc>
        <w:tc>
          <w:tcPr>
            <w:tcW w:w="7074" w:type="dxa"/>
            <w:gridSpan w:val="3"/>
            <w:vAlign w:val="center"/>
          </w:tcPr>
          <w:p w14:paraId="1BFBE62C">
            <w:pPr>
              <w:pStyle w:val="15"/>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hint="eastAsia" w:ascii="宋体" w:hAnsi="宋体" w:eastAsia="宋体" w:cs="宋体"/>
                <w:color w:val="auto"/>
                <w:sz w:val="24"/>
                <w:szCs w:val="24"/>
                <w:highlight w:val="none"/>
              </w:rPr>
            </w:pPr>
          </w:p>
        </w:tc>
      </w:tr>
      <w:tr w14:paraId="5B762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2085" w:type="dxa"/>
            <w:vAlign w:val="center"/>
          </w:tcPr>
          <w:p w14:paraId="167536E1">
            <w:pPr>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服务标准</w:t>
            </w:r>
          </w:p>
        </w:tc>
        <w:tc>
          <w:tcPr>
            <w:tcW w:w="7074" w:type="dxa"/>
            <w:gridSpan w:val="3"/>
            <w:vAlign w:val="center"/>
          </w:tcPr>
          <w:p w14:paraId="1B308C09">
            <w:pPr>
              <w:pStyle w:val="15"/>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hint="eastAsia" w:ascii="宋体" w:hAnsi="宋体" w:eastAsia="宋体" w:cs="宋体"/>
                <w:color w:val="auto"/>
                <w:sz w:val="24"/>
                <w:szCs w:val="24"/>
                <w:highlight w:val="none"/>
              </w:rPr>
            </w:pPr>
          </w:p>
        </w:tc>
      </w:tr>
      <w:tr w14:paraId="45EAA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2085" w:type="dxa"/>
            <w:vAlign w:val="center"/>
          </w:tcPr>
          <w:p w14:paraId="1BC09742">
            <w:pPr>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服务内容及要求</w:t>
            </w:r>
          </w:p>
        </w:tc>
        <w:tc>
          <w:tcPr>
            <w:tcW w:w="7074" w:type="dxa"/>
            <w:gridSpan w:val="3"/>
            <w:vAlign w:val="center"/>
          </w:tcPr>
          <w:p w14:paraId="47F025C1">
            <w:pPr>
              <w:pStyle w:val="15"/>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snapToGrid w:val="0"/>
                <w:color w:val="auto"/>
                <w:spacing w:val="-2"/>
                <w:kern w:val="0"/>
                <w:sz w:val="24"/>
                <w:szCs w:val="24"/>
                <w:highlight w:val="none"/>
                <w:lang w:val="en-US" w:eastAsia="en-US" w:bidi="ar-SA"/>
              </w:rPr>
              <w:t>按照提供招标文件第五章服务内容并达到相关的要求</w:t>
            </w:r>
          </w:p>
        </w:tc>
      </w:tr>
      <w:tr w14:paraId="4085D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trPr>
        <w:tc>
          <w:tcPr>
            <w:tcW w:w="2085" w:type="dxa"/>
            <w:vAlign w:val="center"/>
          </w:tcPr>
          <w:p w14:paraId="14B624B6">
            <w:pPr>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响应文件有效</w:t>
            </w:r>
            <w:r>
              <w:rPr>
                <w:rFonts w:hint="eastAsia" w:ascii="宋体" w:hAnsi="宋体" w:eastAsia="宋体" w:cs="宋体"/>
                <w:color w:val="auto"/>
                <w:sz w:val="24"/>
                <w:szCs w:val="24"/>
                <w:highlight w:val="none"/>
              </w:rPr>
              <w:t>期</w:t>
            </w:r>
          </w:p>
        </w:tc>
        <w:tc>
          <w:tcPr>
            <w:tcW w:w="7074" w:type="dxa"/>
            <w:gridSpan w:val="3"/>
            <w:vAlign w:val="center"/>
          </w:tcPr>
          <w:p w14:paraId="1951AF73">
            <w:pPr>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提交响应文件的截止之日起 60 日历天</w:t>
            </w:r>
          </w:p>
        </w:tc>
      </w:tr>
      <w:tr w14:paraId="1C140B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2085" w:type="dxa"/>
            <w:vAlign w:val="center"/>
          </w:tcPr>
          <w:p w14:paraId="6C84BECF">
            <w:pPr>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其他说明</w:t>
            </w:r>
          </w:p>
        </w:tc>
        <w:tc>
          <w:tcPr>
            <w:tcW w:w="7074" w:type="dxa"/>
            <w:gridSpan w:val="3"/>
            <w:vAlign w:val="center"/>
          </w:tcPr>
          <w:p w14:paraId="2AF735FB">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可另行附页</w:t>
            </w:r>
          </w:p>
        </w:tc>
      </w:tr>
    </w:tbl>
    <w:p w14:paraId="7B041BE2">
      <w:pPr>
        <w:pStyle w:val="5"/>
        <w:keepNext w:val="0"/>
        <w:keepLines w:val="0"/>
        <w:pageBreakBefore w:val="0"/>
        <w:wordWrap/>
        <w:overflowPunct/>
        <w:topLinePunct w:val="0"/>
        <w:bidi w:val="0"/>
        <w:adjustRightInd w:val="0"/>
        <w:snapToGrid w:val="0"/>
        <w:spacing w:line="361" w:lineRule="auto"/>
        <w:rPr>
          <w:rFonts w:hint="eastAsia" w:ascii="宋体" w:hAnsi="宋体" w:eastAsia="宋体" w:cs="宋体"/>
          <w:color w:val="auto"/>
          <w:sz w:val="28"/>
          <w:szCs w:val="28"/>
          <w:highlight w:val="none"/>
        </w:rPr>
      </w:pPr>
    </w:p>
    <w:p w14:paraId="2BE8DB9B">
      <w:pPr>
        <w:keepNext w:val="0"/>
        <w:keepLines w:val="0"/>
        <w:pageBreakBefore w:val="0"/>
        <w:widowControl w:val="0"/>
        <w:kinsoku/>
        <w:wordWrap/>
        <w:overflowPunct/>
        <w:topLinePunct w:val="0"/>
        <w:autoSpaceDE/>
        <w:autoSpaceDN/>
        <w:bidi w:val="0"/>
        <w:adjustRightInd w:val="0"/>
        <w:snapToGrid w:val="0"/>
        <w:spacing w:before="78" w:line="219" w:lineRule="auto"/>
        <w:ind w:firstLine="3600" w:firstLineChars="15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供应商：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（电子签章）</w:t>
      </w:r>
    </w:p>
    <w:p w14:paraId="1A53393C">
      <w:pPr>
        <w:pStyle w:val="5"/>
        <w:keepNext w:val="0"/>
        <w:keepLines w:val="0"/>
        <w:pageBreakBefore w:val="0"/>
        <w:widowControl w:val="0"/>
        <w:kinsoku/>
        <w:wordWrap/>
        <w:overflowPunct/>
        <w:topLinePunct w:val="0"/>
        <w:autoSpaceDE/>
        <w:autoSpaceDN/>
        <w:bidi w:val="0"/>
        <w:adjustRightInd w:val="0"/>
        <w:snapToGrid w:val="0"/>
        <w:spacing w:line="414" w:lineRule="auto"/>
        <w:jc w:val="left"/>
        <w:textAlignment w:val="auto"/>
        <w:rPr>
          <w:rFonts w:hint="eastAsia" w:ascii="宋体" w:hAnsi="宋体" w:eastAsia="宋体" w:cs="宋体"/>
          <w:color w:val="auto"/>
          <w:spacing w:val="0"/>
          <w:sz w:val="24"/>
          <w:szCs w:val="24"/>
          <w:highlight w:val="none"/>
        </w:rPr>
      </w:pPr>
    </w:p>
    <w:p w14:paraId="24668331">
      <w:pPr>
        <w:keepNext w:val="0"/>
        <w:keepLines w:val="0"/>
        <w:pageBreakBefore w:val="0"/>
        <w:widowControl w:val="0"/>
        <w:kinsoku/>
        <w:wordWrap/>
        <w:overflowPunct/>
        <w:topLinePunct w:val="0"/>
        <w:autoSpaceDE/>
        <w:autoSpaceDN/>
        <w:bidi w:val="0"/>
        <w:adjustRightInd w:val="0"/>
        <w:snapToGrid w:val="0"/>
        <w:spacing w:before="79" w:line="219" w:lineRule="auto"/>
        <w:ind w:firstLine="3600" w:firstLineChars="15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法定代表人：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 xml:space="preserve"> （电子签章）</w:t>
      </w:r>
    </w:p>
    <w:p w14:paraId="0E250D93">
      <w:pPr>
        <w:pStyle w:val="5"/>
        <w:keepNext w:val="0"/>
        <w:keepLines w:val="0"/>
        <w:pageBreakBefore w:val="0"/>
        <w:widowControl w:val="0"/>
        <w:kinsoku/>
        <w:wordWrap/>
        <w:overflowPunct/>
        <w:topLinePunct w:val="0"/>
        <w:autoSpaceDE/>
        <w:autoSpaceDN/>
        <w:bidi w:val="0"/>
        <w:adjustRightInd w:val="0"/>
        <w:snapToGrid w:val="0"/>
        <w:spacing w:line="411" w:lineRule="auto"/>
        <w:jc w:val="left"/>
        <w:textAlignment w:val="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        </w:t>
      </w:r>
    </w:p>
    <w:p w14:paraId="36ADFBED">
      <w:pPr>
        <w:keepNext w:val="0"/>
        <w:keepLines w:val="0"/>
        <w:pageBreakBefore w:val="0"/>
        <w:widowControl w:val="0"/>
        <w:kinsoku/>
        <w:wordWrap/>
        <w:overflowPunct/>
        <w:topLinePunct w:val="0"/>
        <w:autoSpaceDE/>
        <w:autoSpaceDN/>
        <w:bidi w:val="0"/>
        <w:adjustRightInd w:val="0"/>
        <w:snapToGrid w:val="0"/>
        <w:spacing w:before="79" w:line="220" w:lineRule="auto"/>
        <w:ind w:firstLine="3600" w:firstLineChars="15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日  期： </w:t>
      </w:r>
      <w:r>
        <w:rPr>
          <w:rFonts w:hint="eastAsia" w:ascii="宋体" w:hAnsi="宋体" w:eastAsia="宋体" w:cs="宋体"/>
          <w:color w:val="auto"/>
          <w:spacing w:val="0"/>
          <w:sz w:val="24"/>
          <w:szCs w:val="24"/>
          <w:highlight w:val="none"/>
          <w:u w:val="single" w:color="auto"/>
        </w:rPr>
        <w:t xml:space="preserve">      年    </w:t>
      </w:r>
      <w:r>
        <w:rPr>
          <w:rFonts w:hint="eastAsia" w:ascii="宋体" w:hAnsi="宋体" w:eastAsia="宋体" w:cs="宋体"/>
          <w:color w:val="auto"/>
          <w:spacing w:val="0"/>
          <w:sz w:val="24"/>
          <w:szCs w:val="24"/>
          <w:highlight w:val="none"/>
          <w:u w:val="single" w:color="auto"/>
          <w:lang w:val="en-US" w:eastAsia="zh-CN"/>
        </w:rPr>
        <w:t xml:space="preserve">  </w:t>
      </w:r>
      <w:r>
        <w:rPr>
          <w:rFonts w:hint="eastAsia" w:ascii="宋体" w:hAnsi="宋体" w:eastAsia="宋体" w:cs="宋体"/>
          <w:color w:val="auto"/>
          <w:spacing w:val="0"/>
          <w:sz w:val="24"/>
          <w:szCs w:val="24"/>
          <w:highlight w:val="none"/>
          <w:u w:val="single" w:color="auto"/>
        </w:rPr>
        <w:t xml:space="preserve"> 月      日</w:t>
      </w:r>
    </w:p>
    <w:p w14:paraId="7941C992">
      <w:pPr>
        <w:keepNext w:val="0"/>
        <w:keepLines w:val="0"/>
        <w:pageBreakBefore w:val="0"/>
        <w:widowControl w:val="0"/>
        <w:kinsoku/>
        <w:wordWrap/>
        <w:overflowPunct/>
        <w:topLinePunct w:val="0"/>
        <w:autoSpaceDE/>
        <w:autoSpaceDN/>
        <w:bidi w:val="0"/>
        <w:adjustRightInd w:val="0"/>
        <w:snapToGrid w:val="0"/>
        <w:spacing w:line="220" w:lineRule="auto"/>
        <w:jc w:val="left"/>
        <w:textAlignment w:val="auto"/>
        <w:rPr>
          <w:rFonts w:hint="eastAsia" w:ascii="宋体" w:hAnsi="宋体" w:eastAsia="宋体" w:cs="宋体"/>
          <w:color w:val="auto"/>
          <w:spacing w:val="0"/>
          <w:sz w:val="24"/>
          <w:szCs w:val="24"/>
          <w:highlight w:val="none"/>
        </w:rPr>
        <w:sectPr>
          <w:footerReference r:id="rId8" w:type="default"/>
          <w:pgSz w:w="11907" w:h="16839"/>
          <w:pgMar w:top="1399" w:right="1217" w:bottom="1153" w:left="1219" w:header="0" w:footer="991" w:gutter="0"/>
          <w:pgNumType w:fmt="decimal"/>
          <w:cols w:space="720" w:num="1"/>
        </w:sectPr>
      </w:pPr>
    </w:p>
    <w:p w14:paraId="4F500FA4">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338" w:name="_Toc13038"/>
      <w:bookmarkStart w:id="339" w:name="_Toc26946"/>
      <w:bookmarkStart w:id="340" w:name="_Toc31354"/>
      <w:bookmarkStart w:id="341" w:name="_Toc277"/>
      <w:bookmarkStart w:id="342" w:name="_Toc30454"/>
      <w:bookmarkStart w:id="343" w:name="_Toc16085"/>
      <w:bookmarkStart w:id="344" w:name="_Toc16657"/>
      <w:bookmarkStart w:id="345" w:name="_Toc22898"/>
      <w:r>
        <w:rPr>
          <w:rFonts w:hint="eastAsia" w:asciiTheme="minorEastAsia" w:hAnsiTheme="minorEastAsia" w:eastAsiaTheme="minorEastAsia" w:cstheme="minorEastAsia"/>
          <w:b/>
          <w:bCs/>
          <w:sz w:val="28"/>
          <w:szCs w:val="28"/>
          <w:highlight w:val="none"/>
          <w:lang w:val="en-US" w:eastAsia="zh-CN"/>
        </w:rPr>
        <w:t>二、法定代表人身份证明</w:t>
      </w:r>
      <w:bookmarkEnd w:id="338"/>
      <w:bookmarkEnd w:id="339"/>
      <w:bookmarkEnd w:id="340"/>
      <w:bookmarkEnd w:id="341"/>
      <w:bookmarkEnd w:id="342"/>
      <w:bookmarkEnd w:id="343"/>
      <w:bookmarkEnd w:id="344"/>
      <w:bookmarkEnd w:id="345"/>
    </w:p>
    <w:p w14:paraId="02D4D760">
      <w:pPr>
        <w:pStyle w:val="5"/>
        <w:spacing w:line="268" w:lineRule="auto"/>
        <w:rPr>
          <w:rFonts w:hint="eastAsia" w:ascii="宋体" w:hAnsi="宋体" w:eastAsia="宋体" w:cs="宋体"/>
          <w:color w:val="auto"/>
          <w:highlight w:val="none"/>
        </w:rPr>
      </w:pPr>
    </w:p>
    <w:p w14:paraId="15A250D7">
      <w:pPr>
        <w:keepNext w:val="0"/>
        <w:keepLines w:val="0"/>
        <w:pageBreakBefore w:val="0"/>
        <w:widowControl w:val="0"/>
        <w:kinsoku/>
        <w:wordWrap/>
        <w:overflowPunct/>
        <w:topLinePunct w:val="0"/>
        <w:autoSpaceDE/>
        <w:autoSpaceDN/>
        <w:bidi w:val="0"/>
        <w:adjustRightInd w:val="0"/>
        <w:snapToGrid w:val="0"/>
        <w:spacing w:before="78" w:line="480" w:lineRule="auto"/>
        <w:ind w:left="460"/>
        <w:jc w:val="both"/>
        <w:textAlignment w:val="auto"/>
        <w:rPr>
          <w:rFonts w:hint="eastAsia"/>
          <w:highlight w:val="none"/>
        </w:rPr>
      </w:pPr>
      <w:r>
        <w:rPr>
          <w:rFonts w:hint="eastAsia" w:ascii="宋体" w:hAnsi="宋体" w:eastAsia="宋体" w:cs="宋体"/>
          <w:color w:val="auto"/>
          <w:spacing w:val="0"/>
          <w:sz w:val="28"/>
          <w:szCs w:val="28"/>
          <w:highlight w:val="none"/>
        </w:rPr>
        <w:t>供应商名称</w:t>
      </w: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rPr>
        <w:t xml:space="preserve">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w:t>
      </w:r>
      <w:r>
        <w:rPr>
          <w:rFonts w:hint="eastAsia"/>
          <w:highlight w:val="none"/>
          <w:lang w:val="en-US" w:eastAsia="zh-CN"/>
        </w:rPr>
        <w:t xml:space="preserve">                         </w:t>
      </w:r>
      <w:r>
        <w:rPr>
          <w:rFonts w:hint="eastAsia"/>
          <w:highlight w:val="none"/>
        </w:rPr>
        <w:t xml:space="preserve">       </w:t>
      </w:r>
    </w:p>
    <w:p w14:paraId="65DE9805">
      <w:pPr>
        <w:keepNext w:val="0"/>
        <w:keepLines w:val="0"/>
        <w:pageBreakBefore w:val="0"/>
        <w:widowControl w:val="0"/>
        <w:kinsoku/>
        <w:wordWrap/>
        <w:overflowPunct/>
        <w:topLinePunct w:val="0"/>
        <w:autoSpaceDE/>
        <w:autoSpaceDN/>
        <w:bidi w:val="0"/>
        <w:adjustRightInd w:val="0"/>
        <w:snapToGrid w:val="0"/>
        <w:spacing w:line="480" w:lineRule="auto"/>
        <w:ind w:left="462"/>
        <w:jc w:val="both"/>
        <w:textAlignment w:val="auto"/>
        <w:rPr>
          <w:rFonts w:hint="eastAsia"/>
          <w:highlight w:val="none"/>
        </w:rPr>
      </w:pPr>
      <w:r>
        <w:rPr>
          <w:rFonts w:hint="eastAsia" w:ascii="宋体" w:hAnsi="宋体" w:eastAsia="宋体" w:cs="宋体"/>
          <w:color w:val="auto"/>
          <w:spacing w:val="0"/>
          <w:sz w:val="28"/>
          <w:szCs w:val="28"/>
          <w:highlight w:val="none"/>
        </w:rPr>
        <w:t xml:space="preserve">单位性质：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highlight w:val="none"/>
          <w:lang w:val="en-US" w:eastAsia="zh-CN"/>
        </w:rPr>
        <w:t xml:space="preserve"> </w:t>
      </w:r>
      <w:r>
        <w:rPr>
          <w:rFonts w:hint="eastAsia"/>
          <w:highlight w:val="none"/>
        </w:rPr>
        <w:t xml:space="preserve">  </w:t>
      </w:r>
    </w:p>
    <w:p w14:paraId="4C219D96">
      <w:pPr>
        <w:keepNext w:val="0"/>
        <w:keepLines w:val="0"/>
        <w:pageBreakBefore w:val="0"/>
        <w:widowControl w:val="0"/>
        <w:kinsoku/>
        <w:wordWrap/>
        <w:overflowPunct/>
        <w:topLinePunct w:val="0"/>
        <w:autoSpaceDE/>
        <w:autoSpaceDN/>
        <w:bidi w:val="0"/>
        <w:adjustRightInd w:val="0"/>
        <w:snapToGrid w:val="0"/>
        <w:spacing w:line="480" w:lineRule="auto"/>
        <w:ind w:left="462"/>
        <w:jc w:val="both"/>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地    址：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highlight w:val="none"/>
          <w:lang w:val="en-US" w:eastAsia="zh-CN"/>
        </w:rPr>
        <w:t xml:space="preserve">         </w:t>
      </w:r>
      <w:r>
        <w:rPr>
          <w:rFonts w:hint="eastAsia"/>
          <w:highlight w:val="none"/>
        </w:rPr>
        <w:t xml:space="preserve">    </w:t>
      </w:r>
      <w:r>
        <w:rPr>
          <w:rFonts w:hint="eastAsia"/>
          <w:highlight w:val="none"/>
          <w:lang w:val="en-US" w:eastAsia="zh-CN"/>
        </w:rPr>
        <w:t xml:space="preserve">  </w:t>
      </w:r>
      <w:r>
        <w:rPr>
          <w:rFonts w:hint="eastAsia"/>
          <w:highlight w:val="none"/>
        </w:rPr>
        <w:t xml:space="preserve">   </w:t>
      </w:r>
      <w:r>
        <w:rPr>
          <w:rFonts w:hint="eastAsia" w:ascii="宋体" w:hAnsi="宋体" w:eastAsia="宋体" w:cs="宋体"/>
          <w:color w:val="auto"/>
          <w:spacing w:val="0"/>
          <w:sz w:val="28"/>
          <w:szCs w:val="28"/>
          <w:highlight w:val="none"/>
          <w:u w:val="single" w:color="auto"/>
        </w:rPr>
        <w:t xml:space="preserve">          </w:t>
      </w:r>
    </w:p>
    <w:p w14:paraId="3BF8EF43">
      <w:pPr>
        <w:keepNext w:val="0"/>
        <w:keepLines w:val="0"/>
        <w:pageBreakBefore w:val="0"/>
        <w:widowControl w:val="0"/>
        <w:kinsoku/>
        <w:wordWrap/>
        <w:overflowPunct/>
        <w:topLinePunct w:val="0"/>
        <w:autoSpaceDE/>
        <w:autoSpaceDN/>
        <w:bidi w:val="0"/>
        <w:adjustRightInd w:val="0"/>
        <w:snapToGrid w:val="0"/>
        <w:spacing w:line="480" w:lineRule="auto"/>
        <w:ind w:left="462"/>
        <w:jc w:val="both"/>
        <w:textAlignment w:val="auto"/>
        <w:rPr>
          <w:rFonts w:hint="default"/>
          <w:highlight w:val="none"/>
          <w:lang w:val="en-US" w:eastAsia="zh-CN"/>
        </w:rPr>
      </w:pPr>
      <w:r>
        <w:rPr>
          <w:rFonts w:hint="eastAsia" w:ascii="宋体" w:hAnsi="宋体" w:eastAsia="宋体" w:cs="宋体"/>
          <w:color w:val="auto"/>
          <w:spacing w:val="0"/>
          <w:sz w:val="28"/>
          <w:szCs w:val="28"/>
          <w:highlight w:val="none"/>
        </w:rPr>
        <w:t xml:space="preserve">成立时间：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年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月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日</w:t>
      </w:r>
      <w:r>
        <w:rPr>
          <w:rFonts w:hint="eastAsia" w:ascii="宋体" w:hAnsi="宋体" w:eastAsia="宋体" w:cs="宋体"/>
          <w:color w:val="auto"/>
          <w:spacing w:val="0"/>
          <w:sz w:val="28"/>
          <w:szCs w:val="28"/>
          <w:highlight w:val="none"/>
          <w:u w:val="single" w:color="auto"/>
          <w:lang w:val="en-US" w:eastAsia="zh-CN"/>
        </w:rPr>
        <w:t xml:space="preserve">       </w:t>
      </w:r>
      <w:r>
        <w:rPr>
          <w:rFonts w:hint="eastAsia"/>
          <w:highlight w:val="none"/>
          <w:lang w:val="en-US" w:eastAsia="zh-CN"/>
        </w:rPr>
        <w:t xml:space="preserve">                      </w:t>
      </w:r>
    </w:p>
    <w:p w14:paraId="2CDFDF41">
      <w:pPr>
        <w:keepNext w:val="0"/>
        <w:keepLines w:val="0"/>
        <w:pageBreakBefore w:val="0"/>
        <w:widowControl w:val="0"/>
        <w:kinsoku/>
        <w:wordWrap/>
        <w:overflowPunct/>
        <w:topLinePunct w:val="0"/>
        <w:autoSpaceDE/>
        <w:autoSpaceDN/>
        <w:bidi w:val="0"/>
        <w:adjustRightInd w:val="0"/>
        <w:snapToGrid w:val="0"/>
        <w:jc w:val="both"/>
        <w:textAlignment w:val="auto"/>
        <w:rPr>
          <w:rFonts w:hint="eastAsia"/>
          <w:highlight w:val="none"/>
        </w:rPr>
      </w:pPr>
      <w:r>
        <w:rPr>
          <w:rFonts w:hint="eastAsia" w:ascii="宋体" w:hAnsi="宋体" w:eastAsia="宋体" w:cs="宋体"/>
          <w:color w:val="auto"/>
          <w:spacing w:val="0"/>
          <w:sz w:val="28"/>
          <w:szCs w:val="28"/>
          <w:highlight w:val="none"/>
          <w:lang w:val="en-US" w:eastAsia="zh-CN"/>
        </w:rPr>
        <w:t xml:space="preserve">   </w:t>
      </w:r>
      <w:r>
        <w:rPr>
          <w:rFonts w:hint="eastAsia" w:ascii="宋体" w:hAnsi="宋体" w:eastAsia="宋体" w:cs="宋体"/>
          <w:color w:val="auto"/>
          <w:spacing w:val="0"/>
          <w:sz w:val="28"/>
          <w:szCs w:val="28"/>
          <w:highlight w:val="none"/>
        </w:rPr>
        <w:t xml:space="preserve">营期限：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highlight w:val="none"/>
          <w:lang w:val="en-US" w:eastAsia="zh-CN"/>
        </w:rPr>
        <w:t xml:space="preserve">  </w:t>
      </w:r>
    </w:p>
    <w:p w14:paraId="671816F4">
      <w:pPr>
        <w:keepNext w:val="0"/>
        <w:keepLines w:val="0"/>
        <w:pageBreakBefore w:val="0"/>
        <w:widowControl w:val="0"/>
        <w:kinsoku/>
        <w:wordWrap/>
        <w:overflowPunct/>
        <w:topLinePunct w:val="0"/>
        <w:autoSpaceDE/>
        <w:autoSpaceDN/>
        <w:bidi w:val="0"/>
        <w:adjustRightInd w:val="0"/>
        <w:snapToGrid w:val="0"/>
        <w:spacing w:before="78" w:line="480" w:lineRule="auto"/>
        <w:ind w:left="460"/>
        <w:jc w:val="both"/>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姓名</w:t>
      </w: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lang w:val="en-US" w:eastAsia="zh-CN"/>
        </w:rPr>
        <w:t xml:space="preserve">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rPr>
        <w:t xml:space="preserve">性别：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w:t>
      </w:r>
    </w:p>
    <w:p w14:paraId="6E67C4E0">
      <w:pPr>
        <w:keepNext w:val="0"/>
        <w:keepLines w:val="0"/>
        <w:pageBreakBefore w:val="0"/>
        <w:widowControl w:val="0"/>
        <w:kinsoku/>
        <w:wordWrap/>
        <w:overflowPunct/>
        <w:topLinePunct w:val="0"/>
        <w:autoSpaceDE/>
        <w:autoSpaceDN/>
        <w:bidi w:val="0"/>
        <w:adjustRightInd w:val="0"/>
        <w:snapToGrid w:val="0"/>
        <w:spacing w:before="1" w:line="480" w:lineRule="auto"/>
        <w:ind w:left="461"/>
        <w:jc w:val="both"/>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年龄：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rPr>
        <w:t xml:space="preserve">职务： </w:t>
      </w:r>
      <w:r>
        <w:rPr>
          <w:rFonts w:hint="eastAsia" w:ascii="宋体" w:hAnsi="宋体" w:eastAsia="宋体" w:cs="宋体"/>
          <w:color w:val="auto"/>
          <w:spacing w:val="0"/>
          <w:sz w:val="28"/>
          <w:szCs w:val="28"/>
          <w:highlight w:val="none"/>
          <w:lang w:val="en-US" w:eastAsia="zh-CN"/>
        </w:rPr>
        <w:t xml:space="preserve">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w:t>
      </w:r>
    </w:p>
    <w:p w14:paraId="75F08E62">
      <w:pPr>
        <w:keepNext w:val="0"/>
        <w:keepLines w:val="0"/>
        <w:pageBreakBefore w:val="0"/>
        <w:widowControl w:val="0"/>
        <w:kinsoku/>
        <w:wordWrap/>
        <w:overflowPunct/>
        <w:topLinePunct w:val="0"/>
        <w:autoSpaceDE/>
        <w:autoSpaceDN/>
        <w:bidi w:val="0"/>
        <w:adjustRightInd w:val="0"/>
        <w:snapToGrid w:val="0"/>
        <w:spacing w:before="78" w:line="480" w:lineRule="auto"/>
        <w:ind w:firstLine="560" w:firstLineChars="200"/>
        <w:jc w:val="both"/>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身份证号码：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rPr>
        <w:t>，系</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rPr>
        <w:t xml:space="preserve"> （供应商名称）的法定代表人。</w:t>
      </w:r>
    </w:p>
    <w:p w14:paraId="04538E3B">
      <w:pPr>
        <w:keepNext w:val="0"/>
        <w:keepLines w:val="0"/>
        <w:pageBreakBefore w:val="0"/>
        <w:widowControl w:val="0"/>
        <w:kinsoku/>
        <w:wordWrap/>
        <w:overflowPunct/>
        <w:topLinePunct w:val="0"/>
        <w:autoSpaceDE/>
        <w:autoSpaceDN/>
        <w:bidi w:val="0"/>
        <w:adjustRightInd w:val="0"/>
        <w:snapToGrid w:val="0"/>
        <w:spacing w:before="78" w:line="480" w:lineRule="auto"/>
        <w:ind w:left="460"/>
        <w:jc w:val="both"/>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特此证明。</w:t>
      </w:r>
    </w:p>
    <w:p w14:paraId="0984BE0F">
      <w:pPr>
        <w:keepNext w:val="0"/>
        <w:keepLines w:val="0"/>
        <w:pageBreakBefore w:val="0"/>
        <w:widowControl w:val="0"/>
        <w:kinsoku/>
        <w:wordWrap/>
        <w:overflowPunct/>
        <w:topLinePunct w:val="0"/>
        <w:autoSpaceDE/>
        <w:autoSpaceDN/>
        <w:bidi w:val="0"/>
        <w:adjustRightInd w:val="0"/>
        <w:snapToGrid w:val="0"/>
        <w:spacing w:before="78" w:line="480" w:lineRule="auto"/>
        <w:ind w:left="479"/>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附：法定代表人身份证扫描件。</w:t>
      </w:r>
    </w:p>
    <w:p w14:paraId="66AF97F7">
      <w:pPr>
        <w:pStyle w:val="5"/>
        <w:keepNext w:val="0"/>
        <w:keepLines w:val="0"/>
        <w:pageBreakBefore w:val="0"/>
        <w:widowControl w:val="0"/>
        <w:kinsoku/>
        <w:wordWrap/>
        <w:overflowPunct/>
        <w:topLinePunct w:val="0"/>
        <w:autoSpaceDE/>
        <w:autoSpaceDN/>
        <w:bidi w:val="0"/>
        <w:adjustRightInd w:val="0"/>
        <w:snapToGrid w:val="0"/>
        <w:spacing w:line="480" w:lineRule="auto"/>
        <w:jc w:val="left"/>
        <w:textAlignment w:val="auto"/>
        <w:rPr>
          <w:rFonts w:hint="eastAsia" w:ascii="宋体" w:hAnsi="宋体" w:eastAsia="宋体" w:cs="宋体"/>
          <w:snapToGrid w:val="0"/>
          <w:color w:val="auto"/>
          <w:spacing w:val="0"/>
          <w:kern w:val="0"/>
          <w:sz w:val="28"/>
          <w:szCs w:val="28"/>
          <w:highlight w:val="none"/>
          <w:lang w:val="en-US" w:eastAsia="en-US" w:bidi="ar-SA"/>
        </w:rPr>
      </w:pPr>
    </w:p>
    <w:p w14:paraId="5230827A">
      <w:pPr>
        <w:keepNext w:val="0"/>
        <w:keepLines w:val="0"/>
        <w:pageBreakBefore w:val="0"/>
        <w:widowControl w:val="0"/>
        <w:kinsoku/>
        <w:wordWrap/>
        <w:overflowPunct/>
        <w:topLinePunct w:val="0"/>
        <w:autoSpaceDE/>
        <w:autoSpaceDN/>
        <w:bidi w:val="0"/>
        <w:adjustRightInd w:val="0"/>
        <w:snapToGrid w:val="0"/>
        <w:spacing w:before="78" w:line="480" w:lineRule="auto"/>
        <w:ind w:firstLine="3360" w:firstLineChars="1200"/>
        <w:jc w:val="left"/>
        <w:textAlignment w:val="auto"/>
        <w:rPr>
          <w:rFonts w:hint="eastAsia" w:ascii="宋体" w:hAnsi="宋体" w:eastAsia="宋体" w:cs="宋体"/>
          <w:snapToGrid w:val="0"/>
          <w:color w:val="auto"/>
          <w:spacing w:val="0"/>
          <w:kern w:val="0"/>
          <w:sz w:val="28"/>
          <w:szCs w:val="28"/>
          <w:highlight w:val="none"/>
          <w:lang w:val="en-US" w:eastAsia="en-US" w:bidi="ar-SA"/>
        </w:rPr>
      </w:pPr>
      <w:r>
        <w:rPr>
          <w:rFonts w:hint="eastAsia" w:ascii="宋体" w:hAnsi="宋体" w:eastAsia="宋体" w:cs="宋体"/>
          <w:snapToGrid w:val="0"/>
          <w:color w:val="auto"/>
          <w:spacing w:val="0"/>
          <w:kern w:val="0"/>
          <w:sz w:val="28"/>
          <w:szCs w:val="28"/>
          <w:highlight w:val="none"/>
          <w:lang w:val="en-US" w:eastAsia="en-US" w:bidi="ar-SA"/>
        </w:rPr>
        <w:t>供应商：</w:t>
      </w:r>
      <w:r>
        <w:rPr>
          <w:rFonts w:hint="eastAsia" w:ascii="宋体" w:hAnsi="宋体" w:eastAsia="宋体" w:cs="宋体"/>
          <w:color w:val="auto"/>
          <w:spacing w:val="0"/>
          <w:sz w:val="28"/>
          <w:szCs w:val="28"/>
          <w:highlight w:val="none"/>
        </w:rPr>
        <w:t xml:space="preserve">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snapToGrid w:val="0"/>
          <w:color w:val="auto"/>
          <w:spacing w:val="0"/>
          <w:kern w:val="0"/>
          <w:sz w:val="28"/>
          <w:szCs w:val="28"/>
          <w:highlight w:val="none"/>
          <w:lang w:val="en-US" w:eastAsia="en-US" w:bidi="ar-SA"/>
        </w:rPr>
        <w:t xml:space="preserve"> （电子签章）</w:t>
      </w:r>
    </w:p>
    <w:p w14:paraId="32491B7F">
      <w:pPr>
        <w:keepNext w:val="0"/>
        <w:keepLines w:val="0"/>
        <w:pageBreakBefore w:val="0"/>
        <w:widowControl w:val="0"/>
        <w:kinsoku/>
        <w:wordWrap/>
        <w:overflowPunct/>
        <w:topLinePunct w:val="0"/>
        <w:autoSpaceDE/>
        <w:autoSpaceDN/>
        <w:bidi w:val="0"/>
        <w:adjustRightInd w:val="0"/>
        <w:snapToGrid w:val="0"/>
        <w:spacing w:before="1" w:line="480" w:lineRule="auto"/>
        <w:ind w:firstLine="3640" w:firstLineChars="13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日期： </w:t>
      </w:r>
      <w:r>
        <w:rPr>
          <w:rFonts w:hint="eastAsia" w:ascii="宋体" w:hAnsi="宋体" w:eastAsia="宋体" w:cs="宋体"/>
          <w:color w:val="auto"/>
          <w:spacing w:val="0"/>
          <w:sz w:val="28"/>
          <w:szCs w:val="28"/>
          <w:highlight w:val="none"/>
          <w:u w:val="single" w:color="auto"/>
        </w:rPr>
        <w:t xml:space="preserve">    </w:t>
      </w:r>
      <w:r>
        <w:rPr>
          <w:rFonts w:hint="eastAsia" w:ascii="宋体" w:hAnsi="宋体" w:eastAsia="宋体" w:cs="宋体"/>
          <w:color w:val="auto"/>
          <w:spacing w:val="0"/>
          <w:sz w:val="28"/>
          <w:szCs w:val="28"/>
          <w:highlight w:val="none"/>
          <w:u w:val="single" w:color="auto"/>
          <w:lang w:val="en-US" w:eastAsia="zh-CN"/>
        </w:rPr>
        <w:t xml:space="preserve"> </w:t>
      </w:r>
      <w:r>
        <w:rPr>
          <w:rFonts w:hint="eastAsia" w:ascii="宋体" w:hAnsi="宋体" w:eastAsia="宋体" w:cs="宋体"/>
          <w:color w:val="auto"/>
          <w:spacing w:val="0"/>
          <w:sz w:val="28"/>
          <w:szCs w:val="28"/>
          <w:highlight w:val="none"/>
          <w:u w:val="single" w:color="auto"/>
        </w:rPr>
        <w:t xml:space="preserve">  年     月     日</w:t>
      </w:r>
    </w:p>
    <w:p w14:paraId="22F3651E">
      <w:pPr>
        <w:keepNext w:val="0"/>
        <w:keepLines w:val="0"/>
        <w:pageBreakBefore w:val="0"/>
        <w:widowControl w:val="0"/>
        <w:kinsoku/>
        <w:wordWrap/>
        <w:overflowPunct/>
        <w:topLinePunct w:val="0"/>
        <w:autoSpaceDE/>
        <w:autoSpaceDN/>
        <w:bidi w:val="0"/>
        <w:adjustRightInd w:val="0"/>
        <w:snapToGrid w:val="0"/>
        <w:spacing w:line="480" w:lineRule="auto"/>
        <w:jc w:val="left"/>
        <w:textAlignment w:val="auto"/>
        <w:rPr>
          <w:rFonts w:hint="eastAsia" w:ascii="宋体" w:hAnsi="宋体" w:eastAsia="宋体" w:cs="宋体"/>
          <w:color w:val="auto"/>
          <w:spacing w:val="0"/>
          <w:sz w:val="28"/>
          <w:szCs w:val="28"/>
          <w:highlight w:val="none"/>
        </w:rPr>
        <w:sectPr>
          <w:footerReference r:id="rId9" w:type="default"/>
          <w:pgSz w:w="11907" w:h="16839"/>
          <w:pgMar w:top="1399" w:right="1261" w:bottom="1155" w:left="1277" w:header="0" w:footer="991" w:gutter="0"/>
          <w:pgNumType w:fmt="decimal"/>
          <w:cols w:space="720" w:num="1"/>
        </w:sectPr>
      </w:pPr>
    </w:p>
    <w:p w14:paraId="1459E37F">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346" w:name="bookmark11"/>
      <w:bookmarkEnd w:id="346"/>
      <w:bookmarkStart w:id="347" w:name="bookmark12"/>
      <w:bookmarkEnd w:id="347"/>
      <w:bookmarkStart w:id="348" w:name="_Toc11806"/>
      <w:bookmarkStart w:id="349" w:name="_Toc22155"/>
      <w:bookmarkStart w:id="350" w:name="_Toc2535"/>
      <w:bookmarkStart w:id="351" w:name="_Toc27303"/>
      <w:bookmarkStart w:id="352" w:name="_Toc32617"/>
      <w:bookmarkStart w:id="353" w:name="_Toc3751"/>
      <w:bookmarkStart w:id="354" w:name="_Toc4624"/>
      <w:bookmarkStart w:id="355" w:name="_Toc5350"/>
      <w:bookmarkStart w:id="356" w:name="_Toc6375"/>
      <w:r>
        <w:rPr>
          <w:rFonts w:hint="eastAsia" w:asciiTheme="minorEastAsia" w:hAnsiTheme="minorEastAsia" w:eastAsiaTheme="minorEastAsia" w:cstheme="minorEastAsia"/>
          <w:b/>
          <w:bCs/>
          <w:sz w:val="28"/>
          <w:szCs w:val="28"/>
          <w:highlight w:val="none"/>
          <w:lang w:val="en-US" w:eastAsia="zh-CN"/>
        </w:rPr>
        <w:t>三、授权委托书</w:t>
      </w:r>
      <w:bookmarkEnd w:id="348"/>
      <w:bookmarkEnd w:id="349"/>
      <w:bookmarkEnd w:id="350"/>
      <w:bookmarkEnd w:id="351"/>
      <w:bookmarkEnd w:id="352"/>
      <w:bookmarkEnd w:id="353"/>
      <w:bookmarkEnd w:id="354"/>
      <w:bookmarkEnd w:id="355"/>
      <w:bookmarkEnd w:id="356"/>
    </w:p>
    <w:p w14:paraId="7DB02F36">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9"/>
        <w:rPr>
          <w:rFonts w:hint="eastAsia" w:ascii="楷体" w:hAnsi="楷体" w:cs="楷体"/>
          <w:b/>
          <w:bCs/>
          <w:sz w:val="30"/>
          <w:szCs w:val="30"/>
          <w:highlight w:val="none"/>
          <w:lang w:val="en-US" w:eastAsia="zh-CN"/>
        </w:rPr>
      </w:pPr>
    </w:p>
    <w:p w14:paraId="41F4856D">
      <w:pPr>
        <w:pStyle w:val="5"/>
        <w:keepNext w:val="0"/>
        <w:keepLines w:val="0"/>
        <w:pageBreakBefore w:val="0"/>
        <w:wordWrap/>
        <w:overflowPunct/>
        <w:topLinePunct w:val="0"/>
        <w:bidi w:val="0"/>
        <w:adjustRightInd w:val="0"/>
        <w:snapToGrid w:val="0"/>
        <w:spacing w:line="295" w:lineRule="auto"/>
        <w:outlineLvl w:val="9"/>
        <w:rPr>
          <w:color w:val="auto"/>
          <w:spacing w:val="0"/>
          <w:highlight w:val="none"/>
        </w:rPr>
      </w:pPr>
    </w:p>
    <w:p w14:paraId="290870C9">
      <w:pPr>
        <w:pStyle w:val="5"/>
        <w:keepNext w:val="0"/>
        <w:keepLines w:val="0"/>
        <w:pageBreakBefore w:val="0"/>
        <w:wordWrap/>
        <w:overflowPunct/>
        <w:topLinePunct w:val="0"/>
        <w:bidi w:val="0"/>
        <w:adjustRightInd w:val="0"/>
        <w:snapToGrid w:val="0"/>
        <w:spacing w:line="295" w:lineRule="auto"/>
        <w:outlineLvl w:val="9"/>
        <w:rPr>
          <w:color w:val="auto"/>
          <w:spacing w:val="0"/>
          <w:highlight w:val="none"/>
        </w:rPr>
      </w:pPr>
    </w:p>
    <w:p w14:paraId="20B68A3A">
      <w:pPr>
        <w:keepNext w:val="0"/>
        <w:keepLines w:val="0"/>
        <w:pageBreakBefore w:val="0"/>
        <w:widowControl w:val="0"/>
        <w:kinsoku/>
        <w:wordWrap/>
        <w:overflowPunct/>
        <w:topLinePunct w:val="0"/>
        <w:autoSpaceDE/>
        <w:autoSpaceDN/>
        <w:bidi w:val="0"/>
        <w:adjustRightInd w:val="0"/>
        <w:snapToGrid w:val="0"/>
        <w:spacing w:before="78" w:line="400" w:lineRule="auto"/>
        <w:ind w:left="1" w:firstLine="479"/>
        <w:jc w:val="both"/>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本人</w:t>
      </w:r>
      <w:r>
        <w:rPr>
          <w:rFonts w:ascii="宋体" w:hAnsi="宋体" w:eastAsia="宋体" w:cs="宋体"/>
          <w:color w:val="auto"/>
          <w:spacing w:val="0"/>
          <w:sz w:val="24"/>
          <w:szCs w:val="24"/>
          <w:highlight w:val="none"/>
          <w:u w:val="single" w:color="auto"/>
        </w:rPr>
        <w:t xml:space="preserve">           （姓名 </w:t>
      </w:r>
      <w:r>
        <w:rPr>
          <w:rFonts w:ascii="宋体" w:hAnsi="宋体" w:eastAsia="宋体" w:cs="宋体"/>
          <w:color w:val="auto"/>
          <w:spacing w:val="0"/>
          <w:sz w:val="24"/>
          <w:szCs w:val="24"/>
          <w:highlight w:val="none"/>
        </w:rPr>
        <w:t xml:space="preserve"> ）系 </w:t>
      </w:r>
      <w:r>
        <w:rPr>
          <w:rFonts w:ascii="宋体" w:hAnsi="宋体" w:eastAsia="宋体" w:cs="宋体"/>
          <w:color w:val="auto"/>
          <w:spacing w:val="0"/>
          <w:sz w:val="24"/>
          <w:szCs w:val="24"/>
          <w:highlight w:val="none"/>
          <w:u w:val="single" w:color="auto"/>
        </w:rPr>
        <w:t xml:space="preserve">                     （供应商名称） </w:t>
      </w:r>
      <w:r>
        <w:rPr>
          <w:rFonts w:ascii="宋体" w:hAnsi="宋体" w:eastAsia="宋体" w:cs="宋体"/>
          <w:color w:val="auto"/>
          <w:spacing w:val="0"/>
          <w:sz w:val="24"/>
          <w:szCs w:val="24"/>
          <w:highlight w:val="none"/>
        </w:rPr>
        <w:t>的法定代表 人，现委托</w:t>
      </w:r>
      <w:r>
        <w:rPr>
          <w:rFonts w:ascii="宋体" w:hAnsi="宋体" w:eastAsia="宋体" w:cs="宋体"/>
          <w:color w:val="auto"/>
          <w:spacing w:val="0"/>
          <w:sz w:val="24"/>
          <w:szCs w:val="24"/>
          <w:highlight w:val="none"/>
          <w:u w:val="single" w:color="auto"/>
        </w:rPr>
        <w:t xml:space="preserve">      （姓名） </w:t>
      </w:r>
      <w:r>
        <w:rPr>
          <w:rFonts w:ascii="宋体" w:hAnsi="宋体" w:eastAsia="宋体" w:cs="宋体"/>
          <w:color w:val="auto"/>
          <w:spacing w:val="0"/>
          <w:sz w:val="24"/>
          <w:szCs w:val="24"/>
          <w:highlight w:val="none"/>
        </w:rPr>
        <w:t xml:space="preserve">为我方代理人。代理人根据授权，以我方名义签署、澄清、说 明、补正、递交、撤回、修改 </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（项目名称）（项目编号：</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）响应文件、签订合同和处理有关事宜，其法律后果由我方承担。</w:t>
      </w:r>
    </w:p>
    <w:p w14:paraId="6623B3B8">
      <w:pPr>
        <w:pStyle w:val="5"/>
        <w:keepNext w:val="0"/>
        <w:keepLines w:val="0"/>
        <w:pageBreakBefore w:val="0"/>
        <w:widowControl w:val="0"/>
        <w:kinsoku/>
        <w:wordWrap/>
        <w:overflowPunct/>
        <w:topLinePunct w:val="0"/>
        <w:autoSpaceDE/>
        <w:autoSpaceDN/>
        <w:bidi w:val="0"/>
        <w:adjustRightInd w:val="0"/>
        <w:snapToGrid w:val="0"/>
        <w:spacing w:line="375" w:lineRule="auto"/>
        <w:textAlignment w:val="auto"/>
        <w:outlineLvl w:val="9"/>
        <w:rPr>
          <w:color w:val="auto"/>
          <w:spacing w:val="0"/>
          <w:sz w:val="24"/>
          <w:szCs w:val="24"/>
          <w:highlight w:val="none"/>
        </w:rPr>
      </w:pPr>
    </w:p>
    <w:p w14:paraId="73679526">
      <w:pPr>
        <w:keepNext w:val="0"/>
        <w:keepLines w:val="0"/>
        <w:pageBreakBefore w:val="0"/>
        <w:widowControl w:val="0"/>
        <w:kinsoku/>
        <w:wordWrap/>
        <w:overflowPunct/>
        <w:topLinePunct w:val="0"/>
        <w:autoSpaceDE/>
        <w:autoSpaceDN/>
        <w:bidi w:val="0"/>
        <w:adjustRightInd w:val="0"/>
        <w:snapToGrid w:val="0"/>
        <w:spacing w:before="78" w:line="488" w:lineRule="auto"/>
        <w:ind w:left="479"/>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委托期限至</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 xml:space="preserve"> ，代理人无转委托权。</w:t>
      </w:r>
    </w:p>
    <w:p w14:paraId="312029AC">
      <w:pPr>
        <w:keepNext w:val="0"/>
        <w:keepLines w:val="0"/>
        <w:pageBreakBefore w:val="0"/>
        <w:widowControl w:val="0"/>
        <w:kinsoku/>
        <w:wordWrap/>
        <w:overflowPunct/>
        <w:topLinePunct w:val="0"/>
        <w:autoSpaceDE/>
        <w:autoSpaceDN/>
        <w:bidi w:val="0"/>
        <w:adjustRightInd w:val="0"/>
        <w:snapToGrid w:val="0"/>
        <w:spacing w:before="1" w:line="218" w:lineRule="auto"/>
        <w:ind w:left="499"/>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附：委托代理人身份证扫描件</w:t>
      </w:r>
    </w:p>
    <w:p w14:paraId="420F060D">
      <w:pPr>
        <w:pStyle w:val="5"/>
        <w:keepNext w:val="0"/>
        <w:keepLines w:val="0"/>
        <w:pageBreakBefore w:val="0"/>
        <w:widowControl w:val="0"/>
        <w:kinsoku/>
        <w:wordWrap/>
        <w:overflowPunct/>
        <w:topLinePunct w:val="0"/>
        <w:autoSpaceDE/>
        <w:autoSpaceDN/>
        <w:bidi w:val="0"/>
        <w:adjustRightInd w:val="0"/>
        <w:snapToGrid w:val="0"/>
        <w:spacing w:line="249" w:lineRule="auto"/>
        <w:textAlignment w:val="auto"/>
        <w:outlineLvl w:val="9"/>
        <w:rPr>
          <w:color w:val="auto"/>
          <w:spacing w:val="0"/>
          <w:sz w:val="24"/>
          <w:szCs w:val="24"/>
          <w:highlight w:val="none"/>
        </w:rPr>
      </w:pPr>
    </w:p>
    <w:p w14:paraId="019C995B">
      <w:pPr>
        <w:pStyle w:val="5"/>
        <w:keepNext w:val="0"/>
        <w:keepLines w:val="0"/>
        <w:pageBreakBefore w:val="0"/>
        <w:widowControl w:val="0"/>
        <w:kinsoku/>
        <w:wordWrap/>
        <w:overflowPunct/>
        <w:topLinePunct w:val="0"/>
        <w:autoSpaceDE/>
        <w:autoSpaceDN/>
        <w:bidi w:val="0"/>
        <w:adjustRightInd w:val="0"/>
        <w:snapToGrid w:val="0"/>
        <w:spacing w:line="249" w:lineRule="auto"/>
        <w:textAlignment w:val="auto"/>
        <w:outlineLvl w:val="9"/>
        <w:rPr>
          <w:color w:val="auto"/>
          <w:spacing w:val="0"/>
          <w:sz w:val="24"/>
          <w:szCs w:val="24"/>
          <w:highlight w:val="none"/>
        </w:rPr>
      </w:pPr>
    </w:p>
    <w:p w14:paraId="300AD91D">
      <w:pPr>
        <w:pStyle w:val="5"/>
        <w:keepNext w:val="0"/>
        <w:keepLines w:val="0"/>
        <w:pageBreakBefore w:val="0"/>
        <w:widowControl w:val="0"/>
        <w:kinsoku/>
        <w:wordWrap/>
        <w:overflowPunct/>
        <w:topLinePunct w:val="0"/>
        <w:autoSpaceDE/>
        <w:autoSpaceDN/>
        <w:bidi w:val="0"/>
        <w:adjustRightInd w:val="0"/>
        <w:snapToGrid w:val="0"/>
        <w:spacing w:line="249" w:lineRule="auto"/>
        <w:textAlignment w:val="auto"/>
        <w:outlineLvl w:val="9"/>
        <w:rPr>
          <w:color w:val="auto"/>
          <w:spacing w:val="0"/>
          <w:sz w:val="24"/>
          <w:szCs w:val="24"/>
          <w:highlight w:val="none"/>
        </w:rPr>
      </w:pPr>
    </w:p>
    <w:p w14:paraId="1F0AC20B">
      <w:pPr>
        <w:pStyle w:val="5"/>
        <w:keepNext w:val="0"/>
        <w:keepLines w:val="0"/>
        <w:pageBreakBefore w:val="0"/>
        <w:widowControl w:val="0"/>
        <w:kinsoku/>
        <w:wordWrap/>
        <w:overflowPunct/>
        <w:topLinePunct w:val="0"/>
        <w:autoSpaceDE/>
        <w:autoSpaceDN/>
        <w:bidi w:val="0"/>
        <w:adjustRightInd w:val="0"/>
        <w:snapToGrid w:val="0"/>
        <w:spacing w:line="250" w:lineRule="auto"/>
        <w:textAlignment w:val="auto"/>
        <w:outlineLvl w:val="9"/>
        <w:rPr>
          <w:color w:val="auto"/>
          <w:spacing w:val="0"/>
          <w:sz w:val="24"/>
          <w:szCs w:val="24"/>
          <w:highlight w:val="none"/>
        </w:rPr>
      </w:pPr>
    </w:p>
    <w:p w14:paraId="3F5DA62A">
      <w:pPr>
        <w:keepNext w:val="0"/>
        <w:keepLines w:val="0"/>
        <w:pageBreakBefore w:val="0"/>
        <w:widowControl w:val="0"/>
        <w:kinsoku/>
        <w:wordWrap/>
        <w:overflowPunct/>
        <w:topLinePunct w:val="0"/>
        <w:autoSpaceDE/>
        <w:autoSpaceDN/>
        <w:bidi w:val="0"/>
        <w:adjustRightInd w:val="0"/>
        <w:snapToGrid w:val="0"/>
        <w:spacing w:before="78" w:line="219" w:lineRule="auto"/>
        <w:ind w:left="3260"/>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供应商： </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 xml:space="preserve"> （</w:t>
      </w:r>
      <w:r>
        <w:rPr>
          <w:rFonts w:ascii="宋体" w:hAnsi="宋体" w:eastAsia="宋体" w:cs="宋体"/>
          <w:color w:val="auto"/>
          <w:spacing w:val="0"/>
          <w:w w:val="99"/>
          <w:sz w:val="24"/>
          <w:szCs w:val="24"/>
          <w:highlight w:val="none"/>
        </w:rPr>
        <w:t>电子签章）</w:t>
      </w:r>
    </w:p>
    <w:p w14:paraId="3FD0F68A">
      <w:pPr>
        <w:pStyle w:val="5"/>
        <w:keepNext w:val="0"/>
        <w:keepLines w:val="0"/>
        <w:pageBreakBefore w:val="0"/>
        <w:widowControl w:val="0"/>
        <w:kinsoku/>
        <w:wordWrap/>
        <w:overflowPunct/>
        <w:topLinePunct w:val="0"/>
        <w:autoSpaceDE/>
        <w:autoSpaceDN/>
        <w:bidi w:val="0"/>
        <w:adjustRightInd w:val="0"/>
        <w:snapToGrid w:val="0"/>
        <w:spacing w:line="283" w:lineRule="auto"/>
        <w:textAlignment w:val="auto"/>
        <w:outlineLvl w:val="9"/>
        <w:rPr>
          <w:color w:val="auto"/>
          <w:spacing w:val="0"/>
          <w:sz w:val="24"/>
          <w:szCs w:val="24"/>
          <w:highlight w:val="none"/>
        </w:rPr>
      </w:pPr>
    </w:p>
    <w:p w14:paraId="1FD0B34B">
      <w:pPr>
        <w:pStyle w:val="5"/>
        <w:keepNext w:val="0"/>
        <w:keepLines w:val="0"/>
        <w:pageBreakBefore w:val="0"/>
        <w:widowControl w:val="0"/>
        <w:kinsoku/>
        <w:wordWrap/>
        <w:overflowPunct/>
        <w:topLinePunct w:val="0"/>
        <w:autoSpaceDE/>
        <w:autoSpaceDN/>
        <w:bidi w:val="0"/>
        <w:adjustRightInd w:val="0"/>
        <w:snapToGrid w:val="0"/>
        <w:spacing w:line="284" w:lineRule="auto"/>
        <w:textAlignment w:val="auto"/>
        <w:outlineLvl w:val="9"/>
        <w:rPr>
          <w:color w:val="auto"/>
          <w:spacing w:val="0"/>
          <w:sz w:val="24"/>
          <w:szCs w:val="24"/>
          <w:highlight w:val="none"/>
        </w:rPr>
      </w:pPr>
    </w:p>
    <w:p w14:paraId="2B0C2726">
      <w:pPr>
        <w:keepNext w:val="0"/>
        <w:keepLines w:val="0"/>
        <w:pageBreakBefore w:val="0"/>
        <w:widowControl w:val="0"/>
        <w:kinsoku/>
        <w:wordWrap/>
        <w:overflowPunct/>
        <w:topLinePunct w:val="0"/>
        <w:autoSpaceDE/>
        <w:autoSpaceDN/>
        <w:bidi w:val="0"/>
        <w:adjustRightInd w:val="0"/>
        <w:snapToGrid w:val="0"/>
        <w:spacing w:before="78" w:line="219" w:lineRule="auto"/>
        <w:ind w:left="3261"/>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法定代表人： </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 xml:space="preserve"> （电子签章）</w:t>
      </w:r>
    </w:p>
    <w:p w14:paraId="33D55938">
      <w:pPr>
        <w:pStyle w:val="5"/>
        <w:keepNext w:val="0"/>
        <w:keepLines w:val="0"/>
        <w:pageBreakBefore w:val="0"/>
        <w:widowControl w:val="0"/>
        <w:kinsoku/>
        <w:wordWrap/>
        <w:overflowPunct/>
        <w:topLinePunct w:val="0"/>
        <w:autoSpaceDE/>
        <w:autoSpaceDN/>
        <w:bidi w:val="0"/>
        <w:adjustRightInd w:val="0"/>
        <w:snapToGrid w:val="0"/>
        <w:spacing w:line="333" w:lineRule="auto"/>
        <w:textAlignment w:val="auto"/>
        <w:outlineLvl w:val="9"/>
        <w:rPr>
          <w:color w:val="auto"/>
          <w:spacing w:val="0"/>
          <w:sz w:val="24"/>
          <w:szCs w:val="24"/>
          <w:highlight w:val="none"/>
        </w:rPr>
      </w:pPr>
    </w:p>
    <w:p w14:paraId="637E10A7">
      <w:pPr>
        <w:pStyle w:val="5"/>
        <w:keepNext w:val="0"/>
        <w:keepLines w:val="0"/>
        <w:pageBreakBefore w:val="0"/>
        <w:widowControl w:val="0"/>
        <w:kinsoku/>
        <w:wordWrap/>
        <w:overflowPunct/>
        <w:topLinePunct w:val="0"/>
        <w:autoSpaceDE/>
        <w:autoSpaceDN/>
        <w:bidi w:val="0"/>
        <w:adjustRightInd w:val="0"/>
        <w:snapToGrid w:val="0"/>
        <w:spacing w:line="334" w:lineRule="auto"/>
        <w:textAlignment w:val="auto"/>
        <w:outlineLvl w:val="9"/>
        <w:rPr>
          <w:color w:val="auto"/>
          <w:spacing w:val="0"/>
          <w:sz w:val="24"/>
          <w:szCs w:val="24"/>
          <w:highlight w:val="none"/>
        </w:rPr>
      </w:pPr>
    </w:p>
    <w:p w14:paraId="0315E6C6">
      <w:pPr>
        <w:keepNext w:val="0"/>
        <w:keepLines w:val="0"/>
        <w:pageBreakBefore w:val="0"/>
        <w:widowControl w:val="0"/>
        <w:kinsoku/>
        <w:wordWrap/>
        <w:overflowPunct/>
        <w:topLinePunct w:val="0"/>
        <w:autoSpaceDE/>
        <w:autoSpaceDN/>
        <w:bidi w:val="0"/>
        <w:adjustRightInd w:val="0"/>
        <w:snapToGrid w:val="0"/>
        <w:spacing w:before="79" w:line="220" w:lineRule="auto"/>
        <w:ind w:left="3360"/>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委托代理人： </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rPr>
        <w:t>电子签章或签字</w:t>
      </w:r>
      <w:r>
        <w:rPr>
          <w:rFonts w:ascii="宋体" w:hAnsi="宋体" w:eastAsia="宋体" w:cs="宋体"/>
          <w:color w:val="auto"/>
          <w:spacing w:val="0"/>
          <w:sz w:val="24"/>
          <w:szCs w:val="24"/>
          <w:highlight w:val="none"/>
        </w:rPr>
        <w:t>）</w:t>
      </w:r>
    </w:p>
    <w:p w14:paraId="3C5EFB91">
      <w:pPr>
        <w:pStyle w:val="5"/>
        <w:keepNext w:val="0"/>
        <w:keepLines w:val="0"/>
        <w:pageBreakBefore w:val="0"/>
        <w:widowControl w:val="0"/>
        <w:kinsoku/>
        <w:wordWrap/>
        <w:overflowPunct/>
        <w:topLinePunct w:val="0"/>
        <w:autoSpaceDE/>
        <w:autoSpaceDN/>
        <w:bidi w:val="0"/>
        <w:adjustRightInd w:val="0"/>
        <w:snapToGrid w:val="0"/>
        <w:spacing w:line="253" w:lineRule="auto"/>
        <w:textAlignment w:val="auto"/>
        <w:outlineLvl w:val="9"/>
        <w:rPr>
          <w:color w:val="auto"/>
          <w:spacing w:val="0"/>
          <w:sz w:val="24"/>
          <w:szCs w:val="24"/>
          <w:highlight w:val="none"/>
        </w:rPr>
      </w:pPr>
    </w:p>
    <w:p w14:paraId="4C46E36A">
      <w:pPr>
        <w:pStyle w:val="5"/>
        <w:keepNext w:val="0"/>
        <w:keepLines w:val="0"/>
        <w:pageBreakBefore w:val="0"/>
        <w:widowControl w:val="0"/>
        <w:kinsoku/>
        <w:wordWrap/>
        <w:overflowPunct/>
        <w:topLinePunct w:val="0"/>
        <w:autoSpaceDE/>
        <w:autoSpaceDN/>
        <w:bidi w:val="0"/>
        <w:adjustRightInd w:val="0"/>
        <w:snapToGrid w:val="0"/>
        <w:spacing w:line="253" w:lineRule="auto"/>
        <w:textAlignment w:val="auto"/>
        <w:outlineLvl w:val="9"/>
        <w:rPr>
          <w:color w:val="auto"/>
          <w:spacing w:val="0"/>
          <w:sz w:val="24"/>
          <w:szCs w:val="24"/>
          <w:highlight w:val="none"/>
        </w:rPr>
      </w:pPr>
    </w:p>
    <w:p w14:paraId="23DE2DFA">
      <w:pPr>
        <w:keepNext w:val="0"/>
        <w:keepLines w:val="0"/>
        <w:pageBreakBefore w:val="0"/>
        <w:widowControl w:val="0"/>
        <w:kinsoku/>
        <w:wordWrap/>
        <w:overflowPunct/>
        <w:topLinePunct w:val="0"/>
        <w:autoSpaceDE/>
        <w:autoSpaceDN/>
        <w:bidi w:val="0"/>
        <w:adjustRightInd w:val="0"/>
        <w:snapToGrid w:val="0"/>
        <w:spacing w:before="78" w:line="220" w:lineRule="auto"/>
        <w:ind w:left="3301"/>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日  期： </w:t>
      </w:r>
      <w:r>
        <w:rPr>
          <w:rFonts w:ascii="宋体" w:hAnsi="宋体" w:eastAsia="宋体" w:cs="宋体"/>
          <w:color w:val="auto"/>
          <w:spacing w:val="0"/>
          <w:sz w:val="24"/>
          <w:szCs w:val="24"/>
          <w:highlight w:val="none"/>
          <w:u w:val="single" w:color="auto"/>
        </w:rPr>
        <w:t xml:space="preserve">        年      月      日</w:t>
      </w:r>
    </w:p>
    <w:p w14:paraId="03437C66">
      <w:pPr>
        <w:pStyle w:val="5"/>
        <w:keepNext w:val="0"/>
        <w:keepLines w:val="0"/>
        <w:pageBreakBefore w:val="0"/>
        <w:widowControl w:val="0"/>
        <w:kinsoku/>
        <w:wordWrap/>
        <w:overflowPunct/>
        <w:topLinePunct w:val="0"/>
        <w:autoSpaceDE/>
        <w:autoSpaceDN/>
        <w:bidi w:val="0"/>
        <w:adjustRightInd w:val="0"/>
        <w:snapToGrid w:val="0"/>
        <w:spacing w:line="257" w:lineRule="auto"/>
        <w:textAlignment w:val="auto"/>
        <w:outlineLvl w:val="9"/>
        <w:rPr>
          <w:color w:val="auto"/>
          <w:spacing w:val="0"/>
          <w:sz w:val="24"/>
          <w:szCs w:val="24"/>
          <w:highlight w:val="none"/>
        </w:rPr>
      </w:pPr>
    </w:p>
    <w:p w14:paraId="079189FB">
      <w:pPr>
        <w:pStyle w:val="5"/>
        <w:keepNext w:val="0"/>
        <w:keepLines w:val="0"/>
        <w:pageBreakBefore w:val="0"/>
        <w:widowControl w:val="0"/>
        <w:kinsoku/>
        <w:wordWrap/>
        <w:overflowPunct/>
        <w:topLinePunct w:val="0"/>
        <w:autoSpaceDE/>
        <w:autoSpaceDN/>
        <w:bidi w:val="0"/>
        <w:adjustRightInd w:val="0"/>
        <w:snapToGrid w:val="0"/>
        <w:spacing w:line="257" w:lineRule="auto"/>
        <w:textAlignment w:val="auto"/>
        <w:outlineLvl w:val="9"/>
        <w:rPr>
          <w:color w:val="auto"/>
          <w:spacing w:val="0"/>
          <w:sz w:val="28"/>
          <w:szCs w:val="28"/>
          <w:highlight w:val="none"/>
        </w:rPr>
      </w:pPr>
    </w:p>
    <w:p w14:paraId="41A0CF91">
      <w:pPr>
        <w:pStyle w:val="5"/>
        <w:keepNext w:val="0"/>
        <w:keepLines w:val="0"/>
        <w:pageBreakBefore w:val="0"/>
        <w:widowControl w:val="0"/>
        <w:kinsoku/>
        <w:wordWrap/>
        <w:overflowPunct/>
        <w:topLinePunct w:val="0"/>
        <w:autoSpaceDE/>
        <w:autoSpaceDN/>
        <w:bidi w:val="0"/>
        <w:adjustRightInd w:val="0"/>
        <w:snapToGrid w:val="0"/>
        <w:spacing w:line="257" w:lineRule="auto"/>
        <w:textAlignment w:val="auto"/>
        <w:outlineLvl w:val="9"/>
        <w:rPr>
          <w:color w:val="auto"/>
          <w:spacing w:val="0"/>
          <w:sz w:val="28"/>
          <w:szCs w:val="28"/>
          <w:highlight w:val="none"/>
        </w:rPr>
      </w:pPr>
    </w:p>
    <w:p w14:paraId="5EFEC267">
      <w:pPr>
        <w:pStyle w:val="5"/>
        <w:keepNext w:val="0"/>
        <w:keepLines w:val="0"/>
        <w:pageBreakBefore w:val="0"/>
        <w:widowControl w:val="0"/>
        <w:kinsoku/>
        <w:wordWrap/>
        <w:overflowPunct/>
        <w:topLinePunct w:val="0"/>
        <w:autoSpaceDE/>
        <w:autoSpaceDN/>
        <w:bidi w:val="0"/>
        <w:adjustRightInd w:val="0"/>
        <w:snapToGrid w:val="0"/>
        <w:spacing w:line="258" w:lineRule="auto"/>
        <w:textAlignment w:val="auto"/>
        <w:outlineLvl w:val="9"/>
        <w:rPr>
          <w:color w:val="auto"/>
          <w:spacing w:val="0"/>
          <w:sz w:val="28"/>
          <w:szCs w:val="28"/>
          <w:highlight w:val="none"/>
        </w:rPr>
      </w:pPr>
    </w:p>
    <w:p w14:paraId="172D4F44">
      <w:pPr>
        <w:keepNext w:val="0"/>
        <w:keepLines w:val="0"/>
        <w:pageBreakBefore w:val="0"/>
        <w:widowControl w:val="0"/>
        <w:kinsoku/>
        <w:wordWrap/>
        <w:overflowPunct/>
        <w:topLinePunct w:val="0"/>
        <w:autoSpaceDE/>
        <w:autoSpaceDN/>
        <w:bidi w:val="0"/>
        <w:adjustRightInd w:val="0"/>
        <w:snapToGrid w:val="0"/>
        <w:spacing w:before="79" w:line="468" w:lineRule="exact"/>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position w:val="17"/>
          <w:sz w:val="24"/>
          <w:szCs w:val="24"/>
          <w:highlight w:val="none"/>
          <w14:textOutline w14:w="4354" w14:cap="flat" w14:cmpd="sng">
            <w14:solidFill>
              <w14:srgbClr w14:val="000000"/>
            </w14:solidFill>
            <w14:prstDash w14:val="solid"/>
            <w14:miter w14:val="0"/>
          </w14:textOutline>
        </w:rPr>
        <w:t>注：因响应文件中授权委托书授权代理人无法手写签字，可以以印刷体代替（印刷体</w:t>
      </w:r>
    </w:p>
    <w:p w14:paraId="77FE4DB5">
      <w:pPr>
        <w:keepNext w:val="0"/>
        <w:keepLines w:val="0"/>
        <w:pageBreakBefore w:val="0"/>
        <w:widowControl w:val="0"/>
        <w:kinsoku/>
        <w:wordWrap/>
        <w:overflowPunct/>
        <w:topLinePunct w:val="0"/>
        <w:autoSpaceDE/>
        <w:autoSpaceDN/>
        <w:bidi w:val="0"/>
        <w:adjustRightInd w:val="0"/>
        <w:snapToGrid w:val="0"/>
        <w:spacing w:before="1" w:line="219" w:lineRule="auto"/>
        <w:ind w:left="2"/>
        <w:textAlignment w:val="auto"/>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14:textOutline w14:w="4354" w14:cap="flat" w14:cmpd="sng">
            <w14:solidFill>
              <w14:srgbClr w14:val="000000"/>
            </w14:solidFill>
            <w14:prstDash w14:val="solid"/>
            <w14:miter w14:val="0"/>
          </w14:textOutline>
        </w:rPr>
        <w:t>为电脑打出的字体）。</w:t>
      </w:r>
    </w:p>
    <w:p w14:paraId="2BAD9071">
      <w:pPr>
        <w:keepNext w:val="0"/>
        <w:keepLines w:val="0"/>
        <w:pageBreakBefore w:val="0"/>
        <w:widowControl w:val="0"/>
        <w:kinsoku/>
        <w:wordWrap/>
        <w:overflowPunct/>
        <w:topLinePunct w:val="0"/>
        <w:autoSpaceDE/>
        <w:autoSpaceDN/>
        <w:bidi w:val="0"/>
        <w:adjustRightInd w:val="0"/>
        <w:snapToGrid w:val="0"/>
        <w:spacing w:line="219" w:lineRule="auto"/>
        <w:textAlignment w:val="auto"/>
        <w:outlineLvl w:val="9"/>
        <w:rPr>
          <w:rFonts w:ascii="宋体" w:hAnsi="宋体" w:eastAsia="宋体" w:cs="宋体"/>
          <w:color w:val="auto"/>
          <w:spacing w:val="0"/>
          <w:sz w:val="24"/>
          <w:szCs w:val="24"/>
          <w:highlight w:val="none"/>
        </w:rPr>
        <w:sectPr>
          <w:footerReference r:id="rId10" w:type="default"/>
          <w:pgSz w:w="11907" w:h="16839"/>
          <w:pgMar w:top="1399" w:right="1259" w:bottom="1153" w:left="1257" w:header="0" w:footer="991" w:gutter="0"/>
          <w:pgNumType w:fmt="decimal"/>
          <w:cols w:space="720" w:num="1"/>
        </w:sectPr>
      </w:pPr>
    </w:p>
    <w:p w14:paraId="0935B7EC">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357" w:name="bookmark13"/>
      <w:bookmarkEnd w:id="357"/>
      <w:bookmarkStart w:id="358" w:name="_Toc9462"/>
      <w:bookmarkStart w:id="359" w:name="_Toc31157"/>
      <w:bookmarkStart w:id="360" w:name="_Toc22580"/>
      <w:bookmarkStart w:id="361" w:name="_Toc18287"/>
      <w:bookmarkStart w:id="362" w:name="_Toc22877"/>
      <w:bookmarkStart w:id="363" w:name="_Toc31349"/>
      <w:bookmarkStart w:id="364" w:name="_Toc26683"/>
      <w:bookmarkStart w:id="365" w:name="_Toc31775"/>
      <w:bookmarkStart w:id="366" w:name="_Toc10765"/>
      <w:r>
        <w:rPr>
          <w:rFonts w:hint="eastAsia" w:asciiTheme="minorEastAsia" w:hAnsiTheme="minorEastAsia" w:eastAsiaTheme="minorEastAsia" w:cstheme="minorEastAsia"/>
          <w:b/>
          <w:bCs/>
          <w:sz w:val="28"/>
          <w:szCs w:val="28"/>
          <w:highlight w:val="none"/>
          <w:lang w:val="en-US" w:eastAsia="zh-CN"/>
        </w:rPr>
        <w:t>四、 响应承诺函</w:t>
      </w:r>
      <w:bookmarkEnd w:id="358"/>
      <w:bookmarkEnd w:id="359"/>
      <w:bookmarkEnd w:id="360"/>
      <w:bookmarkEnd w:id="361"/>
      <w:bookmarkEnd w:id="362"/>
      <w:bookmarkEnd w:id="363"/>
      <w:bookmarkEnd w:id="364"/>
      <w:bookmarkEnd w:id="365"/>
      <w:bookmarkEnd w:id="366"/>
    </w:p>
    <w:p w14:paraId="28C4EFED">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left"/>
        <w:textAlignment w:val="baseline"/>
        <w:outlineLvl w:val="9"/>
        <w:rPr>
          <w:rFonts w:hint="eastAsia" w:ascii="楷体" w:hAnsi="楷体" w:cs="楷体"/>
          <w:b/>
          <w:bCs/>
          <w:sz w:val="30"/>
          <w:szCs w:val="30"/>
          <w:highlight w:val="none"/>
          <w:lang w:val="en-US" w:eastAsia="zh-CN"/>
        </w:rPr>
      </w:pPr>
    </w:p>
    <w:p w14:paraId="302774F3">
      <w:pPr>
        <w:keepNext w:val="0"/>
        <w:keepLines w:val="0"/>
        <w:pageBreakBefore w:val="0"/>
        <w:widowControl w:val="0"/>
        <w:kinsoku/>
        <w:wordWrap/>
        <w:overflowPunct/>
        <w:topLinePunct w:val="0"/>
        <w:autoSpaceDE/>
        <w:autoSpaceDN/>
        <w:bidi w:val="0"/>
        <w:adjustRightInd w:val="0"/>
        <w:snapToGrid w:val="0"/>
        <w:spacing w:before="78" w:line="300" w:lineRule="auto"/>
        <w:ind w:left="0" w:leftChars="0" w:firstLine="0" w:firstLineChars="0"/>
        <w:jc w:val="left"/>
        <w:textAlignment w:val="auto"/>
        <w:outlineLvl w:val="9"/>
        <w:rPr>
          <w:rFonts w:ascii="宋体" w:hAnsi="宋体" w:eastAsia="宋体" w:cs="宋体"/>
          <w:color w:val="auto"/>
          <w:spacing w:val="0"/>
          <w:sz w:val="28"/>
          <w:szCs w:val="28"/>
          <w:highlight w:val="none"/>
        </w:rPr>
      </w:pPr>
      <w:r>
        <w:rPr>
          <w:rFonts w:ascii="宋体" w:hAnsi="宋体" w:eastAsia="宋体" w:cs="宋体"/>
          <w:color w:val="auto"/>
          <w:spacing w:val="0"/>
          <w:sz w:val="28"/>
          <w:szCs w:val="28"/>
          <w:highlight w:val="none"/>
        </w:rPr>
        <w:t>若我方成交，我方承诺：</w:t>
      </w:r>
    </w:p>
    <w:p w14:paraId="10BDBF3C">
      <w:pPr>
        <w:keepNext w:val="0"/>
        <w:keepLines w:val="0"/>
        <w:pageBreakBefore w:val="0"/>
        <w:widowControl w:val="0"/>
        <w:kinsoku/>
        <w:wordWrap/>
        <w:overflowPunct/>
        <w:topLinePunct w:val="0"/>
        <w:autoSpaceDE/>
        <w:autoSpaceDN/>
        <w:bidi w:val="0"/>
        <w:adjustRightInd w:val="0"/>
        <w:snapToGrid w:val="0"/>
        <w:spacing w:before="78" w:line="300" w:lineRule="auto"/>
        <w:jc w:val="left"/>
        <w:textAlignment w:val="auto"/>
        <w:outlineLvl w:val="9"/>
        <w:rPr>
          <w:rFonts w:ascii="宋体" w:hAnsi="宋体" w:eastAsia="宋体" w:cs="宋体"/>
          <w:color w:val="auto"/>
          <w:spacing w:val="0"/>
          <w:sz w:val="28"/>
          <w:szCs w:val="28"/>
          <w:highlight w:val="none"/>
        </w:rPr>
      </w:pPr>
    </w:p>
    <w:p w14:paraId="1F85F672">
      <w:pPr>
        <w:keepNext w:val="0"/>
        <w:keepLines w:val="0"/>
        <w:pageBreakBefore w:val="0"/>
        <w:widowControl w:val="0"/>
        <w:kinsoku/>
        <w:wordWrap/>
        <w:overflowPunct/>
        <w:topLinePunct w:val="0"/>
        <w:autoSpaceDE/>
        <w:autoSpaceDN/>
        <w:bidi w:val="0"/>
        <w:adjustRightInd w:val="0"/>
        <w:snapToGrid w:val="0"/>
        <w:spacing w:before="78" w:line="300" w:lineRule="auto"/>
        <w:ind w:firstLine="560" w:firstLineChars="200"/>
        <w:jc w:val="left"/>
        <w:textAlignment w:val="auto"/>
        <w:outlineLvl w:val="9"/>
        <w:rPr>
          <w:rFonts w:ascii="宋体" w:hAnsi="宋体" w:eastAsia="宋体" w:cs="宋体"/>
          <w:color w:val="auto"/>
          <w:spacing w:val="0"/>
          <w:position w:val="11"/>
          <w:sz w:val="28"/>
          <w:szCs w:val="28"/>
          <w:highlight w:val="none"/>
        </w:rPr>
      </w:pPr>
      <w:r>
        <w:rPr>
          <w:rFonts w:hint="eastAsia" w:ascii="宋体" w:hAnsi="宋体" w:eastAsia="宋体" w:cs="宋体"/>
          <w:color w:val="auto"/>
          <w:spacing w:val="0"/>
          <w:position w:val="11"/>
          <w:sz w:val="28"/>
          <w:szCs w:val="28"/>
          <w:highlight w:val="none"/>
          <w:lang w:eastAsia="zh-CN"/>
        </w:rPr>
        <w:t>1.</w:t>
      </w:r>
      <w:r>
        <w:rPr>
          <w:rFonts w:ascii="宋体" w:hAnsi="宋体" w:eastAsia="宋体" w:cs="宋体"/>
          <w:color w:val="auto"/>
          <w:spacing w:val="0"/>
          <w:position w:val="11"/>
          <w:sz w:val="28"/>
          <w:szCs w:val="28"/>
          <w:highlight w:val="none"/>
        </w:rPr>
        <w:t>本次征集活动中申报的所有资料都是真实、准确完整的，如发现带给虚假资料，或与事实不符而导致响应无效，甚至造成任何法律和经济</w:t>
      </w:r>
      <w:r>
        <w:rPr>
          <w:rFonts w:hint="eastAsia" w:ascii="宋体" w:hAnsi="宋体" w:eastAsia="宋体" w:cs="宋体"/>
          <w:color w:val="auto"/>
          <w:spacing w:val="0"/>
          <w:position w:val="11"/>
          <w:sz w:val="28"/>
          <w:szCs w:val="28"/>
          <w:highlight w:val="none"/>
          <w:lang w:eastAsia="zh-CN"/>
        </w:rPr>
        <w:t>损失</w:t>
      </w:r>
      <w:r>
        <w:rPr>
          <w:rFonts w:ascii="宋体" w:hAnsi="宋体" w:eastAsia="宋体" w:cs="宋体"/>
          <w:color w:val="auto"/>
          <w:spacing w:val="0"/>
          <w:position w:val="11"/>
          <w:sz w:val="28"/>
          <w:szCs w:val="28"/>
          <w:highlight w:val="none"/>
        </w:rPr>
        <w:t>，完全由供应商负责；</w:t>
      </w:r>
    </w:p>
    <w:p w14:paraId="46EB2A33">
      <w:pPr>
        <w:keepNext w:val="0"/>
        <w:keepLines w:val="0"/>
        <w:pageBreakBefore w:val="0"/>
        <w:widowControl w:val="0"/>
        <w:kinsoku/>
        <w:wordWrap/>
        <w:overflowPunct/>
        <w:topLinePunct w:val="0"/>
        <w:autoSpaceDE/>
        <w:autoSpaceDN/>
        <w:bidi w:val="0"/>
        <w:adjustRightInd w:val="0"/>
        <w:snapToGrid w:val="0"/>
        <w:spacing w:before="113" w:line="300" w:lineRule="auto"/>
        <w:ind w:right="2" w:firstLine="560" w:firstLineChars="200"/>
        <w:jc w:val="left"/>
        <w:textAlignment w:val="auto"/>
        <w:outlineLvl w:val="9"/>
        <w:rPr>
          <w:rFonts w:ascii="宋体" w:hAnsi="宋体" w:eastAsia="宋体" w:cs="宋体"/>
          <w:color w:val="auto"/>
          <w:spacing w:val="0"/>
          <w:position w:val="11"/>
          <w:sz w:val="28"/>
          <w:szCs w:val="28"/>
          <w:highlight w:val="none"/>
        </w:rPr>
      </w:pPr>
      <w:r>
        <w:rPr>
          <w:rFonts w:hint="eastAsia" w:ascii="宋体" w:hAnsi="宋体" w:eastAsia="宋体" w:cs="宋体"/>
          <w:color w:val="auto"/>
          <w:spacing w:val="0"/>
          <w:position w:val="11"/>
          <w:sz w:val="28"/>
          <w:szCs w:val="28"/>
          <w:highlight w:val="none"/>
          <w:lang w:eastAsia="zh-CN"/>
        </w:rPr>
        <w:t>2.</w:t>
      </w:r>
      <w:r>
        <w:rPr>
          <w:rFonts w:ascii="宋体" w:hAnsi="宋体" w:eastAsia="宋体" w:cs="宋体"/>
          <w:color w:val="auto"/>
          <w:spacing w:val="0"/>
          <w:position w:val="11"/>
          <w:sz w:val="28"/>
          <w:szCs w:val="28"/>
          <w:highlight w:val="none"/>
        </w:rPr>
        <w:t>在本次征集活动中绝无资质挂靠、串标、围标情形，若经贵方查出，立即取消我方响应资格并承担相应的</w:t>
      </w:r>
      <w:r>
        <w:rPr>
          <w:rFonts w:hint="eastAsia" w:ascii="宋体" w:hAnsi="宋体" w:eastAsia="宋体" w:cs="宋体"/>
          <w:color w:val="auto"/>
          <w:spacing w:val="0"/>
          <w:position w:val="11"/>
          <w:sz w:val="28"/>
          <w:szCs w:val="28"/>
          <w:highlight w:val="none"/>
          <w:lang w:eastAsia="zh-CN"/>
        </w:rPr>
        <w:t>法定职责</w:t>
      </w:r>
      <w:r>
        <w:rPr>
          <w:rFonts w:ascii="宋体" w:hAnsi="宋体" w:eastAsia="宋体" w:cs="宋体"/>
          <w:color w:val="auto"/>
          <w:spacing w:val="0"/>
          <w:position w:val="11"/>
          <w:sz w:val="28"/>
          <w:szCs w:val="28"/>
          <w:highlight w:val="none"/>
        </w:rPr>
        <w:t>；</w:t>
      </w:r>
    </w:p>
    <w:p w14:paraId="62246FA2">
      <w:pPr>
        <w:keepNext w:val="0"/>
        <w:keepLines w:val="0"/>
        <w:pageBreakBefore w:val="0"/>
        <w:widowControl w:val="0"/>
        <w:kinsoku/>
        <w:wordWrap/>
        <w:overflowPunct/>
        <w:topLinePunct w:val="0"/>
        <w:autoSpaceDE/>
        <w:autoSpaceDN/>
        <w:bidi w:val="0"/>
        <w:adjustRightInd w:val="0"/>
        <w:snapToGrid w:val="0"/>
        <w:spacing w:before="116" w:line="300" w:lineRule="auto"/>
        <w:ind w:firstLine="483"/>
        <w:jc w:val="left"/>
        <w:textAlignment w:val="auto"/>
        <w:outlineLvl w:val="9"/>
        <w:rPr>
          <w:rFonts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3.</w:t>
      </w:r>
      <w:r>
        <w:rPr>
          <w:rFonts w:ascii="宋体" w:hAnsi="宋体" w:eastAsia="宋体" w:cs="宋体"/>
          <w:color w:val="auto"/>
          <w:spacing w:val="0"/>
          <w:sz w:val="28"/>
          <w:szCs w:val="28"/>
          <w:highlight w:val="none"/>
        </w:rPr>
        <w:t>供应商一旦成交，将严格按照响应文件中所承诺的报价、质量、服务期限、服务方案等资料组织实施；并按规定及时与征集人签订合同；</w:t>
      </w:r>
    </w:p>
    <w:p w14:paraId="734AD9C1">
      <w:pPr>
        <w:keepNext w:val="0"/>
        <w:keepLines w:val="0"/>
        <w:pageBreakBefore w:val="0"/>
        <w:widowControl w:val="0"/>
        <w:kinsoku/>
        <w:wordWrap/>
        <w:overflowPunct/>
        <w:topLinePunct w:val="0"/>
        <w:autoSpaceDE/>
        <w:autoSpaceDN/>
        <w:bidi w:val="0"/>
        <w:adjustRightInd w:val="0"/>
        <w:snapToGrid w:val="0"/>
        <w:spacing w:line="300" w:lineRule="auto"/>
        <w:ind w:firstLine="560" w:firstLineChars="200"/>
        <w:jc w:val="left"/>
        <w:textAlignment w:val="auto"/>
        <w:outlineLvl w:val="9"/>
        <w:rPr>
          <w:color w:val="auto"/>
          <w:spacing w:val="0"/>
          <w:sz w:val="28"/>
          <w:szCs w:val="28"/>
          <w:highlight w:val="none"/>
        </w:rPr>
      </w:pPr>
      <w:r>
        <w:rPr>
          <w:rFonts w:hint="eastAsia" w:ascii="宋体" w:hAnsi="宋体" w:eastAsia="宋体" w:cs="宋体"/>
          <w:color w:val="auto"/>
          <w:spacing w:val="0"/>
          <w:position w:val="11"/>
          <w:sz w:val="28"/>
          <w:szCs w:val="28"/>
          <w:highlight w:val="none"/>
          <w:lang w:eastAsia="zh-CN"/>
        </w:rPr>
        <w:t>4.</w:t>
      </w:r>
      <w:r>
        <w:rPr>
          <w:rFonts w:hint="eastAsia" w:ascii="宋体" w:hAnsi="宋体" w:eastAsia="宋体" w:cs="宋体"/>
          <w:color w:val="auto"/>
          <w:spacing w:val="0"/>
          <w:position w:val="11"/>
          <w:sz w:val="28"/>
          <w:szCs w:val="28"/>
          <w:highlight w:val="none"/>
        </w:rPr>
        <w:t>成交供应商无正当理由拒签合同的，征集人取消其成交资格；给征集人造成的损失，成交人应当对征集人予以赔偿；</w:t>
      </w:r>
    </w:p>
    <w:p w14:paraId="02B50B9D">
      <w:pPr>
        <w:pStyle w:val="5"/>
        <w:keepNext w:val="0"/>
        <w:keepLines w:val="0"/>
        <w:pageBreakBefore w:val="0"/>
        <w:wordWrap/>
        <w:overflowPunct/>
        <w:topLinePunct w:val="0"/>
        <w:bidi w:val="0"/>
        <w:adjustRightInd w:val="0"/>
        <w:snapToGrid w:val="0"/>
        <w:spacing w:line="360" w:lineRule="auto"/>
        <w:outlineLvl w:val="9"/>
        <w:rPr>
          <w:color w:val="auto"/>
          <w:spacing w:val="0"/>
          <w:sz w:val="28"/>
          <w:szCs w:val="28"/>
          <w:highlight w:val="none"/>
        </w:rPr>
      </w:pPr>
    </w:p>
    <w:p w14:paraId="12C31FBB">
      <w:pPr>
        <w:pStyle w:val="5"/>
        <w:keepNext w:val="0"/>
        <w:keepLines w:val="0"/>
        <w:pageBreakBefore w:val="0"/>
        <w:wordWrap/>
        <w:overflowPunct/>
        <w:topLinePunct w:val="0"/>
        <w:bidi w:val="0"/>
        <w:adjustRightInd w:val="0"/>
        <w:snapToGrid w:val="0"/>
        <w:spacing w:line="360" w:lineRule="auto"/>
        <w:outlineLvl w:val="9"/>
        <w:rPr>
          <w:color w:val="auto"/>
          <w:spacing w:val="0"/>
          <w:sz w:val="28"/>
          <w:szCs w:val="28"/>
          <w:highlight w:val="none"/>
        </w:rPr>
      </w:pPr>
    </w:p>
    <w:p w14:paraId="30EC8008">
      <w:pPr>
        <w:keepNext w:val="0"/>
        <w:keepLines w:val="0"/>
        <w:pageBreakBefore w:val="0"/>
        <w:wordWrap/>
        <w:overflowPunct/>
        <w:topLinePunct w:val="0"/>
        <w:bidi w:val="0"/>
        <w:adjustRightInd w:val="0"/>
        <w:snapToGrid w:val="0"/>
        <w:spacing w:before="79" w:line="360" w:lineRule="auto"/>
        <w:ind w:left="2976"/>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供 应 商： </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 xml:space="preserve"> （电子签章）</w:t>
      </w:r>
    </w:p>
    <w:p w14:paraId="3D4977E2">
      <w:pPr>
        <w:pStyle w:val="5"/>
        <w:keepNext w:val="0"/>
        <w:keepLines w:val="0"/>
        <w:pageBreakBefore w:val="0"/>
        <w:wordWrap/>
        <w:overflowPunct/>
        <w:topLinePunct w:val="0"/>
        <w:bidi w:val="0"/>
        <w:adjustRightInd w:val="0"/>
        <w:snapToGrid w:val="0"/>
        <w:spacing w:line="360" w:lineRule="auto"/>
        <w:outlineLvl w:val="9"/>
        <w:rPr>
          <w:color w:val="auto"/>
          <w:spacing w:val="0"/>
          <w:sz w:val="24"/>
          <w:szCs w:val="24"/>
          <w:highlight w:val="none"/>
        </w:rPr>
      </w:pPr>
    </w:p>
    <w:p w14:paraId="5092A205">
      <w:pPr>
        <w:pStyle w:val="5"/>
        <w:keepNext w:val="0"/>
        <w:keepLines w:val="0"/>
        <w:pageBreakBefore w:val="0"/>
        <w:wordWrap/>
        <w:overflowPunct/>
        <w:topLinePunct w:val="0"/>
        <w:bidi w:val="0"/>
        <w:adjustRightInd w:val="0"/>
        <w:snapToGrid w:val="0"/>
        <w:spacing w:line="360" w:lineRule="auto"/>
        <w:outlineLvl w:val="9"/>
        <w:rPr>
          <w:color w:val="auto"/>
          <w:spacing w:val="0"/>
          <w:sz w:val="24"/>
          <w:szCs w:val="24"/>
          <w:highlight w:val="none"/>
        </w:rPr>
      </w:pPr>
    </w:p>
    <w:p w14:paraId="109D1405">
      <w:pPr>
        <w:keepNext w:val="0"/>
        <w:keepLines w:val="0"/>
        <w:pageBreakBefore w:val="0"/>
        <w:wordWrap/>
        <w:overflowPunct/>
        <w:topLinePunct w:val="0"/>
        <w:bidi w:val="0"/>
        <w:adjustRightInd w:val="0"/>
        <w:snapToGrid w:val="0"/>
        <w:spacing w:before="79" w:line="360" w:lineRule="auto"/>
        <w:ind w:left="2977"/>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法定代表人： </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 xml:space="preserve"> （电子签章或签字）</w:t>
      </w:r>
    </w:p>
    <w:p w14:paraId="6ED27B47">
      <w:pPr>
        <w:pStyle w:val="5"/>
        <w:keepNext w:val="0"/>
        <w:keepLines w:val="0"/>
        <w:pageBreakBefore w:val="0"/>
        <w:wordWrap/>
        <w:overflowPunct/>
        <w:topLinePunct w:val="0"/>
        <w:bidi w:val="0"/>
        <w:adjustRightInd w:val="0"/>
        <w:snapToGrid w:val="0"/>
        <w:spacing w:line="360" w:lineRule="auto"/>
        <w:outlineLvl w:val="9"/>
        <w:rPr>
          <w:color w:val="auto"/>
          <w:spacing w:val="0"/>
          <w:sz w:val="24"/>
          <w:szCs w:val="24"/>
          <w:highlight w:val="none"/>
        </w:rPr>
      </w:pPr>
    </w:p>
    <w:p w14:paraId="4C2D5702">
      <w:pPr>
        <w:pStyle w:val="5"/>
        <w:keepNext w:val="0"/>
        <w:keepLines w:val="0"/>
        <w:pageBreakBefore w:val="0"/>
        <w:wordWrap/>
        <w:overflowPunct/>
        <w:topLinePunct w:val="0"/>
        <w:bidi w:val="0"/>
        <w:adjustRightInd w:val="0"/>
        <w:snapToGrid w:val="0"/>
        <w:spacing w:line="360" w:lineRule="auto"/>
        <w:outlineLvl w:val="9"/>
        <w:rPr>
          <w:color w:val="auto"/>
          <w:spacing w:val="0"/>
          <w:sz w:val="24"/>
          <w:szCs w:val="24"/>
          <w:highlight w:val="none"/>
        </w:rPr>
      </w:pPr>
    </w:p>
    <w:p w14:paraId="59C6928E">
      <w:pPr>
        <w:keepNext w:val="0"/>
        <w:keepLines w:val="0"/>
        <w:pageBreakBefore w:val="0"/>
        <w:wordWrap/>
        <w:overflowPunct/>
        <w:topLinePunct w:val="0"/>
        <w:bidi w:val="0"/>
        <w:adjustRightInd w:val="0"/>
        <w:snapToGrid w:val="0"/>
        <w:spacing w:before="78" w:line="360" w:lineRule="auto"/>
        <w:ind w:left="3017"/>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日    期： </w:t>
      </w:r>
      <w:r>
        <w:rPr>
          <w:rFonts w:ascii="宋体" w:hAnsi="宋体" w:eastAsia="宋体" w:cs="宋体"/>
          <w:color w:val="auto"/>
          <w:spacing w:val="0"/>
          <w:sz w:val="24"/>
          <w:szCs w:val="24"/>
          <w:highlight w:val="none"/>
          <w:u w:val="single" w:color="auto"/>
        </w:rPr>
        <w:t xml:space="preserve">         年     月     日</w:t>
      </w:r>
    </w:p>
    <w:p w14:paraId="2F07DD7C">
      <w:pPr>
        <w:keepNext w:val="0"/>
        <w:keepLines w:val="0"/>
        <w:pageBreakBefore w:val="0"/>
        <w:wordWrap/>
        <w:overflowPunct/>
        <w:topLinePunct w:val="0"/>
        <w:bidi w:val="0"/>
        <w:adjustRightInd w:val="0"/>
        <w:snapToGrid w:val="0"/>
        <w:spacing w:line="360" w:lineRule="auto"/>
        <w:outlineLvl w:val="9"/>
        <w:rPr>
          <w:rFonts w:ascii="宋体" w:hAnsi="宋体" w:eastAsia="宋体" w:cs="宋体"/>
          <w:color w:val="auto"/>
          <w:spacing w:val="0"/>
          <w:sz w:val="24"/>
          <w:szCs w:val="24"/>
          <w:highlight w:val="none"/>
        </w:rPr>
        <w:sectPr>
          <w:footerReference r:id="rId11" w:type="default"/>
          <w:pgSz w:w="11907" w:h="16839"/>
          <w:pgMar w:top="1431" w:right="1243" w:bottom="1155" w:left="1258" w:header="0" w:footer="991" w:gutter="0"/>
          <w:pgNumType w:fmt="decimal"/>
          <w:cols w:space="720" w:num="1"/>
        </w:sectPr>
      </w:pPr>
    </w:p>
    <w:p w14:paraId="455A42B8">
      <w:pPr>
        <w:pStyle w:val="5"/>
        <w:spacing w:line="383" w:lineRule="auto"/>
        <w:jc w:val="center"/>
        <w:rPr>
          <w:color w:val="auto"/>
          <w:highlight w:val="none"/>
        </w:rPr>
      </w:pPr>
    </w:p>
    <w:p w14:paraId="3B0FB895">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367" w:name="bookmark14"/>
      <w:bookmarkEnd w:id="367"/>
      <w:bookmarkStart w:id="368" w:name="_Toc23681"/>
      <w:bookmarkStart w:id="369" w:name="_Toc30299"/>
      <w:bookmarkStart w:id="370" w:name="_Toc1312"/>
      <w:bookmarkStart w:id="371" w:name="_Toc1115"/>
      <w:bookmarkStart w:id="372" w:name="_Toc23708"/>
      <w:bookmarkStart w:id="373" w:name="_Toc31208"/>
      <w:bookmarkStart w:id="374" w:name="_Toc20030"/>
      <w:bookmarkStart w:id="375" w:name="_Toc25260"/>
      <w:bookmarkStart w:id="376" w:name="_Toc72"/>
      <w:r>
        <w:rPr>
          <w:rFonts w:hint="eastAsia" w:asciiTheme="minorEastAsia" w:hAnsiTheme="minorEastAsia" w:eastAsiaTheme="minorEastAsia" w:cstheme="minorEastAsia"/>
          <w:b/>
          <w:bCs/>
          <w:sz w:val="28"/>
          <w:szCs w:val="28"/>
          <w:highlight w:val="none"/>
          <w:lang w:val="en-US" w:eastAsia="zh-CN"/>
        </w:rPr>
        <w:t>五、项目技术方案</w:t>
      </w:r>
      <w:bookmarkEnd w:id="368"/>
      <w:bookmarkEnd w:id="369"/>
      <w:bookmarkEnd w:id="370"/>
      <w:bookmarkEnd w:id="371"/>
      <w:bookmarkEnd w:id="372"/>
      <w:bookmarkEnd w:id="373"/>
      <w:bookmarkEnd w:id="374"/>
      <w:bookmarkEnd w:id="375"/>
      <w:bookmarkEnd w:id="376"/>
    </w:p>
    <w:p w14:paraId="098DDEAF">
      <w:pPr>
        <w:pStyle w:val="5"/>
        <w:spacing w:line="258" w:lineRule="auto"/>
        <w:jc w:val="center"/>
        <w:rPr>
          <w:color w:val="auto"/>
          <w:highlight w:val="none"/>
        </w:rPr>
      </w:pPr>
    </w:p>
    <w:p w14:paraId="6E355750">
      <w:pPr>
        <w:jc w:val="center"/>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（根据征集文件自行编制）</w:t>
      </w:r>
    </w:p>
    <w:p w14:paraId="4E087E01">
      <w:pPr>
        <w:jc w:val="center"/>
        <w:rPr>
          <w:b/>
          <w:bCs/>
          <w:highlight w:val="none"/>
        </w:rPr>
        <w:sectPr>
          <w:footerReference r:id="rId12" w:type="default"/>
          <w:pgSz w:w="11907" w:h="16839"/>
          <w:pgMar w:top="1431" w:right="1785" w:bottom="1155" w:left="1785" w:header="0" w:footer="991" w:gutter="0"/>
          <w:pgNumType w:fmt="decimal"/>
          <w:cols w:space="720" w:num="1"/>
        </w:sectPr>
      </w:pPr>
    </w:p>
    <w:p w14:paraId="5A587705">
      <w:pPr>
        <w:pStyle w:val="5"/>
        <w:spacing w:line="292" w:lineRule="auto"/>
        <w:jc w:val="center"/>
        <w:rPr>
          <w:color w:val="auto"/>
          <w:highlight w:val="none"/>
        </w:rPr>
      </w:pPr>
    </w:p>
    <w:p w14:paraId="32EDA4B0">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377" w:name="bookmark15"/>
      <w:bookmarkEnd w:id="377"/>
      <w:bookmarkStart w:id="378" w:name="_Toc18595"/>
      <w:bookmarkStart w:id="379" w:name="_Toc31494"/>
      <w:bookmarkStart w:id="380" w:name="_Toc10497"/>
      <w:bookmarkStart w:id="381" w:name="_Toc29522"/>
      <w:bookmarkStart w:id="382" w:name="_Toc8042"/>
      <w:bookmarkStart w:id="383" w:name="_Toc563"/>
      <w:bookmarkStart w:id="384" w:name="_Toc11493"/>
      <w:bookmarkStart w:id="385" w:name="_Toc19399"/>
      <w:bookmarkStart w:id="386" w:name="_Toc27408"/>
      <w:r>
        <w:rPr>
          <w:rFonts w:hint="eastAsia" w:asciiTheme="minorEastAsia" w:hAnsiTheme="minorEastAsia" w:eastAsiaTheme="minorEastAsia" w:cstheme="minorEastAsia"/>
          <w:b/>
          <w:bCs/>
          <w:sz w:val="28"/>
          <w:szCs w:val="28"/>
          <w:highlight w:val="none"/>
          <w:lang w:val="en-US" w:eastAsia="zh-CN"/>
        </w:rPr>
        <w:t>六、项目服务承诺</w:t>
      </w:r>
      <w:bookmarkEnd w:id="378"/>
      <w:bookmarkEnd w:id="379"/>
      <w:bookmarkEnd w:id="380"/>
      <w:bookmarkEnd w:id="381"/>
      <w:bookmarkEnd w:id="382"/>
      <w:bookmarkEnd w:id="383"/>
      <w:bookmarkEnd w:id="384"/>
      <w:bookmarkEnd w:id="385"/>
      <w:bookmarkEnd w:id="386"/>
    </w:p>
    <w:p w14:paraId="17B5F380">
      <w:pPr>
        <w:pStyle w:val="5"/>
        <w:spacing w:line="250" w:lineRule="auto"/>
        <w:ind w:left="0" w:leftChars="0" w:firstLine="0" w:firstLineChars="0"/>
        <w:jc w:val="both"/>
        <w:rPr>
          <w:color w:val="auto"/>
          <w:highlight w:val="none"/>
        </w:rPr>
      </w:pPr>
    </w:p>
    <w:p w14:paraId="3233671B">
      <w:pPr>
        <w:jc w:val="center"/>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（根据征集文件自行编制）</w:t>
      </w:r>
    </w:p>
    <w:p w14:paraId="479F96C4">
      <w:pPr>
        <w:spacing w:line="220" w:lineRule="auto"/>
        <w:rPr>
          <w:rFonts w:ascii="宋体" w:hAnsi="宋体" w:eastAsia="宋体" w:cs="宋体"/>
          <w:color w:val="auto"/>
          <w:sz w:val="28"/>
          <w:szCs w:val="28"/>
          <w:highlight w:val="none"/>
        </w:rPr>
        <w:sectPr>
          <w:footerReference r:id="rId13" w:type="default"/>
          <w:pgSz w:w="11907" w:h="16839"/>
          <w:pgMar w:top="1431" w:right="1785" w:bottom="1155" w:left="1785" w:header="0" w:footer="991" w:gutter="0"/>
          <w:pgNumType w:fmt="decimal"/>
          <w:cols w:space="720" w:num="1"/>
        </w:sectPr>
      </w:pPr>
    </w:p>
    <w:p w14:paraId="2C8B900C">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387" w:name="bookmark16"/>
      <w:bookmarkEnd w:id="387"/>
      <w:bookmarkStart w:id="388" w:name="_Toc32332"/>
      <w:bookmarkStart w:id="389" w:name="_Toc5192"/>
      <w:bookmarkStart w:id="390" w:name="_Toc19161"/>
      <w:bookmarkStart w:id="391" w:name="_Toc30331"/>
      <w:bookmarkStart w:id="392" w:name="_Toc21737"/>
      <w:bookmarkStart w:id="393" w:name="_Toc20845"/>
      <w:bookmarkStart w:id="394" w:name="_Toc24213"/>
      <w:bookmarkStart w:id="395" w:name="_Toc20556"/>
      <w:bookmarkStart w:id="396" w:name="_Toc25602"/>
      <w:r>
        <w:rPr>
          <w:rFonts w:hint="eastAsia" w:asciiTheme="minorEastAsia" w:hAnsiTheme="minorEastAsia" w:eastAsiaTheme="minorEastAsia" w:cstheme="minorEastAsia"/>
          <w:b/>
          <w:bCs/>
          <w:sz w:val="28"/>
          <w:szCs w:val="28"/>
          <w:highlight w:val="none"/>
          <w:lang w:val="en-US" w:eastAsia="zh-CN"/>
        </w:rPr>
        <w:t>七、项目管理机构</w:t>
      </w:r>
      <w:bookmarkEnd w:id="388"/>
      <w:bookmarkEnd w:id="389"/>
      <w:bookmarkEnd w:id="390"/>
      <w:bookmarkEnd w:id="391"/>
      <w:bookmarkEnd w:id="392"/>
      <w:bookmarkEnd w:id="393"/>
      <w:bookmarkEnd w:id="394"/>
      <w:bookmarkEnd w:id="395"/>
      <w:bookmarkEnd w:id="396"/>
    </w:p>
    <w:p w14:paraId="556FFEDA">
      <w:pPr>
        <w:keepNext w:val="0"/>
        <w:keepLines w:val="0"/>
        <w:pageBreakBefore w:val="0"/>
        <w:wordWrap/>
        <w:overflowPunct/>
        <w:topLinePunct w:val="0"/>
        <w:bidi w:val="0"/>
        <w:adjustRightInd w:val="0"/>
        <w:snapToGrid w:val="0"/>
        <w:spacing w:before="78" w:line="220" w:lineRule="auto"/>
        <w:ind w:left="0" w:leftChars="0" w:firstLine="0" w:firstLineChars="0"/>
        <w:jc w:val="both"/>
        <w:outlineLvl w:val="9"/>
        <w:rPr>
          <w:color w:val="auto"/>
          <w:sz w:val="32"/>
          <w:szCs w:val="32"/>
          <w:highlight w:val="none"/>
        </w:rPr>
      </w:pPr>
      <w:bookmarkStart w:id="397" w:name="_Toc23289"/>
      <w:r>
        <w:rPr>
          <w:rFonts w:hint="eastAsia" w:ascii="宋体" w:hAnsi="宋体" w:eastAsia="宋体" w:cs="宋体"/>
          <w:color w:val="auto"/>
          <w:spacing w:val="-3"/>
          <w:sz w:val="28"/>
          <w:szCs w:val="28"/>
          <w:highlight w:val="none"/>
        </w:rPr>
        <w:t>7.1 项目管理机构组成表</w:t>
      </w:r>
      <w:bookmarkEnd w:id="397"/>
    </w:p>
    <w:tbl>
      <w:tblPr>
        <w:tblStyle w:val="14"/>
        <w:tblW w:w="963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64"/>
        <w:gridCol w:w="964"/>
        <w:gridCol w:w="799"/>
        <w:gridCol w:w="1279"/>
        <w:gridCol w:w="960"/>
        <w:gridCol w:w="796"/>
        <w:gridCol w:w="796"/>
        <w:gridCol w:w="1721"/>
        <w:gridCol w:w="756"/>
      </w:tblGrid>
      <w:tr w14:paraId="52DCCA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jc w:val="center"/>
        </w:trPr>
        <w:tc>
          <w:tcPr>
            <w:tcW w:w="1564" w:type="dxa"/>
            <w:vMerge w:val="restart"/>
            <w:tcBorders>
              <w:bottom w:val="nil"/>
            </w:tcBorders>
            <w:vAlign w:val="center"/>
          </w:tcPr>
          <w:p w14:paraId="0ACE4632">
            <w:pPr>
              <w:pStyle w:val="15"/>
              <w:keepNext w:val="0"/>
              <w:keepLines w:val="0"/>
              <w:pageBreakBefore w:val="0"/>
              <w:wordWrap/>
              <w:overflowPunct/>
              <w:topLinePunct w:val="0"/>
              <w:bidi w:val="0"/>
              <w:adjustRightInd w:val="0"/>
              <w:snapToGrid w:val="0"/>
              <w:spacing w:line="296" w:lineRule="auto"/>
              <w:outlineLvl w:val="9"/>
              <w:rPr>
                <w:color w:val="auto"/>
                <w:sz w:val="24"/>
                <w:szCs w:val="24"/>
                <w:highlight w:val="none"/>
              </w:rPr>
            </w:pPr>
          </w:p>
          <w:p w14:paraId="5ED08961">
            <w:pPr>
              <w:keepNext w:val="0"/>
              <w:keepLines w:val="0"/>
              <w:pageBreakBefore w:val="0"/>
              <w:wordWrap/>
              <w:overflowPunct/>
              <w:topLinePunct w:val="0"/>
              <w:bidi w:val="0"/>
              <w:adjustRightInd w:val="0"/>
              <w:snapToGrid w:val="0"/>
              <w:spacing w:before="78" w:line="220" w:lineRule="auto"/>
              <w:outlineLvl w:val="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职务</w:t>
            </w:r>
          </w:p>
        </w:tc>
        <w:tc>
          <w:tcPr>
            <w:tcW w:w="964" w:type="dxa"/>
            <w:vMerge w:val="restart"/>
            <w:tcBorders>
              <w:bottom w:val="nil"/>
            </w:tcBorders>
            <w:vAlign w:val="center"/>
          </w:tcPr>
          <w:p w14:paraId="64000D59">
            <w:pPr>
              <w:pStyle w:val="15"/>
              <w:keepNext w:val="0"/>
              <w:keepLines w:val="0"/>
              <w:pageBreakBefore w:val="0"/>
              <w:wordWrap/>
              <w:overflowPunct/>
              <w:topLinePunct w:val="0"/>
              <w:bidi w:val="0"/>
              <w:adjustRightInd w:val="0"/>
              <w:snapToGrid w:val="0"/>
              <w:spacing w:line="296" w:lineRule="auto"/>
              <w:outlineLvl w:val="9"/>
              <w:rPr>
                <w:color w:val="auto"/>
                <w:sz w:val="24"/>
                <w:szCs w:val="24"/>
                <w:highlight w:val="none"/>
              </w:rPr>
            </w:pPr>
          </w:p>
          <w:p w14:paraId="53587EC9">
            <w:pPr>
              <w:keepNext w:val="0"/>
              <w:keepLines w:val="0"/>
              <w:pageBreakBefore w:val="0"/>
              <w:wordWrap/>
              <w:overflowPunct/>
              <w:topLinePunct w:val="0"/>
              <w:bidi w:val="0"/>
              <w:adjustRightInd w:val="0"/>
              <w:snapToGrid w:val="0"/>
              <w:spacing w:before="78" w:line="220" w:lineRule="auto"/>
              <w:ind w:left="0" w:leftChars="0" w:firstLine="0" w:firstLineChars="0"/>
              <w:jc w:val="center"/>
              <w:outlineLvl w:val="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姓名</w:t>
            </w:r>
          </w:p>
        </w:tc>
        <w:tc>
          <w:tcPr>
            <w:tcW w:w="799" w:type="dxa"/>
            <w:vMerge w:val="restart"/>
            <w:tcBorders>
              <w:bottom w:val="nil"/>
            </w:tcBorders>
            <w:vAlign w:val="center"/>
          </w:tcPr>
          <w:p w14:paraId="2E8B5DA3">
            <w:pPr>
              <w:pStyle w:val="15"/>
              <w:keepNext w:val="0"/>
              <w:keepLines w:val="0"/>
              <w:pageBreakBefore w:val="0"/>
              <w:wordWrap/>
              <w:overflowPunct/>
              <w:topLinePunct w:val="0"/>
              <w:bidi w:val="0"/>
              <w:adjustRightInd w:val="0"/>
              <w:snapToGrid w:val="0"/>
              <w:spacing w:line="296" w:lineRule="auto"/>
              <w:outlineLvl w:val="9"/>
              <w:rPr>
                <w:color w:val="auto"/>
                <w:sz w:val="24"/>
                <w:szCs w:val="24"/>
                <w:highlight w:val="none"/>
              </w:rPr>
            </w:pPr>
          </w:p>
          <w:p w14:paraId="4E172EA8">
            <w:pPr>
              <w:keepNext w:val="0"/>
              <w:keepLines w:val="0"/>
              <w:pageBreakBefore w:val="0"/>
              <w:wordWrap/>
              <w:overflowPunct/>
              <w:topLinePunct w:val="0"/>
              <w:bidi w:val="0"/>
              <w:adjustRightInd w:val="0"/>
              <w:snapToGrid w:val="0"/>
              <w:spacing w:before="78" w:line="222" w:lineRule="auto"/>
              <w:ind w:left="0" w:leftChars="0" w:firstLine="0" w:firstLineChars="0"/>
              <w:jc w:val="center"/>
              <w:outlineLvl w:val="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职称</w:t>
            </w:r>
          </w:p>
        </w:tc>
        <w:tc>
          <w:tcPr>
            <w:tcW w:w="5552" w:type="dxa"/>
            <w:gridSpan w:val="5"/>
            <w:vAlign w:val="center"/>
          </w:tcPr>
          <w:p w14:paraId="425486B4">
            <w:pPr>
              <w:keepNext w:val="0"/>
              <w:keepLines w:val="0"/>
              <w:pageBreakBefore w:val="0"/>
              <w:wordWrap/>
              <w:overflowPunct/>
              <w:topLinePunct w:val="0"/>
              <w:bidi w:val="0"/>
              <w:adjustRightInd w:val="0"/>
              <w:snapToGrid w:val="0"/>
              <w:spacing w:before="150" w:line="220" w:lineRule="auto"/>
              <w:ind w:left="1701"/>
              <w:jc w:val="left"/>
              <w:outlineLvl w:val="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执业或职业资格证明</w:t>
            </w:r>
          </w:p>
        </w:tc>
        <w:tc>
          <w:tcPr>
            <w:tcW w:w="756" w:type="dxa"/>
            <w:vAlign w:val="center"/>
          </w:tcPr>
          <w:p w14:paraId="6F318522">
            <w:pPr>
              <w:keepNext w:val="0"/>
              <w:keepLines w:val="0"/>
              <w:pageBreakBefore w:val="0"/>
              <w:wordWrap/>
              <w:overflowPunct/>
              <w:topLinePunct w:val="0"/>
              <w:bidi w:val="0"/>
              <w:adjustRightInd w:val="0"/>
              <w:snapToGrid w:val="0"/>
              <w:spacing w:before="150" w:line="221" w:lineRule="auto"/>
              <w:ind w:left="0" w:leftChars="0" w:firstLine="0" w:firstLineChars="0"/>
              <w:jc w:val="center"/>
              <w:outlineLvl w:val="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备注</w:t>
            </w:r>
          </w:p>
        </w:tc>
      </w:tr>
      <w:tr w14:paraId="675549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jc w:val="center"/>
        </w:trPr>
        <w:tc>
          <w:tcPr>
            <w:tcW w:w="1564" w:type="dxa"/>
            <w:vMerge w:val="continue"/>
            <w:tcBorders>
              <w:top w:val="nil"/>
            </w:tcBorders>
            <w:vAlign w:val="center"/>
          </w:tcPr>
          <w:p w14:paraId="1D64A54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Merge w:val="continue"/>
            <w:tcBorders>
              <w:top w:val="nil"/>
            </w:tcBorders>
            <w:vAlign w:val="center"/>
          </w:tcPr>
          <w:p w14:paraId="2D4FB5F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Merge w:val="continue"/>
            <w:tcBorders>
              <w:top w:val="nil"/>
            </w:tcBorders>
            <w:vAlign w:val="center"/>
          </w:tcPr>
          <w:p w14:paraId="284EB8E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center"/>
          </w:tcPr>
          <w:p w14:paraId="235B269B">
            <w:pPr>
              <w:keepNext w:val="0"/>
              <w:keepLines w:val="0"/>
              <w:pageBreakBefore w:val="0"/>
              <w:wordWrap/>
              <w:overflowPunct/>
              <w:topLinePunct w:val="0"/>
              <w:bidi w:val="0"/>
              <w:adjustRightInd w:val="0"/>
              <w:snapToGrid w:val="0"/>
              <w:spacing w:before="149" w:line="219" w:lineRule="auto"/>
              <w:ind w:left="0" w:leftChars="0" w:firstLine="0" w:firstLineChars="0"/>
              <w:jc w:val="center"/>
              <w:outlineLvl w:val="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证书名称</w:t>
            </w:r>
          </w:p>
        </w:tc>
        <w:tc>
          <w:tcPr>
            <w:tcW w:w="960" w:type="dxa"/>
            <w:vAlign w:val="center"/>
          </w:tcPr>
          <w:p w14:paraId="3E2FA3E9">
            <w:pPr>
              <w:keepNext w:val="0"/>
              <w:keepLines w:val="0"/>
              <w:pageBreakBefore w:val="0"/>
              <w:wordWrap/>
              <w:overflowPunct/>
              <w:topLinePunct w:val="0"/>
              <w:bidi w:val="0"/>
              <w:adjustRightInd w:val="0"/>
              <w:snapToGrid w:val="0"/>
              <w:spacing w:before="149" w:line="220" w:lineRule="auto"/>
              <w:ind w:left="0" w:leftChars="0" w:firstLine="0" w:firstLineChars="0"/>
              <w:jc w:val="center"/>
              <w:outlineLvl w:val="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级别</w:t>
            </w:r>
          </w:p>
        </w:tc>
        <w:tc>
          <w:tcPr>
            <w:tcW w:w="796" w:type="dxa"/>
            <w:vAlign w:val="center"/>
          </w:tcPr>
          <w:p w14:paraId="6C391BB5">
            <w:pPr>
              <w:keepNext w:val="0"/>
              <w:keepLines w:val="0"/>
              <w:pageBreakBefore w:val="0"/>
              <w:wordWrap/>
              <w:overflowPunct/>
              <w:topLinePunct w:val="0"/>
              <w:bidi w:val="0"/>
              <w:adjustRightInd w:val="0"/>
              <w:snapToGrid w:val="0"/>
              <w:spacing w:before="149" w:line="220" w:lineRule="auto"/>
              <w:ind w:left="0" w:leftChars="0" w:firstLine="0" w:firstLineChars="0"/>
              <w:jc w:val="center"/>
              <w:outlineLvl w:val="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证号</w:t>
            </w:r>
          </w:p>
        </w:tc>
        <w:tc>
          <w:tcPr>
            <w:tcW w:w="796" w:type="dxa"/>
            <w:vAlign w:val="center"/>
          </w:tcPr>
          <w:p w14:paraId="2ABF9B84">
            <w:pPr>
              <w:keepNext w:val="0"/>
              <w:keepLines w:val="0"/>
              <w:pageBreakBefore w:val="0"/>
              <w:wordWrap/>
              <w:overflowPunct/>
              <w:topLinePunct w:val="0"/>
              <w:bidi w:val="0"/>
              <w:adjustRightInd w:val="0"/>
              <w:snapToGrid w:val="0"/>
              <w:spacing w:before="149" w:line="220" w:lineRule="auto"/>
              <w:ind w:left="0" w:leftChars="0" w:firstLine="0" w:firstLineChars="0"/>
              <w:jc w:val="center"/>
              <w:outlineLvl w:val="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专业</w:t>
            </w:r>
          </w:p>
        </w:tc>
        <w:tc>
          <w:tcPr>
            <w:tcW w:w="1721" w:type="dxa"/>
            <w:vAlign w:val="center"/>
          </w:tcPr>
          <w:p w14:paraId="1BB839DF">
            <w:pPr>
              <w:keepNext w:val="0"/>
              <w:keepLines w:val="0"/>
              <w:pageBreakBefore w:val="0"/>
              <w:wordWrap/>
              <w:overflowPunct/>
              <w:topLinePunct w:val="0"/>
              <w:bidi w:val="0"/>
              <w:adjustRightInd w:val="0"/>
              <w:snapToGrid w:val="0"/>
              <w:spacing w:before="148" w:line="220" w:lineRule="auto"/>
              <w:outlineLvl w:val="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养老保险</w:t>
            </w:r>
          </w:p>
        </w:tc>
        <w:tc>
          <w:tcPr>
            <w:tcW w:w="756" w:type="dxa"/>
            <w:vAlign w:val="center"/>
          </w:tcPr>
          <w:p w14:paraId="4FA45C37">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6B6745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1564" w:type="dxa"/>
            <w:vAlign w:val="top"/>
          </w:tcPr>
          <w:p w14:paraId="5097D20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3599F13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11B004F7">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12630EE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521EA93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7AC0AAA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5C85D28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04C1A01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15D273F9">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22A51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jc w:val="center"/>
        </w:trPr>
        <w:tc>
          <w:tcPr>
            <w:tcW w:w="1564" w:type="dxa"/>
            <w:vAlign w:val="top"/>
          </w:tcPr>
          <w:p w14:paraId="489A90A0">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752721F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68D64664">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6975E63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7EC18EB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59BF17F4">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775BC8F">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6BAD0EF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216F4978">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1CB98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1564" w:type="dxa"/>
            <w:vAlign w:val="top"/>
          </w:tcPr>
          <w:p w14:paraId="0E7D616D">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720BDAC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3E85F875">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4AF38BF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1AFFF60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70698BF">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2545564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683D8A2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60255B8C">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1BFAA9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1564" w:type="dxa"/>
            <w:vAlign w:val="top"/>
          </w:tcPr>
          <w:p w14:paraId="33CCF16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5417EA1F">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48E75F95">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62B4C61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5801DAFF">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3CE3C7FF">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6339972F">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777644E0">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7B1F2285">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3AB21E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1564" w:type="dxa"/>
            <w:vAlign w:val="top"/>
          </w:tcPr>
          <w:p w14:paraId="561076F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55D43E3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228590E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4DB435FD">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4F28A40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0892829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328C7A9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439A635F">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59B3BA4C">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05D990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jc w:val="center"/>
        </w:trPr>
        <w:tc>
          <w:tcPr>
            <w:tcW w:w="1564" w:type="dxa"/>
            <w:vAlign w:val="top"/>
          </w:tcPr>
          <w:p w14:paraId="282EADF6">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466185C6">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4395CC64">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461581A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7033CC4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3856AC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7291FD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46C86AB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4AA1AAAD">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435D2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1564" w:type="dxa"/>
            <w:vAlign w:val="top"/>
          </w:tcPr>
          <w:p w14:paraId="64075666">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6BD9363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4BD2B62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567753A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5884D0E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3CF3A1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23B45AD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10950F6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35BCAC51">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28BB9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jc w:val="center"/>
        </w:trPr>
        <w:tc>
          <w:tcPr>
            <w:tcW w:w="1564" w:type="dxa"/>
            <w:vAlign w:val="top"/>
          </w:tcPr>
          <w:p w14:paraId="2335074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6CF3ADD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0EBE32F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0D41AEC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59E43987">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6DF79AE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9BCFF8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0E30AA8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4700C6EF">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541A27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1564" w:type="dxa"/>
            <w:vAlign w:val="top"/>
          </w:tcPr>
          <w:p w14:paraId="3AD303A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2E6114C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6F5499F6">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5CA995F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78D07C7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1BB289E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0041848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7AC09B0D">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10063316">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095551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jc w:val="center"/>
        </w:trPr>
        <w:tc>
          <w:tcPr>
            <w:tcW w:w="1564" w:type="dxa"/>
            <w:vAlign w:val="top"/>
          </w:tcPr>
          <w:p w14:paraId="6BD86F5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79ECA0ED">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1D1CC31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1CB9F197">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684386E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3760257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133F446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28FF2A5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1FDE5CE8">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06158F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1564" w:type="dxa"/>
            <w:vAlign w:val="top"/>
          </w:tcPr>
          <w:p w14:paraId="6B6E96D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1DDDD6E4">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4E6B7316">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35C0ECA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72B3A48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8204B1D">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03A0BE3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22BEB985">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07DA6331">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62F006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1564" w:type="dxa"/>
            <w:vAlign w:val="top"/>
          </w:tcPr>
          <w:p w14:paraId="3F08905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57EA873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65009D1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4D6024D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6BA51C64">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39FDB270">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71D7CA0">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258070F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11655FB3">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047364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1564" w:type="dxa"/>
            <w:vAlign w:val="top"/>
          </w:tcPr>
          <w:p w14:paraId="70A6CFF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71EF9A1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1556D590">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20DD011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6B64B1F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438CBBE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7CC33CC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0952BEF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668A95D2">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27E7B8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1564" w:type="dxa"/>
            <w:vAlign w:val="top"/>
          </w:tcPr>
          <w:p w14:paraId="0C422D9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1BE9F47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0EA042C4">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7BC6C44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2E3AD91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6E23B96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0A236355">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6BC209B0">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0F8F0E03">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11340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1564" w:type="dxa"/>
            <w:vAlign w:val="top"/>
          </w:tcPr>
          <w:p w14:paraId="3A8D007F">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1F357FA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280344F7">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014C81C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35B4404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1A34AB1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18D82A27">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3FE9B771">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076F0835">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3C8F47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1564" w:type="dxa"/>
            <w:vAlign w:val="top"/>
          </w:tcPr>
          <w:p w14:paraId="03CD9FA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096C5A2B">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0DC926C6">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3C09598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4D056BE2">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7B0089D8">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5A52D13D">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5ACFF9E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0A876DEC">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r w14:paraId="79E2B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jc w:val="center"/>
        </w:trPr>
        <w:tc>
          <w:tcPr>
            <w:tcW w:w="1564" w:type="dxa"/>
            <w:vAlign w:val="top"/>
          </w:tcPr>
          <w:p w14:paraId="271990D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4" w:type="dxa"/>
            <w:vAlign w:val="top"/>
          </w:tcPr>
          <w:p w14:paraId="420B5019">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9" w:type="dxa"/>
            <w:vAlign w:val="top"/>
          </w:tcPr>
          <w:p w14:paraId="61E207D3">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279" w:type="dxa"/>
            <w:vAlign w:val="top"/>
          </w:tcPr>
          <w:p w14:paraId="5D017F9C">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960" w:type="dxa"/>
            <w:vAlign w:val="top"/>
          </w:tcPr>
          <w:p w14:paraId="0C2E6F3E">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7DA872EA">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96" w:type="dxa"/>
            <w:vAlign w:val="top"/>
          </w:tcPr>
          <w:p w14:paraId="74018B0D">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1721" w:type="dxa"/>
            <w:vAlign w:val="top"/>
          </w:tcPr>
          <w:p w14:paraId="3BBE83B0">
            <w:pPr>
              <w:pStyle w:val="15"/>
              <w:keepNext w:val="0"/>
              <w:keepLines w:val="0"/>
              <w:pageBreakBefore w:val="0"/>
              <w:wordWrap/>
              <w:overflowPunct/>
              <w:topLinePunct w:val="0"/>
              <w:bidi w:val="0"/>
              <w:adjustRightInd w:val="0"/>
              <w:snapToGrid w:val="0"/>
              <w:outlineLvl w:val="9"/>
              <w:rPr>
                <w:color w:val="auto"/>
                <w:sz w:val="24"/>
                <w:szCs w:val="24"/>
                <w:highlight w:val="none"/>
              </w:rPr>
            </w:pPr>
          </w:p>
        </w:tc>
        <w:tc>
          <w:tcPr>
            <w:tcW w:w="756" w:type="dxa"/>
            <w:vAlign w:val="top"/>
          </w:tcPr>
          <w:p w14:paraId="3EAF1E7D">
            <w:pPr>
              <w:pStyle w:val="15"/>
              <w:keepNext w:val="0"/>
              <w:keepLines w:val="0"/>
              <w:pageBreakBefore w:val="0"/>
              <w:wordWrap/>
              <w:overflowPunct/>
              <w:topLinePunct w:val="0"/>
              <w:bidi w:val="0"/>
              <w:adjustRightInd w:val="0"/>
              <w:snapToGrid w:val="0"/>
              <w:outlineLvl w:val="9"/>
              <w:rPr>
                <w:color w:val="auto"/>
                <w:sz w:val="24"/>
                <w:szCs w:val="24"/>
                <w:highlight w:val="none"/>
              </w:rPr>
            </w:pPr>
          </w:p>
        </w:tc>
      </w:tr>
    </w:tbl>
    <w:p w14:paraId="71DA3EFF">
      <w:pPr>
        <w:keepNext w:val="0"/>
        <w:keepLines w:val="0"/>
        <w:pageBreakBefore w:val="0"/>
        <w:wordWrap/>
        <w:overflowPunct/>
        <w:topLinePunct w:val="0"/>
        <w:bidi w:val="0"/>
        <w:adjustRightInd w:val="0"/>
        <w:snapToGrid w:val="0"/>
        <w:spacing w:before="304" w:line="219" w:lineRule="auto"/>
        <w:ind w:left="3099"/>
        <w:outlineLvl w:val="9"/>
        <w:rPr>
          <w:rFonts w:ascii="宋体" w:hAnsi="宋体" w:eastAsia="宋体" w:cs="宋体"/>
          <w:color w:val="auto"/>
          <w:spacing w:val="-27"/>
          <w:sz w:val="28"/>
          <w:szCs w:val="28"/>
          <w:highlight w:val="none"/>
        </w:rPr>
      </w:pPr>
    </w:p>
    <w:p w14:paraId="07CA5A2C">
      <w:pPr>
        <w:keepNext w:val="0"/>
        <w:keepLines w:val="0"/>
        <w:pageBreakBefore w:val="0"/>
        <w:wordWrap/>
        <w:overflowPunct/>
        <w:topLinePunct w:val="0"/>
        <w:bidi w:val="0"/>
        <w:adjustRightInd w:val="0"/>
        <w:snapToGrid w:val="0"/>
        <w:spacing w:before="304" w:line="219" w:lineRule="auto"/>
        <w:ind w:left="3099"/>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供 应 商： </w:t>
      </w:r>
      <w:r>
        <w:rPr>
          <w:rFonts w:ascii="宋体" w:hAnsi="宋体" w:eastAsia="宋体" w:cs="宋体"/>
          <w:color w:val="auto"/>
          <w:spacing w:val="0"/>
          <w:sz w:val="24"/>
          <w:szCs w:val="24"/>
          <w:highlight w:val="none"/>
          <w:u w:val="single" w:color="auto"/>
        </w:rPr>
        <w:t xml:space="preserve">                    </w:t>
      </w:r>
      <w:r>
        <w:rPr>
          <w:rFonts w:ascii="宋体" w:hAnsi="宋体" w:eastAsia="宋体" w:cs="宋体"/>
          <w:color w:val="auto"/>
          <w:spacing w:val="0"/>
          <w:sz w:val="24"/>
          <w:szCs w:val="24"/>
          <w:highlight w:val="none"/>
        </w:rPr>
        <w:t xml:space="preserve"> （电子签章）</w:t>
      </w:r>
    </w:p>
    <w:p w14:paraId="65E7C736">
      <w:pPr>
        <w:pStyle w:val="5"/>
        <w:keepNext w:val="0"/>
        <w:keepLines w:val="0"/>
        <w:pageBreakBefore w:val="0"/>
        <w:wordWrap/>
        <w:overflowPunct/>
        <w:topLinePunct w:val="0"/>
        <w:bidi w:val="0"/>
        <w:adjustRightInd w:val="0"/>
        <w:snapToGrid w:val="0"/>
        <w:spacing w:line="283" w:lineRule="auto"/>
        <w:outlineLvl w:val="9"/>
        <w:rPr>
          <w:color w:val="auto"/>
          <w:spacing w:val="0"/>
          <w:sz w:val="24"/>
          <w:szCs w:val="24"/>
          <w:highlight w:val="none"/>
        </w:rPr>
      </w:pPr>
    </w:p>
    <w:p w14:paraId="1910DD02">
      <w:pPr>
        <w:pStyle w:val="5"/>
        <w:keepNext w:val="0"/>
        <w:keepLines w:val="0"/>
        <w:pageBreakBefore w:val="0"/>
        <w:wordWrap/>
        <w:overflowPunct/>
        <w:topLinePunct w:val="0"/>
        <w:bidi w:val="0"/>
        <w:adjustRightInd w:val="0"/>
        <w:snapToGrid w:val="0"/>
        <w:spacing w:line="284" w:lineRule="auto"/>
        <w:outlineLvl w:val="9"/>
        <w:rPr>
          <w:color w:val="auto"/>
          <w:spacing w:val="0"/>
          <w:sz w:val="24"/>
          <w:szCs w:val="24"/>
          <w:highlight w:val="none"/>
        </w:rPr>
      </w:pPr>
    </w:p>
    <w:p w14:paraId="70073C2E">
      <w:pPr>
        <w:keepNext w:val="0"/>
        <w:keepLines w:val="0"/>
        <w:pageBreakBefore w:val="0"/>
        <w:wordWrap/>
        <w:overflowPunct/>
        <w:topLinePunct w:val="0"/>
        <w:bidi w:val="0"/>
        <w:adjustRightInd w:val="0"/>
        <w:snapToGrid w:val="0"/>
        <w:spacing w:before="78" w:line="220" w:lineRule="auto"/>
        <w:ind w:left="3140"/>
        <w:outlineLvl w:val="9"/>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日    期： </w:t>
      </w:r>
      <w:r>
        <w:rPr>
          <w:rFonts w:ascii="宋体" w:hAnsi="宋体" w:eastAsia="宋体" w:cs="宋体"/>
          <w:color w:val="auto"/>
          <w:spacing w:val="0"/>
          <w:sz w:val="24"/>
          <w:szCs w:val="24"/>
          <w:highlight w:val="none"/>
          <w:u w:val="single" w:color="auto"/>
        </w:rPr>
        <w:t xml:space="preserve">         年     月     日</w:t>
      </w:r>
    </w:p>
    <w:p w14:paraId="655BFE81">
      <w:pPr>
        <w:keepNext w:val="0"/>
        <w:keepLines w:val="0"/>
        <w:pageBreakBefore w:val="0"/>
        <w:wordWrap/>
        <w:overflowPunct/>
        <w:topLinePunct w:val="0"/>
        <w:bidi w:val="0"/>
        <w:adjustRightInd w:val="0"/>
        <w:snapToGrid w:val="0"/>
        <w:spacing w:line="220" w:lineRule="auto"/>
        <w:outlineLvl w:val="9"/>
        <w:rPr>
          <w:rFonts w:ascii="宋体" w:hAnsi="宋体" w:eastAsia="宋体" w:cs="宋体"/>
          <w:color w:val="auto"/>
          <w:spacing w:val="0"/>
          <w:sz w:val="24"/>
          <w:szCs w:val="24"/>
          <w:highlight w:val="none"/>
        </w:rPr>
        <w:sectPr>
          <w:footerReference r:id="rId14" w:type="default"/>
          <w:pgSz w:w="11907" w:h="16839"/>
          <w:pgMar w:top="1229" w:right="1130" w:bottom="1155" w:left="1135" w:header="0" w:footer="991" w:gutter="0"/>
          <w:pgNumType w:fmt="decimal"/>
          <w:cols w:space="720" w:num="1"/>
        </w:sectPr>
      </w:pPr>
    </w:p>
    <w:p w14:paraId="1F2C7A9D">
      <w:pPr>
        <w:keepNext w:val="0"/>
        <w:keepLines w:val="0"/>
        <w:pageBreakBefore w:val="0"/>
        <w:wordWrap/>
        <w:overflowPunct/>
        <w:topLinePunct w:val="0"/>
        <w:bidi w:val="0"/>
        <w:adjustRightInd w:val="0"/>
        <w:snapToGrid w:val="0"/>
        <w:spacing w:before="116" w:line="263" w:lineRule="auto"/>
        <w:ind w:left="0" w:leftChars="0" w:firstLine="0" w:firstLineChars="0"/>
        <w:outlineLvl w:val="9"/>
        <w:rPr>
          <w:rFonts w:hint="eastAsia" w:ascii="宋体" w:hAnsi="宋体" w:eastAsia="宋体" w:cs="宋体"/>
          <w:strike w:val="0"/>
          <w:dstrike w:val="0"/>
          <w:color w:val="auto"/>
          <w:spacing w:val="0"/>
          <w:sz w:val="28"/>
          <w:szCs w:val="28"/>
          <w:highlight w:val="none"/>
        </w:rPr>
      </w:pPr>
      <w:bookmarkStart w:id="398" w:name="_Toc3702"/>
      <w:r>
        <w:rPr>
          <w:rFonts w:hint="eastAsia" w:ascii="宋体" w:hAnsi="宋体" w:eastAsia="宋体" w:cs="宋体"/>
          <w:strike w:val="0"/>
          <w:dstrike w:val="0"/>
          <w:color w:val="auto"/>
          <w:spacing w:val="0"/>
          <w:sz w:val="28"/>
          <w:szCs w:val="28"/>
          <w:highlight w:val="none"/>
        </w:rPr>
        <w:t>7.2 项目负责人简历表</w:t>
      </w:r>
      <w:bookmarkEnd w:id="398"/>
    </w:p>
    <w:p w14:paraId="6B4545D5">
      <w:pPr>
        <w:keepNext w:val="0"/>
        <w:keepLines w:val="0"/>
        <w:pageBreakBefore w:val="0"/>
        <w:wordWrap/>
        <w:overflowPunct/>
        <w:topLinePunct w:val="0"/>
        <w:bidi w:val="0"/>
        <w:adjustRightInd w:val="0"/>
        <w:snapToGrid w:val="0"/>
        <w:spacing w:before="116" w:line="263" w:lineRule="auto"/>
        <w:ind w:firstLine="483"/>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“主要人员简历表”中的项目负责人应附</w:t>
      </w:r>
      <w:r>
        <w:rPr>
          <w:rFonts w:hint="eastAsia" w:ascii="宋体" w:hAnsi="宋体" w:eastAsia="宋体" w:cs="宋体"/>
          <w:strike w:val="0"/>
          <w:dstrike w:val="0"/>
          <w:color w:val="auto"/>
          <w:spacing w:val="0"/>
          <w:sz w:val="24"/>
          <w:szCs w:val="24"/>
          <w:highlight w:val="none"/>
          <w:lang w:val="en-US" w:eastAsia="zh-CN"/>
        </w:rPr>
        <w:t>相关</w:t>
      </w:r>
      <w:r>
        <w:rPr>
          <w:rFonts w:hint="eastAsia" w:ascii="宋体" w:hAnsi="宋体" w:eastAsia="宋体" w:cs="宋体"/>
          <w:strike w:val="0"/>
          <w:dstrike w:val="0"/>
          <w:color w:val="auto"/>
          <w:spacing w:val="0"/>
          <w:sz w:val="24"/>
          <w:szCs w:val="24"/>
          <w:highlight w:val="none"/>
        </w:rPr>
        <w:t>证书</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lang w:val="en-US" w:eastAsia="zh-CN"/>
        </w:rPr>
        <w:t>劳动合同、社保证明等</w:t>
      </w:r>
      <w:r>
        <w:rPr>
          <w:rFonts w:hint="eastAsia" w:ascii="宋体" w:hAnsi="宋体" w:eastAsia="宋体" w:cs="宋体"/>
          <w:strike w:val="0"/>
          <w:dstrike w:val="0"/>
          <w:color w:val="auto"/>
          <w:spacing w:val="0"/>
          <w:sz w:val="24"/>
          <w:szCs w:val="24"/>
          <w:highlight w:val="none"/>
        </w:rPr>
        <w:t>；</w:t>
      </w:r>
    </w:p>
    <w:p w14:paraId="7258DFA8">
      <w:pPr>
        <w:keepNext w:val="0"/>
        <w:keepLines w:val="0"/>
        <w:pageBreakBefore w:val="0"/>
        <w:wordWrap/>
        <w:overflowPunct/>
        <w:topLinePunct w:val="0"/>
        <w:bidi w:val="0"/>
        <w:adjustRightInd w:val="0"/>
        <w:snapToGrid w:val="0"/>
        <w:spacing w:line="147" w:lineRule="exact"/>
        <w:outlineLvl w:val="9"/>
        <w:rPr>
          <w:rFonts w:hint="eastAsia" w:ascii="宋体" w:hAnsi="宋体" w:eastAsia="宋体" w:cs="宋体"/>
          <w:strike w:val="0"/>
          <w:dstrike w:val="0"/>
          <w:color w:val="auto"/>
          <w:spacing w:val="0"/>
          <w:sz w:val="28"/>
          <w:szCs w:val="28"/>
          <w:highlight w:val="none"/>
        </w:rPr>
      </w:pPr>
    </w:p>
    <w:tbl>
      <w:tblPr>
        <w:tblStyle w:val="14"/>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44"/>
        <w:gridCol w:w="403"/>
        <w:gridCol w:w="815"/>
        <w:gridCol w:w="1049"/>
        <w:gridCol w:w="1202"/>
        <w:gridCol w:w="799"/>
        <w:gridCol w:w="1425"/>
        <w:gridCol w:w="182"/>
        <w:gridCol w:w="2416"/>
      </w:tblGrid>
      <w:tr w14:paraId="05DFF2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1344" w:type="dxa"/>
            <w:vAlign w:val="top"/>
          </w:tcPr>
          <w:p w14:paraId="33E91F2C">
            <w:pPr>
              <w:keepNext w:val="0"/>
              <w:keepLines w:val="0"/>
              <w:pageBreakBefore w:val="0"/>
              <w:wordWrap/>
              <w:overflowPunct/>
              <w:topLinePunct w:val="0"/>
              <w:bidi w:val="0"/>
              <w:adjustRightInd w:val="0"/>
              <w:snapToGrid w:val="0"/>
              <w:spacing w:before="153" w:line="220" w:lineRule="auto"/>
              <w:ind w:left="0" w:leftChars="0" w:firstLine="0" w:firstLineChars="0"/>
              <w:jc w:val="center"/>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姓  名</w:t>
            </w:r>
          </w:p>
        </w:tc>
        <w:tc>
          <w:tcPr>
            <w:tcW w:w="1218" w:type="dxa"/>
            <w:gridSpan w:val="2"/>
            <w:vAlign w:val="top"/>
          </w:tcPr>
          <w:p w14:paraId="5D598085">
            <w:pPr>
              <w:pStyle w:val="15"/>
              <w:keepNext w:val="0"/>
              <w:keepLines w:val="0"/>
              <w:pageBreakBefore w:val="0"/>
              <w:wordWrap/>
              <w:overflowPunct/>
              <w:topLinePunct w:val="0"/>
              <w:bidi w:val="0"/>
              <w:adjustRightInd w:val="0"/>
              <w:snapToGrid w:val="0"/>
              <w:jc w:val="center"/>
              <w:outlineLvl w:val="9"/>
              <w:rPr>
                <w:rFonts w:hint="eastAsia" w:ascii="宋体" w:hAnsi="宋体" w:eastAsia="宋体" w:cs="宋体"/>
                <w:strike w:val="0"/>
                <w:dstrike w:val="0"/>
                <w:color w:val="auto"/>
                <w:spacing w:val="0"/>
                <w:sz w:val="24"/>
                <w:szCs w:val="24"/>
                <w:highlight w:val="none"/>
              </w:rPr>
            </w:pPr>
          </w:p>
        </w:tc>
        <w:tc>
          <w:tcPr>
            <w:tcW w:w="1049" w:type="dxa"/>
            <w:vAlign w:val="top"/>
          </w:tcPr>
          <w:p w14:paraId="074D5213">
            <w:pPr>
              <w:keepNext w:val="0"/>
              <w:keepLines w:val="0"/>
              <w:pageBreakBefore w:val="0"/>
              <w:wordWrap/>
              <w:overflowPunct/>
              <w:topLinePunct w:val="0"/>
              <w:bidi w:val="0"/>
              <w:adjustRightInd w:val="0"/>
              <w:snapToGrid w:val="0"/>
              <w:spacing w:before="153" w:line="220" w:lineRule="auto"/>
              <w:ind w:left="0" w:leftChars="0" w:firstLine="0" w:firstLineChars="0"/>
              <w:jc w:val="center"/>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年 龄</w:t>
            </w:r>
          </w:p>
        </w:tc>
        <w:tc>
          <w:tcPr>
            <w:tcW w:w="1202" w:type="dxa"/>
            <w:vAlign w:val="top"/>
          </w:tcPr>
          <w:p w14:paraId="234584F4">
            <w:pPr>
              <w:pStyle w:val="15"/>
              <w:keepNext w:val="0"/>
              <w:keepLines w:val="0"/>
              <w:pageBreakBefore w:val="0"/>
              <w:wordWrap/>
              <w:overflowPunct/>
              <w:topLinePunct w:val="0"/>
              <w:bidi w:val="0"/>
              <w:adjustRightInd w:val="0"/>
              <w:snapToGrid w:val="0"/>
              <w:jc w:val="center"/>
              <w:outlineLvl w:val="9"/>
              <w:rPr>
                <w:rFonts w:hint="eastAsia" w:ascii="宋体" w:hAnsi="宋体" w:eastAsia="宋体" w:cs="宋体"/>
                <w:strike w:val="0"/>
                <w:dstrike w:val="0"/>
                <w:color w:val="auto"/>
                <w:spacing w:val="0"/>
                <w:sz w:val="24"/>
                <w:szCs w:val="24"/>
                <w:highlight w:val="none"/>
              </w:rPr>
            </w:pPr>
          </w:p>
        </w:tc>
        <w:tc>
          <w:tcPr>
            <w:tcW w:w="2406" w:type="dxa"/>
            <w:gridSpan w:val="3"/>
            <w:vAlign w:val="top"/>
          </w:tcPr>
          <w:p w14:paraId="78CA5526">
            <w:pPr>
              <w:keepNext w:val="0"/>
              <w:keepLines w:val="0"/>
              <w:pageBreakBefore w:val="0"/>
              <w:wordWrap/>
              <w:overflowPunct/>
              <w:topLinePunct w:val="0"/>
              <w:bidi w:val="0"/>
              <w:adjustRightInd w:val="0"/>
              <w:snapToGrid w:val="0"/>
              <w:spacing w:before="153" w:line="221" w:lineRule="auto"/>
              <w:ind w:left="0" w:leftChars="0" w:firstLine="0" w:firstLineChars="0"/>
              <w:jc w:val="center"/>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学历</w:t>
            </w:r>
          </w:p>
        </w:tc>
        <w:tc>
          <w:tcPr>
            <w:tcW w:w="2416" w:type="dxa"/>
            <w:vAlign w:val="top"/>
          </w:tcPr>
          <w:p w14:paraId="462B1016">
            <w:pPr>
              <w:pStyle w:val="15"/>
              <w:keepNext w:val="0"/>
              <w:keepLines w:val="0"/>
              <w:pageBreakBefore w:val="0"/>
              <w:wordWrap/>
              <w:overflowPunct/>
              <w:topLinePunct w:val="0"/>
              <w:bidi w:val="0"/>
              <w:adjustRightInd w:val="0"/>
              <w:snapToGrid w:val="0"/>
              <w:jc w:val="center"/>
              <w:outlineLvl w:val="9"/>
              <w:rPr>
                <w:rFonts w:hint="eastAsia" w:ascii="宋体" w:hAnsi="宋体" w:eastAsia="宋体" w:cs="宋体"/>
                <w:strike w:val="0"/>
                <w:dstrike w:val="0"/>
                <w:color w:val="auto"/>
                <w:spacing w:val="0"/>
                <w:sz w:val="24"/>
                <w:szCs w:val="24"/>
                <w:highlight w:val="none"/>
              </w:rPr>
            </w:pPr>
          </w:p>
        </w:tc>
      </w:tr>
      <w:tr w14:paraId="2EECE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344" w:type="dxa"/>
            <w:vAlign w:val="top"/>
          </w:tcPr>
          <w:p w14:paraId="27639E9B">
            <w:pPr>
              <w:keepNext w:val="0"/>
              <w:keepLines w:val="0"/>
              <w:pageBreakBefore w:val="0"/>
              <w:wordWrap/>
              <w:overflowPunct/>
              <w:topLinePunct w:val="0"/>
              <w:bidi w:val="0"/>
              <w:adjustRightInd w:val="0"/>
              <w:snapToGrid w:val="0"/>
              <w:spacing w:before="146" w:line="221" w:lineRule="auto"/>
              <w:ind w:left="0" w:leftChars="0" w:firstLine="0" w:firstLineChars="0"/>
              <w:jc w:val="center"/>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职  称</w:t>
            </w:r>
          </w:p>
        </w:tc>
        <w:tc>
          <w:tcPr>
            <w:tcW w:w="1218" w:type="dxa"/>
            <w:gridSpan w:val="2"/>
            <w:vAlign w:val="top"/>
          </w:tcPr>
          <w:p w14:paraId="7D5227ED">
            <w:pPr>
              <w:pStyle w:val="15"/>
              <w:keepNext w:val="0"/>
              <w:keepLines w:val="0"/>
              <w:pageBreakBefore w:val="0"/>
              <w:wordWrap/>
              <w:overflowPunct/>
              <w:topLinePunct w:val="0"/>
              <w:bidi w:val="0"/>
              <w:adjustRightInd w:val="0"/>
              <w:snapToGrid w:val="0"/>
              <w:jc w:val="center"/>
              <w:outlineLvl w:val="9"/>
              <w:rPr>
                <w:rFonts w:hint="eastAsia" w:ascii="宋体" w:hAnsi="宋体" w:eastAsia="宋体" w:cs="宋体"/>
                <w:strike w:val="0"/>
                <w:dstrike w:val="0"/>
                <w:color w:val="auto"/>
                <w:spacing w:val="0"/>
                <w:sz w:val="24"/>
                <w:szCs w:val="24"/>
                <w:highlight w:val="none"/>
              </w:rPr>
            </w:pPr>
          </w:p>
        </w:tc>
        <w:tc>
          <w:tcPr>
            <w:tcW w:w="1049" w:type="dxa"/>
            <w:vAlign w:val="top"/>
          </w:tcPr>
          <w:p w14:paraId="667B53C7">
            <w:pPr>
              <w:keepNext w:val="0"/>
              <w:keepLines w:val="0"/>
              <w:pageBreakBefore w:val="0"/>
              <w:wordWrap/>
              <w:overflowPunct/>
              <w:topLinePunct w:val="0"/>
              <w:bidi w:val="0"/>
              <w:adjustRightInd w:val="0"/>
              <w:snapToGrid w:val="0"/>
              <w:spacing w:before="145" w:line="220" w:lineRule="auto"/>
              <w:ind w:left="0" w:leftChars="0" w:firstLine="0" w:firstLineChars="0"/>
              <w:jc w:val="center"/>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职 务</w:t>
            </w:r>
          </w:p>
        </w:tc>
        <w:tc>
          <w:tcPr>
            <w:tcW w:w="1202" w:type="dxa"/>
            <w:vAlign w:val="top"/>
          </w:tcPr>
          <w:p w14:paraId="48E96D1E">
            <w:pPr>
              <w:pStyle w:val="15"/>
              <w:keepNext w:val="0"/>
              <w:keepLines w:val="0"/>
              <w:pageBreakBefore w:val="0"/>
              <w:wordWrap/>
              <w:overflowPunct/>
              <w:topLinePunct w:val="0"/>
              <w:bidi w:val="0"/>
              <w:adjustRightInd w:val="0"/>
              <w:snapToGrid w:val="0"/>
              <w:jc w:val="center"/>
              <w:outlineLvl w:val="9"/>
              <w:rPr>
                <w:rFonts w:hint="eastAsia" w:ascii="宋体" w:hAnsi="宋体" w:eastAsia="宋体" w:cs="宋体"/>
                <w:strike w:val="0"/>
                <w:dstrike w:val="0"/>
                <w:color w:val="auto"/>
                <w:spacing w:val="0"/>
                <w:sz w:val="24"/>
                <w:szCs w:val="24"/>
                <w:highlight w:val="none"/>
              </w:rPr>
            </w:pPr>
          </w:p>
        </w:tc>
        <w:tc>
          <w:tcPr>
            <w:tcW w:w="2406" w:type="dxa"/>
            <w:gridSpan w:val="3"/>
            <w:vAlign w:val="top"/>
          </w:tcPr>
          <w:p w14:paraId="093B794A">
            <w:pPr>
              <w:keepNext w:val="0"/>
              <w:keepLines w:val="0"/>
              <w:pageBreakBefore w:val="0"/>
              <w:wordWrap/>
              <w:overflowPunct/>
              <w:topLinePunct w:val="0"/>
              <w:bidi w:val="0"/>
              <w:adjustRightInd w:val="0"/>
              <w:snapToGrid w:val="0"/>
              <w:spacing w:before="146" w:line="219" w:lineRule="auto"/>
              <w:ind w:left="0" w:leftChars="0" w:firstLine="0" w:firstLineChars="0"/>
              <w:jc w:val="center"/>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拟在本合同任职</w:t>
            </w:r>
          </w:p>
        </w:tc>
        <w:tc>
          <w:tcPr>
            <w:tcW w:w="2416" w:type="dxa"/>
            <w:vAlign w:val="top"/>
          </w:tcPr>
          <w:p w14:paraId="20A1D28F">
            <w:pPr>
              <w:pStyle w:val="15"/>
              <w:keepNext w:val="0"/>
              <w:keepLines w:val="0"/>
              <w:pageBreakBefore w:val="0"/>
              <w:wordWrap/>
              <w:overflowPunct/>
              <w:topLinePunct w:val="0"/>
              <w:bidi w:val="0"/>
              <w:adjustRightInd w:val="0"/>
              <w:snapToGrid w:val="0"/>
              <w:jc w:val="center"/>
              <w:outlineLvl w:val="9"/>
              <w:rPr>
                <w:rFonts w:hint="eastAsia" w:ascii="宋体" w:hAnsi="宋体" w:eastAsia="宋体" w:cs="宋体"/>
                <w:strike w:val="0"/>
                <w:dstrike w:val="0"/>
                <w:color w:val="auto"/>
                <w:spacing w:val="0"/>
                <w:sz w:val="24"/>
                <w:szCs w:val="24"/>
                <w:highlight w:val="none"/>
              </w:rPr>
            </w:pPr>
          </w:p>
        </w:tc>
      </w:tr>
      <w:tr w14:paraId="5337BF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1344" w:type="dxa"/>
            <w:vAlign w:val="top"/>
          </w:tcPr>
          <w:p w14:paraId="4AB27CCB">
            <w:pPr>
              <w:keepNext w:val="0"/>
              <w:keepLines w:val="0"/>
              <w:pageBreakBefore w:val="0"/>
              <w:wordWrap/>
              <w:overflowPunct/>
              <w:topLinePunct w:val="0"/>
              <w:bidi w:val="0"/>
              <w:adjustRightInd w:val="0"/>
              <w:snapToGrid w:val="0"/>
              <w:spacing w:before="148" w:line="220" w:lineRule="auto"/>
              <w:ind w:left="0" w:leftChars="0" w:firstLine="0" w:firstLineChars="0"/>
              <w:jc w:val="center"/>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毕业学校</w:t>
            </w:r>
          </w:p>
        </w:tc>
        <w:tc>
          <w:tcPr>
            <w:tcW w:w="8291" w:type="dxa"/>
            <w:gridSpan w:val="8"/>
            <w:vAlign w:val="top"/>
          </w:tcPr>
          <w:p w14:paraId="1488D029">
            <w:pPr>
              <w:keepNext w:val="0"/>
              <w:keepLines w:val="0"/>
              <w:pageBreakBefore w:val="0"/>
              <w:wordWrap/>
              <w:overflowPunct/>
              <w:topLinePunct w:val="0"/>
              <w:bidi w:val="0"/>
              <w:adjustRightInd w:val="0"/>
              <w:snapToGrid w:val="0"/>
              <w:spacing w:before="148" w:line="220" w:lineRule="auto"/>
              <w:ind w:left="1991"/>
              <w:jc w:val="both"/>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年毕业于            学校        专业</w:t>
            </w:r>
          </w:p>
        </w:tc>
      </w:tr>
      <w:tr w14:paraId="0AB75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635" w:type="dxa"/>
            <w:gridSpan w:val="9"/>
            <w:vAlign w:val="top"/>
          </w:tcPr>
          <w:p w14:paraId="0EBBBF3A">
            <w:pPr>
              <w:keepNext w:val="0"/>
              <w:keepLines w:val="0"/>
              <w:pageBreakBefore w:val="0"/>
              <w:wordWrap/>
              <w:overflowPunct/>
              <w:topLinePunct w:val="0"/>
              <w:bidi w:val="0"/>
              <w:adjustRightInd w:val="0"/>
              <w:snapToGrid w:val="0"/>
              <w:spacing w:before="146" w:line="220" w:lineRule="auto"/>
              <w:ind w:left="4106"/>
              <w:jc w:val="both"/>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主要工作经历</w:t>
            </w:r>
          </w:p>
        </w:tc>
      </w:tr>
      <w:tr w14:paraId="353CCB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1747" w:type="dxa"/>
            <w:gridSpan w:val="2"/>
            <w:vAlign w:val="top"/>
          </w:tcPr>
          <w:p w14:paraId="203D5753">
            <w:pPr>
              <w:keepNext w:val="0"/>
              <w:keepLines w:val="0"/>
              <w:pageBreakBefore w:val="0"/>
              <w:wordWrap/>
              <w:overflowPunct/>
              <w:topLinePunct w:val="0"/>
              <w:bidi w:val="0"/>
              <w:adjustRightInd w:val="0"/>
              <w:snapToGrid w:val="0"/>
              <w:spacing w:before="148" w:line="221" w:lineRule="auto"/>
              <w:ind w:left="532"/>
              <w:jc w:val="both"/>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时  间</w:t>
            </w:r>
          </w:p>
        </w:tc>
        <w:tc>
          <w:tcPr>
            <w:tcW w:w="3865" w:type="dxa"/>
            <w:gridSpan w:val="4"/>
            <w:vAlign w:val="top"/>
          </w:tcPr>
          <w:p w14:paraId="31935AAB">
            <w:pPr>
              <w:keepNext w:val="0"/>
              <w:keepLines w:val="0"/>
              <w:pageBreakBefore w:val="0"/>
              <w:wordWrap/>
              <w:overflowPunct/>
              <w:topLinePunct w:val="0"/>
              <w:bidi w:val="0"/>
              <w:adjustRightInd w:val="0"/>
              <w:snapToGrid w:val="0"/>
              <w:spacing w:before="148" w:line="220" w:lineRule="auto"/>
              <w:ind w:left="979"/>
              <w:jc w:val="both"/>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参加过的类似项目</w:t>
            </w:r>
          </w:p>
        </w:tc>
        <w:tc>
          <w:tcPr>
            <w:tcW w:w="1425" w:type="dxa"/>
            <w:vAlign w:val="top"/>
          </w:tcPr>
          <w:p w14:paraId="35F11965">
            <w:pPr>
              <w:keepNext w:val="0"/>
              <w:keepLines w:val="0"/>
              <w:pageBreakBefore w:val="0"/>
              <w:wordWrap/>
              <w:overflowPunct/>
              <w:topLinePunct w:val="0"/>
              <w:bidi w:val="0"/>
              <w:adjustRightInd w:val="0"/>
              <w:snapToGrid w:val="0"/>
              <w:spacing w:before="148" w:line="220" w:lineRule="auto"/>
              <w:ind w:left="0" w:leftChars="0" w:firstLine="0" w:firstLineChars="0"/>
              <w:jc w:val="center"/>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担任职务</w:t>
            </w:r>
          </w:p>
        </w:tc>
        <w:tc>
          <w:tcPr>
            <w:tcW w:w="2598" w:type="dxa"/>
            <w:gridSpan w:val="2"/>
            <w:vAlign w:val="top"/>
          </w:tcPr>
          <w:p w14:paraId="002DA744">
            <w:pPr>
              <w:keepNext w:val="0"/>
              <w:keepLines w:val="0"/>
              <w:pageBreakBefore w:val="0"/>
              <w:wordWrap/>
              <w:overflowPunct/>
              <w:topLinePunct w:val="0"/>
              <w:bidi w:val="0"/>
              <w:adjustRightInd w:val="0"/>
              <w:snapToGrid w:val="0"/>
              <w:spacing w:before="148" w:line="220" w:lineRule="auto"/>
              <w:jc w:val="both"/>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发包人及联系电话</w:t>
            </w:r>
          </w:p>
        </w:tc>
      </w:tr>
      <w:tr w14:paraId="3650F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1747" w:type="dxa"/>
            <w:gridSpan w:val="2"/>
            <w:vAlign w:val="top"/>
          </w:tcPr>
          <w:p w14:paraId="27D34F18">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6191511A">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014EFFE2">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044EE331">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0B2485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1747" w:type="dxa"/>
            <w:gridSpan w:val="2"/>
            <w:vAlign w:val="top"/>
          </w:tcPr>
          <w:p w14:paraId="4FB461D4">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76A7A033">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748421CA">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320A44FB">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2C37D6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1747" w:type="dxa"/>
            <w:gridSpan w:val="2"/>
            <w:vAlign w:val="top"/>
          </w:tcPr>
          <w:p w14:paraId="50B733E8">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5177C3E8">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3EF8A5E6">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3FDF583D">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17396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1747" w:type="dxa"/>
            <w:gridSpan w:val="2"/>
            <w:vAlign w:val="top"/>
          </w:tcPr>
          <w:p w14:paraId="1DE0D4EE">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37B9C3FE">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0BFCA952">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35579AE9">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0174AC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1747" w:type="dxa"/>
            <w:gridSpan w:val="2"/>
            <w:vAlign w:val="top"/>
          </w:tcPr>
          <w:p w14:paraId="54F51945">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0B646C9C">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4609AC97">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5EA0C448">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34C03B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1747" w:type="dxa"/>
            <w:gridSpan w:val="2"/>
            <w:vAlign w:val="top"/>
          </w:tcPr>
          <w:p w14:paraId="2D5DBAC7">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2AFE0295">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1FA121DD">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55220202">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6083CD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1747" w:type="dxa"/>
            <w:gridSpan w:val="2"/>
            <w:vAlign w:val="top"/>
          </w:tcPr>
          <w:p w14:paraId="2242F0C8">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68A9977B">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7115DCAF">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2EF1664B">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7A1ECF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1747" w:type="dxa"/>
            <w:gridSpan w:val="2"/>
            <w:vAlign w:val="top"/>
          </w:tcPr>
          <w:p w14:paraId="350145F1">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74F1CB82">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5075B894">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42C16328">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6843E2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1747" w:type="dxa"/>
            <w:gridSpan w:val="2"/>
            <w:vAlign w:val="top"/>
          </w:tcPr>
          <w:p w14:paraId="5133620F">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529A0DDC">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17B1471F">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7A4D7F80">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r w14:paraId="1CD9F7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1747" w:type="dxa"/>
            <w:gridSpan w:val="2"/>
            <w:vAlign w:val="top"/>
          </w:tcPr>
          <w:p w14:paraId="4F9E065A">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3865" w:type="dxa"/>
            <w:gridSpan w:val="4"/>
            <w:vAlign w:val="top"/>
          </w:tcPr>
          <w:p w14:paraId="70C0FF72">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1425" w:type="dxa"/>
            <w:vAlign w:val="top"/>
          </w:tcPr>
          <w:p w14:paraId="54BE4A0B">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c>
          <w:tcPr>
            <w:tcW w:w="2598" w:type="dxa"/>
            <w:gridSpan w:val="2"/>
            <w:vAlign w:val="top"/>
          </w:tcPr>
          <w:p w14:paraId="69548D99">
            <w:pPr>
              <w:pStyle w:val="15"/>
              <w:keepNext w:val="0"/>
              <w:keepLines w:val="0"/>
              <w:pageBreakBefore w:val="0"/>
              <w:wordWrap/>
              <w:overflowPunct/>
              <w:topLinePunct w:val="0"/>
              <w:bidi w:val="0"/>
              <w:adjustRightInd w:val="0"/>
              <w:snapToGrid w:val="0"/>
              <w:outlineLvl w:val="9"/>
              <w:rPr>
                <w:rFonts w:hint="eastAsia" w:ascii="宋体" w:hAnsi="宋体" w:eastAsia="宋体" w:cs="宋体"/>
                <w:strike w:val="0"/>
                <w:dstrike w:val="0"/>
                <w:color w:val="auto"/>
                <w:spacing w:val="0"/>
                <w:sz w:val="24"/>
                <w:szCs w:val="24"/>
                <w:highlight w:val="none"/>
              </w:rPr>
            </w:pPr>
          </w:p>
        </w:tc>
      </w:tr>
    </w:tbl>
    <w:p w14:paraId="688D1D5A">
      <w:pPr>
        <w:pStyle w:val="5"/>
        <w:keepNext w:val="0"/>
        <w:keepLines w:val="0"/>
        <w:pageBreakBefore w:val="0"/>
        <w:wordWrap/>
        <w:overflowPunct/>
        <w:topLinePunct w:val="0"/>
        <w:bidi w:val="0"/>
        <w:adjustRightInd w:val="0"/>
        <w:snapToGrid w:val="0"/>
        <w:spacing w:line="418" w:lineRule="auto"/>
        <w:outlineLvl w:val="9"/>
        <w:rPr>
          <w:rFonts w:hint="eastAsia" w:ascii="宋体" w:hAnsi="宋体" w:eastAsia="宋体" w:cs="宋体"/>
          <w:strike w:val="0"/>
          <w:dstrike w:val="0"/>
          <w:color w:val="auto"/>
          <w:spacing w:val="0"/>
          <w:sz w:val="28"/>
          <w:szCs w:val="28"/>
          <w:highlight w:val="none"/>
        </w:rPr>
      </w:pPr>
    </w:p>
    <w:p w14:paraId="1F41E614">
      <w:pPr>
        <w:keepNext w:val="0"/>
        <w:keepLines w:val="0"/>
        <w:pageBreakBefore w:val="0"/>
        <w:wordWrap/>
        <w:overflowPunct/>
        <w:topLinePunct w:val="0"/>
        <w:bidi w:val="0"/>
        <w:adjustRightInd w:val="0"/>
        <w:snapToGrid w:val="0"/>
        <w:spacing w:before="78" w:line="219" w:lineRule="auto"/>
        <w:ind w:left="3099"/>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供 应 商：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（电子签章）</w:t>
      </w:r>
    </w:p>
    <w:p w14:paraId="69084E47">
      <w:pPr>
        <w:pStyle w:val="5"/>
        <w:keepNext w:val="0"/>
        <w:keepLines w:val="0"/>
        <w:pageBreakBefore w:val="0"/>
        <w:wordWrap/>
        <w:overflowPunct/>
        <w:topLinePunct w:val="0"/>
        <w:bidi w:val="0"/>
        <w:adjustRightInd w:val="0"/>
        <w:snapToGrid w:val="0"/>
        <w:spacing w:line="284" w:lineRule="auto"/>
        <w:ind w:left="0" w:leftChars="0" w:firstLine="0" w:firstLineChars="0"/>
        <w:outlineLvl w:val="9"/>
        <w:rPr>
          <w:rFonts w:hint="eastAsia" w:ascii="宋体" w:hAnsi="宋体" w:eastAsia="宋体" w:cs="宋体"/>
          <w:strike w:val="0"/>
          <w:dstrike w:val="0"/>
          <w:color w:val="auto"/>
          <w:spacing w:val="0"/>
          <w:sz w:val="24"/>
          <w:szCs w:val="24"/>
          <w:highlight w:val="none"/>
        </w:rPr>
      </w:pPr>
    </w:p>
    <w:p w14:paraId="5A70B4E4">
      <w:pPr>
        <w:keepNext w:val="0"/>
        <w:keepLines w:val="0"/>
        <w:pageBreakBefore w:val="0"/>
        <w:wordWrap/>
        <w:overflowPunct/>
        <w:topLinePunct w:val="0"/>
        <w:bidi w:val="0"/>
        <w:adjustRightInd w:val="0"/>
        <w:snapToGrid w:val="0"/>
        <w:spacing w:before="78" w:line="220" w:lineRule="auto"/>
        <w:ind w:left="3140"/>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日    期： </w:t>
      </w:r>
      <w:r>
        <w:rPr>
          <w:rFonts w:hint="eastAsia" w:ascii="宋体" w:hAnsi="宋体" w:eastAsia="宋体" w:cs="宋体"/>
          <w:strike w:val="0"/>
          <w:dstrike w:val="0"/>
          <w:color w:val="auto"/>
          <w:spacing w:val="0"/>
          <w:sz w:val="24"/>
          <w:szCs w:val="24"/>
          <w:highlight w:val="none"/>
          <w:u w:val="single" w:color="auto"/>
        </w:rPr>
        <w:t xml:space="preserve">         年     月     日</w:t>
      </w:r>
    </w:p>
    <w:p w14:paraId="7009D02B">
      <w:pPr>
        <w:keepNext w:val="0"/>
        <w:keepLines w:val="0"/>
        <w:pageBreakBefore w:val="0"/>
        <w:wordWrap/>
        <w:overflowPunct/>
        <w:topLinePunct w:val="0"/>
        <w:bidi w:val="0"/>
        <w:adjustRightInd w:val="0"/>
        <w:snapToGrid w:val="0"/>
        <w:spacing w:line="220" w:lineRule="auto"/>
        <w:outlineLvl w:val="9"/>
        <w:rPr>
          <w:rFonts w:hint="eastAsia" w:ascii="宋体" w:hAnsi="宋体" w:eastAsia="宋体" w:cs="宋体"/>
          <w:strike w:val="0"/>
          <w:dstrike w:val="0"/>
          <w:color w:val="auto"/>
          <w:spacing w:val="0"/>
          <w:sz w:val="24"/>
          <w:szCs w:val="24"/>
          <w:highlight w:val="none"/>
        </w:rPr>
        <w:sectPr>
          <w:footerReference r:id="rId15" w:type="default"/>
          <w:pgSz w:w="11907" w:h="16839"/>
          <w:pgMar w:top="1233" w:right="1130" w:bottom="1155" w:left="1135" w:header="0" w:footer="991" w:gutter="0"/>
          <w:pgNumType w:fmt="decimal"/>
          <w:cols w:space="720" w:num="1"/>
        </w:sectPr>
      </w:pPr>
    </w:p>
    <w:p w14:paraId="1F652F2F">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both"/>
        <w:textAlignment w:val="baseline"/>
        <w:outlineLvl w:val="9"/>
        <w:rPr>
          <w:rFonts w:hint="eastAsia" w:ascii="宋体" w:hAnsi="宋体" w:eastAsia="宋体" w:cs="宋体"/>
          <w:strike w:val="0"/>
          <w:dstrike w:val="0"/>
          <w:color w:val="auto"/>
          <w:spacing w:val="0"/>
          <w:sz w:val="24"/>
          <w:szCs w:val="24"/>
          <w:highlight w:val="none"/>
        </w:rPr>
      </w:pPr>
      <w:bookmarkStart w:id="399" w:name="_Toc14813"/>
      <w:r>
        <w:rPr>
          <w:rFonts w:hint="eastAsia" w:ascii="宋体" w:hAnsi="宋体" w:eastAsia="宋体" w:cs="宋体"/>
          <w:strike w:val="0"/>
          <w:dstrike w:val="0"/>
          <w:color w:val="auto"/>
          <w:spacing w:val="0"/>
          <w:sz w:val="28"/>
          <w:szCs w:val="28"/>
          <w:highlight w:val="none"/>
        </w:rPr>
        <w:t>7.3 拟投入的造价咨询专业人员情况表</w:t>
      </w:r>
      <w:bookmarkEnd w:id="399"/>
    </w:p>
    <w:tbl>
      <w:tblPr>
        <w:tblStyle w:val="14"/>
        <w:tblpPr w:leftFromText="180" w:rightFromText="180" w:vertAnchor="text" w:horzAnchor="page" w:tblpX="1426" w:tblpY="343"/>
        <w:tblOverlap w:val="never"/>
        <w:tblW w:w="951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8"/>
        <w:gridCol w:w="940"/>
        <w:gridCol w:w="922"/>
        <w:gridCol w:w="804"/>
        <w:gridCol w:w="839"/>
        <w:gridCol w:w="981"/>
        <w:gridCol w:w="1819"/>
        <w:gridCol w:w="2333"/>
      </w:tblGrid>
      <w:tr w14:paraId="4E8D4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878" w:type="dxa"/>
            <w:vAlign w:val="center"/>
          </w:tcPr>
          <w:p w14:paraId="6AE9A684">
            <w:pPr>
              <w:keepNext w:val="0"/>
              <w:keepLines w:val="0"/>
              <w:pageBreakBefore w:val="0"/>
              <w:widowControl/>
              <w:kinsoku w:val="0"/>
              <w:wordWrap/>
              <w:overflowPunct/>
              <w:topLinePunct w:val="0"/>
              <w:autoSpaceDE w:val="0"/>
              <w:autoSpaceDN w:val="0"/>
              <w:bidi w:val="0"/>
              <w:adjustRightInd w:val="0"/>
              <w:snapToGrid w:val="0"/>
              <w:spacing w:line="221" w:lineRule="auto"/>
              <w:ind w:left="0" w:leftChars="0" w:right="0" w:firstLine="0" w:firstLineChars="0"/>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序号</w:t>
            </w:r>
          </w:p>
        </w:tc>
        <w:tc>
          <w:tcPr>
            <w:tcW w:w="940" w:type="dxa"/>
            <w:vAlign w:val="center"/>
          </w:tcPr>
          <w:p w14:paraId="25AAEFEF">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姓名</w:t>
            </w:r>
          </w:p>
        </w:tc>
        <w:tc>
          <w:tcPr>
            <w:tcW w:w="922" w:type="dxa"/>
            <w:vAlign w:val="center"/>
          </w:tcPr>
          <w:p w14:paraId="2CB65EB0">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年龄</w:t>
            </w:r>
          </w:p>
        </w:tc>
        <w:tc>
          <w:tcPr>
            <w:tcW w:w="804" w:type="dxa"/>
            <w:vAlign w:val="center"/>
          </w:tcPr>
          <w:p w14:paraId="708AE144">
            <w:pPr>
              <w:keepNext w:val="0"/>
              <w:keepLines w:val="0"/>
              <w:pageBreakBefore w:val="0"/>
              <w:widowControl/>
              <w:kinsoku w:val="0"/>
              <w:wordWrap/>
              <w:overflowPunct/>
              <w:topLinePunct w:val="0"/>
              <w:autoSpaceDE w:val="0"/>
              <w:autoSpaceDN w:val="0"/>
              <w:bidi w:val="0"/>
              <w:adjustRightInd w:val="0"/>
              <w:snapToGrid w:val="0"/>
              <w:spacing w:line="221" w:lineRule="auto"/>
              <w:ind w:left="0" w:leftChars="0" w:right="0" w:firstLine="0" w:firstLineChars="0"/>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学历</w:t>
            </w:r>
          </w:p>
        </w:tc>
        <w:tc>
          <w:tcPr>
            <w:tcW w:w="839" w:type="dxa"/>
            <w:vAlign w:val="center"/>
          </w:tcPr>
          <w:p w14:paraId="39E250D1">
            <w:pPr>
              <w:keepNext w:val="0"/>
              <w:keepLines w:val="0"/>
              <w:pageBreakBefore w:val="0"/>
              <w:widowControl/>
              <w:kinsoku w:val="0"/>
              <w:wordWrap/>
              <w:overflowPunct/>
              <w:topLinePunct w:val="0"/>
              <w:autoSpaceDE w:val="0"/>
              <w:autoSpaceDN w:val="0"/>
              <w:bidi w:val="0"/>
              <w:adjustRightInd w:val="0"/>
              <w:snapToGrid w:val="0"/>
              <w:spacing w:line="220" w:lineRule="auto"/>
              <w:ind w:left="0" w:leftChars="0" w:right="0" w:firstLine="0" w:firstLineChars="0"/>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专业</w:t>
            </w:r>
          </w:p>
        </w:tc>
        <w:tc>
          <w:tcPr>
            <w:tcW w:w="981" w:type="dxa"/>
            <w:vAlign w:val="center"/>
          </w:tcPr>
          <w:p w14:paraId="4B41C4D8">
            <w:pPr>
              <w:keepNext w:val="0"/>
              <w:keepLines w:val="0"/>
              <w:pageBreakBefore w:val="0"/>
              <w:widowControl/>
              <w:kinsoku w:val="0"/>
              <w:wordWrap/>
              <w:overflowPunct/>
              <w:topLinePunct w:val="0"/>
              <w:autoSpaceDE w:val="0"/>
              <w:autoSpaceDN w:val="0"/>
              <w:bidi w:val="0"/>
              <w:adjustRightInd w:val="0"/>
              <w:snapToGrid w:val="0"/>
              <w:spacing w:line="222" w:lineRule="auto"/>
              <w:ind w:left="0" w:right="0"/>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职称</w:t>
            </w:r>
          </w:p>
        </w:tc>
        <w:tc>
          <w:tcPr>
            <w:tcW w:w="1819" w:type="dxa"/>
            <w:vAlign w:val="center"/>
          </w:tcPr>
          <w:p w14:paraId="4ADB6A49">
            <w:pPr>
              <w:keepNext w:val="0"/>
              <w:keepLines w:val="0"/>
              <w:pageBreakBefore w:val="0"/>
              <w:widowControl/>
              <w:kinsoku w:val="0"/>
              <w:wordWrap/>
              <w:overflowPunct/>
              <w:topLinePunct w:val="0"/>
              <w:autoSpaceDE w:val="0"/>
              <w:autoSpaceDN w:val="0"/>
              <w:bidi w:val="0"/>
              <w:adjustRightInd w:val="0"/>
              <w:snapToGrid w:val="0"/>
              <w:spacing w:line="228" w:lineRule="auto"/>
              <w:ind w:left="0" w:right="0" w:firstLine="0"/>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执业资格/</w:t>
            </w:r>
          </w:p>
          <w:p w14:paraId="5C05AE0E">
            <w:pPr>
              <w:keepNext w:val="0"/>
              <w:keepLines w:val="0"/>
              <w:pageBreakBefore w:val="0"/>
              <w:widowControl/>
              <w:kinsoku w:val="0"/>
              <w:wordWrap/>
              <w:overflowPunct/>
              <w:topLinePunct w:val="0"/>
              <w:autoSpaceDE w:val="0"/>
              <w:autoSpaceDN w:val="0"/>
              <w:bidi w:val="0"/>
              <w:adjustRightInd w:val="0"/>
              <w:snapToGrid w:val="0"/>
              <w:spacing w:line="228" w:lineRule="auto"/>
              <w:ind w:left="0" w:right="0" w:firstLine="0"/>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专业</w:t>
            </w:r>
          </w:p>
        </w:tc>
        <w:tc>
          <w:tcPr>
            <w:tcW w:w="2333" w:type="dxa"/>
            <w:vAlign w:val="center"/>
          </w:tcPr>
          <w:p w14:paraId="4089E1D3">
            <w:pPr>
              <w:keepNext w:val="0"/>
              <w:keepLines w:val="0"/>
              <w:pageBreakBefore w:val="0"/>
              <w:widowControl/>
              <w:kinsoku w:val="0"/>
              <w:wordWrap/>
              <w:overflowPunct/>
              <w:topLinePunct w:val="0"/>
              <w:autoSpaceDE w:val="0"/>
              <w:autoSpaceDN w:val="0"/>
              <w:bidi w:val="0"/>
              <w:adjustRightInd w:val="0"/>
              <w:snapToGrid w:val="0"/>
              <w:spacing w:line="227" w:lineRule="auto"/>
              <w:ind w:left="0" w:right="0" w:hanging="243"/>
              <w:jc w:val="center"/>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拟负责专业及工作内容</w:t>
            </w:r>
          </w:p>
        </w:tc>
      </w:tr>
      <w:tr w14:paraId="13A708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878" w:type="dxa"/>
            <w:vAlign w:val="center"/>
          </w:tcPr>
          <w:p w14:paraId="353F1EB6">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4AC33DE7">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5D4A5E3E">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54044CA4">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21207DD7">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06EA459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2C3F445B">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06DF8DF3">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409244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878" w:type="dxa"/>
            <w:vAlign w:val="center"/>
          </w:tcPr>
          <w:p w14:paraId="19DDDDC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6D6391D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42B0A6AC">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72C37ED0">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5D98D44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04B4F147">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48E071A0">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070E3756">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0531A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878" w:type="dxa"/>
            <w:vAlign w:val="center"/>
          </w:tcPr>
          <w:p w14:paraId="0335E44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70D0F8C3">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077491E1">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16A5BD1B">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4C0DEDF7">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084284B0">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1581EE4E">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72A070E0">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4E0009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878" w:type="dxa"/>
            <w:vAlign w:val="center"/>
          </w:tcPr>
          <w:p w14:paraId="55105BD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1BFCC2E4">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7CBFDD03">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48F57B5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4A6C52FA">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56874A1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5798FD92">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00C5E5D6">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2871F1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878" w:type="dxa"/>
            <w:vAlign w:val="center"/>
          </w:tcPr>
          <w:p w14:paraId="11077DC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7465945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2D120B41">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0A62FE83">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625506CA">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64664E4E">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0B636C23">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57E20452">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3BCBCC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878" w:type="dxa"/>
            <w:vAlign w:val="center"/>
          </w:tcPr>
          <w:p w14:paraId="26090ABB">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3641E032">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308D4EF2">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7D1CA7DC">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56CBAF86">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41FC92C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7CF7DA9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66B1F3A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2D667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878" w:type="dxa"/>
            <w:vAlign w:val="center"/>
          </w:tcPr>
          <w:p w14:paraId="1FE486F4">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3EE5C99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289CE80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538DFA81">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5AC26342">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7778F49C">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3E27E371">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2321962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18356C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878" w:type="dxa"/>
            <w:vAlign w:val="center"/>
          </w:tcPr>
          <w:p w14:paraId="099526B3">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2EBFD2C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34BA250C">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70BBF85A">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3A235EAC">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2937C577">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4E8FAD7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1A2F1AD4">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46311A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878" w:type="dxa"/>
            <w:vAlign w:val="center"/>
          </w:tcPr>
          <w:p w14:paraId="62912A16">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33477E24">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369568C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63CD0160">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1B03BA4E">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36B4E0A5">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6D8E7441">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5BFD9713">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52F6FB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878" w:type="dxa"/>
            <w:vAlign w:val="center"/>
          </w:tcPr>
          <w:p w14:paraId="33451FA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1589E22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28750FE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27BA0DE1">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7F1143E2">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332E415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2839458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46C37B7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58BB35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878" w:type="dxa"/>
            <w:vAlign w:val="center"/>
          </w:tcPr>
          <w:p w14:paraId="2EEAABA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39FD6D1E">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78C7B9B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1C4AB9F4">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393E192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49BCF95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3612534C">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28F18E75">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78AF5C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878" w:type="dxa"/>
            <w:vAlign w:val="center"/>
          </w:tcPr>
          <w:p w14:paraId="5452A1C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7596C92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0EEDBE5F">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5ED34AB5">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1373F85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7B2DF247">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5CB7D269">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7B547E1B">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r w14:paraId="0C7C09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878" w:type="dxa"/>
            <w:vAlign w:val="center"/>
          </w:tcPr>
          <w:p w14:paraId="1252A2A8">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40" w:type="dxa"/>
            <w:vAlign w:val="center"/>
          </w:tcPr>
          <w:p w14:paraId="67046292">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22" w:type="dxa"/>
            <w:vAlign w:val="center"/>
          </w:tcPr>
          <w:p w14:paraId="31CE3DC0">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04" w:type="dxa"/>
            <w:vAlign w:val="center"/>
          </w:tcPr>
          <w:p w14:paraId="6D383B5B">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839" w:type="dxa"/>
            <w:vAlign w:val="center"/>
          </w:tcPr>
          <w:p w14:paraId="1A409CFE">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981" w:type="dxa"/>
            <w:vAlign w:val="center"/>
          </w:tcPr>
          <w:p w14:paraId="566132B6">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1819" w:type="dxa"/>
            <w:vAlign w:val="center"/>
          </w:tcPr>
          <w:p w14:paraId="7993861D">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c>
          <w:tcPr>
            <w:tcW w:w="2333" w:type="dxa"/>
            <w:vAlign w:val="center"/>
          </w:tcPr>
          <w:p w14:paraId="6E33A3EC">
            <w:pPr>
              <w:pStyle w:val="15"/>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outlineLvl w:val="9"/>
              <w:rPr>
                <w:rFonts w:hint="eastAsia" w:ascii="宋体" w:hAnsi="宋体" w:eastAsia="宋体" w:cs="宋体"/>
                <w:strike w:val="0"/>
                <w:dstrike w:val="0"/>
                <w:color w:val="auto"/>
                <w:spacing w:val="0"/>
                <w:sz w:val="24"/>
                <w:szCs w:val="24"/>
                <w:highlight w:val="none"/>
              </w:rPr>
            </w:pPr>
          </w:p>
        </w:tc>
      </w:tr>
    </w:tbl>
    <w:p w14:paraId="54FEFB7B">
      <w:pPr>
        <w:keepNext w:val="0"/>
        <w:keepLines w:val="0"/>
        <w:pageBreakBefore w:val="0"/>
        <w:wordWrap/>
        <w:overflowPunct/>
        <w:topLinePunct w:val="0"/>
        <w:bidi w:val="0"/>
        <w:adjustRightInd w:val="0"/>
        <w:snapToGrid w:val="0"/>
        <w:spacing w:before="180"/>
        <w:ind w:left="0" w:leftChars="0" w:firstLine="0" w:firstLineChars="0"/>
        <w:outlineLvl w:val="9"/>
        <w:rPr>
          <w:rFonts w:hint="eastAsia" w:ascii="宋体" w:hAnsi="宋体" w:eastAsia="宋体" w:cs="宋体"/>
          <w:strike w:val="0"/>
          <w:dstrike w:val="0"/>
          <w:color w:val="auto"/>
          <w:spacing w:val="0"/>
          <w:sz w:val="28"/>
          <w:szCs w:val="28"/>
          <w:highlight w:val="none"/>
        </w:rPr>
      </w:pPr>
    </w:p>
    <w:p w14:paraId="258F0782">
      <w:pPr>
        <w:pStyle w:val="5"/>
        <w:keepNext w:val="0"/>
        <w:keepLines w:val="0"/>
        <w:pageBreakBefore w:val="0"/>
        <w:wordWrap/>
        <w:overflowPunct/>
        <w:topLinePunct w:val="0"/>
        <w:bidi w:val="0"/>
        <w:adjustRightInd w:val="0"/>
        <w:snapToGrid w:val="0"/>
        <w:spacing w:line="345" w:lineRule="auto"/>
        <w:outlineLvl w:val="9"/>
        <w:rPr>
          <w:rFonts w:hint="eastAsia" w:ascii="宋体" w:hAnsi="宋体" w:eastAsia="宋体" w:cs="宋体"/>
          <w:strike w:val="0"/>
          <w:dstrike w:val="0"/>
          <w:color w:val="auto"/>
          <w:spacing w:val="0"/>
          <w:sz w:val="28"/>
          <w:szCs w:val="28"/>
          <w:highlight w:val="none"/>
        </w:rPr>
      </w:pPr>
    </w:p>
    <w:p w14:paraId="18A807DD">
      <w:pPr>
        <w:pStyle w:val="5"/>
        <w:keepNext w:val="0"/>
        <w:keepLines w:val="0"/>
        <w:pageBreakBefore w:val="0"/>
        <w:wordWrap/>
        <w:overflowPunct/>
        <w:topLinePunct w:val="0"/>
        <w:bidi w:val="0"/>
        <w:adjustRightInd w:val="0"/>
        <w:snapToGrid w:val="0"/>
        <w:spacing w:line="345" w:lineRule="auto"/>
        <w:outlineLvl w:val="9"/>
        <w:rPr>
          <w:rFonts w:hint="eastAsia" w:ascii="宋体" w:hAnsi="宋体" w:eastAsia="宋体" w:cs="宋体"/>
          <w:strike w:val="0"/>
          <w:dstrike w:val="0"/>
          <w:color w:val="auto"/>
          <w:spacing w:val="0"/>
          <w:sz w:val="28"/>
          <w:szCs w:val="28"/>
          <w:highlight w:val="none"/>
        </w:rPr>
      </w:pPr>
    </w:p>
    <w:p w14:paraId="34A72992">
      <w:pPr>
        <w:keepNext w:val="0"/>
        <w:keepLines w:val="0"/>
        <w:pageBreakBefore w:val="0"/>
        <w:wordWrap/>
        <w:overflowPunct/>
        <w:topLinePunct w:val="0"/>
        <w:bidi w:val="0"/>
        <w:adjustRightInd w:val="0"/>
        <w:snapToGrid w:val="0"/>
        <w:spacing w:before="78" w:line="219" w:lineRule="auto"/>
        <w:ind w:left="2671"/>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供 应 商：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（电子签章）</w:t>
      </w:r>
    </w:p>
    <w:p w14:paraId="0A34CDDD">
      <w:pPr>
        <w:pStyle w:val="5"/>
        <w:keepNext w:val="0"/>
        <w:keepLines w:val="0"/>
        <w:pageBreakBefore w:val="0"/>
        <w:wordWrap/>
        <w:overflowPunct/>
        <w:topLinePunct w:val="0"/>
        <w:bidi w:val="0"/>
        <w:adjustRightInd w:val="0"/>
        <w:snapToGrid w:val="0"/>
        <w:spacing w:line="283" w:lineRule="auto"/>
        <w:outlineLvl w:val="9"/>
        <w:rPr>
          <w:rFonts w:hint="eastAsia" w:ascii="宋体" w:hAnsi="宋体" w:eastAsia="宋体" w:cs="宋体"/>
          <w:strike w:val="0"/>
          <w:dstrike w:val="0"/>
          <w:color w:val="auto"/>
          <w:spacing w:val="0"/>
          <w:sz w:val="24"/>
          <w:szCs w:val="24"/>
          <w:highlight w:val="none"/>
        </w:rPr>
      </w:pPr>
    </w:p>
    <w:p w14:paraId="5F75499A">
      <w:pPr>
        <w:pStyle w:val="5"/>
        <w:keepNext w:val="0"/>
        <w:keepLines w:val="0"/>
        <w:pageBreakBefore w:val="0"/>
        <w:wordWrap/>
        <w:overflowPunct/>
        <w:topLinePunct w:val="0"/>
        <w:bidi w:val="0"/>
        <w:adjustRightInd w:val="0"/>
        <w:snapToGrid w:val="0"/>
        <w:spacing w:line="284" w:lineRule="auto"/>
        <w:outlineLvl w:val="9"/>
        <w:rPr>
          <w:rFonts w:hint="eastAsia" w:ascii="宋体" w:hAnsi="宋体" w:eastAsia="宋体" w:cs="宋体"/>
          <w:strike w:val="0"/>
          <w:dstrike w:val="0"/>
          <w:color w:val="auto"/>
          <w:spacing w:val="0"/>
          <w:sz w:val="24"/>
          <w:szCs w:val="24"/>
          <w:highlight w:val="none"/>
        </w:rPr>
      </w:pPr>
    </w:p>
    <w:p w14:paraId="40EC093E">
      <w:pPr>
        <w:keepNext w:val="0"/>
        <w:keepLines w:val="0"/>
        <w:pageBreakBefore w:val="0"/>
        <w:wordWrap/>
        <w:overflowPunct/>
        <w:topLinePunct w:val="0"/>
        <w:bidi w:val="0"/>
        <w:adjustRightInd w:val="0"/>
        <w:snapToGrid w:val="0"/>
        <w:spacing w:before="78" w:line="220" w:lineRule="auto"/>
        <w:ind w:left="2712"/>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日    期： </w:t>
      </w:r>
      <w:r>
        <w:rPr>
          <w:rFonts w:hint="eastAsia" w:ascii="宋体" w:hAnsi="宋体" w:eastAsia="宋体" w:cs="宋体"/>
          <w:strike w:val="0"/>
          <w:dstrike w:val="0"/>
          <w:color w:val="auto"/>
          <w:spacing w:val="0"/>
          <w:sz w:val="24"/>
          <w:szCs w:val="24"/>
          <w:highlight w:val="none"/>
          <w:u w:val="single" w:color="auto"/>
        </w:rPr>
        <w:t xml:space="preserve">         年     月     日</w:t>
      </w:r>
    </w:p>
    <w:p w14:paraId="386A24E8">
      <w:pPr>
        <w:keepNext w:val="0"/>
        <w:keepLines w:val="0"/>
        <w:pageBreakBefore w:val="0"/>
        <w:wordWrap/>
        <w:overflowPunct/>
        <w:topLinePunct w:val="0"/>
        <w:bidi w:val="0"/>
        <w:adjustRightInd w:val="0"/>
        <w:snapToGrid w:val="0"/>
        <w:spacing w:line="220" w:lineRule="auto"/>
        <w:outlineLvl w:val="9"/>
        <w:rPr>
          <w:rFonts w:hint="eastAsia" w:ascii="宋体" w:hAnsi="宋体" w:eastAsia="宋体" w:cs="宋体"/>
          <w:strike w:val="0"/>
          <w:dstrike w:val="0"/>
          <w:color w:val="auto"/>
          <w:spacing w:val="0"/>
          <w:sz w:val="24"/>
          <w:szCs w:val="24"/>
          <w:highlight w:val="none"/>
        </w:rPr>
        <w:sectPr>
          <w:footerReference r:id="rId16" w:type="default"/>
          <w:pgSz w:w="11907" w:h="16839"/>
          <w:pgMar w:top="1233" w:right="1557" w:bottom="1155" w:left="1562" w:header="0" w:footer="991" w:gutter="0"/>
          <w:pgNumType w:fmt="decimal"/>
          <w:cols w:space="720" w:num="1"/>
        </w:sectPr>
      </w:pPr>
    </w:p>
    <w:p w14:paraId="05AEDE95">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400" w:name="bookmark17"/>
      <w:bookmarkEnd w:id="400"/>
      <w:bookmarkStart w:id="401" w:name="_Toc19181"/>
      <w:bookmarkStart w:id="402" w:name="_Toc32481"/>
      <w:bookmarkStart w:id="403" w:name="_Toc16061"/>
      <w:bookmarkStart w:id="404" w:name="_Toc31578"/>
      <w:bookmarkStart w:id="405" w:name="_Toc20592"/>
      <w:bookmarkStart w:id="406" w:name="_Toc3826"/>
      <w:bookmarkStart w:id="407" w:name="_Toc12194"/>
      <w:bookmarkStart w:id="408" w:name="_Toc18523"/>
      <w:bookmarkStart w:id="409" w:name="_Toc11719"/>
      <w:r>
        <w:rPr>
          <w:rFonts w:hint="eastAsia" w:asciiTheme="minorEastAsia" w:hAnsiTheme="minorEastAsia" w:eastAsiaTheme="minorEastAsia" w:cstheme="minorEastAsia"/>
          <w:b/>
          <w:bCs/>
          <w:sz w:val="28"/>
          <w:szCs w:val="28"/>
          <w:highlight w:val="none"/>
          <w:lang w:val="en-US" w:eastAsia="zh-CN"/>
        </w:rPr>
        <w:t>八、供应商基本情况</w:t>
      </w:r>
      <w:bookmarkEnd w:id="401"/>
      <w:bookmarkEnd w:id="402"/>
      <w:bookmarkEnd w:id="403"/>
      <w:bookmarkEnd w:id="404"/>
      <w:bookmarkEnd w:id="405"/>
      <w:bookmarkEnd w:id="406"/>
      <w:bookmarkEnd w:id="407"/>
      <w:bookmarkEnd w:id="408"/>
      <w:bookmarkEnd w:id="409"/>
    </w:p>
    <w:p w14:paraId="42488042">
      <w:pPr>
        <w:keepNext w:val="0"/>
        <w:keepLines w:val="0"/>
        <w:pageBreakBefore w:val="0"/>
        <w:wordWrap/>
        <w:overflowPunct/>
        <w:topLinePunct w:val="0"/>
        <w:bidi w:val="0"/>
        <w:adjustRightInd w:val="0"/>
        <w:snapToGrid w:val="0"/>
        <w:spacing w:before="91" w:line="480" w:lineRule="auto"/>
        <w:outlineLvl w:val="9"/>
        <w:rPr>
          <w:rFonts w:hint="eastAsia" w:ascii="宋体" w:hAnsi="宋体" w:eastAsia="宋体" w:cs="宋体"/>
          <w:strike w:val="0"/>
          <w:dstrike w:val="0"/>
          <w:color w:val="auto"/>
          <w:spacing w:val="0"/>
          <w:sz w:val="28"/>
          <w:szCs w:val="28"/>
          <w:highlight w:val="none"/>
          <w14:textOutline w14:w="5094" w14:cap="flat" w14:cmpd="sng">
            <w14:solidFill>
              <w14:srgbClr w14:val="000000"/>
            </w14:solidFill>
            <w14:prstDash w14:val="solid"/>
            <w14:miter w14:val="0"/>
          </w14:textOutline>
        </w:rPr>
      </w:pPr>
    </w:p>
    <w:p w14:paraId="4A24568C">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bookmarkStart w:id="410" w:name="_Toc20687"/>
      <w:r>
        <w:rPr>
          <w:rFonts w:hint="eastAsia" w:ascii="宋体" w:hAnsi="宋体" w:eastAsia="宋体" w:cs="宋体"/>
          <w:strike w:val="0"/>
          <w:dstrike w:val="0"/>
          <w:color w:val="auto"/>
          <w:spacing w:val="0"/>
          <w:sz w:val="28"/>
          <w:szCs w:val="28"/>
          <w:highlight w:val="none"/>
        </w:rPr>
        <w:t>（一）供应商基本情况表</w:t>
      </w:r>
      <w:bookmarkEnd w:id="410"/>
    </w:p>
    <w:tbl>
      <w:tblPr>
        <w:tblStyle w:val="14"/>
        <w:tblpPr w:leftFromText="180" w:rightFromText="180" w:vertAnchor="text" w:horzAnchor="page" w:tblpX="1387" w:tblpY="226"/>
        <w:tblOverlap w:val="never"/>
        <w:tblW w:w="92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66"/>
        <w:gridCol w:w="1224"/>
        <w:gridCol w:w="1546"/>
        <w:gridCol w:w="1208"/>
        <w:gridCol w:w="1214"/>
        <w:gridCol w:w="695"/>
        <w:gridCol w:w="1386"/>
      </w:tblGrid>
      <w:tr w14:paraId="0E256B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Align w:val="top"/>
          </w:tcPr>
          <w:p w14:paraId="3EF46B09">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供应商名称</w:t>
            </w:r>
          </w:p>
        </w:tc>
        <w:tc>
          <w:tcPr>
            <w:tcW w:w="7273" w:type="dxa"/>
            <w:gridSpan w:val="6"/>
            <w:vAlign w:val="center"/>
          </w:tcPr>
          <w:p w14:paraId="2E77B0E8">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749E1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Align w:val="center"/>
          </w:tcPr>
          <w:p w14:paraId="2F3F1F6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注册地址</w:t>
            </w:r>
          </w:p>
        </w:tc>
        <w:tc>
          <w:tcPr>
            <w:tcW w:w="3978" w:type="dxa"/>
            <w:gridSpan w:val="3"/>
            <w:vAlign w:val="center"/>
          </w:tcPr>
          <w:p w14:paraId="70973B2C">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1214" w:type="dxa"/>
            <w:vAlign w:val="center"/>
          </w:tcPr>
          <w:p w14:paraId="3AB4DB5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邮政编码</w:t>
            </w:r>
          </w:p>
        </w:tc>
        <w:tc>
          <w:tcPr>
            <w:tcW w:w="2081" w:type="dxa"/>
            <w:gridSpan w:val="2"/>
            <w:vAlign w:val="center"/>
          </w:tcPr>
          <w:p w14:paraId="620B4BFA">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43C34D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Merge w:val="restart"/>
            <w:tcBorders>
              <w:bottom w:val="nil"/>
            </w:tcBorders>
            <w:vAlign w:val="center"/>
          </w:tcPr>
          <w:p w14:paraId="40370DF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联系方式</w:t>
            </w:r>
          </w:p>
        </w:tc>
        <w:tc>
          <w:tcPr>
            <w:tcW w:w="1224" w:type="dxa"/>
            <w:vAlign w:val="center"/>
          </w:tcPr>
          <w:p w14:paraId="50999141">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联系人</w:t>
            </w:r>
          </w:p>
        </w:tc>
        <w:tc>
          <w:tcPr>
            <w:tcW w:w="2754" w:type="dxa"/>
            <w:gridSpan w:val="2"/>
            <w:vAlign w:val="center"/>
          </w:tcPr>
          <w:p w14:paraId="416ADC4C">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1214" w:type="dxa"/>
            <w:vAlign w:val="center"/>
          </w:tcPr>
          <w:p w14:paraId="290C8C4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电话</w:t>
            </w:r>
          </w:p>
        </w:tc>
        <w:tc>
          <w:tcPr>
            <w:tcW w:w="2081" w:type="dxa"/>
            <w:gridSpan w:val="2"/>
            <w:vAlign w:val="center"/>
          </w:tcPr>
          <w:p w14:paraId="08D99EDF">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007C3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Merge w:val="continue"/>
            <w:tcBorders>
              <w:top w:val="nil"/>
            </w:tcBorders>
            <w:vAlign w:val="center"/>
          </w:tcPr>
          <w:p w14:paraId="05856DC9">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1224" w:type="dxa"/>
            <w:vAlign w:val="center"/>
          </w:tcPr>
          <w:p w14:paraId="194378B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传真</w:t>
            </w:r>
          </w:p>
        </w:tc>
        <w:tc>
          <w:tcPr>
            <w:tcW w:w="2754" w:type="dxa"/>
            <w:gridSpan w:val="2"/>
            <w:vAlign w:val="center"/>
          </w:tcPr>
          <w:p w14:paraId="1A4F10F6">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1214" w:type="dxa"/>
            <w:vAlign w:val="center"/>
          </w:tcPr>
          <w:p w14:paraId="07D4C4F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邮箱</w:t>
            </w:r>
          </w:p>
        </w:tc>
        <w:tc>
          <w:tcPr>
            <w:tcW w:w="2081" w:type="dxa"/>
            <w:gridSpan w:val="2"/>
            <w:vAlign w:val="center"/>
          </w:tcPr>
          <w:p w14:paraId="5826EADC">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7C65AA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Align w:val="center"/>
          </w:tcPr>
          <w:p w14:paraId="15502855">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法定代表人</w:t>
            </w:r>
          </w:p>
        </w:tc>
        <w:tc>
          <w:tcPr>
            <w:tcW w:w="1224" w:type="dxa"/>
            <w:vAlign w:val="center"/>
          </w:tcPr>
          <w:p w14:paraId="7AB75DB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姓名</w:t>
            </w:r>
          </w:p>
        </w:tc>
        <w:tc>
          <w:tcPr>
            <w:tcW w:w="1546" w:type="dxa"/>
            <w:vAlign w:val="center"/>
          </w:tcPr>
          <w:p w14:paraId="572A1629">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1208" w:type="dxa"/>
            <w:vAlign w:val="center"/>
          </w:tcPr>
          <w:p w14:paraId="3A9D78E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技术职称</w:t>
            </w:r>
          </w:p>
        </w:tc>
        <w:tc>
          <w:tcPr>
            <w:tcW w:w="1214" w:type="dxa"/>
            <w:vAlign w:val="center"/>
          </w:tcPr>
          <w:p w14:paraId="388E73CF">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695" w:type="dxa"/>
            <w:vAlign w:val="center"/>
          </w:tcPr>
          <w:p w14:paraId="42350E02">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电话</w:t>
            </w:r>
          </w:p>
        </w:tc>
        <w:tc>
          <w:tcPr>
            <w:tcW w:w="1386" w:type="dxa"/>
            <w:vAlign w:val="center"/>
          </w:tcPr>
          <w:p w14:paraId="1656A435">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4B5B4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Align w:val="center"/>
          </w:tcPr>
          <w:p w14:paraId="4317A99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技术负责人</w:t>
            </w:r>
          </w:p>
        </w:tc>
        <w:tc>
          <w:tcPr>
            <w:tcW w:w="1224" w:type="dxa"/>
            <w:vAlign w:val="center"/>
          </w:tcPr>
          <w:p w14:paraId="3AE6F66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姓名</w:t>
            </w:r>
          </w:p>
        </w:tc>
        <w:tc>
          <w:tcPr>
            <w:tcW w:w="1546" w:type="dxa"/>
            <w:vAlign w:val="center"/>
          </w:tcPr>
          <w:p w14:paraId="0628318D">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1208" w:type="dxa"/>
            <w:vAlign w:val="center"/>
          </w:tcPr>
          <w:p w14:paraId="3D8EB37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技术职称</w:t>
            </w:r>
          </w:p>
        </w:tc>
        <w:tc>
          <w:tcPr>
            <w:tcW w:w="1214" w:type="dxa"/>
            <w:vAlign w:val="center"/>
          </w:tcPr>
          <w:p w14:paraId="4684C31F">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695" w:type="dxa"/>
            <w:vAlign w:val="center"/>
          </w:tcPr>
          <w:p w14:paraId="00B56138">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电话</w:t>
            </w:r>
          </w:p>
        </w:tc>
        <w:tc>
          <w:tcPr>
            <w:tcW w:w="1386" w:type="dxa"/>
            <w:vAlign w:val="center"/>
          </w:tcPr>
          <w:p w14:paraId="6CC37D3D">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59C025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Align w:val="center"/>
          </w:tcPr>
          <w:p w14:paraId="3D0F572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成立时间</w:t>
            </w:r>
          </w:p>
        </w:tc>
        <w:tc>
          <w:tcPr>
            <w:tcW w:w="2770" w:type="dxa"/>
            <w:gridSpan w:val="2"/>
            <w:vAlign w:val="center"/>
          </w:tcPr>
          <w:p w14:paraId="25A936DE">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4503" w:type="dxa"/>
            <w:gridSpan w:val="4"/>
            <w:vAlign w:val="center"/>
          </w:tcPr>
          <w:p w14:paraId="117DD36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员工总人数：</w:t>
            </w:r>
          </w:p>
        </w:tc>
      </w:tr>
      <w:tr w14:paraId="1BEA56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5" w:hRule="atLeast"/>
          <w:jc w:val="center"/>
        </w:trPr>
        <w:tc>
          <w:tcPr>
            <w:tcW w:w="1966" w:type="dxa"/>
            <w:vAlign w:val="center"/>
          </w:tcPr>
          <w:p w14:paraId="0BFB824F">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p w14:paraId="146289B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营业执照号</w:t>
            </w:r>
          </w:p>
        </w:tc>
        <w:tc>
          <w:tcPr>
            <w:tcW w:w="2770" w:type="dxa"/>
            <w:gridSpan w:val="2"/>
            <w:vAlign w:val="center"/>
          </w:tcPr>
          <w:p w14:paraId="7328BB5C">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2422" w:type="dxa"/>
            <w:gridSpan w:val="2"/>
            <w:vAlign w:val="center"/>
          </w:tcPr>
          <w:p w14:paraId="33D60E93">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p w14:paraId="40B95C4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高级职称人员</w:t>
            </w:r>
          </w:p>
        </w:tc>
        <w:tc>
          <w:tcPr>
            <w:tcW w:w="2081" w:type="dxa"/>
            <w:gridSpan w:val="2"/>
            <w:vAlign w:val="center"/>
          </w:tcPr>
          <w:p w14:paraId="060C82EC">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26F9C6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Align w:val="center"/>
          </w:tcPr>
          <w:p w14:paraId="5A4E6C86">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注册资金</w:t>
            </w:r>
          </w:p>
        </w:tc>
        <w:tc>
          <w:tcPr>
            <w:tcW w:w="2770" w:type="dxa"/>
            <w:gridSpan w:val="2"/>
            <w:vAlign w:val="center"/>
          </w:tcPr>
          <w:p w14:paraId="4DE87342">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2422" w:type="dxa"/>
            <w:gridSpan w:val="2"/>
            <w:vAlign w:val="center"/>
          </w:tcPr>
          <w:p w14:paraId="7756246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中级职称人员</w:t>
            </w:r>
          </w:p>
        </w:tc>
        <w:tc>
          <w:tcPr>
            <w:tcW w:w="2081" w:type="dxa"/>
            <w:gridSpan w:val="2"/>
            <w:vAlign w:val="center"/>
          </w:tcPr>
          <w:p w14:paraId="6E67D1BC">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5933C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5" w:hRule="atLeast"/>
          <w:jc w:val="center"/>
        </w:trPr>
        <w:tc>
          <w:tcPr>
            <w:tcW w:w="1966" w:type="dxa"/>
            <w:vAlign w:val="center"/>
          </w:tcPr>
          <w:p w14:paraId="50091945">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p w14:paraId="7A4A2FB4">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开户银行</w:t>
            </w:r>
          </w:p>
        </w:tc>
        <w:tc>
          <w:tcPr>
            <w:tcW w:w="2770" w:type="dxa"/>
            <w:gridSpan w:val="2"/>
            <w:vAlign w:val="center"/>
          </w:tcPr>
          <w:p w14:paraId="5D210720">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2422" w:type="dxa"/>
            <w:gridSpan w:val="2"/>
            <w:vAlign w:val="center"/>
          </w:tcPr>
          <w:p w14:paraId="4A8E0EDB">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p w14:paraId="5F58A42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初级职称人员</w:t>
            </w:r>
          </w:p>
        </w:tc>
        <w:tc>
          <w:tcPr>
            <w:tcW w:w="2081" w:type="dxa"/>
            <w:gridSpan w:val="2"/>
            <w:vAlign w:val="center"/>
          </w:tcPr>
          <w:p w14:paraId="1ED18009">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1B52BB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966" w:type="dxa"/>
            <w:vAlign w:val="center"/>
          </w:tcPr>
          <w:p w14:paraId="65AB66C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账号</w:t>
            </w:r>
          </w:p>
        </w:tc>
        <w:tc>
          <w:tcPr>
            <w:tcW w:w="2770" w:type="dxa"/>
            <w:gridSpan w:val="2"/>
            <w:vAlign w:val="center"/>
          </w:tcPr>
          <w:p w14:paraId="41D9F56D">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c>
          <w:tcPr>
            <w:tcW w:w="2422" w:type="dxa"/>
            <w:gridSpan w:val="2"/>
            <w:vAlign w:val="center"/>
          </w:tcPr>
          <w:p w14:paraId="219B555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技工</w:t>
            </w:r>
          </w:p>
        </w:tc>
        <w:tc>
          <w:tcPr>
            <w:tcW w:w="2081" w:type="dxa"/>
            <w:gridSpan w:val="2"/>
            <w:vAlign w:val="center"/>
          </w:tcPr>
          <w:p w14:paraId="319AE64E">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r w14:paraId="3E9EA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jc w:val="center"/>
        </w:trPr>
        <w:tc>
          <w:tcPr>
            <w:tcW w:w="1966" w:type="dxa"/>
            <w:vAlign w:val="center"/>
          </w:tcPr>
          <w:p w14:paraId="2C6B0A9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经营范围备注</w:t>
            </w:r>
          </w:p>
        </w:tc>
        <w:tc>
          <w:tcPr>
            <w:tcW w:w="7273" w:type="dxa"/>
            <w:gridSpan w:val="6"/>
            <w:vAlign w:val="center"/>
          </w:tcPr>
          <w:p w14:paraId="3CE0F7B9">
            <w:pPr>
              <w:pStyle w:val="1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trike w:val="0"/>
                <w:dstrike w:val="0"/>
                <w:color w:val="auto"/>
                <w:spacing w:val="0"/>
                <w:sz w:val="28"/>
                <w:szCs w:val="28"/>
                <w:highlight w:val="none"/>
              </w:rPr>
            </w:pPr>
          </w:p>
        </w:tc>
      </w:tr>
    </w:tbl>
    <w:p w14:paraId="2349CAAE">
      <w:pPr>
        <w:keepNext w:val="0"/>
        <w:keepLines w:val="0"/>
        <w:pageBreakBefore w:val="0"/>
        <w:wordWrap/>
        <w:overflowPunct/>
        <w:topLinePunct w:val="0"/>
        <w:bidi w:val="0"/>
        <w:adjustRightInd w:val="0"/>
        <w:snapToGrid w:val="0"/>
        <w:spacing w:before="33" w:line="219" w:lineRule="auto"/>
        <w:ind w:left="0" w:leftChars="0" w:firstLine="0" w:firstLineChars="0"/>
        <w:outlineLvl w:val="9"/>
        <w:rPr>
          <w:rFonts w:hint="eastAsia" w:ascii="宋体" w:hAnsi="宋体" w:eastAsia="宋体" w:cs="宋体"/>
          <w:strike w:val="0"/>
          <w:dstrike w:val="0"/>
          <w:color w:val="auto"/>
          <w:spacing w:val="0"/>
          <w:sz w:val="28"/>
          <w:szCs w:val="28"/>
          <w:highlight w:val="none"/>
          <w14:textOutline w14:w="4354" w14:cap="flat" w14:cmpd="sng">
            <w14:solidFill>
              <w14:srgbClr w14:val="000000"/>
            </w14:solidFill>
            <w14:prstDash w14:val="solid"/>
            <w14:miter w14:val="0"/>
          </w14:textOutline>
        </w:rPr>
      </w:pPr>
    </w:p>
    <w:p w14:paraId="07A76D1F">
      <w:pPr>
        <w:keepNext w:val="0"/>
        <w:keepLines w:val="0"/>
        <w:pageBreakBefore w:val="0"/>
        <w:wordWrap/>
        <w:overflowPunct/>
        <w:topLinePunct w:val="0"/>
        <w:bidi w:val="0"/>
        <w:adjustRightInd w:val="0"/>
        <w:snapToGrid w:val="0"/>
        <w:spacing w:before="33" w:line="219" w:lineRule="auto"/>
        <w:ind w:left="14"/>
        <w:outlineLvl w:val="9"/>
        <w:rPr>
          <w:rFonts w:hint="eastAsia" w:ascii="宋体" w:hAnsi="宋体" w:eastAsia="宋体" w:cs="宋体"/>
          <w:strike w:val="0"/>
          <w:dstrike w:val="0"/>
          <w:color w:val="auto"/>
          <w:spacing w:val="0"/>
          <w:sz w:val="28"/>
          <w:szCs w:val="28"/>
          <w:highlight w:val="none"/>
          <w14:textOutline w14:w="4354" w14:cap="flat" w14:cmpd="sng">
            <w14:solidFill>
              <w14:srgbClr w14:val="000000"/>
            </w14:solidFill>
            <w14:prstDash w14:val="solid"/>
            <w14:miter w14:val="0"/>
          </w14:textOutline>
        </w:rPr>
      </w:pPr>
    </w:p>
    <w:p w14:paraId="0287AEF4">
      <w:pPr>
        <w:keepNext w:val="0"/>
        <w:keepLines w:val="0"/>
        <w:pageBreakBefore w:val="0"/>
        <w:wordWrap/>
        <w:overflowPunct/>
        <w:topLinePunct w:val="0"/>
        <w:bidi w:val="0"/>
        <w:adjustRightInd w:val="0"/>
        <w:snapToGrid w:val="0"/>
        <w:spacing w:line="219" w:lineRule="auto"/>
        <w:ind w:left="0" w:leftChars="0" w:firstLine="0" w:firstLineChars="0"/>
        <w:outlineLvl w:val="9"/>
        <w:rPr>
          <w:rFonts w:hint="eastAsia" w:ascii="宋体" w:hAnsi="宋体" w:eastAsia="宋体" w:cs="宋体"/>
          <w:strike w:val="0"/>
          <w:dstrike w:val="0"/>
          <w:color w:val="auto"/>
          <w:spacing w:val="0"/>
          <w:sz w:val="28"/>
          <w:szCs w:val="28"/>
          <w:highlight w:val="none"/>
        </w:rPr>
      </w:pPr>
    </w:p>
    <w:p w14:paraId="27A33869">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560" w:firstLineChars="200"/>
        <w:jc w:val="both"/>
        <w:textAlignment w:val="baseline"/>
        <w:rPr>
          <w:rFonts w:hint="eastAsia"/>
          <w:lang w:val="en-US" w:eastAsia="zh-CN"/>
        </w:rPr>
        <w:sectPr>
          <w:footerReference r:id="rId17" w:type="default"/>
          <w:pgSz w:w="11907" w:h="16839"/>
          <w:pgMar w:top="1229" w:right="1392" w:bottom="1155" w:left="1243" w:header="0" w:footer="991" w:gutter="0"/>
          <w:pgNumType w:fmt="decimal"/>
          <w:cols w:space="720" w:num="1"/>
        </w:sectPr>
      </w:pPr>
      <w:r>
        <w:rPr>
          <w:rFonts w:hint="eastAsia" w:ascii="宋体" w:hAnsi="宋体" w:eastAsia="宋体" w:cs="宋体"/>
          <w:strike w:val="0"/>
          <w:dstrike w:val="0"/>
          <w:color w:val="auto"/>
          <w:spacing w:val="0"/>
          <w:sz w:val="28"/>
          <w:szCs w:val="28"/>
          <w:highlight w:val="none"/>
        </w:rPr>
        <w:t>注：相关资格审查资料附后</w:t>
      </w:r>
    </w:p>
    <w:p w14:paraId="22AEF0ED">
      <w:pPr>
        <w:keepNext w:val="0"/>
        <w:keepLines w:val="0"/>
        <w:pageBreakBefore w:val="0"/>
        <w:wordWrap/>
        <w:overflowPunct/>
        <w:topLinePunct w:val="0"/>
        <w:bidi w:val="0"/>
        <w:adjustRightInd w:val="0"/>
        <w:snapToGrid w:val="0"/>
        <w:spacing w:before="47" w:line="360" w:lineRule="auto"/>
        <w:ind w:left="0" w:leftChars="0" w:firstLine="0" w:firstLineChars="0"/>
        <w:outlineLvl w:val="9"/>
        <w:rPr>
          <w:rFonts w:hint="eastAsia" w:ascii="宋体" w:hAnsi="宋体" w:eastAsia="宋体" w:cs="宋体"/>
          <w:strike w:val="0"/>
          <w:dstrike w:val="0"/>
          <w:color w:val="auto"/>
          <w:spacing w:val="0"/>
          <w:sz w:val="28"/>
          <w:szCs w:val="28"/>
          <w:highlight w:val="none"/>
        </w:rPr>
      </w:pPr>
      <w:r>
        <w:rPr>
          <w:rFonts w:hint="eastAsia" w:ascii="宋体" w:hAnsi="宋体" w:eastAsia="宋体" w:cs="宋体"/>
          <w:b/>
          <w:bCs/>
          <w:strike w:val="0"/>
          <w:dstrike w:val="0"/>
          <w:color w:val="auto"/>
          <w:spacing w:val="0"/>
          <w:sz w:val="28"/>
          <w:szCs w:val="28"/>
          <w:highlight w:val="none"/>
          <w:lang w:val="en-US" w:eastAsia="zh-CN"/>
        </w:rPr>
        <w:t>资格审查资料：</w:t>
      </w:r>
    </w:p>
    <w:p w14:paraId="29A4300D">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bookmarkStart w:id="411" w:name="_Toc28553"/>
      <w:bookmarkStart w:id="412" w:name="_Toc27877"/>
      <w:bookmarkStart w:id="413" w:name="_Toc9968"/>
      <w:bookmarkStart w:id="414" w:name="_Toc21767"/>
      <w:bookmarkStart w:id="415" w:name="_Toc32399"/>
      <w:bookmarkStart w:id="416" w:name="_Toc30192"/>
      <w:bookmarkStart w:id="417" w:name="_Toc20859"/>
      <w:bookmarkStart w:id="418" w:name="_Toc22197"/>
      <w:r>
        <w:rPr>
          <w:rFonts w:hint="eastAsia" w:asciiTheme="minorEastAsia" w:hAnsiTheme="minorEastAsia" w:eastAsiaTheme="minorEastAsia" w:cstheme="minorEastAsia"/>
          <w:sz w:val="24"/>
          <w:szCs w:val="24"/>
          <w:highlight w:val="none"/>
          <w:lang w:eastAsia="zh-CN"/>
        </w:rPr>
        <w:t>1.供应商参加本次政府采购活动必须符合《中华人民共和国政府采购法》第二十一条、第二十二条的规定并同时具备有效的营业执照</w:t>
      </w:r>
      <w:r>
        <w:rPr>
          <w:rFonts w:hint="eastAsia" w:asciiTheme="minorEastAsia" w:hAnsiTheme="minorEastAsia" w:eastAsiaTheme="minorEastAsia" w:cstheme="minorEastAsia"/>
          <w:sz w:val="24"/>
          <w:szCs w:val="24"/>
          <w:highlight w:val="none"/>
          <w:lang w:val="en-US" w:eastAsia="zh-CN"/>
        </w:rPr>
        <w:t>；</w:t>
      </w:r>
    </w:p>
    <w:p w14:paraId="29277232">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2.落实政府采购政策满足的资格要求：</w:t>
      </w:r>
    </w:p>
    <w:p w14:paraId="0AFECC4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本项目不属于专门面向中小企业采购的项目，但执行促进中小型企业发展政策、助力扶贫企业政策、支持残疾人单位和监狱企业政策等政府采购政策。</w:t>
      </w:r>
    </w:p>
    <w:p w14:paraId="21C7218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3.本项目的特定资格要求</w:t>
      </w:r>
    </w:p>
    <w:p w14:paraId="042F3EE5">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（1）具有有效的营业执照或事业单位法人证书；；</w:t>
      </w:r>
    </w:p>
    <w:p w14:paraId="389A705E">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）一标段供应商须具有工程咨询单位乙级（含乙级）及以上资信证书；</w:t>
      </w:r>
    </w:p>
    <w:p w14:paraId="434DF8B0">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）二标段供应商须具有规划或设计乙级（含乙级）及以上资质；</w:t>
      </w:r>
    </w:p>
    <w:p w14:paraId="30A2EAFF">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）拟派项目负责人须具有相关专业中级及以上（含中级）职称，提供社保缴费证明</w:t>
      </w:r>
    </w:p>
    <w:p w14:paraId="1D4E67CB">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）供应商需提供本单位出具的无商业贿赂及不正当竞争行为的承诺书；</w:t>
      </w:r>
    </w:p>
    <w:p w14:paraId="6580D254">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）供应商出具无行贿犯罪记录在中国裁判文书网自行查询或自行承诺；（查询对象：企业、法定代表人）</w:t>
      </w:r>
    </w:p>
    <w:p w14:paraId="3F788C9A">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未被列入“中国执行信息公开网”（http://zxgk.court.gov.cn/shixin）失信被执行人、“信用中国”网站（www.creditchina.gov.cn）重大税收违法失信主体、“中国政府采购网”（http://www.ccgp.gov.cn）政府采购严重违法失信行为名单，提供网页查询信息截图；（查询时间自公告发布之日起）；</w:t>
      </w:r>
    </w:p>
    <w:p w14:paraId="50107379">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lang w:eastAsia="zh-CN"/>
        </w:rPr>
        <w:t>）单位负责人为同一人或者存在控股、管理关系的不同单位，不得同时参加本项目（提供“国家企业信用信息公示系统”</w:t>
      </w:r>
      <w:r>
        <w:rPr>
          <w:rFonts w:hint="eastAsia" w:asciiTheme="minorEastAsia" w:hAnsiTheme="minorEastAsia" w:eastAsiaTheme="minorEastAsia" w:cstheme="minorEastAsia"/>
          <w:color w:val="auto"/>
          <w:sz w:val="24"/>
          <w:szCs w:val="24"/>
          <w:highlight w:val="none"/>
          <w:lang w:val="en-US" w:eastAsia="zh-CN"/>
        </w:rPr>
        <w:t>中</w:t>
      </w:r>
      <w:r>
        <w:rPr>
          <w:rFonts w:hint="eastAsia" w:asciiTheme="minorEastAsia" w:hAnsiTheme="minorEastAsia" w:eastAsiaTheme="minorEastAsia" w:cstheme="minorEastAsia"/>
          <w:color w:val="auto"/>
          <w:sz w:val="24"/>
          <w:szCs w:val="24"/>
          <w:highlight w:val="none"/>
          <w:lang w:eastAsia="zh-CN"/>
        </w:rPr>
        <w:t>公示的公司信息、股东或投资人信息）。（查询时间自公告发布之日起）；</w:t>
      </w:r>
    </w:p>
    <w:p w14:paraId="28D54293">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lang w:eastAsia="zh-CN"/>
        </w:rPr>
        <w:t>）本项目不接受联合体投标；</w:t>
      </w:r>
    </w:p>
    <w:p w14:paraId="62DCCD7D">
      <w:pPr>
        <w:pStyle w:val="6"/>
        <w:keepNext w:val="0"/>
        <w:keepLines w:val="0"/>
        <w:pageBreakBefore w:val="0"/>
        <w:widowControl/>
        <w:kinsoku w:val="0"/>
        <w:wordWrap w:val="0"/>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lang w:eastAsia="zh-CN"/>
        </w:rPr>
        <w:t>）本次征集实行资格后审，资格审查的具体要求见征集文件。</w:t>
      </w:r>
    </w:p>
    <w:p w14:paraId="13317151">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p>
    <w:p w14:paraId="7E986206">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p>
    <w:p w14:paraId="6B6F8AD3">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p>
    <w:p w14:paraId="45BB7100">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p>
    <w:p w14:paraId="30625921">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p>
    <w:p w14:paraId="5B6256D3">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p>
    <w:p w14:paraId="360ADE51">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p>
    <w:p w14:paraId="7E0D42A6">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lang w:val="en-US" w:eastAsia="zh-CN"/>
        </w:rPr>
        <w:t>九、供应商承诺书</w:t>
      </w:r>
      <w:bookmarkEnd w:id="411"/>
      <w:bookmarkEnd w:id="412"/>
      <w:bookmarkEnd w:id="413"/>
      <w:bookmarkEnd w:id="414"/>
      <w:bookmarkEnd w:id="415"/>
      <w:bookmarkEnd w:id="416"/>
      <w:bookmarkEnd w:id="417"/>
      <w:bookmarkEnd w:id="418"/>
    </w:p>
    <w:p w14:paraId="74647E9D">
      <w:pPr>
        <w:pStyle w:val="6"/>
        <w:keepNext w:val="0"/>
        <w:keepLines w:val="0"/>
        <w:pageBreakBefore w:val="0"/>
        <w:widowControl/>
        <w:kinsoku w:val="0"/>
        <w:wordWrap/>
        <w:overflowPunct/>
        <w:topLinePunct w:val="0"/>
        <w:autoSpaceDE w:val="0"/>
        <w:autoSpaceDN w:val="0"/>
        <w:bidi w:val="0"/>
        <w:adjustRightInd w:val="0"/>
        <w:snapToGrid w:val="0"/>
        <w:spacing w:line="600" w:lineRule="exact"/>
        <w:ind w:firstLine="0" w:firstLineChars="0"/>
        <w:textAlignment w:val="baseline"/>
        <w:outlineLvl w:val="9"/>
        <w:rPr>
          <w:rFonts w:hint="eastAsia" w:ascii="宋体" w:hAnsi="宋体" w:eastAsia="宋体" w:cs="宋体"/>
          <w:strike w:val="0"/>
          <w:dstrike w:val="0"/>
          <w:color w:val="auto"/>
          <w:spacing w:val="0"/>
          <w:sz w:val="28"/>
          <w:szCs w:val="28"/>
          <w:highlight w:val="none"/>
        </w:rPr>
      </w:pPr>
    </w:p>
    <w:p w14:paraId="451E39F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trike w:val="0"/>
          <w:dstrike w:val="0"/>
          <w:color w:val="auto"/>
          <w:spacing w:val="0"/>
          <w:sz w:val="28"/>
          <w:szCs w:val="28"/>
          <w:highlight w:val="none"/>
        </w:rPr>
      </w:pPr>
    </w:p>
    <w:p w14:paraId="33E87BC3">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outlineLvl w:val="9"/>
        <w:rPr>
          <w:rFonts w:hint="eastAsia" w:ascii="宋体" w:hAnsi="宋体" w:eastAsia="宋体" w:cs="宋体"/>
          <w:strike w:val="0"/>
          <w:dstrike w:val="0"/>
          <w:color w:val="auto"/>
          <w:spacing w:val="0"/>
          <w:sz w:val="24"/>
          <w:szCs w:val="24"/>
          <w:highlight w:val="none"/>
          <w:u w:val="single"/>
          <w:lang w:val="en-US" w:eastAsia="zh-CN"/>
        </w:rPr>
      </w:pPr>
      <w:r>
        <w:rPr>
          <w:rFonts w:hint="eastAsia" w:ascii="宋体" w:hAnsi="宋体" w:eastAsia="宋体" w:cs="宋体"/>
          <w:strike w:val="0"/>
          <w:dstrike w:val="0"/>
          <w:color w:val="auto"/>
          <w:spacing w:val="0"/>
          <w:sz w:val="24"/>
          <w:szCs w:val="24"/>
          <w:highlight w:val="none"/>
        </w:rPr>
        <w:t>（征集人名称）：</w:t>
      </w:r>
      <w:r>
        <w:rPr>
          <w:rFonts w:hint="eastAsia" w:ascii="宋体" w:hAnsi="宋体" w:eastAsia="宋体" w:cs="宋体"/>
          <w:strike w:val="0"/>
          <w:dstrike w:val="0"/>
          <w:color w:val="auto"/>
          <w:spacing w:val="0"/>
          <w:sz w:val="24"/>
          <w:szCs w:val="24"/>
          <w:highlight w:val="none"/>
          <w:u w:val="single"/>
          <w:lang w:val="en-US" w:eastAsia="zh-CN"/>
        </w:rPr>
        <w:t xml:space="preserve">          </w:t>
      </w:r>
    </w:p>
    <w:p w14:paraId="06A48755">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我方承诺，我方满足《中华人民共和国政府采购法》</w:t>
      </w:r>
      <w:r>
        <w:rPr>
          <w:rFonts w:hint="eastAsia" w:ascii="宋体" w:hAnsi="宋体" w:eastAsia="宋体" w:cs="宋体"/>
          <w:strike w:val="0"/>
          <w:dstrike w:val="0"/>
          <w:color w:val="auto"/>
          <w:spacing w:val="0"/>
          <w:sz w:val="24"/>
          <w:szCs w:val="24"/>
          <w:highlight w:val="none"/>
          <w:lang w:val="en-US" w:eastAsia="zh-CN"/>
        </w:rPr>
        <w:t>第二十一条、</w:t>
      </w:r>
      <w:r>
        <w:rPr>
          <w:rFonts w:hint="eastAsia" w:ascii="宋体" w:hAnsi="宋体" w:eastAsia="宋体" w:cs="宋体"/>
          <w:strike w:val="0"/>
          <w:dstrike w:val="0"/>
          <w:color w:val="auto"/>
          <w:spacing w:val="0"/>
          <w:sz w:val="24"/>
          <w:szCs w:val="24"/>
          <w:highlight w:val="none"/>
        </w:rPr>
        <w:t>第二十二条的所有规定。</w:t>
      </w:r>
    </w:p>
    <w:p w14:paraId="17B42F66">
      <w:pPr>
        <w:pStyle w:val="5"/>
        <w:keepNext w:val="0"/>
        <w:keepLines w:val="0"/>
        <w:pageBreakBefore w:val="0"/>
        <w:widowControl/>
        <w:kinsoku w:val="0"/>
        <w:wordWrap/>
        <w:overflowPunct/>
        <w:topLinePunct w:val="0"/>
        <w:autoSpaceDE w:val="0"/>
        <w:autoSpaceDN w:val="0"/>
        <w:bidi w:val="0"/>
        <w:adjustRightInd w:val="0"/>
        <w:snapToGrid w:val="0"/>
        <w:spacing w:line="480" w:lineRule="auto"/>
        <w:ind w:lef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我方保证上述信息的真实和准确，并愿意承担因我方就此弄虚作假所引起的一切法律后果。</w:t>
      </w:r>
    </w:p>
    <w:p w14:paraId="4B975A65">
      <w:pPr>
        <w:pStyle w:val="5"/>
        <w:keepNext w:val="0"/>
        <w:keepLines w:val="0"/>
        <w:pageBreakBefore w:val="0"/>
        <w:widowControl/>
        <w:kinsoku w:val="0"/>
        <w:wordWrap/>
        <w:overflowPunct/>
        <w:topLinePunct w:val="0"/>
        <w:autoSpaceDE w:val="0"/>
        <w:autoSpaceDN w:val="0"/>
        <w:bidi w:val="0"/>
        <w:adjustRightInd w:val="0"/>
        <w:snapToGrid w:val="0"/>
        <w:spacing w:line="480" w:lineRule="auto"/>
        <w:ind w:lef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6BF05F1C">
      <w:pPr>
        <w:pStyle w:val="5"/>
        <w:keepNext w:val="0"/>
        <w:keepLines w:val="0"/>
        <w:pageBreakBefore w:val="0"/>
        <w:widowControl/>
        <w:kinsoku w:val="0"/>
        <w:wordWrap/>
        <w:overflowPunct/>
        <w:topLinePunct w:val="0"/>
        <w:autoSpaceDE w:val="0"/>
        <w:autoSpaceDN w:val="0"/>
        <w:bidi w:val="0"/>
        <w:adjustRightInd w:val="0"/>
        <w:snapToGrid w:val="0"/>
        <w:spacing w:line="480" w:lineRule="auto"/>
        <w:ind w:lef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130327F5">
      <w:pPr>
        <w:pStyle w:val="5"/>
        <w:keepNext w:val="0"/>
        <w:keepLines w:val="0"/>
        <w:pageBreakBefore w:val="0"/>
        <w:widowControl/>
        <w:kinsoku w:val="0"/>
        <w:wordWrap/>
        <w:overflowPunct/>
        <w:topLinePunct w:val="0"/>
        <w:autoSpaceDE w:val="0"/>
        <w:autoSpaceDN w:val="0"/>
        <w:bidi w:val="0"/>
        <w:adjustRightInd w:val="0"/>
        <w:snapToGrid w:val="0"/>
        <w:spacing w:line="480" w:lineRule="auto"/>
        <w:ind w:lef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0D3AA495">
      <w:pPr>
        <w:pStyle w:val="5"/>
        <w:keepNext w:val="0"/>
        <w:keepLines w:val="0"/>
        <w:pageBreakBefore w:val="0"/>
        <w:widowControl/>
        <w:kinsoku w:val="0"/>
        <w:wordWrap/>
        <w:overflowPunct/>
        <w:topLinePunct w:val="0"/>
        <w:autoSpaceDE w:val="0"/>
        <w:autoSpaceDN w:val="0"/>
        <w:bidi w:val="0"/>
        <w:adjustRightInd w:val="0"/>
        <w:snapToGrid w:val="0"/>
        <w:spacing w:line="480" w:lineRule="auto"/>
        <w:ind w:lef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0CA67D96">
      <w:pPr>
        <w:keepNext w:val="0"/>
        <w:keepLines w:val="0"/>
        <w:pageBreakBefore w:val="0"/>
        <w:widowControl/>
        <w:kinsoku w:val="0"/>
        <w:wordWrap/>
        <w:overflowPunct/>
        <w:topLinePunct w:val="0"/>
        <w:autoSpaceDE w:val="0"/>
        <w:autoSpaceDN w:val="0"/>
        <w:bidi w:val="0"/>
        <w:adjustRightInd w:val="0"/>
        <w:snapToGrid w:val="0"/>
        <w:spacing w:line="480" w:lineRule="auto"/>
        <w:ind w:lef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特此承诺</w:t>
      </w:r>
    </w:p>
    <w:p w14:paraId="1DA1BCB3">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firstLine="560" w:firstLineChars="200"/>
        <w:textAlignment w:val="baseline"/>
        <w:outlineLvl w:val="9"/>
        <w:rPr>
          <w:rFonts w:hint="eastAsia" w:ascii="宋体" w:hAnsi="宋体" w:eastAsia="宋体" w:cs="宋体"/>
          <w:strike w:val="0"/>
          <w:dstrike w:val="0"/>
          <w:color w:val="auto"/>
          <w:spacing w:val="0"/>
          <w:sz w:val="28"/>
          <w:szCs w:val="28"/>
          <w:highlight w:val="none"/>
        </w:rPr>
      </w:pPr>
    </w:p>
    <w:p w14:paraId="01F7BBE2">
      <w:pPr>
        <w:pStyle w:val="5"/>
        <w:keepNext w:val="0"/>
        <w:keepLines w:val="0"/>
        <w:pageBreakBefore w:val="0"/>
        <w:wordWrap/>
        <w:overflowPunct/>
        <w:topLinePunct w:val="0"/>
        <w:bidi w:val="0"/>
        <w:adjustRightInd w:val="0"/>
        <w:snapToGrid w:val="0"/>
        <w:spacing w:line="273" w:lineRule="auto"/>
        <w:outlineLvl w:val="9"/>
        <w:rPr>
          <w:rFonts w:hint="eastAsia" w:ascii="宋体" w:hAnsi="宋体" w:eastAsia="宋体" w:cs="宋体"/>
          <w:strike w:val="0"/>
          <w:dstrike w:val="0"/>
          <w:color w:val="auto"/>
          <w:spacing w:val="0"/>
          <w:sz w:val="28"/>
          <w:szCs w:val="28"/>
          <w:highlight w:val="none"/>
        </w:rPr>
      </w:pPr>
    </w:p>
    <w:p w14:paraId="3D7C0FAC">
      <w:pPr>
        <w:pStyle w:val="5"/>
        <w:keepNext w:val="0"/>
        <w:keepLines w:val="0"/>
        <w:pageBreakBefore w:val="0"/>
        <w:wordWrap/>
        <w:overflowPunct/>
        <w:topLinePunct w:val="0"/>
        <w:bidi w:val="0"/>
        <w:adjustRightInd w:val="0"/>
        <w:snapToGrid w:val="0"/>
        <w:spacing w:line="273" w:lineRule="auto"/>
        <w:outlineLvl w:val="9"/>
        <w:rPr>
          <w:rFonts w:hint="eastAsia" w:ascii="宋体" w:hAnsi="宋体" w:eastAsia="宋体" w:cs="宋体"/>
          <w:strike w:val="0"/>
          <w:dstrike w:val="0"/>
          <w:color w:val="auto"/>
          <w:spacing w:val="0"/>
          <w:sz w:val="28"/>
          <w:szCs w:val="28"/>
          <w:highlight w:val="none"/>
        </w:rPr>
      </w:pPr>
    </w:p>
    <w:p w14:paraId="3BE4A685">
      <w:pPr>
        <w:pStyle w:val="5"/>
        <w:keepNext w:val="0"/>
        <w:keepLines w:val="0"/>
        <w:pageBreakBefore w:val="0"/>
        <w:wordWrap/>
        <w:overflowPunct/>
        <w:topLinePunct w:val="0"/>
        <w:bidi w:val="0"/>
        <w:adjustRightInd w:val="0"/>
        <w:snapToGrid w:val="0"/>
        <w:spacing w:line="273" w:lineRule="auto"/>
        <w:outlineLvl w:val="9"/>
        <w:rPr>
          <w:rFonts w:hint="eastAsia" w:ascii="宋体" w:hAnsi="宋体" w:eastAsia="宋体" w:cs="宋体"/>
          <w:strike w:val="0"/>
          <w:dstrike w:val="0"/>
          <w:color w:val="auto"/>
          <w:spacing w:val="0"/>
          <w:sz w:val="28"/>
          <w:szCs w:val="28"/>
          <w:highlight w:val="none"/>
        </w:rPr>
      </w:pPr>
    </w:p>
    <w:p w14:paraId="0D289434">
      <w:pPr>
        <w:pStyle w:val="5"/>
        <w:keepNext w:val="0"/>
        <w:keepLines w:val="0"/>
        <w:pageBreakBefore w:val="0"/>
        <w:wordWrap/>
        <w:overflowPunct/>
        <w:topLinePunct w:val="0"/>
        <w:bidi w:val="0"/>
        <w:adjustRightInd w:val="0"/>
        <w:snapToGrid w:val="0"/>
        <w:spacing w:line="273" w:lineRule="auto"/>
        <w:outlineLvl w:val="9"/>
        <w:rPr>
          <w:rFonts w:hint="eastAsia" w:ascii="宋体" w:hAnsi="宋体" w:eastAsia="宋体" w:cs="宋体"/>
          <w:strike w:val="0"/>
          <w:dstrike w:val="0"/>
          <w:color w:val="auto"/>
          <w:spacing w:val="0"/>
          <w:sz w:val="28"/>
          <w:szCs w:val="28"/>
          <w:highlight w:val="none"/>
        </w:rPr>
      </w:pPr>
    </w:p>
    <w:p w14:paraId="0F03A260">
      <w:pPr>
        <w:pStyle w:val="5"/>
        <w:keepNext w:val="0"/>
        <w:keepLines w:val="0"/>
        <w:pageBreakBefore w:val="0"/>
        <w:wordWrap/>
        <w:overflowPunct/>
        <w:topLinePunct w:val="0"/>
        <w:bidi w:val="0"/>
        <w:adjustRightInd w:val="0"/>
        <w:snapToGrid w:val="0"/>
        <w:spacing w:line="274" w:lineRule="auto"/>
        <w:outlineLvl w:val="9"/>
        <w:rPr>
          <w:rFonts w:hint="eastAsia" w:ascii="宋体" w:hAnsi="宋体" w:eastAsia="宋体" w:cs="宋体"/>
          <w:strike w:val="0"/>
          <w:dstrike w:val="0"/>
          <w:color w:val="auto"/>
          <w:spacing w:val="0"/>
          <w:sz w:val="28"/>
          <w:szCs w:val="28"/>
          <w:highlight w:val="none"/>
        </w:rPr>
      </w:pPr>
    </w:p>
    <w:p w14:paraId="22695E78">
      <w:pPr>
        <w:keepNext w:val="0"/>
        <w:keepLines w:val="0"/>
        <w:pageBreakBefore w:val="0"/>
        <w:wordWrap/>
        <w:overflowPunct/>
        <w:topLinePunct w:val="0"/>
        <w:bidi w:val="0"/>
        <w:adjustRightInd w:val="0"/>
        <w:snapToGrid w:val="0"/>
        <w:spacing w:before="79" w:line="219" w:lineRule="auto"/>
        <w:ind w:left="5307"/>
        <w:outlineLvl w:val="9"/>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单位公章：</w:t>
      </w:r>
      <w:r>
        <w:rPr>
          <w:rFonts w:hint="eastAsia" w:ascii="宋体" w:hAnsi="宋体" w:eastAsia="宋体" w:cs="宋体"/>
          <w:strike w:val="0"/>
          <w:dstrike w:val="0"/>
          <w:color w:val="auto"/>
          <w:spacing w:val="0"/>
          <w:sz w:val="28"/>
          <w:szCs w:val="28"/>
          <w:highlight w:val="none"/>
          <w:u w:val="single"/>
          <w:lang w:val="en-US" w:eastAsia="zh-CN"/>
        </w:rPr>
        <w:t xml:space="preserve">         </w:t>
      </w:r>
      <w:r>
        <w:rPr>
          <w:rFonts w:hint="eastAsia" w:ascii="宋体" w:hAnsi="宋体" w:eastAsia="宋体" w:cs="宋体"/>
          <w:strike w:val="0"/>
          <w:dstrike w:val="0"/>
          <w:color w:val="auto"/>
          <w:spacing w:val="0"/>
          <w:sz w:val="28"/>
          <w:szCs w:val="28"/>
          <w:highlight w:val="none"/>
        </w:rPr>
        <w:t>（签章）</w:t>
      </w:r>
    </w:p>
    <w:p w14:paraId="0627AD5A">
      <w:pPr>
        <w:pStyle w:val="5"/>
        <w:keepNext w:val="0"/>
        <w:keepLines w:val="0"/>
        <w:pageBreakBefore w:val="0"/>
        <w:wordWrap/>
        <w:overflowPunct/>
        <w:topLinePunct w:val="0"/>
        <w:bidi w:val="0"/>
        <w:adjustRightInd w:val="0"/>
        <w:snapToGrid w:val="0"/>
        <w:spacing w:line="257" w:lineRule="auto"/>
        <w:outlineLvl w:val="9"/>
        <w:rPr>
          <w:rFonts w:hint="eastAsia" w:ascii="宋体" w:hAnsi="宋体" w:eastAsia="宋体" w:cs="宋体"/>
          <w:strike w:val="0"/>
          <w:dstrike w:val="0"/>
          <w:color w:val="auto"/>
          <w:spacing w:val="0"/>
          <w:sz w:val="28"/>
          <w:szCs w:val="28"/>
          <w:highlight w:val="none"/>
        </w:rPr>
      </w:pPr>
    </w:p>
    <w:p w14:paraId="5E7CC645">
      <w:pPr>
        <w:keepNext w:val="0"/>
        <w:keepLines w:val="0"/>
        <w:pageBreakBefore w:val="0"/>
        <w:wordWrap/>
        <w:overflowPunct/>
        <w:topLinePunct w:val="0"/>
        <w:bidi w:val="0"/>
        <w:adjustRightInd w:val="0"/>
        <w:snapToGrid w:val="0"/>
        <w:spacing w:before="78" w:line="219" w:lineRule="auto"/>
        <w:ind w:firstLine="4480" w:firstLineChars="1600"/>
        <w:outlineLvl w:val="9"/>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法定代表人：</w:t>
      </w:r>
      <w:r>
        <w:rPr>
          <w:rFonts w:hint="eastAsia" w:ascii="宋体" w:hAnsi="宋体" w:eastAsia="宋体" w:cs="宋体"/>
          <w:strike w:val="0"/>
          <w:dstrike w:val="0"/>
          <w:color w:val="auto"/>
          <w:spacing w:val="0"/>
          <w:sz w:val="28"/>
          <w:szCs w:val="28"/>
          <w:highlight w:val="none"/>
          <w:u w:val="single"/>
          <w:lang w:val="en-US" w:eastAsia="zh-CN"/>
        </w:rPr>
        <w:t xml:space="preserve">       </w:t>
      </w:r>
      <w:r>
        <w:rPr>
          <w:rFonts w:hint="eastAsia" w:ascii="宋体" w:hAnsi="宋体" w:eastAsia="宋体" w:cs="宋体"/>
          <w:strike w:val="0"/>
          <w:dstrike w:val="0"/>
          <w:color w:val="auto"/>
          <w:spacing w:val="0"/>
          <w:sz w:val="28"/>
          <w:szCs w:val="28"/>
          <w:highlight w:val="none"/>
        </w:rPr>
        <w:t>（电子签章或签字）</w:t>
      </w:r>
    </w:p>
    <w:p w14:paraId="09572663">
      <w:pPr>
        <w:pStyle w:val="5"/>
        <w:keepNext w:val="0"/>
        <w:keepLines w:val="0"/>
        <w:pageBreakBefore w:val="0"/>
        <w:wordWrap/>
        <w:overflowPunct/>
        <w:topLinePunct w:val="0"/>
        <w:bidi w:val="0"/>
        <w:adjustRightInd w:val="0"/>
        <w:snapToGrid w:val="0"/>
        <w:spacing w:line="257" w:lineRule="auto"/>
        <w:outlineLvl w:val="9"/>
        <w:rPr>
          <w:rFonts w:hint="eastAsia" w:ascii="宋体" w:hAnsi="宋体" w:eastAsia="宋体" w:cs="宋体"/>
          <w:strike w:val="0"/>
          <w:dstrike w:val="0"/>
          <w:color w:val="auto"/>
          <w:spacing w:val="0"/>
          <w:sz w:val="28"/>
          <w:szCs w:val="28"/>
          <w:highlight w:val="none"/>
        </w:rPr>
      </w:pPr>
    </w:p>
    <w:p w14:paraId="28D4922C">
      <w:pPr>
        <w:keepNext w:val="0"/>
        <w:keepLines w:val="0"/>
        <w:pageBreakBefore w:val="0"/>
        <w:wordWrap/>
        <w:overflowPunct/>
        <w:topLinePunct w:val="0"/>
        <w:bidi w:val="0"/>
        <w:adjustRightInd w:val="0"/>
        <w:snapToGrid w:val="0"/>
        <w:spacing w:before="79" w:line="220" w:lineRule="auto"/>
        <w:ind w:left="5375"/>
        <w:outlineLvl w:val="9"/>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rPr>
        <w:t>日     期：</w:t>
      </w:r>
      <w:r>
        <w:rPr>
          <w:rFonts w:hint="eastAsia" w:ascii="宋体" w:hAnsi="宋体" w:eastAsia="宋体" w:cs="宋体"/>
          <w:strike w:val="0"/>
          <w:dstrike w:val="0"/>
          <w:color w:val="auto"/>
          <w:spacing w:val="0"/>
          <w:sz w:val="28"/>
          <w:szCs w:val="28"/>
          <w:highlight w:val="none"/>
          <w:u w:val="single"/>
        </w:rPr>
        <w:t xml:space="preserve">  </w:t>
      </w:r>
      <w:r>
        <w:rPr>
          <w:rFonts w:hint="eastAsia" w:ascii="宋体" w:hAnsi="宋体" w:eastAsia="宋体" w:cs="宋体"/>
          <w:strike w:val="0"/>
          <w:dstrike w:val="0"/>
          <w:color w:val="auto"/>
          <w:spacing w:val="0"/>
          <w:sz w:val="28"/>
          <w:szCs w:val="28"/>
          <w:highlight w:val="none"/>
        </w:rPr>
        <w:t>年</w:t>
      </w:r>
      <w:r>
        <w:rPr>
          <w:rFonts w:hint="eastAsia" w:ascii="宋体" w:hAnsi="宋体" w:eastAsia="宋体" w:cs="宋体"/>
          <w:strike w:val="0"/>
          <w:dstrike w:val="0"/>
          <w:color w:val="auto"/>
          <w:spacing w:val="0"/>
          <w:sz w:val="28"/>
          <w:szCs w:val="28"/>
          <w:highlight w:val="none"/>
          <w:u w:val="single"/>
        </w:rPr>
        <w:t xml:space="preserve">  </w:t>
      </w:r>
      <w:r>
        <w:rPr>
          <w:rFonts w:hint="eastAsia" w:ascii="宋体" w:hAnsi="宋体" w:eastAsia="宋体" w:cs="宋体"/>
          <w:strike w:val="0"/>
          <w:dstrike w:val="0"/>
          <w:color w:val="auto"/>
          <w:spacing w:val="0"/>
          <w:sz w:val="28"/>
          <w:szCs w:val="28"/>
          <w:highlight w:val="none"/>
        </w:rPr>
        <w:t>月</w:t>
      </w:r>
      <w:r>
        <w:rPr>
          <w:rFonts w:hint="eastAsia" w:ascii="宋体" w:hAnsi="宋体" w:eastAsia="宋体" w:cs="宋体"/>
          <w:strike w:val="0"/>
          <w:dstrike w:val="0"/>
          <w:color w:val="auto"/>
          <w:spacing w:val="0"/>
          <w:sz w:val="28"/>
          <w:szCs w:val="28"/>
          <w:highlight w:val="none"/>
          <w:u w:val="single"/>
        </w:rPr>
        <w:t xml:space="preserve">  </w:t>
      </w:r>
      <w:r>
        <w:rPr>
          <w:rFonts w:hint="eastAsia" w:ascii="宋体" w:hAnsi="宋体" w:eastAsia="宋体" w:cs="宋体"/>
          <w:strike w:val="0"/>
          <w:dstrike w:val="0"/>
          <w:color w:val="auto"/>
          <w:spacing w:val="0"/>
          <w:sz w:val="28"/>
          <w:szCs w:val="28"/>
          <w:highlight w:val="none"/>
        </w:rPr>
        <w:t>日</w:t>
      </w:r>
    </w:p>
    <w:p w14:paraId="536F2BB1">
      <w:pPr>
        <w:keepNext w:val="0"/>
        <w:keepLines w:val="0"/>
        <w:pageBreakBefore w:val="0"/>
        <w:wordWrap/>
        <w:overflowPunct/>
        <w:topLinePunct w:val="0"/>
        <w:bidi w:val="0"/>
        <w:adjustRightInd w:val="0"/>
        <w:snapToGrid w:val="0"/>
        <w:spacing w:line="220" w:lineRule="auto"/>
        <w:outlineLvl w:val="9"/>
        <w:rPr>
          <w:rFonts w:hint="eastAsia" w:ascii="宋体" w:hAnsi="宋体" w:eastAsia="宋体" w:cs="宋体"/>
          <w:strike w:val="0"/>
          <w:dstrike w:val="0"/>
          <w:color w:val="auto"/>
          <w:spacing w:val="0"/>
          <w:sz w:val="28"/>
          <w:szCs w:val="28"/>
          <w:highlight w:val="none"/>
        </w:rPr>
        <w:sectPr>
          <w:footerReference r:id="rId18" w:type="default"/>
          <w:pgSz w:w="11907" w:h="16839"/>
          <w:pgMar w:top="1229" w:right="1248" w:bottom="1155" w:left="1259" w:header="0" w:footer="991" w:gutter="0"/>
          <w:pgNumType w:fmt="decimal"/>
          <w:cols w:space="720" w:num="1"/>
        </w:sectPr>
      </w:pPr>
    </w:p>
    <w:p w14:paraId="35F94968">
      <w:pPr>
        <w:keepNext w:val="0"/>
        <w:keepLines w:val="0"/>
        <w:pageBreakBefore w:val="0"/>
        <w:wordWrap/>
        <w:overflowPunct/>
        <w:topLinePunct w:val="0"/>
        <w:bidi w:val="0"/>
        <w:adjustRightInd w:val="0"/>
        <w:snapToGrid w:val="0"/>
        <w:spacing w:before="86" w:line="220" w:lineRule="auto"/>
        <w:ind w:firstLine="560" w:firstLineChars="200"/>
        <w:jc w:val="center"/>
        <w:outlineLvl w:val="9"/>
        <w:rPr>
          <w:rFonts w:hint="eastAsia" w:ascii="宋体" w:hAnsi="宋体" w:eastAsia="宋体" w:cs="宋体"/>
          <w:strike w:val="0"/>
          <w:dstrike w:val="0"/>
          <w:color w:val="auto"/>
          <w:spacing w:val="0"/>
          <w:sz w:val="28"/>
          <w:szCs w:val="28"/>
          <w:highlight w:val="none"/>
        </w:rPr>
      </w:pPr>
      <w:bookmarkStart w:id="419" w:name="_Toc30244"/>
      <w:r>
        <w:rPr>
          <w:rFonts w:hint="eastAsia" w:ascii="宋体" w:hAnsi="宋体" w:eastAsia="宋体" w:cs="宋体"/>
          <w:strike w:val="0"/>
          <w:dstrike w:val="0"/>
          <w:color w:val="auto"/>
          <w:spacing w:val="0"/>
          <w:sz w:val="28"/>
          <w:szCs w:val="28"/>
          <w:highlight w:val="none"/>
          <w14:textOutline w14:w="5094" w14:cap="flat" w14:cmpd="sng">
            <w14:solidFill>
              <w14:srgbClr w14:val="000000"/>
            </w14:solidFill>
            <w14:prstDash w14:val="solid"/>
            <w14:miter w14:val="0"/>
          </w14:textOutline>
        </w:rPr>
        <w:t>（二）具有良好商业信誉及财务会计制度的承诺书</w:t>
      </w:r>
      <w:bookmarkEnd w:id="419"/>
    </w:p>
    <w:p w14:paraId="53A9CDBA">
      <w:pPr>
        <w:keepNext w:val="0"/>
        <w:keepLines w:val="0"/>
        <w:pageBreakBefore w:val="0"/>
        <w:wordWrap/>
        <w:overflowPunct/>
        <w:topLinePunct w:val="0"/>
        <w:bidi w:val="0"/>
        <w:adjustRightInd w:val="0"/>
        <w:snapToGrid w:val="0"/>
        <w:spacing w:before="148" w:line="400" w:lineRule="exact"/>
        <w:jc w:val="both"/>
        <w:outlineLvl w:val="9"/>
        <w:rPr>
          <w:rFonts w:hint="eastAsia" w:ascii="宋体" w:hAnsi="宋体" w:eastAsia="宋体" w:cs="宋体"/>
          <w:strike w:val="0"/>
          <w:dstrike w:val="0"/>
          <w:color w:val="auto"/>
          <w:spacing w:val="0"/>
          <w:position w:val="11"/>
          <w:sz w:val="28"/>
          <w:szCs w:val="28"/>
          <w:highlight w:val="none"/>
        </w:rPr>
      </w:pPr>
    </w:p>
    <w:p w14:paraId="77819442">
      <w:pPr>
        <w:keepNext w:val="0"/>
        <w:keepLines w:val="0"/>
        <w:pageBreakBefore w:val="0"/>
        <w:wordWrap/>
        <w:overflowPunct/>
        <w:topLinePunct w:val="0"/>
        <w:bidi w:val="0"/>
        <w:adjustRightInd w:val="0"/>
        <w:snapToGrid w:val="0"/>
        <w:spacing w:before="148" w:line="400" w:lineRule="exact"/>
        <w:jc w:val="both"/>
        <w:outlineLvl w:val="9"/>
        <w:rPr>
          <w:rFonts w:hint="eastAsia" w:ascii="宋体" w:hAnsi="宋体" w:eastAsia="宋体" w:cs="宋体"/>
          <w:strike w:val="0"/>
          <w:dstrike w:val="0"/>
          <w:color w:val="auto"/>
          <w:spacing w:val="0"/>
          <w:sz w:val="28"/>
          <w:szCs w:val="28"/>
          <w:highlight w:val="none"/>
        </w:rPr>
        <w:sectPr>
          <w:footerReference r:id="rId19" w:type="default"/>
          <w:pgSz w:w="11907" w:h="16839"/>
          <w:pgMar w:top="1431" w:right="1297" w:bottom="1155" w:left="1256" w:header="0" w:footer="991" w:gutter="0"/>
          <w:pgNumType w:fmt="decimal"/>
          <w:cols w:space="720" w:num="1"/>
        </w:sectPr>
      </w:pPr>
      <w:r>
        <w:rPr>
          <w:rFonts w:hint="eastAsia" w:ascii="宋体" w:hAnsi="宋体" w:eastAsia="宋体" w:cs="宋体"/>
          <w:strike w:val="0"/>
          <w:dstrike w:val="0"/>
          <w:color w:val="auto"/>
          <w:spacing w:val="0"/>
          <w:position w:val="11"/>
          <w:sz w:val="28"/>
          <w:szCs w:val="28"/>
          <w:highlight w:val="none"/>
        </w:rPr>
        <w:t>备注： 具有良好商业信誉及财务会计制度的承诺书</w:t>
      </w:r>
      <w:r>
        <w:rPr>
          <w:rFonts w:hint="eastAsia" w:ascii="宋体" w:hAnsi="宋体" w:eastAsia="宋体" w:cs="宋体"/>
          <w:strike w:val="0"/>
          <w:dstrike w:val="0"/>
          <w:color w:val="auto"/>
          <w:spacing w:val="0"/>
          <w:position w:val="11"/>
          <w:sz w:val="28"/>
          <w:szCs w:val="28"/>
          <w:highlight w:val="none"/>
          <w:lang w:eastAsia="zh-CN"/>
        </w:rPr>
        <w:t>。</w:t>
      </w:r>
      <w:r>
        <w:rPr>
          <w:rFonts w:hint="eastAsia" w:ascii="宋体" w:hAnsi="宋体" w:eastAsia="宋体" w:cs="宋体"/>
          <w:strike w:val="0"/>
          <w:dstrike w:val="0"/>
          <w:color w:val="auto"/>
          <w:spacing w:val="0"/>
          <w:position w:val="11"/>
          <w:sz w:val="28"/>
          <w:szCs w:val="28"/>
          <w:highlight w:val="none"/>
          <w:lang w:val="en-US" w:eastAsia="zh-CN"/>
        </w:rPr>
        <w:t xml:space="preserve">   </w:t>
      </w:r>
    </w:p>
    <w:p w14:paraId="363D4188">
      <w:pPr>
        <w:keepNext w:val="0"/>
        <w:keepLines w:val="0"/>
        <w:pageBreakBefore w:val="0"/>
        <w:wordWrap/>
        <w:overflowPunct/>
        <w:topLinePunct w:val="0"/>
        <w:bidi w:val="0"/>
        <w:adjustRightInd w:val="0"/>
        <w:snapToGrid w:val="0"/>
        <w:spacing w:before="91" w:line="781" w:lineRule="exact"/>
        <w:ind w:firstLine="560" w:firstLineChars="200"/>
        <w:jc w:val="center"/>
        <w:outlineLvl w:val="9"/>
        <w:rPr>
          <w:rFonts w:hint="eastAsia" w:ascii="宋体" w:hAnsi="宋体" w:eastAsia="宋体" w:cs="宋体"/>
          <w:strike w:val="0"/>
          <w:dstrike w:val="0"/>
          <w:color w:val="auto"/>
          <w:spacing w:val="0"/>
          <w:sz w:val="28"/>
          <w:szCs w:val="28"/>
          <w:highlight w:val="none"/>
        </w:rPr>
      </w:pPr>
      <w:bookmarkStart w:id="420" w:name="_Toc5157"/>
      <w:r>
        <w:rPr>
          <w:rFonts w:hint="eastAsia" w:ascii="宋体" w:hAnsi="宋体" w:eastAsia="宋体" w:cs="宋体"/>
          <w:strike w:val="0"/>
          <w:dstrike w:val="0"/>
          <w:color w:val="auto"/>
          <w:spacing w:val="0"/>
          <w:position w:val="38"/>
          <w:sz w:val="28"/>
          <w:szCs w:val="28"/>
          <w:highlight w:val="none"/>
          <w14:textOutline w14:w="5094" w14:cap="flat" w14:cmpd="sng">
            <w14:solidFill>
              <w14:srgbClr w14:val="000000"/>
            </w14:solidFill>
            <w14:prstDash w14:val="solid"/>
            <w14:miter w14:val="0"/>
          </w14:textOutline>
        </w:rPr>
        <w:t>（三）近年来完成的类似项目情况表</w:t>
      </w:r>
      <w:bookmarkEnd w:id="420"/>
    </w:p>
    <w:p w14:paraId="5F59BB0F">
      <w:pPr>
        <w:keepNext w:val="0"/>
        <w:keepLines w:val="0"/>
        <w:pageBreakBefore w:val="0"/>
        <w:wordWrap/>
        <w:overflowPunct/>
        <w:topLinePunct w:val="0"/>
        <w:bidi w:val="0"/>
        <w:adjustRightInd w:val="0"/>
        <w:snapToGrid w:val="0"/>
        <w:spacing w:line="219" w:lineRule="auto"/>
        <w:ind w:left="3742"/>
        <w:outlineLvl w:val="9"/>
        <w:rPr>
          <w:rFonts w:hint="eastAsia" w:ascii="宋体" w:hAnsi="宋体" w:eastAsia="宋体" w:cs="宋体"/>
          <w:strike w:val="0"/>
          <w:dstrike w:val="0"/>
          <w:color w:val="auto"/>
          <w:spacing w:val="0"/>
          <w:sz w:val="28"/>
          <w:szCs w:val="28"/>
          <w:highlight w:val="none"/>
        </w:rPr>
      </w:pPr>
      <w:r>
        <w:rPr>
          <w:rFonts w:hint="eastAsia" w:ascii="宋体" w:hAnsi="宋体" w:eastAsia="宋体" w:cs="宋体"/>
          <w:strike w:val="0"/>
          <w:dstrike w:val="0"/>
          <w:color w:val="auto"/>
          <w:spacing w:val="0"/>
          <w:sz w:val="28"/>
          <w:szCs w:val="28"/>
          <w:highlight w:val="none"/>
          <w14:textOutline w14:w="4354" w14:cap="flat" w14:cmpd="sng">
            <w14:solidFill>
              <w14:srgbClr w14:val="000000"/>
            </w14:solidFill>
            <w14:prstDash w14:val="solid"/>
            <w14:miter w14:val="0"/>
          </w14:textOutline>
        </w:rPr>
        <w:t>类似项目业绩一览表</w:t>
      </w:r>
    </w:p>
    <w:p w14:paraId="2740C5BD">
      <w:pPr>
        <w:keepNext w:val="0"/>
        <w:keepLines w:val="0"/>
        <w:pageBreakBefore w:val="0"/>
        <w:wordWrap/>
        <w:overflowPunct/>
        <w:topLinePunct w:val="0"/>
        <w:bidi w:val="0"/>
        <w:adjustRightInd w:val="0"/>
        <w:snapToGrid w:val="0"/>
        <w:spacing w:line="148" w:lineRule="exact"/>
        <w:outlineLvl w:val="9"/>
        <w:rPr>
          <w:rFonts w:hint="eastAsia" w:ascii="宋体" w:hAnsi="宋体" w:eastAsia="宋体" w:cs="宋体"/>
          <w:strike w:val="0"/>
          <w:dstrike w:val="0"/>
          <w:color w:val="auto"/>
          <w:spacing w:val="0"/>
          <w:sz w:val="28"/>
          <w:szCs w:val="28"/>
          <w:highlight w:val="none"/>
        </w:rPr>
      </w:pPr>
    </w:p>
    <w:tbl>
      <w:tblPr>
        <w:tblStyle w:val="14"/>
        <w:tblW w:w="9795" w:type="dxa"/>
        <w:tblInd w:w="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0"/>
        <w:gridCol w:w="870"/>
        <w:gridCol w:w="1068"/>
        <w:gridCol w:w="1094"/>
        <w:gridCol w:w="1099"/>
        <w:gridCol w:w="1103"/>
        <w:gridCol w:w="929"/>
        <w:gridCol w:w="826"/>
        <w:gridCol w:w="932"/>
        <w:gridCol w:w="1144"/>
      </w:tblGrid>
      <w:tr w14:paraId="4D1D95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30" w:type="dxa"/>
            <w:vAlign w:val="center"/>
          </w:tcPr>
          <w:p w14:paraId="4A99032B">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序号</w:t>
            </w:r>
          </w:p>
        </w:tc>
        <w:tc>
          <w:tcPr>
            <w:tcW w:w="870" w:type="dxa"/>
            <w:vAlign w:val="center"/>
          </w:tcPr>
          <w:p w14:paraId="7770BD85">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项目</w:t>
            </w:r>
          </w:p>
          <w:p w14:paraId="3F32774A">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名称</w:t>
            </w:r>
          </w:p>
        </w:tc>
        <w:tc>
          <w:tcPr>
            <w:tcW w:w="1068" w:type="dxa"/>
            <w:vAlign w:val="center"/>
          </w:tcPr>
          <w:p w14:paraId="22320302">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项目</w:t>
            </w:r>
          </w:p>
          <w:p w14:paraId="04D1097B">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所在地</w:t>
            </w:r>
          </w:p>
        </w:tc>
        <w:tc>
          <w:tcPr>
            <w:tcW w:w="1094" w:type="dxa"/>
            <w:vAlign w:val="center"/>
          </w:tcPr>
          <w:p w14:paraId="66C3A24E">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项目</w:t>
            </w:r>
          </w:p>
          <w:p w14:paraId="28E04D77">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内容</w:t>
            </w:r>
          </w:p>
        </w:tc>
        <w:tc>
          <w:tcPr>
            <w:tcW w:w="1099" w:type="dxa"/>
            <w:vAlign w:val="center"/>
          </w:tcPr>
          <w:p w14:paraId="74299F26">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专业</w:t>
            </w:r>
          </w:p>
        </w:tc>
        <w:tc>
          <w:tcPr>
            <w:tcW w:w="1103" w:type="dxa"/>
            <w:vAlign w:val="center"/>
          </w:tcPr>
          <w:p w14:paraId="2EFA230D">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合同金额</w:t>
            </w:r>
          </w:p>
          <w:p w14:paraId="5D48AC8A">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（万元）</w:t>
            </w:r>
          </w:p>
        </w:tc>
        <w:tc>
          <w:tcPr>
            <w:tcW w:w="929" w:type="dxa"/>
            <w:vAlign w:val="center"/>
          </w:tcPr>
          <w:p w14:paraId="1AD7ABB8">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项目</w:t>
            </w:r>
          </w:p>
          <w:p w14:paraId="4FE3DCC6">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负责人</w:t>
            </w:r>
          </w:p>
        </w:tc>
        <w:tc>
          <w:tcPr>
            <w:tcW w:w="826" w:type="dxa"/>
            <w:vAlign w:val="center"/>
          </w:tcPr>
          <w:p w14:paraId="30AB9074">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服务</w:t>
            </w:r>
          </w:p>
          <w:p w14:paraId="11635E9D">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周期</w:t>
            </w:r>
          </w:p>
        </w:tc>
        <w:tc>
          <w:tcPr>
            <w:tcW w:w="932" w:type="dxa"/>
            <w:vAlign w:val="center"/>
          </w:tcPr>
          <w:p w14:paraId="6B79EC6C">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委托人</w:t>
            </w:r>
          </w:p>
          <w:p w14:paraId="26023F19">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名称</w:t>
            </w:r>
          </w:p>
        </w:tc>
        <w:tc>
          <w:tcPr>
            <w:tcW w:w="1144" w:type="dxa"/>
            <w:vAlign w:val="center"/>
          </w:tcPr>
          <w:p w14:paraId="00103E11">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委托人</w:t>
            </w:r>
          </w:p>
          <w:p w14:paraId="3BBB0DAB">
            <w:pPr>
              <w:pStyle w:val="5"/>
              <w:keepNext w:val="0"/>
              <w:keepLines w:val="0"/>
              <w:pageBreakBefore w:val="0"/>
              <w:wordWrap/>
              <w:overflowPunct/>
              <w:topLinePunct w:val="0"/>
              <w:bidi w:val="0"/>
              <w:adjustRightInd w:val="0"/>
              <w:snapToGrid w:val="0"/>
              <w:ind w:left="0" w:leftChars="0" w:firstLine="0" w:firstLineChars="0"/>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联系方式</w:t>
            </w:r>
          </w:p>
        </w:tc>
      </w:tr>
      <w:tr w14:paraId="0F3E23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30" w:type="dxa"/>
            <w:vAlign w:val="top"/>
          </w:tcPr>
          <w:p w14:paraId="251088FD">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70" w:type="dxa"/>
            <w:vAlign w:val="top"/>
          </w:tcPr>
          <w:p w14:paraId="2677897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68" w:type="dxa"/>
            <w:vAlign w:val="top"/>
          </w:tcPr>
          <w:p w14:paraId="2C842B1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4" w:type="dxa"/>
            <w:vAlign w:val="top"/>
          </w:tcPr>
          <w:p w14:paraId="77A8BC2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9" w:type="dxa"/>
            <w:vAlign w:val="top"/>
          </w:tcPr>
          <w:p w14:paraId="1469FBBD">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03" w:type="dxa"/>
            <w:vAlign w:val="top"/>
          </w:tcPr>
          <w:p w14:paraId="3E9138A2">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29" w:type="dxa"/>
            <w:vAlign w:val="top"/>
          </w:tcPr>
          <w:p w14:paraId="1C0DC2BE">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26" w:type="dxa"/>
            <w:vAlign w:val="top"/>
          </w:tcPr>
          <w:p w14:paraId="6DF71901">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32" w:type="dxa"/>
            <w:vAlign w:val="top"/>
          </w:tcPr>
          <w:p w14:paraId="4A59841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44" w:type="dxa"/>
            <w:vAlign w:val="top"/>
          </w:tcPr>
          <w:p w14:paraId="656B22A5">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r>
      <w:tr w14:paraId="0E0B8C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30" w:type="dxa"/>
            <w:vAlign w:val="top"/>
          </w:tcPr>
          <w:p w14:paraId="1C365E27">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70" w:type="dxa"/>
            <w:vAlign w:val="top"/>
          </w:tcPr>
          <w:p w14:paraId="365DDB73">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68" w:type="dxa"/>
            <w:vAlign w:val="top"/>
          </w:tcPr>
          <w:p w14:paraId="263B77C2">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4" w:type="dxa"/>
            <w:vAlign w:val="top"/>
          </w:tcPr>
          <w:p w14:paraId="7BCC00F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9" w:type="dxa"/>
            <w:vAlign w:val="top"/>
          </w:tcPr>
          <w:p w14:paraId="54EF5E07">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03" w:type="dxa"/>
            <w:vAlign w:val="top"/>
          </w:tcPr>
          <w:p w14:paraId="1A4A5329">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29" w:type="dxa"/>
            <w:vAlign w:val="top"/>
          </w:tcPr>
          <w:p w14:paraId="3491E568">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26" w:type="dxa"/>
            <w:vAlign w:val="top"/>
          </w:tcPr>
          <w:p w14:paraId="789A63A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32" w:type="dxa"/>
            <w:vAlign w:val="top"/>
          </w:tcPr>
          <w:p w14:paraId="21099757">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44" w:type="dxa"/>
            <w:vAlign w:val="top"/>
          </w:tcPr>
          <w:p w14:paraId="3059983E">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r>
      <w:tr w14:paraId="0146FE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30" w:type="dxa"/>
            <w:vAlign w:val="top"/>
          </w:tcPr>
          <w:p w14:paraId="0EEC9E07">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70" w:type="dxa"/>
            <w:vAlign w:val="top"/>
          </w:tcPr>
          <w:p w14:paraId="0D8CBCC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68" w:type="dxa"/>
            <w:vAlign w:val="top"/>
          </w:tcPr>
          <w:p w14:paraId="6E3B8B1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4" w:type="dxa"/>
            <w:vAlign w:val="top"/>
          </w:tcPr>
          <w:p w14:paraId="49BBF97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9" w:type="dxa"/>
            <w:vAlign w:val="top"/>
          </w:tcPr>
          <w:p w14:paraId="741956BD">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03" w:type="dxa"/>
            <w:vAlign w:val="top"/>
          </w:tcPr>
          <w:p w14:paraId="32C48E8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29" w:type="dxa"/>
            <w:vAlign w:val="top"/>
          </w:tcPr>
          <w:p w14:paraId="49F98BC3">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26" w:type="dxa"/>
            <w:vAlign w:val="top"/>
          </w:tcPr>
          <w:p w14:paraId="7FE1EA64">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32" w:type="dxa"/>
            <w:vAlign w:val="top"/>
          </w:tcPr>
          <w:p w14:paraId="39EE6CB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44" w:type="dxa"/>
            <w:vAlign w:val="top"/>
          </w:tcPr>
          <w:p w14:paraId="52B9F02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r>
      <w:tr w14:paraId="7328F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30" w:type="dxa"/>
            <w:vAlign w:val="top"/>
          </w:tcPr>
          <w:p w14:paraId="25D06529">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70" w:type="dxa"/>
            <w:vAlign w:val="top"/>
          </w:tcPr>
          <w:p w14:paraId="52783D0A">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68" w:type="dxa"/>
            <w:vAlign w:val="top"/>
          </w:tcPr>
          <w:p w14:paraId="530B81D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4" w:type="dxa"/>
            <w:vAlign w:val="top"/>
          </w:tcPr>
          <w:p w14:paraId="7ADDD65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9" w:type="dxa"/>
            <w:vAlign w:val="top"/>
          </w:tcPr>
          <w:p w14:paraId="192DC195">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03" w:type="dxa"/>
            <w:vAlign w:val="top"/>
          </w:tcPr>
          <w:p w14:paraId="5D4C7E0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29" w:type="dxa"/>
            <w:vAlign w:val="top"/>
          </w:tcPr>
          <w:p w14:paraId="2701B7A8">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26" w:type="dxa"/>
            <w:vAlign w:val="top"/>
          </w:tcPr>
          <w:p w14:paraId="4C99E460">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32" w:type="dxa"/>
            <w:vAlign w:val="top"/>
          </w:tcPr>
          <w:p w14:paraId="70F189B4">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44" w:type="dxa"/>
            <w:vAlign w:val="top"/>
          </w:tcPr>
          <w:p w14:paraId="385D1BD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r>
      <w:tr w14:paraId="29B25B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30" w:type="dxa"/>
            <w:vAlign w:val="top"/>
          </w:tcPr>
          <w:p w14:paraId="70E75A55">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70" w:type="dxa"/>
            <w:vAlign w:val="top"/>
          </w:tcPr>
          <w:p w14:paraId="1C99E642">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68" w:type="dxa"/>
            <w:vAlign w:val="top"/>
          </w:tcPr>
          <w:p w14:paraId="5A372D3C">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4" w:type="dxa"/>
            <w:vAlign w:val="top"/>
          </w:tcPr>
          <w:p w14:paraId="3920D511">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9" w:type="dxa"/>
            <w:vAlign w:val="top"/>
          </w:tcPr>
          <w:p w14:paraId="50D23D99">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03" w:type="dxa"/>
            <w:vAlign w:val="top"/>
          </w:tcPr>
          <w:p w14:paraId="72D77C22">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29" w:type="dxa"/>
            <w:vAlign w:val="top"/>
          </w:tcPr>
          <w:p w14:paraId="32D73CBE">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26" w:type="dxa"/>
            <w:vAlign w:val="top"/>
          </w:tcPr>
          <w:p w14:paraId="77913DFA">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32" w:type="dxa"/>
            <w:vAlign w:val="top"/>
          </w:tcPr>
          <w:p w14:paraId="57332DA9">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44" w:type="dxa"/>
            <w:vAlign w:val="top"/>
          </w:tcPr>
          <w:p w14:paraId="4D0B90A9">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r>
      <w:tr w14:paraId="62E120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30" w:type="dxa"/>
            <w:vAlign w:val="top"/>
          </w:tcPr>
          <w:p w14:paraId="3F653155">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70" w:type="dxa"/>
            <w:vAlign w:val="top"/>
          </w:tcPr>
          <w:p w14:paraId="27A056A8">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68" w:type="dxa"/>
            <w:vAlign w:val="top"/>
          </w:tcPr>
          <w:p w14:paraId="5C5CC7F2">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4" w:type="dxa"/>
            <w:vAlign w:val="top"/>
          </w:tcPr>
          <w:p w14:paraId="104084C9">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9" w:type="dxa"/>
            <w:vAlign w:val="top"/>
          </w:tcPr>
          <w:p w14:paraId="0BC1E5B1">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03" w:type="dxa"/>
            <w:vAlign w:val="top"/>
          </w:tcPr>
          <w:p w14:paraId="30EADE8D">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29" w:type="dxa"/>
            <w:vAlign w:val="top"/>
          </w:tcPr>
          <w:p w14:paraId="4B14CEBE">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26" w:type="dxa"/>
            <w:vAlign w:val="top"/>
          </w:tcPr>
          <w:p w14:paraId="41E90569">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32" w:type="dxa"/>
            <w:vAlign w:val="top"/>
          </w:tcPr>
          <w:p w14:paraId="049ED5BF">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44" w:type="dxa"/>
            <w:vAlign w:val="top"/>
          </w:tcPr>
          <w:p w14:paraId="0F1BF939">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r>
      <w:tr w14:paraId="1C49C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730" w:type="dxa"/>
            <w:vAlign w:val="top"/>
          </w:tcPr>
          <w:p w14:paraId="1A82E797">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70" w:type="dxa"/>
            <w:vAlign w:val="top"/>
          </w:tcPr>
          <w:p w14:paraId="601F278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68" w:type="dxa"/>
            <w:vAlign w:val="top"/>
          </w:tcPr>
          <w:p w14:paraId="48B1754D">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4" w:type="dxa"/>
            <w:vAlign w:val="top"/>
          </w:tcPr>
          <w:p w14:paraId="3BB33C12">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099" w:type="dxa"/>
            <w:vAlign w:val="top"/>
          </w:tcPr>
          <w:p w14:paraId="3D552035">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03" w:type="dxa"/>
            <w:vAlign w:val="top"/>
          </w:tcPr>
          <w:p w14:paraId="7226201A">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29" w:type="dxa"/>
            <w:vAlign w:val="top"/>
          </w:tcPr>
          <w:p w14:paraId="4EE42C20">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826" w:type="dxa"/>
            <w:vAlign w:val="top"/>
          </w:tcPr>
          <w:p w14:paraId="7ECDF1FB">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932" w:type="dxa"/>
            <w:vAlign w:val="top"/>
          </w:tcPr>
          <w:p w14:paraId="080CB60F">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c>
          <w:tcPr>
            <w:tcW w:w="1144" w:type="dxa"/>
            <w:vAlign w:val="top"/>
          </w:tcPr>
          <w:p w14:paraId="0E064708">
            <w:pPr>
              <w:pStyle w:val="15"/>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outlineLvl w:val="9"/>
              <w:rPr>
                <w:rFonts w:hint="eastAsia" w:ascii="宋体" w:hAnsi="宋体" w:eastAsia="宋体" w:cs="宋体"/>
                <w:b w:val="0"/>
                <w:bCs w:val="0"/>
                <w:strike w:val="0"/>
                <w:dstrike w:val="0"/>
                <w:color w:val="auto"/>
                <w:spacing w:val="0"/>
                <w:sz w:val="24"/>
                <w:szCs w:val="24"/>
                <w:highlight w:val="none"/>
              </w:rPr>
            </w:pPr>
          </w:p>
        </w:tc>
      </w:tr>
    </w:tbl>
    <w:p w14:paraId="6E27F0C0">
      <w:pPr>
        <w:pStyle w:val="5"/>
        <w:keepNext w:val="0"/>
        <w:keepLines w:val="0"/>
        <w:pageBreakBefore w:val="0"/>
        <w:wordWrap/>
        <w:overflowPunct/>
        <w:topLinePunct w:val="0"/>
        <w:bidi w:val="0"/>
        <w:adjustRightInd w:val="0"/>
        <w:snapToGrid w:val="0"/>
        <w:spacing w:line="385" w:lineRule="auto"/>
        <w:outlineLvl w:val="9"/>
        <w:rPr>
          <w:rFonts w:hint="eastAsia" w:ascii="宋体" w:hAnsi="宋体" w:eastAsia="宋体" w:cs="宋体"/>
          <w:strike w:val="0"/>
          <w:dstrike w:val="0"/>
          <w:color w:val="auto"/>
          <w:spacing w:val="0"/>
          <w:sz w:val="28"/>
          <w:szCs w:val="28"/>
          <w:highlight w:val="none"/>
        </w:rPr>
      </w:pPr>
    </w:p>
    <w:p w14:paraId="6195F54A">
      <w:pPr>
        <w:keepNext w:val="0"/>
        <w:keepLines w:val="0"/>
        <w:pageBreakBefore w:val="0"/>
        <w:wordWrap/>
        <w:overflowPunct/>
        <w:topLinePunct w:val="0"/>
        <w:bidi w:val="0"/>
        <w:adjustRightInd w:val="0"/>
        <w:snapToGrid w:val="0"/>
        <w:spacing w:before="71" w:line="219" w:lineRule="auto"/>
        <w:ind w:left="119"/>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注： 附相关证明资料。</w:t>
      </w:r>
    </w:p>
    <w:p w14:paraId="019A1308">
      <w:pPr>
        <w:pStyle w:val="5"/>
        <w:keepNext w:val="0"/>
        <w:keepLines w:val="0"/>
        <w:pageBreakBefore w:val="0"/>
        <w:wordWrap/>
        <w:overflowPunct/>
        <w:topLinePunct w:val="0"/>
        <w:bidi w:val="0"/>
        <w:adjustRightInd w:val="0"/>
        <w:snapToGrid w:val="0"/>
        <w:spacing w:line="258" w:lineRule="auto"/>
        <w:outlineLvl w:val="9"/>
        <w:rPr>
          <w:rFonts w:hint="eastAsia" w:ascii="宋体" w:hAnsi="宋体" w:eastAsia="宋体" w:cs="宋体"/>
          <w:strike w:val="0"/>
          <w:dstrike w:val="0"/>
          <w:color w:val="auto"/>
          <w:spacing w:val="0"/>
          <w:sz w:val="24"/>
          <w:szCs w:val="24"/>
          <w:highlight w:val="none"/>
        </w:rPr>
      </w:pPr>
    </w:p>
    <w:p w14:paraId="6D9EBABB">
      <w:pPr>
        <w:pStyle w:val="5"/>
        <w:keepNext w:val="0"/>
        <w:keepLines w:val="0"/>
        <w:pageBreakBefore w:val="0"/>
        <w:wordWrap/>
        <w:overflowPunct/>
        <w:topLinePunct w:val="0"/>
        <w:bidi w:val="0"/>
        <w:adjustRightInd w:val="0"/>
        <w:snapToGrid w:val="0"/>
        <w:spacing w:line="259" w:lineRule="auto"/>
        <w:outlineLvl w:val="9"/>
        <w:rPr>
          <w:rFonts w:hint="eastAsia" w:ascii="宋体" w:hAnsi="宋体" w:eastAsia="宋体" w:cs="宋体"/>
          <w:strike w:val="0"/>
          <w:dstrike w:val="0"/>
          <w:color w:val="auto"/>
          <w:spacing w:val="0"/>
          <w:sz w:val="24"/>
          <w:szCs w:val="24"/>
          <w:highlight w:val="none"/>
        </w:rPr>
      </w:pPr>
    </w:p>
    <w:p w14:paraId="3F6458A3">
      <w:pPr>
        <w:pStyle w:val="5"/>
        <w:keepNext w:val="0"/>
        <w:keepLines w:val="0"/>
        <w:pageBreakBefore w:val="0"/>
        <w:wordWrap/>
        <w:overflowPunct/>
        <w:topLinePunct w:val="0"/>
        <w:bidi w:val="0"/>
        <w:adjustRightInd w:val="0"/>
        <w:snapToGrid w:val="0"/>
        <w:spacing w:line="259" w:lineRule="auto"/>
        <w:outlineLvl w:val="9"/>
        <w:rPr>
          <w:rFonts w:hint="eastAsia" w:ascii="宋体" w:hAnsi="宋体" w:eastAsia="宋体" w:cs="宋体"/>
          <w:strike w:val="0"/>
          <w:dstrike w:val="0"/>
          <w:color w:val="auto"/>
          <w:spacing w:val="0"/>
          <w:sz w:val="24"/>
          <w:szCs w:val="24"/>
          <w:highlight w:val="none"/>
        </w:rPr>
      </w:pPr>
    </w:p>
    <w:p w14:paraId="56F03AFB">
      <w:pPr>
        <w:pStyle w:val="5"/>
        <w:keepNext w:val="0"/>
        <w:keepLines w:val="0"/>
        <w:pageBreakBefore w:val="0"/>
        <w:wordWrap/>
        <w:overflowPunct/>
        <w:topLinePunct w:val="0"/>
        <w:bidi w:val="0"/>
        <w:adjustRightInd w:val="0"/>
        <w:snapToGrid w:val="0"/>
        <w:spacing w:line="259" w:lineRule="auto"/>
        <w:outlineLvl w:val="9"/>
        <w:rPr>
          <w:rFonts w:hint="eastAsia" w:ascii="宋体" w:hAnsi="宋体" w:eastAsia="宋体" w:cs="宋体"/>
          <w:strike w:val="0"/>
          <w:dstrike w:val="0"/>
          <w:color w:val="auto"/>
          <w:spacing w:val="0"/>
          <w:sz w:val="24"/>
          <w:szCs w:val="24"/>
          <w:highlight w:val="none"/>
        </w:rPr>
      </w:pPr>
    </w:p>
    <w:p w14:paraId="7B305B9C">
      <w:pPr>
        <w:pStyle w:val="5"/>
        <w:keepNext w:val="0"/>
        <w:keepLines w:val="0"/>
        <w:pageBreakBefore w:val="0"/>
        <w:wordWrap/>
        <w:overflowPunct/>
        <w:topLinePunct w:val="0"/>
        <w:bidi w:val="0"/>
        <w:adjustRightInd w:val="0"/>
        <w:snapToGrid w:val="0"/>
        <w:spacing w:line="259" w:lineRule="auto"/>
        <w:outlineLvl w:val="9"/>
        <w:rPr>
          <w:rFonts w:hint="eastAsia" w:ascii="宋体" w:hAnsi="宋体" w:eastAsia="宋体" w:cs="宋体"/>
          <w:strike w:val="0"/>
          <w:dstrike w:val="0"/>
          <w:color w:val="auto"/>
          <w:spacing w:val="0"/>
          <w:sz w:val="24"/>
          <w:szCs w:val="24"/>
          <w:highlight w:val="none"/>
        </w:rPr>
      </w:pPr>
    </w:p>
    <w:p w14:paraId="311C2D85">
      <w:pPr>
        <w:keepNext w:val="0"/>
        <w:keepLines w:val="0"/>
        <w:pageBreakBefore w:val="0"/>
        <w:wordWrap/>
        <w:overflowPunct/>
        <w:topLinePunct w:val="0"/>
        <w:bidi w:val="0"/>
        <w:adjustRightInd w:val="0"/>
        <w:snapToGrid w:val="0"/>
        <w:spacing w:before="79" w:line="219" w:lineRule="auto"/>
        <w:ind w:left="3096"/>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供 应 商：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（电子签章）</w:t>
      </w:r>
    </w:p>
    <w:p w14:paraId="27DE81E5">
      <w:pPr>
        <w:pStyle w:val="5"/>
        <w:keepNext w:val="0"/>
        <w:keepLines w:val="0"/>
        <w:pageBreakBefore w:val="0"/>
        <w:wordWrap/>
        <w:overflowPunct/>
        <w:topLinePunct w:val="0"/>
        <w:bidi w:val="0"/>
        <w:adjustRightInd w:val="0"/>
        <w:snapToGrid w:val="0"/>
        <w:spacing w:line="283" w:lineRule="auto"/>
        <w:outlineLvl w:val="9"/>
        <w:rPr>
          <w:rFonts w:hint="eastAsia" w:ascii="宋体" w:hAnsi="宋体" w:eastAsia="宋体" w:cs="宋体"/>
          <w:strike w:val="0"/>
          <w:dstrike w:val="0"/>
          <w:color w:val="auto"/>
          <w:spacing w:val="0"/>
          <w:sz w:val="24"/>
          <w:szCs w:val="24"/>
          <w:highlight w:val="none"/>
        </w:rPr>
      </w:pPr>
    </w:p>
    <w:p w14:paraId="0F274E7C">
      <w:pPr>
        <w:pStyle w:val="5"/>
        <w:keepNext w:val="0"/>
        <w:keepLines w:val="0"/>
        <w:pageBreakBefore w:val="0"/>
        <w:wordWrap/>
        <w:overflowPunct/>
        <w:topLinePunct w:val="0"/>
        <w:bidi w:val="0"/>
        <w:adjustRightInd w:val="0"/>
        <w:snapToGrid w:val="0"/>
        <w:spacing w:line="284" w:lineRule="auto"/>
        <w:outlineLvl w:val="9"/>
        <w:rPr>
          <w:rFonts w:hint="eastAsia" w:ascii="宋体" w:hAnsi="宋体" w:eastAsia="宋体" w:cs="宋体"/>
          <w:strike w:val="0"/>
          <w:dstrike w:val="0"/>
          <w:color w:val="auto"/>
          <w:spacing w:val="0"/>
          <w:sz w:val="24"/>
          <w:szCs w:val="24"/>
          <w:highlight w:val="none"/>
        </w:rPr>
      </w:pPr>
    </w:p>
    <w:p w14:paraId="5B9BAD01">
      <w:pPr>
        <w:keepNext w:val="0"/>
        <w:keepLines w:val="0"/>
        <w:pageBreakBefore w:val="0"/>
        <w:wordWrap/>
        <w:overflowPunct/>
        <w:topLinePunct w:val="0"/>
        <w:bidi w:val="0"/>
        <w:adjustRightInd w:val="0"/>
        <w:snapToGrid w:val="0"/>
        <w:spacing w:before="78" w:line="220" w:lineRule="auto"/>
        <w:ind w:left="3138"/>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日    期： </w:t>
      </w:r>
      <w:r>
        <w:rPr>
          <w:rFonts w:hint="eastAsia" w:ascii="宋体" w:hAnsi="宋体" w:eastAsia="宋体" w:cs="宋体"/>
          <w:strike w:val="0"/>
          <w:dstrike w:val="0"/>
          <w:color w:val="auto"/>
          <w:spacing w:val="0"/>
          <w:sz w:val="24"/>
          <w:szCs w:val="24"/>
          <w:highlight w:val="none"/>
          <w:u w:val="single" w:color="auto"/>
        </w:rPr>
        <w:t xml:space="preserve">         年     月     日</w:t>
      </w:r>
    </w:p>
    <w:p w14:paraId="709A02CD">
      <w:pPr>
        <w:keepNext w:val="0"/>
        <w:keepLines w:val="0"/>
        <w:pageBreakBefore w:val="0"/>
        <w:wordWrap/>
        <w:overflowPunct/>
        <w:topLinePunct w:val="0"/>
        <w:bidi w:val="0"/>
        <w:adjustRightInd w:val="0"/>
        <w:snapToGrid w:val="0"/>
        <w:spacing w:line="220" w:lineRule="auto"/>
        <w:outlineLvl w:val="9"/>
        <w:rPr>
          <w:rFonts w:hint="eastAsia" w:ascii="宋体" w:hAnsi="宋体" w:eastAsia="宋体" w:cs="宋体"/>
          <w:strike w:val="0"/>
          <w:dstrike w:val="0"/>
          <w:color w:val="auto"/>
          <w:spacing w:val="0"/>
          <w:sz w:val="24"/>
          <w:szCs w:val="24"/>
          <w:highlight w:val="none"/>
        </w:rPr>
        <w:sectPr>
          <w:footerReference r:id="rId20" w:type="default"/>
          <w:pgSz w:w="11907" w:h="16839"/>
          <w:pgMar w:top="1431" w:right="1135" w:bottom="1155" w:left="1137" w:header="0" w:footer="991" w:gutter="0"/>
          <w:pgNumType w:fmt="decimal"/>
          <w:cols w:space="720" w:num="1"/>
        </w:sectPr>
      </w:pPr>
    </w:p>
    <w:p w14:paraId="3A427043">
      <w:pPr>
        <w:pStyle w:val="6"/>
        <w:keepNext w:val="0"/>
        <w:keepLines w:val="0"/>
        <w:pageBreakBefore w:val="0"/>
        <w:widowControl/>
        <w:kinsoku w:val="0"/>
        <w:wordWrap/>
        <w:overflowPunct/>
        <w:topLinePunct w:val="0"/>
        <w:autoSpaceDE w:val="0"/>
        <w:autoSpaceDN w:val="0"/>
        <w:bidi w:val="0"/>
        <w:adjustRightInd w:val="0"/>
        <w:snapToGrid w:val="0"/>
        <w:spacing w:line="500" w:lineRule="exact"/>
        <w:ind w:firstLine="0" w:firstLineChars="0"/>
        <w:jc w:val="center"/>
        <w:textAlignment w:val="baseline"/>
        <w:outlineLvl w:val="1"/>
        <w:rPr>
          <w:rFonts w:hint="eastAsia" w:asciiTheme="minorEastAsia" w:hAnsiTheme="minorEastAsia" w:eastAsiaTheme="minorEastAsia" w:cstheme="minorEastAsia"/>
          <w:b/>
          <w:bCs/>
          <w:sz w:val="28"/>
          <w:szCs w:val="28"/>
          <w:highlight w:val="none"/>
          <w:lang w:val="en-US" w:eastAsia="zh-CN"/>
        </w:rPr>
      </w:pPr>
      <w:bookmarkStart w:id="421" w:name="bookmark18"/>
      <w:bookmarkEnd w:id="421"/>
      <w:bookmarkStart w:id="422" w:name="_Toc26555"/>
      <w:bookmarkStart w:id="423" w:name="_Toc14534"/>
      <w:bookmarkStart w:id="424" w:name="_Toc2571"/>
      <w:bookmarkStart w:id="425" w:name="_Toc22051"/>
      <w:bookmarkStart w:id="426" w:name="_Toc10127"/>
      <w:bookmarkStart w:id="427" w:name="_Toc31269"/>
      <w:bookmarkStart w:id="428" w:name="_Toc15382"/>
      <w:bookmarkStart w:id="429" w:name="_Toc937"/>
      <w:bookmarkStart w:id="430" w:name="_Toc32016"/>
      <w:r>
        <w:rPr>
          <w:rFonts w:hint="eastAsia" w:asciiTheme="minorEastAsia" w:hAnsiTheme="minorEastAsia" w:eastAsiaTheme="minorEastAsia" w:cstheme="minorEastAsia"/>
          <w:b/>
          <w:bCs/>
          <w:sz w:val="28"/>
          <w:szCs w:val="28"/>
          <w:highlight w:val="none"/>
          <w:lang w:val="en-US" w:eastAsia="zh-CN"/>
        </w:rPr>
        <w:t>十、供应商认为需要提供的其他材料</w:t>
      </w:r>
      <w:bookmarkEnd w:id="422"/>
      <w:bookmarkEnd w:id="423"/>
      <w:bookmarkEnd w:id="424"/>
      <w:bookmarkEnd w:id="425"/>
      <w:bookmarkEnd w:id="426"/>
      <w:bookmarkEnd w:id="427"/>
      <w:bookmarkEnd w:id="428"/>
      <w:bookmarkEnd w:id="429"/>
      <w:bookmarkEnd w:id="430"/>
    </w:p>
    <w:p w14:paraId="0359F9F9">
      <w:pPr>
        <w:spacing w:before="78" w:line="219" w:lineRule="auto"/>
        <w:jc w:val="center"/>
        <w:rPr>
          <w:rFonts w:hint="eastAsia" w:ascii="宋体" w:hAnsi="宋体" w:eastAsia="宋体" w:cs="宋体"/>
          <w:strike w:val="0"/>
          <w:dstrike w:val="0"/>
          <w:color w:val="auto"/>
          <w:spacing w:val="0"/>
          <w:sz w:val="28"/>
          <w:szCs w:val="28"/>
          <w:highlight w:val="none"/>
        </w:rPr>
      </w:pPr>
    </w:p>
    <w:p w14:paraId="6281BE68">
      <w:pPr>
        <w:spacing w:before="78" w:line="219" w:lineRule="auto"/>
        <w:jc w:val="center"/>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（根据项目需求附证明材料）</w:t>
      </w:r>
    </w:p>
    <w:p w14:paraId="49AFB494">
      <w:pPr>
        <w:rPr>
          <w:rFonts w:hint="eastAsia" w:ascii="宋体" w:hAnsi="宋体" w:eastAsia="宋体" w:cs="宋体"/>
          <w:b/>
          <w:bCs/>
          <w:strike w:val="0"/>
          <w:dstrike w:val="0"/>
          <w:color w:val="auto"/>
          <w:spacing w:val="0"/>
          <w:sz w:val="28"/>
          <w:szCs w:val="28"/>
          <w:highlight w:val="none"/>
        </w:rPr>
      </w:pPr>
      <w:r>
        <w:rPr>
          <w:rFonts w:hint="eastAsia" w:ascii="宋体" w:hAnsi="宋体" w:eastAsia="宋体" w:cs="宋体"/>
          <w:b/>
          <w:bCs/>
          <w:strike w:val="0"/>
          <w:dstrike w:val="0"/>
          <w:color w:val="auto"/>
          <w:spacing w:val="0"/>
          <w:sz w:val="28"/>
          <w:szCs w:val="28"/>
          <w:highlight w:val="none"/>
        </w:rPr>
        <w:br w:type="page"/>
      </w:r>
    </w:p>
    <w:p w14:paraId="5B9AEF33">
      <w:pPr>
        <w:keepNext w:val="0"/>
        <w:keepLines w:val="0"/>
        <w:pageBreakBefore w:val="0"/>
        <w:wordWrap/>
        <w:overflowPunct/>
        <w:topLinePunct w:val="0"/>
        <w:bidi w:val="0"/>
        <w:adjustRightInd w:val="0"/>
        <w:snapToGrid w:val="0"/>
        <w:spacing w:before="129" w:line="177" w:lineRule="auto"/>
        <w:ind w:firstLine="562" w:firstLineChars="200"/>
        <w:outlineLvl w:val="9"/>
        <w:rPr>
          <w:rFonts w:hint="eastAsia" w:ascii="宋体" w:hAnsi="宋体" w:eastAsia="宋体" w:cs="宋体"/>
          <w:b/>
          <w:bCs/>
          <w:strike w:val="0"/>
          <w:dstrike w:val="0"/>
          <w:color w:val="auto"/>
          <w:spacing w:val="0"/>
          <w:sz w:val="28"/>
          <w:szCs w:val="28"/>
          <w:highlight w:val="none"/>
        </w:rPr>
      </w:pPr>
      <w:bookmarkStart w:id="431" w:name="_Toc20072"/>
      <w:bookmarkStart w:id="432" w:name="_Toc18772"/>
      <w:bookmarkStart w:id="433" w:name="_Toc22923"/>
      <w:bookmarkStart w:id="434" w:name="_Toc461"/>
      <w:r>
        <w:rPr>
          <w:rFonts w:hint="eastAsia" w:ascii="宋体" w:hAnsi="宋体" w:eastAsia="宋体" w:cs="宋体"/>
          <w:b/>
          <w:bCs/>
          <w:strike w:val="0"/>
          <w:dstrike w:val="0"/>
          <w:color w:val="auto"/>
          <w:spacing w:val="0"/>
          <w:sz w:val="28"/>
          <w:szCs w:val="28"/>
          <w:highlight w:val="none"/>
        </w:rPr>
        <w:t>附件 -</w:t>
      </w:r>
      <w:bookmarkEnd w:id="431"/>
      <w:bookmarkEnd w:id="432"/>
      <w:bookmarkEnd w:id="433"/>
      <w:bookmarkEnd w:id="434"/>
    </w:p>
    <w:p w14:paraId="7552E440">
      <w:pPr>
        <w:pStyle w:val="5"/>
        <w:keepNext w:val="0"/>
        <w:keepLines w:val="0"/>
        <w:pageBreakBefore w:val="0"/>
        <w:wordWrap/>
        <w:overflowPunct/>
        <w:topLinePunct w:val="0"/>
        <w:bidi w:val="0"/>
        <w:adjustRightInd w:val="0"/>
        <w:snapToGrid w:val="0"/>
        <w:spacing w:line="398" w:lineRule="auto"/>
        <w:outlineLvl w:val="9"/>
        <w:rPr>
          <w:rFonts w:hint="eastAsia" w:ascii="宋体" w:hAnsi="宋体" w:eastAsia="宋体" w:cs="宋体"/>
          <w:strike w:val="0"/>
          <w:dstrike w:val="0"/>
          <w:color w:val="auto"/>
          <w:spacing w:val="0"/>
          <w:sz w:val="28"/>
          <w:szCs w:val="28"/>
          <w:highlight w:val="none"/>
        </w:rPr>
      </w:pPr>
    </w:p>
    <w:p w14:paraId="251E5CA6">
      <w:pPr>
        <w:keepNext w:val="0"/>
        <w:keepLines w:val="0"/>
        <w:pageBreakBefore w:val="0"/>
        <w:wordWrap/>
        <w:overflowPunct/>
        <w:topLinePunct w:val="0"/>
        <w:bidi w:val="0"/>
        <w:adjustRightInd w:val="0"/>
        <w:snapToGrid w:val="0"/>
        <w:spacing w:before="78" w:line="220" w:lineRule="auto"/>
        <w:ind w:firstLine="640" w:firstLineChars="200"/>
        <w:jc w:val="center"/>
        <w:outlineLvl w:val="9"/>
        <w:rPr>
          <w:rFonts w:hint="eastAsia" w:ascii="宋体" w:hAnsi="宋体" w:eastAsia="宋体" w:cs="宋体"/>
          <w:strike w:val="0"/>
          <w:dstrike w:val="0"/>
          <w:color w:val="auto"/>
          <w:spacing w:val="0"/>
          <w:sz w:val="32"/>
          <w:szCs w:val="32"/>
          <w:highlight w:val="none"/>
        </w:rPr>
      </w:pPr>
      <w:bookmarkStart w:id="435" w:name="_Toc24815"/>
      <w:bookmarkStart w:id="436" w:name="_Toc11174"/>
      <w:r>
        <w:rPr>
          <w:rFonts w:hint="eastAsia" w:ascii="宋体" w:hAnsi="宋体" w:eastAsia="宋体" w:cs="宋体"/>
          <w:strike w:val="0"/>
          <w:dstrike w:val="0"/>
          <w:color w:val="auto"/>
          <w:spacing w:val="0"/>
          <w:sz w:val="32"/>
          <w:szCs w:val="32"/>
          <w:highlight w:val="none"/>
          <w14:textOutline w14:w="4354" w14:cap="flat" w14:cmpd="sng">
            <w14:solidFill>
              <w14:srgbClr w14:val="000000"/>
            </w14:solidFill>
            <w14:prstDash w14:val="solid"/>
            <w14:miter w14:val="0"/>
          </w14:textOutline>
        </w:rPr>
        <w:t>中小企业声明函</w:t>
      </w:r>
      <w:bookmarkEnd w:id="435"/>
      <w:bookmarkEnd w:id="436"/>
    </w:p>
    <w:p w14:paraId="67CC8FC7">
      <w:pPr>
        <w:pStyle w:val="5"/>
        <w:keepNext w:val="0"/>
        <w:keepLines w:val="0"/>
        <w:pageBreakBefore w:val="0"/>
        <w:wordWrap/>
        <w:overflowPunct/>
        <w:topLinePunct w:val="0"/>
        <w:bidi w:val="0"/>
        <w:adjustRightInd w:val="0"/>
        <w:snapToGrid w:val="0"/>
        <w:spacing w:line="250" w:lineRule="auto"/>
        <w:outlineLvl w:val="9"/>
        <w:rPr>
          <w:rFonts w:hint="eastAsia" w:ascii="宋体" w:hAnsi="宋体" w:eastAsia="宋体" w:cs="宋体"/>
          <w:strike w:val="0"/>
          <w:dstrike w:val="0"/>
          <w:color w:val="auto"/>
          <w:spacing w:val="0"/>
          <w:sz w:val="28"/>
          <w:szCs w:val="28"/>
          <w:highlight w:val="none"/>
        </w:rPr>
      </w:pPr>
    </w:p>
    <w:p w14:paraId="3F94F0E0">
      <w:pPr>
        <w:pStyle w:val="5"/>
        <w:keepNext w:val="0"/>
        <w:keepLines w:val="0"/>
        <w:pageBreakBefore w:val="0"/>
        <w:wordWrap/>
        <w:overflowPunct/>
        <w:topLinePunct w:val="0"/>
        <w:bidi w:val="0"/>
        <w:adjustRightInd w:val="0"/>
        <w:snapToGrid w:val="0"/>
        <w:spacing w:line="300" w:lineRule="auto"/>
        <w:ind w:firstLine="480" w:firstLineChars="200"/>
        <w:jc w:val="left"/>
        <w:outlineLvl w:val="9"/>
        <w:rPr>
          <w:rFonts w:hint="eastAsia" w:ascii="宋体" w:hAnsi="宋体" w:eastAsia="宋体" w:cs="宋体"/>
          <w:strike w:val="0"/>
          <w:dstrike w:val="0"/>
          <w:color w:val="auto"/>
          <w:spacing w:val="0"/>
          <w:sz w:val="24"/>
          <w:szCs w:val="24"/>
          <w:highlight w:val="none"/>
        </w:rPr>
      </w:pPr>
    </w:p>
    <w:p w14:paraId="65D62970">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本公司（联合体）郑重声明，根据《政府采购促进中小企业发展管理办法</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rPr>
        <w:t>（财库﹝2020﹞46号）的规定</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rPr>
        <w:t xml:space="preserve">本公司（联合体）参加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rPr>
        <w:t xml:space="preserve">单位名称）的 </w:t>
      </w:r>
      <w:r>
        <w:rPr>
          <w:rFonts w:hint="eastAsia" w:ascii="宋体" w:hAnsi="宋体" w:eastAsia="宋体" w:cs="宋体"/>
          <w:strike w:val="0"/>
          <w:dstrike w:val="0"/>
          <w:color w:val="auto"/>
          <w:spacing w:val="0"/>
          <w:sz w:val="24"/>
          <w:szCs w:val="24"/>
          <w:highlight w:val="none"/>
          <w:u w:val="single" w:color="auto"/>
        </w:rPr>
        <w:t xml:space="preserve">    （项目名</w:t>
      </w:r>
      <w:r>
        <w:rPr>
          <w:rFonts w:hint="eastAsia" w:ascii="宋体" w:hAnsi="宋体" w:eastAsia="宋体" w:cs="宋体"/>
          <w:strike w:val="0"/>
          <w:dstrike w:val="0"/>
          <w:color w:val="auto"/>
          <w:spacing w:val="0"/>
          <w:sz w:val="24"/>
          <w:szCs w:val="24"/>
          <w:highlight w:val="none"/>
          <w:u w:val="single"/>
        </w:rPr>
        <w:t xml:space="preserve"> </w:t>
      </w:r>
      <w:r>
        <w:rPr>
          <w:rFonts w:hint="eastAsia" w:ascii="宋体" w:hAnsi="宋体" w:eastAsia="宋体" w:cs="宋体"/>
          <w:strike w:val="0"/>
          <w:dstrike w:val="0"/>
          <w:color w:val="auto"/>
          <w:spacing w:val="0"/>
          <w:sz w:val="24"/>
          <w:szCs w:val="24"/>
          <w:highlight w:val="none"/>
          <w:u w:val="single" w:color="auto"/>
        </w:rPr>
        <w:t xml:space="preserve">称）  </w:t>
      </w:r>
      <w:r>
        <w:rPr>
          <w:rFonts w:hint="eastAsia" w:ascii="宋体" w:hAnsi="宋体" w:eastAsia="宋体" w:cs="宋体"/>
          <w:strike w:val="0"/>
          <w:dstrike w:val="0"/>
          <w:color w:val="auto"/>
          <w:spacing w:val="0"/>
          <w:sz w:val="24"/>
          <w:szCs w:val="24"/>
          <w:highlight w:val="none"/>
        </w:rPr>
        <w:t xml:space="preserve"> 采购活动</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rPr>
        <w:t>工程的施工单位全部为符合政策要求的中小企业（或者：服务全部由符 合政策要求的中小企业承接）。相关企业（含联合体中的中小企业、签订分包意向协议的中小企业）的具体情况如下：</w:t>
      </w:r>
    </w:p>
    <w:p w14:paraId="4E7AB6D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1. </w:t>
      </w:r>
      <w:r>
        <w:rPr>
          <w:rFonts w:hint="eastAsia" w:ascii="宋体" w:hAnsi="宋体" w:eastAsia="宋体" w:cs="宋体"/>
          <w:strike w:val="0"/>
          <w:dstrike w:val="0"/>
          <w:color w:val="auto"/>
          <w:spacing w:val="0"/>
          <w:sz w:val="24"/>
          <w:szCs w:val="24"/>
          <w:highlight w:val="none"/>
          <w:u w:val="single" w:color="auto"/>
        </w:rPr>
        <w:t xml:space="preserve"> （标的名称）  </w:t>
      </w:r>
      <w:r>
        <w:rPr>
          <w:rFonts w:hint="eastAsia" w:ascii="宋体" w:hAnsi="宋体" w:eastAsia="宋体" w:cs="宋体"/>
          <w:strike w:val="0"/>
          <w:dstrike w:val="0"/>
          <w:color w:val="auto"/>
          <w:spacing w:val="0"/>
          <w:sz w:val="24"/>
          <w:szCs w:val="24"/>
          <w:highlight w:val="none"/>
        </w:rPr>
        <w:t xml:space="preserve"> ，属于</w:t>
      </w:r>
      <w:r>
        <w:rPr>
          <w:rFonts w:hint="eastAsia" w:ascii="宋体" w:hAnsi="宋体" w:eastAsia="宋体" w:cs="宋体"/>
          <w:strike w:val="0"/>
          <w:dstrike w:val="0"/>
          <w:color w:val="auto"/>
          <w:spacing w:val="0"/>
          <w:sz w:val="24"/>
          <w:szCs w:val="24"/>
          <w:highlight w:val="none"/>
          <w:u w:val="single" w:color="auto"/>
        </w:rPr>
        <w:t>（采购文件中明确的所属行业）</w:t>
      </w:r>
      <w:r>
        <w:rPr>
          <w:rFonts w:hint="eastAsia" w:ascii="宋体" w:hAnsi="宋体" w:eastAsia="宋体" w:cs="宋体"/>
          <w:strike w:val="0"/>
          <w:dstrike w:val="0"/>
          <w:color w:val="auto"/>
          <w:spacing w:val="0"/>
          <w:sz w:val="24"/>
          <w:szCs w:val="24"/>
          <w:highlight w:val="none"/>
        </w:rPr>
        <w:t xml:space="preserve">行业；承建（承接）企业 为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，从业人员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人，营业收入为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万元，资产总额为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万元，属于（中型企业、小型企业、微型企业）；</w:t>
      </w:r>
    </w:p>
    <w:p w14:paraId="352D4C3F">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2. </w:t>
      </w:r>
      <w:r>
        <w:rPr>
          <w:rFonts w:hint="eastAsia" w:ascii="宋体" w:hAnsi="宋体" w:eastAsia="宋体" w:cs="宋体"/>
          <w:strike w:val="0"/>
          <w:dstrike w:val="0"/>
          <w:color w:val="auto"/>
          <w:spacing w:val="0"/>
          <w:sz w:val="24"/>
          <w:szCs w:val="24"/>
          <w:highlight w:val="none"/>
          <w:u w:val="single" w:color="auto"/>
        </w:rPr>
        <w:t xml:space="preserve"> （标的名称）  </w:t>
      </w:r>
      <w:r>
        <w:rPr>
          <w:rFonts w:hint="eastAsia" w:ascii="宋体" w:hAnsi="宋体" w:eastAsia="宋体" w:cs="宋体"/>
          <w:strike w:val="0"/>
          <w:dstrike w:val="0"/>
          <w:color w:val="auto"/>
          <w:spacing w:val="0"/>
          <w:sz w:val="24"/>
          <w:szCs w:val="24"/>
          <w:highlight w:val="none"/>
        </w:rPr>
        <w:t xml:space="preserve"> ，属于</w:t>
      </w:r>
      <w:r>
        <w:rPr>
          <w:rFonts w:hint="eastAsia" w:ascii="宋体" w:hAnsi="宋体" w:eastAsia="宋体" w:cs="宋体"/>
          <w:strike w:val="0"/>
          <w:dstrike w:val="0"/>
          <w:color w:val="auto"/>
          <w:spacing w:val="0"/>
          <w:sz w:val="24"/>
          <w:szCs w:val="24"/>
          <w:highlight w:val="none"/>
          <w:u w:val="single" w:color="auto"/>
        </w:rPr>
        <w:t>（采购文件中明确的所属行业）</w:t>
      </w:r>
      <w:r>
        <w:rPr>
          <w:rFonts w:hint="eastAsia" w:ascii="宋体" w:hAnsi="宋体" w:eastAsia="宋体" w:cs="宋体"/>
          <w:strike w:val="0"/>
          <w:dstrike w:val="0"/>
          <w:color w:val="auto"/>
          <w:spacing w:val="0"/>
          <w:sz w:val="24"/>
          <w:szCs w:val="24"/>
          <w:highlight w:val="none"/>
        </w:rPr>
        <w:t xml:space="preserve">行业；承建（承接）企业 为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，从业人员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人，营业收入为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万元，资产总额为 </w:t>
      </w:r>
      <w:r>
        <w:rPr>
          <w:rFonts w:hint="eastAsia" w:ascii="宋体" w:hAnsi="宋体" w:eastAsia="宋体" w:cs="宋体"/>
          <w:strike w:val="0"/>
          <w:dstrike w:val="0"/>
          <w:color w:val="auto"/>
          <w:spacing w:val="0"/>
          <w:sz w:val="24"/>
          <w:szCs w:val="24"/>
          <w:highlight w:val="none"/>
          <w:u w:val="single" w:color="auto"/>
        </w:rPr>
        <w:t xml:space="preserve">           </w:t>
      </w:r>
      <w:r>
        <w:rPr>
          <w:rFonts w:hint="eastAsia" w:ascii="宋体" w:hAnsi="宋体" w:eastAsia="宋体" w:cs="宋体"/>
          <w:strike w:val="0"/>
          <w:dstrike w:val="0"/>
          <w:color w:val="auto"/>
          <w:spacing w:val="0"/>
          <w:sz w:val="24"/>
          <w:szCs w:val="24"/>
          <w:highlight w:val="none"/>
        </w:rPr>
        <w:t xml:space="preserve"> 万元，属于（中型企业、小型企业、微型企业）；</w:t>
      </w:r>
    </w:p>
    <w:p w14:paraId="226FE81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position w:val="3"/>
          <w:sz w:val="24"/>
          <w:szCs w:val="24"/>
          <w:highlight w:val="none"/>
        </w:rPr>
        <w:t>……</w:t>
      </w:r>
    </w:p>
    <w:p w14:paraId="03B5DA2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以上企业，不属于大企业的分支机构，不存在控股股东为大企业的情形，也不存在与大企业的负责人为同一人的情形。</w:t>
      </w:r>
    </w:p>
    <w:p w14:paraId="2AD254D6">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本企业对上述声明内容的真实性负责。如有虚假，将依法承担相应责任。</w:t>
      </w:r>
    </w:p>
    <w:p w14:paraId="13EEEF52">
      <w:pPr>
        <w:pStyle w:val="5"/>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230D5BA7">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position w:val="17"/>
          <w:sz w:val="24"/>
          <w:szCs w:val="24"/>
          <w:highlight w:val="none"/>
        </w:rPr>
        <w:t>企业名称（盖章）：</w:t>
      </w:r>
    </w:p>
    <w:p w14:paraId="7E824E26">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日 期：</w:t>
      </w:r>
    </w:p>
    <w:p w14:paraId="358028FD">
      <w:pPr>
        <w:pStyle w:val="5"/>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24E34EC8">
      <w:pPr>
        <w:pStyle w:val="5"/>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注：从业人员、营业收入、资产总额填报上一年度数据，无上一年度数据的新成立企业可不填报。</w:t>
      </w:r>
    </w:p>
    <w:p w14:paraId="4B987605">
      <w:pPr>
        <w:keepNext w:val="0"/>
        <w:keepLines w:val="0"/>
        <w:pageBreakBefore w:val="0"/>
        <w:wordWrap/>
        <w:overflowPunct/>
        <w:topLinePunct w:val="0"/>
        <w:bidi w:val="0"/>
        <w:adjustRightInd w:val="0"/>
        <w:snapToGrid w:val="0"/>
        <w:spacing w:line="300" w:lineRule="auto"/>
        <w:ind w:left="490" w:firstLine="480" w:firstLineChars="200"/>
        <w:jc w:val="left"/>
        <w:outlineLvl w:val="9"/>
        <w:rPr>
          <w:rFonts w:hint="eastAsia" w:ascii="宋体" w:hAnsi="宋体" w:eastAsia="宋体" w:cs="宋体"/>
          <w:strike w:val="0"/>
          <w:dstrike w:val="0"/>
          <w:color w:val="auto"/>
          <w:spacing w:val="0"/>
          <w:sz w:val="24"/>
          <w:szCs w:val="24"/>
          <w:highlight w:val="none"/>
          <w:lang w:eastAsia="zh-CN"/>
        </w:rPr>
        <w:sectPr>
          <w:footerReference r:id="rId21" w:type="default"/>
          <w:pgSz w:w="11907" w:h="16839"/>
          <w:pgMar w:top="1431" w:right="1244" w:bottom="1155" w:left="1256" w:header="0" w:footer="991" w:gutter="0"/>
          <w:pgNumType w:fmt="decimal"/>
          <w:cols w:space="720" w:num="1"/>
        </w:sectPr>
      </w:pPr>
      <w:r>
        <w:rPr>
          <w:rFonts w:hint="eastAsia" w:ascii="宋体" w:hAnsi="宋体" w:eastAsia="宋体" w:cs="宋体"/>
          <w:strike w:val="0"/>
          <w:dstrike w:val="0"/>
          <w:color w:val="auto"/>
          <w:spacing w:val="0"/>
          <w:sz w:val="24"/>
          <w:szCs w:val="24"/>
          <w:highlight w:val="none"/>
          <w14:textOutline w14:w="4354" w14:cap="flat" w14:cmpd="sng">
            <w14:solidFill>
              <w14:srgbClr w14:val="000000"/>
            </w14:solidFill>
            <w14:prstDash w14:val="solid"/>
            <w14:miter w14:val="0"/>
          </w14:textOutline>
        </w:rPr>
        <w:t>（提醒：1.本项目对应的中小企业划分标准所属行业为：</w:t>
      </w:r>
      <w:r>
        <w:rPr>
          <w:rFonts w:hint="eastAsia" w:ascii="宋体" w:hAnsi="宋体" w:eastAsia="宋体" w:cs="宋体"/>
          <w:strike w:val="0"/>
          <w:dstrike w:val="0"/>
          <w:color w:val="auto"/>
          <w:spacing w:val="0"/>
          <w:sz w:val="24"/>
          <w:szCs w:val="24"/>
          <w:highlight w:val="none"/>
        </w:rPr>
        <w:t xml:space="preserve"> </w:t>
      </w:r>
      <w:r>
        <w:rPr>
          <w:rFonts w:hint="eastAsia" w:ascii="宋体" w:hAnsi="宋体" w:eastAsia="宋体" w:cs="宋体"/>
          <w:strike w:val="0"/>
          <w:dstrike w:val="0"/>
          <w:color w:val="auto"/>
          <w:spacing w:val="0"/>
          <w:sz w:val="24"/>
          <w:szCs w:val="24"/>
          <w:highlight w:val="none"/>
          <w14:textOutline w14:w="4354" w14:cap="flat" w14:cmpd="sng">
            <w14:solidFill>
              <w14:srgbClr w14:val="000000"/>
            </w14:solidFill>
            <w14:prstDash w14:val="solid"/>
            <w14:miter w14:val="0"/>
          </w14:textOutline>
        </w:rPr>
        <w:t>其他服务业）</w:t>
      </w:r>
      <w:r>
        <w:rPr>
          <w:rFonts w:hint="eastAsia" w:ascii="宋体" w:hAnsi="宋体" w:eastAsia="宋体" w:cs="宋体"/>
          <w:strike w:val="0"/>
          <w:dstrike w:val="0"/>
          <w:color w:val="auto"/>
          <w:spacing w:val="0"/>
          <w:sz w:val="24"/>
          <w:szCs w:val="24"/>
          <w:highlight w:val="none"/>
          <w:lang w:eastAsia="zh-CN"/>
          <w14:textOutline w14:w="4354" w14:cap="flat" w14:cmpd="sng">
            <w14:solidFill>
              <w14:srgbClr w14:val="000000"/>
            </w14:solidFill>
            <w14:prstDash w14:val="solid"/>
            <w14:miter w14:val="0"/>
          </w14:textOutline>
        </w:rPr>
        <w:t>。</w:t>
      </w:r>
    </w:p>
    <w:p w14:paraId="0DB9F248">
      <w:pPr>
        <w:keepNext w:val="0"/>
        <w:keepLines w:val="0"/>
        <w:pageBreakBefore w:val="0"/>
        <w:wordWrap/>
        <w:overflowPunct/>
        <w:topLinePunct w:val="0"/>
        <w:bidi w:val="0"/>
        <w:adjustRightInd w:val="0"/>
        <w:snapToGrid w:val="0"/>
        <w:spacing w:before="47" w:line="220" w:lineRule="auto"/>
        <w:ind w:firstLine="640" w:firstLineChars="200"/>
        <w:jc w:val="center"/>
        <w:outlineLvl w:val="9"/>
        <w:rPr>
          <w:rFonts w:hint="eastAsia" w:ascii="宋体" w:hAnsi="宋体" w:eastAsia="宋体" w:cs="宋体"/>
          <w:strike w:val="0"/>
          <w:dstrike w:val="0"/>
          <w:color w:val="auto"/>
          <w:spacing w:val="0"/>
          <w:sz w:val="32"/>
          <w:szCs w:val="32"/>
          <w:highlight w:val="none"/>
        </w:rPr>
      </w:pPr>
      <w:bookmarkStart w:id="437" w:name="bookmark19"/>
      <w:bookmarkEnd w:id="437"/>
      <w:bookmarkStart w:id="438" w:name="bookmark20"/>
      <w:bookmarkEnd w:id="438"/>
      <w:bookmarkStart w:id="439" w:name="_Toc8245"/>
      <w:bookmarkStart w:id="440" w:name="_Toc26772"/>
      <w:r>
        <w:rPr>
          <w:rFonts w:hint="eastAsia" w:ascii="宋体" w:hAnsi="宋体" w:eastAsia="宋体" w:cs="宋体"/>
          <w:strike w:val="0"/>
          <w:dstrike w:val="0"/>
          <w:color w:val="auto"/>
          <w:spacing w:val="0"/>
          <w:sz w:val="32"/>
          <w:szCs w:val="32"/>
          <w:highlight w:val="none"/>
          <w14:textOutline w14:w="4354" w14:cap="flat" w14:cmpd="sng">
            <w14:solidFill>
              <w14:srgbClr w14:val="000000"/>
            </w14:solidFill>
            <w14:prstDash w14:val="solid"/>
            <w14:miter w14:val="0"/>
          </w14:textOutline>
        </w:rPr>
        <w:t>残疾人福利性单位声明函</w:t>
      </w:r>
      <w:bookmarkEnd w:id="439"/>
      <w:bookmarkEnd w:id="440"/>
    </w:p>
    <w:p w14:paraId="76BF91BB">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7B1C5A14">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本单位郑重声明，根据《财政部民政部中国残疾人联合会关于促进残疾人就业政府采购政策的通知》（财库〔2017〕141 号）的规定，本单位为符合条件的残疾人福 利性单位，且本单位参加         单位的        项目采购活动提供本单位制造的货物（由本单位承担工程/提供服务），或者提供其他残疾人福利性单位制造的货物（不包括使用非残疾人福利性单位注册商标的货物）。</w:t>
      </w:r>
    </w:p>
    <w:p w14:paraId="027B663D">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本单位对上述声明的真实性负责。如有虚假，将依法承担相应责任。</w:t>
      </w:r>
    </w:p>
    <w:p w14:paraId="6172281A">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38653CDD">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0062EDAE">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 xml:space="preserve">单位名称（盖章）：                   </w:t>
      </w:r>
    </w:p>
    <w:p w14:paraId="2601834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日  期：</w:t>
      </w:r>
    </w:p>
    <w:p w14:paraId="2490A12E">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7EC6FBC3">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006AEA9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（提醒：如果供应商不是残疾人福利性单位，则不需要提供《残疾人福利性单位声明函》。否则，因此导致虚假投标的后果由供应商自行承担。）</w:t>
      </w:r>
    </w:p>
    <w:p w14:paraId="59ADA6A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0D76D4BC">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《财政部民政部中国残疾人联合会关于促进残疾人就业政府采购政策的通知》（财库2017〔141〕号）的规定：</w:t>
      </w:r>
    </w:p>
    <w:p w14:paraId="63C09CA4">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1. 享受政府采购支持政策的残疾人福利性单位应当同时满足以下条件：</w:t>
      </w:r>
    </w:p>
    <w:p w14:paraId="6612179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（1）安置的残疾人占本单位在职职工人数的比例不低于25%（含25%），并且安置的残疾人人数不少于10人（含10人）；</w:t>
      </w:r>
    </w:p>
    <w:p w14:paraId="65B53F2D">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（2）依法与安置的每位残疾人签订了一年以上（含一年）的劳动合同或服务协议；</w:t>
      </w:r>
    </w:p>
    <w:p w14:paraId="6CAB487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（3）为安置的每位残疾人按月足额缴纳了基本养老保险、基本医疗保险、失业保险、工伤保险和生育保险等社会保险费；</w:t>
      </w:r>
    </w:p>
    <w:p w14:paraId="3716498A">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（4）通过银行等金融机构向安置的每位残疾人，按月支付了不低于单位所在区县适用的经省级人民政府批准的月最低工资标准的工资；</w:t>
      </w:r>
    </w:p>
    <w:p w14:paraId="35362724">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（5）提供本单位制造的货物、承担的工程或者服务（以下简称产品</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rPr>
        <w:t>，或者提供其他残疾人福利性单位制造的货物（不包括使用非残疾人福利性单位注册商标的货物）。</w:t>
      </w:r>
    </w:p>
    <w:p w14:paraId="0D66E0BE">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2. 成交人为残疾人福利性单位的，采购人或者其委托的采购代理机构应当随成交、成交结果同时公告其《残疾人福利性单位声明函》，接受社会监督。</w:t>
      </w:r>
    </w:p>
    <w:p w14:paraId="688092F4">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0AF910C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bookmarkStart w:id="441" w:name="bookmark21"/>
      <w:bookmarkEnd w:id="441"/>
    </w:p>
    <w:p w14:paraId="46C076FA">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p>
    <w:p w14:paraId="77556732">
      <w:pPr>
        <w:keepNext w:val="0"/>
        <w:keepLines w:val="0"/>
        <w:pageBreakBefore w:val="0"/>
        <w:wordWrap/>
        <w:overflowPunct/>
        <w:topLinePunct w:val="0"/>
        <w:bidi w:val="0"/>
        <w:adjustRightInd w:val="0"/>
        <w:snapToGrid w:val="0"/>
        <w:spacing w:before="63" w:line="225" w:lineRule="auto"/>
        <w:ind w:left="3324"/>
        <w:outlineLvl w:val="9"/>
        <w:rPr>
          <w:rFonts w:hint="eastAsia" w:ascii="宋体" w:hAnsi="宋体" w:eastAsia="宋体" w:cs="宋体"/>
          <w:strike w:val="0"/>
          <w:dstrike w:val="0"/>
          <w:color w:val="auto"/>
          <w:spacing w:val="0"/>
          <w:sz w:val="28"/>
          <w:szCs w:val="28"/>
          <w:highlight w:val="none"/>
          <w14:textOutline w14:w="5791" w14:cap="flat" w14:cmpd="sng">
            <w14:solidFill>
              <w14:srgbClr w14:val="000000"/>
            </w14:solidFill>
            <w14:prstDash w14:val="solid"/>
            <w14:miter w14:val="0"/>
          </w14:textOutline>
        </w:rPr>
      </w:pPr>
    </w:p>
    <w:p w14:paraId="044F7C59">
      <w:pPr>
        <w:keepNext w:val="0"/>
        <w:keepLines w:val="0"/>
        <w:pageBreakBefore w:val="0"/>
        <w:wordWrap/>
        <w:overflowPunct/>
        <w:topLinePunct w:val="0"/>
        <w:bidi w:val="0"/>
        <w:adjustRightInd w:val="0"/>
        <w:snapToGrid w:val="0"/>
        <w:outlineLvl w:val="9"/>
        <w:rPr>
          <w:rFonts w:hint="eastAsia"/>
          <w:highlight w:val="none"/>
        </w:rPr>
      </w:pPr>
    </w:p>
    <w:p w14:paraId="23AD95BA">
      <w:pPr>
        <w:keepNext w:val="0"/>
        <w:keepLines w:val="0"/>
        <w:pageBreakBefore w:val="0"/>
        <w:wordWrap/>
        <w:overflowPunct/>
        <w:topLinePunct w:val="0"/>
        <w:bidi w:val="0"/>
        <w:adjustRightInd w:val="0"/>
        <w:snapToGrid w:val="0"/>
        <w:spacing w:before="63" w:line="225" w:lineRule="auto"/>
        <w:ind w:left="3324"/>
        <w:outlineLvl w:val="9"/>
        <w:rPr>
          <w:rFonts w:hint="eastAsia" w:ascii="宋体" w:hAnsi="宋体" w:eastAsia="宋体" w:cs="宋体"/>
          <w:strike w:val="0"/>
          <w:dstrike w:val="0"/>
          <w:color w:val="auto"/>
          <w:spacing w:val="0"/>
          <w:sz w:val="32"/>
          <w:szCs w:val="32"/>
          <w:highlight w:val="none"/>
          <w14:textOutline w14:w="5791" w14:cap="flat" w14:cmpd="sng">
            <w14:solidFill>
              <w14:srgbClr w14:val="000000"/>
            </w14:solidFill>
            <w14:prstDash w14:val="solid"/>
            <w14:miter w14:val="0"/>
          </w14:textOutline>
        </w:rPr>
      </w:pPr>
    </w:p>
    <w:p w14:paraId="7BF73EA0">
      <w:pPr>
        <w:keepNext w:val="0"/>
        <w:keepLines w:val="0"/>
        <w:pageBreakBefore w:val="0"/>
        <w:wordWrap/>
        <w:overflowPunct/>
        <w:topLinePunct w:val="0"/>
        <w:bidi w:val="0"/>
        <w:adjustRightInd w:val="0"/>
        <w:snapToGrid w:val="0"/>
        <w:spacing w:before="63" w:line="225" w:lineRule="auto"/>
        <w:ind w:firstLine="640" w:firstLineChars="200"/>
        <w:jc w:val="center"/>
        <w:outlineLvl w:val="9"/>
        <w:rPr>
          <w:rFonts w:hint="eastAsia" w:ascii="宋体" w:hAnsi="宋体" w:eastAsia="宋体" w:cs="宋体"/>
          <w:strike w:val="0"/>
          <w:dstrike w:val="0"/>
          <w:color w:val="auto"/>
          <w:spacing w:val="0"/>
          <w:sz w:val="32"/>
          <w:szCs w:val="32"/>
          <w:highlight w:val="none"/>
        </w:rPr>
      </w:pPr>
      <w:bookmarkStart w:id="442" w:name="_Toc12454"/>
      <w:bookmarkStart w:id="443" w:name="_Toc18437"/>
      <w:r>
        <w:rPr>
          <w:rFonts w:hint="eastAsia" w:ascii="宋体" w:hAnsi="宋体" w:eastAsia="宋体" w:cs="宋体"/>
          <w:strike w:val="0"/>
          <w:dstrike w:val="0"/>
          <w:color w:val="auto"/>
          <w:spacing w:val="0"/>
          <w:sz w:val="32"/>
          <w:szCs w:val="32"/>
          <w:highlight w:val="none"/>
          <w14:textOutline w14:w="5791" w14:cap="flat" w14:cmpd="sng">
            <w14:solidFill>
              <w14:srgbClr w14:val="000000"/>
            </w14:solidFill>
            <w14:prstDash w14:val="solid"/>
            <w14:miter w14:val="0"/>
          </w14:textOutline>
        </w:rPr>
        <w:t>监狱企业证明文件</w:t>
      </w:r>
      <w:bookmarkEnd w:id="442"/>
      <w:bookmarkEnd w:id="443"/>
    </w:p>
    <w:p w14:paraId="7D36C1DA">
      <w:pPr>
        <w:pStyle w:val="5"/>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outlineLvl w:val="9"/>
        <w:rPr>
          <w:rFonts w:hint="eastAsia" w:ascii="宋体" w:hAnsi="宋体" w:eastAsia="宋体" w:cs="宋体"/>
          <w:strike w:val="0"/>
          <w:dstrike w:val="0"/>
          <w:color w:val="auto"/>
          <w:spacing w:val="0"/>
          <w:sz w:val="28"/>
          <w:szCs w:val="28"/>
          <w:highlight w:val="none"/>
        </w:rPr>
      </w:pPr>
    </w:p>
    <w:p w14:paraId="6D8FD65A">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宋体" w:hAnsi="宋体" w:eastAsia="宋体" w:cs="宋体"/>
          <w:strike w:val="0"/>
          <w:dstrike w:val="0"/>
          <w:color w:val="auto"/>
          <w:spacing w:val="0"/>
          <w:sz w:val="24"/>
          <w:szCs w:val="24"/>
          <w:highlight w:val="none"/>
        </w:rPr>
      </w:pPr>
      <w:r>
        <w:rPr>
          <w:rFonts w:hint="eastAsia" w:ascii="宋体" w:hAnsi="宋体" w:eastAsia="宋体" w:cs="宋体"/>
          <w:strike w:val="0"/>
          <w:dstrike w:val="0"/>
          <w:color w:val="auto"/>
          <w:spacing w:val="0"/>
          <w:sz w:val="24"/>
          <w:szCs w:val="24"/>
          <w:highlight w:val="none"/>
        </w:rPr>
        <w:t>监狱企业参加政府采购活动时，应当提供由省级以上监狱管理局</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rPr>
        <w:t>戒毒管理局</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rPr>
        <w:t>含新疆生产建设兵团</w:t>
      </w:r>
      <w:r>
        <w:rPr>
          <w:rFonts w:hint="eastAsia" w:ascii="宋体" w:hAnsi="宋体" w:eastAsia="宋体" w:cs="宋体"/>
          <w:strike w:val="0"/>
          <w:dstrike w:val="0"/>
          <w:color w:val="auto"/>
          <w:spacing w:val="0"/>
          <w:sz w:val="24"/>
          <w:szCs w:val="24"/>
          <w:highlight w:val="none"/>
          <w:lang w:eastAsia="zh-CN"/>
        </w:rPr>
        <w:t>）</w:t>
      </w:r>
      <w:r>
        <w:rPr>
          <w:rFonts w:hint="eastAsia" w:ascii="宋体" w:hAnsi="宋体" w:eastAsia="宋体" w:cs="宋体"/>
          <w:strike w:val="0"/>
          <w:dstrike w:val="0"/>
          <w:color w:val="auto"/>
          <w:spacing w:val="0"/>
          <w:sz w:val="24"/>
          <w:szCs w:val="24"/>
          <w:highlight w:val="none"/>
        </w:rPr>
        <w:t>出具的属于监狱企业的证明文件。</w:t>
      </w:r>
    </w:p>
    <w:p w14:paraId="623D8BA5">
      <w:pPr>
        <w:pStyle w:val="6"/>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outlineLvl w:val="9"/>
        <w:rPr>
          <w:rFonts w:hint="eastAsia" w:ascii="宋体" w:hAnsi="宋体" w:eastAsia="宋体" w:cs="宋体"/>
          <w:strike w:val="0"/>
          <w:dstrike w:val="0"/>
          <w:color w:val="auto"/>
          <w:spacing w:val="0"/>
          <w:position w:val="35"/>
          <w:sz w:val="28"/>
          <w:szCs w:val="28"/>
          <w:highlight w:val="none"/>
        </w:rPr>
      </w:pPr>
    </w:p>
    <w:p w14:paraId="09D28602"/>
    <w:sectPr>
      <w:footerReference r:id="rId22" w:type="default"/>
      <w:pgSz w:w="11907" w:h="16839"/>
      <w:pgMar w:top="1231" w:right="1514" w:bottom="1155" w:left="1680" w:header="0" w:footer="99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CG Times">
    <w:altName w:val="Times New Roman"/>
    <w:panose1 w:val="00000000000000000000"/>
    <w:charset w:val="00"/>
    <w:family w:val="roman"/>
    <w:pitch w:val="default"/>
    <w:sig w:usb0="00000000" w:usb1="00000000" w:usb2="00000000" w:usb3="00000000" w:csb0="00000093"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5A910">
    <w:pPr>
      <w:spacing w:line="167" w:lineRule="auto"/>
      <w:ind w:left="4752"/>
      <w:rPr>
        <w:rFonts w:ascii="Calibri" w:hAnsi="Calibri" w:eastAsia="Calibri" w:cs="Calibri"/>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23D1A">
    <w:pPr>
      <w:spacing w:line="167" w:lineRule="auto"/>
      <w:ind w:left="4833"/>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0B05C9">
                          <w:pPr>
                            <w:pStyle w:val="7"/>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790B05C9">
                    <w:pPr>
                      <w:pStyle w:val="7"/>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407A4">
    <w:pPr>
      <w:spacing w:line="167"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A65EA2">
                          <w:pPr>
                            <w:pStyle w:val="7"/>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25A65EA2">
                    <w:pPr>
                      <w:pStyle w:val="7"/>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CEA42">
    <w:pPr>
      <w:spacing w:line="165" w:lineRule="auto"/>
      <w:ind w:left="4651"/>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F271F2">
                          <w:pPr>
                            <w:pStyle w:val="7"/>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7DF271F2">
                    <w:pPr>
                      <w:pStyle w:val="7"/>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BFE5F">
    <w:pPr>
      <w:spacing w:line="167" w:lineRule="auto"/>
      <w:ind w:left="4593"/>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2A019A">
                          <w:pPr>
                            <w:pStyle w:val="7"/>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32A019A">
                    <w:pPr>
                      <w:pStyle w:val="7"/>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EA0D7">
    <w:pPr>
      <w:spacing w:line="165" w:lineRule="auto"/>
      <w:ind w:left="4613"/>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E68E61">
                          <w:pPr>
                            <w:pStyle w:val="7"/>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25E68E61">
                    <w:pPr>
                      <w:pStyle w:val="7"/>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2C6F0">
    <w:pPr>
      <w:spacing w:line="167" w:lineRule="auto"/>
      <w:ind w:left="4612"/>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A96154">
                          <w:pPr>
                            <w:pStyle w:val="7"/>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18A96154">
                    <w:pPr>
                      <w:pStyle w:val="7"/>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A3689">
    <w:pPr>
      <w:spacing w:line="167"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8E03D2">
                          <w:pPr>
                            <w:pStyle w:val="7"/>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88E03D2">
                    <w:pPr>
                      <w:pStyle w:val="7"/>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FD0A2">
    <w:pPr>
      <w:spacing w:line="167" w:lineRule="auto"/>
      <w:ind w:left="4085"/>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A18BB8">
                          <w:pPr>
                            <w:pStyle w:val="7"/>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66A18BB8">
                    <w:pPr>
                      <w:pStyle w:val="7"/>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60AD2">
    <w:pPr>
      <w:spacing w:line="167" w:lineRule="auto"/>
      <w:ind w:left="4735"/>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881244">
                          <w:pPr>
                            <w:pStyle w:val="7"/>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3881244">
                    <w:pPr>
                      <w:pStyle w:val="7"/>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BA47C">
    <w:pPr>
      <w:spacing w:line="167" w:lineRule="auto"/>
      <w:ind w:left="4735"/>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62085E">
                          <w:pPr>
                            <w:pStyle w:val="7"/>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7162085E">
                    <w:pPr>
                      <w:pStyle w:val="7"/>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4D128">
    <w:pPr>
      <w:spacing w:line="167" w:lineRule="auto"/>
      <w:ind w:left="4308"/>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313AB3">
                          <w:pPr>
                            <w:pStyle w:val="7"/>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4D313AB3">
                    <w:pPr>
                      <w:pStyle w:val="7"/>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B636E">
    <w:pPr>
      <w:spacing w:line="167" w:lineRule="auto"/>
      <w:ind w:left="4627"/>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9F27E6">
                          <w:pPr>
                            <w:pStyle w:val="7"/>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2A9F27E6">
                    <w:pPr>
                      <w:pStyle w:val="7"/>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1A055">
    <w:pPr>
      <w:spacing w:line="167" w:lineRule="auto"/>
      <w:ind w:left="4611"/>
      <w:rPr>
        <w:rFonts w:ascii="Calibri" w:hAnsi="Calibri" w:eastAsia="Calibri" w:cs="Calibri"/>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AC3681">
                          <w:pPr>
                            <w:pStyle w:val="7"/>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35AC3681">
                    <w:pPr>
                      <w:pStyle w:val="7"/>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70456">
    <w:pPr>
      <w:spacing w:line="167" w:lineRule="auto"/>
      <w:ind w:left="4614"/>
      <w:rPr>
        <w:rFonts w:ascii="Calibri" w:hAnsi="Calibri" w:eastAsia="Calibri" w:cs="Calibri"/>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9378F5">
                          <w:pPr>
                            <w:pStyle w:val="7"/>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5D9378F5">
                    <w:pPr>
                      <w:pStyle w:val="7"/>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285F1">
    <w:pPr>
      <w:spacing w:line="167" w:lineRule="auto"/>
      <w:ind w:left="4733"/>
      <w:rPr>
        <w:rFonts w:ascii="Calibri" w:hAnsi="Calibri" w:eastAsia="Calibri" w:cs="Calibri"/>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62EF78">
                          <w:pPr>
                            <w:pStyle w:val="7"/>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0E62EF78">
                    <w:pPr>
                      <w:pStyle w:val="7"/>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4621A">
    <w:pPr>
      <w:spacing w:line="167" w:lineRule="auto"/>
      <w:ind w:left="4614"/>
      <w:rPr>
        <w:rFonts w:ascii="Calibri" w:hAnsi="Calibri" w:eastAsia="Calibri" w:cs="Calibri"/>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78DA10">
                          <w:pPr>
                            <w:pStyle w:val="7"/>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1078DA10">
                    <w:pPr>
                      <w:pStyle w:val="7"/>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250B9">
    <w:pPr>
      <w:spacing w:line="167" w:lineRule="auto"/>
      <w:ind w:left="4190"/>
      <w:rPr>
        <w:rFonts w:ascii="Calibri" w:hAnsi="Calibri" w:eastAsia="Calibri" w:cs="Calibri"/>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B8D5D5">
                          <w:pPr>
                            <w:pStyle w:val="7"/>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3BB8D5D5">
                    <w:pPr>
                      <w:pStyle w:val="7"/>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3D7DCE"/>
    <w:multiLevelType w:val="multilevel"/>
    <w:tmpl w:val="883D7DCE"/>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98D49D40"/>
    <w:multiLevelType w:val="multilevel"/>
    <w:tmpl w:val="98D49D40"/>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
    <w:nsid w:val="B96B2187"/>
    <w:multiLevelType w:val="multilevel"/>
    <w:tmpl w:val="B96B2187"/>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3">
    <w:nsid w:val="ECCBB4B6"/>
    <w:multiLevelType w:val="multilevel"/>
    <w:tmpl w:val="ECCBB4B6"/>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4">
    <w:nsid w:val="FB40D61E"/>
    <w:multiLevelType w:val="multilevel"/>
    <w:tmpl w:val="FB40D61E"/>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5">
    <w:nsid w:val="FE5D48A7"/>
    <w:multiLevelType w:val="multilevel"/>
    <w:tmpl w:val="FE5D48A7"/>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6">
    <w:nsid w:val="0846296F"/>
    <w:multiLevelType w:val="multilevel"/>
    <w:tmpl w:val="0846296F"/>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7">
    <w:nsid w:val="0D3F10A2"/>
    <w:multiLevelType w:val="multilevel"/>
    <w:tmpl w:val="0D3F10A2"/>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8">
    <w:nsid w:val="0EAF1383"/>
    <w:multiLevelType w:val="multilevel"/>
    <w:tmpl w:val="0EAF1383"/>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9">
    <w:nsid w:val="0FC3594F"/>
    <w:multiLevelType w:val="multilevel"/>
    <w:tmpl w:val="0FC3594F"/>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0">
    <w:nsid w:val="1B6067E3"/>
    <w:multiLevelType w:val="multilevel"/>
    <w:tmpl w:val="1B6067E3"/>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1">
    <w:nsid w:val="3AEB32EB"/>
    <w:multiLevelType w:val="multilevel"/>
    <w:tmpl w:val="3AEB32EB"/>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2">
    <w:nsid w:val="5CEFD90E"/>
    <w:multiLevelType w:val="multilevel"/>
    <w:tmpl w:val="5CEFD90E"/>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3">
    <w:nsid w:val="65ACB74D"/>
    <w:multiLevelType w:val="multilevel"/>
    <w:tmpl w:val="65ACB74D"/>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4">
    <w:nsid w:val="783B6669"/>
    <w:multiLevelType w:val="multilevel"/>
    <w:tmpl w:val="783B6669"/>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5">
    <w:nsid w:val="796CB3C1"/>
    <w:multiLevelType w:val="multilevel"/>
    <w:tmpl w:val="796CB3C1"/>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 w:numId="2">
    <w:abstractNumId w:val="6"/>
  </w:num>
  <w:num w:numId="3">
    <w:abstractNumId w:val="8"/>
  </w:num>
  <w:num w:numId="4">
    <w:abstractNumId w:val="5"/>
  </w:num>
  <w:num w:numId="5">
    <w:abstractNumId w:val="9"/>
  </w:num>
  <w:num w:numId="6">
    <w:abstractNumId w:val="4"/>
  </w:num>
  <w:num w:numId="7">
    <w:abstractNumId w:val="11"/>
  </w:num>
  <w:num w:numId="8">
    <w:abstractNumId w:val="2"/>
  </w:num>
  <w:num w:numId="9">
    <w:abstractNumId w:val="12"/>
  </w:num>
  <w:num w:numId="10">
    <w:abstractNumId w:val="15"/>
  </w:num>
  <w:num w:numId="11">
    <w:abstractNumId w:val="1"/>
  </w:num>
  <w:num w:numId="12">
    <w:abstractNumId w:val="7"/>
  </w:num>
  <w:num w:numId="13">
    <w:abstractNumId w:val="10"/>
  </w:num>
  <w:num w:numId="14">
    <w:abstractNumId w:val="14"/>
  </w:num>
  <w:num w:numId="15">
    <w:abstractNumId w:val="1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UkwGEzz8hfJt0l381KIRhk3+Jf8=" w:salt="FkgcVjl/JOaXMwedC8W7tw=="/>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944DAE"/>
    <w:rsid w:val="095A01FB"/>
    <w:rsid w:val="1803013C"/>
    <w:rsid w:val="189A70F4"/>
    <w:rsid w:val="25416003"/>
    <w:rsid w:val="262D7636"/>
    <w:rsid w:val="341D2DDE"/>
    <w:rsid w:val="37D50947"/>
    <w:rsid w:val="38754CC2"/>
    <w:rsid w:val="3C3D06E1"/>
    <w:rsid w:val="492328BE"/>
    <w:rsid w:val="4BA24A06"/>
    <w:rsid w:val="55953B1E"/>
    <w:rsid w:val="572D55A4"/>
    <w:rsid w:val="58837273"/>
    <w:rsid w:val="68EA74FF"/>
    <w:rsid w:val="69C40C04"/>
    <w:rsid w:val="6B620C2B"/>
    <w:rsid w:val="6E22598D"/>
    <w:rsid w:val="713D39AB"/>
    <w:rsid w:val="76607052"/>
    <w:rsid w:val="7CDD51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360" w:lineRule="auto"/>
      <w:ind w:firstLine="440" w:firstLineChars="200"/>
      <w:jc w:val="both"/>
    </w:pPr>
    <w:rPr>
      <w:rFonts w:ascii="楷体" w:hAnsi="楷体" w:eastAsia="楷体" w:cstheme="minorBidi"/>
      <w:kern w:val="2"/>
      <w:sz w:val="24"/>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2" w:lineRule="auto"/>
      <w:ind w:left="1800"/>
      <w:jc w:val="center"/>
      <w:outlineLvl w:val="1"/>
    </w:pPr>
    <w:rPr>
      <w:rFonts w:ascii="CG Times" w:hAnsi="CG Times" w:eastAsia="宋体" w:cs="Times New Roman"/>
      <w:b/>
      <w:kern w:val="0"/>
      <w:sz w:val="30"/>
      <w:szCs w:val="20"/>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style>
  <w:style w:type="paragraph" w:styleId="6">
    <w:name w:val="Body Text Indent 2"/>
    <w:basedOn w:val="1"/>
    <w:qFormat/>
    <w:uiPriority w:val="99"/>
    <w:pPr>
      <w:spacing w:line="500" w:lineRule="exact"/>
      <w:ind w:firstLine="420" w:firstLineChars="200"/>
    </w:pPr>
    <w:rPr>
      <w:rFonts w:ascii="Calibri" w:hAnsi="Calibri"/>
      <w:kern w:val="0"/>
      <w:sz w:val="24"/>
    </w:rPr>
  </w:style>
  <w:style w:type="paragraph" w:styleId="7">
    <w:name w:val="footer"/>
    <w:basedOn w:val="1"/>
    <w:qFormat/>
    <w:uiPriority w:val="0"/>
    <w:pPr>
      <w:tabs>
        <w:tab w:val="center" w:pos="4153"/>
        <w:tab w:val="right" w:pos="8306"/>
      </w:tabs>
      <w:spacing w:before="50" w:after="50"/>
      <w:ind w:firstLine="0" w:firstLineChars="0"/>
      <w:jc w:val="center"/>
    </w:pPr>
    <w:rPr>
      <w:sz w:val="18"/>
      <w:szCs w:val="18"/>
    </w:rPr>
  </w:style>
  <w:style w:type="paragraph" w:styleId="8">
    <w:name w:val="toc 1"/>
    <w:basedOn w:val="1"/>
    <w:next w:val="1"/>
    <w:qFormat/>
    <w:uiPriority w:val="0"/>
    <w:pPr>
      <w:ind w:firstLine="0" w:firstLineChars="0"/>
    </w:pPr>
  </w:style>
  <w:style w:type="paragraph" w:styleId="9">
    <w:name w:val="toc 2"/>
    <w:basedOn w:val="1"/>
    <w:next w:val="1"/>
    <w:qFormat/>
    <w:uiPriority w:val="0"/>
    <w:pPr>
      <w:ind w:left="420" w:leftChars="200" w:firstLine="1446"/>
    </w:pPr>
  </w:style>
  <w:style w:type="paragraph" w:styleId="10">
    <w:name w:val="Body Text 2"/>
    <w:basedOn w:val="1"/>
    <w:next w:val="5"/>
    <w:qFormat/>
    <w:uiPriority w:val="0"/>
    <w:pPr>
      <w:spacing w:line="400" w:lineRule="exact"/>
      <w:jc w:val="center"/>
    </w:pPr>
    <w:rPr>
      <w:rFonts w:ascii="宋体" w:hAnsi="宋体" w:eastAsia="宋体" w:cs="Times New Roman"/>
      <w:w w:val="66"/>
      <w:sz w:val="24"/>
    </w:rPr>
  </w:style>
  <w:style w:type="character" w:styleId="13">
    <w:name w:val="Strong"/>
    <w:basedOn w:val="12"/>
    <w:qFormat/>
    <w:uiPriority w:val="0"/>
    <w:rPr>
      <w:b/>
    </w:r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jpeg"/><Relationship Id="rId23" Type="http://schemas.openxmlformats.org/officeDocument/2006/relationships/theme" Target="theme/theme1.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18384</Words>
  <Characters>20176</Characters>
  <Lines>0</Lines>
  <Paragraphs>0</Paragraphs>
  <TotalTime>20</TotalTime>
  <ScaleCrop>false</ScaleCrop>
  <LinksUpToDate>false</LinksUpToDate>
  <CharactersWithSpaces>20789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2026-07-22T07:55:00Z</dcterms:created>
  <dc:creator>admin</dc:creator>
  <cp:lastModifiedBy>admin</cp:lastModifiedBy>
  <cp:lastPrinted>2026-07-23T02:42:00Z</cp:lastPrinted>
  <dcterms:modified xsi:type="dcterms:W3CDTF">2026-08-17T09:36:32Z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eyJoZGlkIjoiYWUyZTkxY2MwOTJmZmM1MmFkNGMzZTFjYzI1NGQ2MzQiLCJ1c2VySWQiOiIzNDUwNzQ5MTEifQ==</vt:lpwstr>
  </property>
  <property fmtid="{D5CDD505-2E9C-101B-9397-08002B2CF9AE}" pid="4" name="ICV">
    <vt:lpwstr>BED5E4EFCCA34332A7F6C498E49130E5_13</vt:lpwstr>
  </property>
</Properties>
</file>