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8B5C87">
      <w:pPr>
        <w:jc w:val="center"/>
        <w:rPr>
          <w:rFonts w:hint="eastAsia" w:eastAsiaTheme="minorEastAsia"/>
          <w:b/>
          <w:bCs/>
          <w:sz w:val="36"/>
          <w:szCs w:val="36"/>
          <w:lang w:eastAsia="zh-CN"/>
        </w:rPr>
      </w:pPr>
      <w:bookmarkStart w:id="806" w:name="_GoBack"/>
      <w:bookmarkEnd w:id="806"/>
    </w:p>
    <w:p w14:paraId="571EC93B">
      <w:pPr>
        <w:pStyle w:val="13"/>
        <w:rPr>
          <w:rFonts w:hint="eastAsia"/>
          <w:lang w:eastAsia="zh-CN"/>
        </w:rPr>
      </w:pPr>
    </w:p>
    <w:p w14:paraId="7E7EBD61">
      <w:pPr>
        <w:jc w:val="center"/>
        <w:rPr>
          <w:rFonts w:hint="eastAsia" w:eastAsiaTheme="minorEastAsia"/>
          <w:b/>
          <w:bCs/>
          <w:sz w:val="48"/>
          <w:szCs w:val="48"/>
          <w:lang w:val="en-US" w:eastAsia="zh-CN"/>
        </w:rPr>
      </w:pPr>
      <w:r>
        <w:rPr>
          <w:rFonts w:hint="eastAsia"/>
          <w:b/>
          <w:bCs/>
          <w:sz w:val="48"/>
          <w:szCs w:val="48"/>
          <w:lang w:eastAsia="zh-CN"/>
        </w:rPr>
        <w:t>灵宝市阳平镇政府专职消防队建设项目</w:t>
      </w:r>
    </w:p>
    <w:p w14:paraId="2775A069">
      <w:pPr>
        <w:jc w:val="center"/>
        <w:rPr>
          <w:rFonts w:hint="eastAsia" w:eastAsiaTheme="minorEastAsia"/>
          <w:b/>
          <w:bCs/>
          <w:sz w:val="36"/>
          <w:szCs w:val="36"/>
          <w:lang w:val="en-US" w:eastAsia="zh-CN"/>
        </w:rPr>
      </w:pPr>
    </w:p>
    <w:p w14:paraId="42A3B879">
      <w:pPr>
        <w:jc w:val="center"/>
        <w:rPr>
          <w:rFonts w:hint="eastAsia" w:eastAsiaTheme="minorEastAsia"/>
          <w:b/>
          <w:bCs/>
          <w:sz w:val="36"/>
          <w:szCs w:val="36"/>
          <w:lang w:val="en-US" w:eastAsia="zh-CN"/>
        </w:rPr>
      </w:pPr>
    </w:p>
    <w:p w14:paraId="49B12E73">
      <w:pPr>
        <w:pStyle w:val="13"/>
        <w:rPr>
          <w:rFonts w:hint="eastAsia" w:eastAsiaTheme="minorEastAsia"/>
          <w:b/>
          <w:bCs/>
          <w:sz w:val="36"/>
          <w:szCs w:val="36"/>
          <w:lang w:val="en-US" w:eastAsia="zh-CN"/>
        </w:rPr>
      </w:pPr>
    </w:p>
    <w:p w14:paraId="7F6E1FA3">
      <w:pPr>
        <w:jc w:val="center"/>
        <w:rPr>
          <w:rFonts w:hint="eastAsia"/>
          <w:b/>
          <w:bCs/>
          <w:sz w:val="72"/>
          <w:szCs w:val="72"/>
          <w:lang w:val="en-US" w:eastAsia="zh-CN"/>
        </w:rPr>
      </w:pPr>
      <w:r>
        <w:rPr>
          <w:rFonts w:hint="eastAsia"/>
          <w:b/>
          <w:bCs/>
          <w:sz w:val="72"/>
          <w:szCs w:val="72"/>
          <w:lang w:val="en-US" w:eastAsia="zh-CN"/>
        </w:rPr>
        <w:t>竞争性磋商文件</w:t>
      </w:r>
    </w:p>
    <w:p w14:paraId="22CB431B">
      <w:pPr>
        <w:jc w:val="center"/>
        <w:rPr>
          <w:rFonts w:hint="eastAsia"/>
          <w:b/>
          <w:bCs/>
          <w:sz w:val="72"/>
          <w:szCs w:val="72"/>
          <w:lang w:val="en-US" w:eastAsia="zh-CN"/>
        </w:rPr>
      </w:pPr>
    </w:p>
    <w:p w14:paraId="4F5FF983">
      <w:pPr>
        <w:pStyle w:val="20"/>
        <w:jc w:val="center"/>
        <w:rPr>
          <w:rFonts w:hint="default"/>
          <w:highlight w:val="yellow"/>
          <w:lang w:val="en-US" w:eastAsia="zh-CN"/>
        </w:rPr>
      </w:pPr>
      <w:r>
        <w:rPr>
          <w:rFonts w:hint="eastAsia"/>
          <w:b/>
          <w:bCs/>
          <w:highlight w:val="none"/>
          <w:lang w:val="en-US" w:eastAsia="zh-CN"/>
        </w:rPr>
        <w:t>项目编号：灵宝竞磋采购-2026-99、LBGZ[2026]172-ZC135</w:t>
      </w:r>
    </w:p>
    <w:p w14:paraId="27D7CEA3">
      <w:pPr>
        <w:jc w:val="center"/>
        <w:rPr>
          <w:rFonts w:hint="eastAsia"/>
          <w:b/>
          <w:bCs/>
          <w:sz w:val="72"/>
          <w:szCs w:val="72"/>
          <w:lang w:val="en-US" w:eastAsia="zh-CN"/>
        </w:rPr>
      </w:pPr>
    </w:p>
    <w:p w14:paraId="7FED7706">
      <w:pPr>
        <w:jc w:val="center"/>
        <w:rPr>
          <w:rFonts w:hint="eastAsia"/>
          <w:sz w:val="20"/>
          <w:szCs w:val="21"/>
          <w:lang w:val="en-US" w:eastAsia="zh-CN"/>
        </w:rPr>
      </w:pPr>
      <w:r>
        <w:rPr>
          <w:rFonts w:hint="eastAsia"/>
          <w:sz w:val="20"/>
          <w:szCs w:val="21"/>
          <w:lang w:val="en-US" w:eastAsia="zh-CN"/>
        </w:rPr>
        <w:drawing>
          <wp:inline distT="0" distB="0" distL="114300" distR="114300">
            <wp:extent cx="2756535" cy="2178050"/>
            <wp:effectExtent l="0" t="0" r="5715" b="12700"/>
            <wp:docPr id="3" name="图片 1" descr="b9258ce261616c3329521c01eb22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b9258ce261616c3329521c01eb222264"/>
                    <pic:cNvPicPr>
                      <a:picLocks noChangeAspect="1"/>
                    </pic:cNvPicPr>
                  </pic:nvPicPr>
                  <pic:blipFill>
                    <a:blip r:embed="rId6"/>
                    <a:stretch>
                      <a:fillRect/>
                    </a:stretch>
                  </pic:blipFill>
                  <pic:spPr>
                    <a:xfrm>
                      <a:off x="0" y="0"/>
                      <a:ext cx="2756535" cy="2178050"/>
                    </a:xfrm>
                    <a:prstGeom prst="rect">
                      <a:avLst/>
                    </a:prstGeom>
                    <a:noFill/>
                    <a:ln>
                      <a:noFill/>
                    </a:ln>
                  </pic:spPr>
                </pic:pic>
              </a:graphicData>
            </a:graphic>
          </wp:inline>
        </w:drawing>
      </w:r>
    </w:p>
    <w:p w14:paraId="50CCD7BF">
      <w:pPr>
        <w:keepNext w:val="0"/>
        <w:keepLines w:val="0"/>
        <w:pageBreakBefore w:val="0"/>
        <w:widowControl/>
        <w:tabs>
          <w:tab w:val="left" w:pos="-1155"/>
          <w:tab w:val="left" w:pos="-1050"/>
        </w:tabs>
        <w:kinsoku/>
        <w:wordWrap/>
        <w:overflowPunct/>
        <w:topLinePunct w:val="0"/>
        <w:autoSpaceDE/>
        <w:autoSpaceDN/>
        <w:bidi w:val="0"/>
        <w:adjustRightInd/>
        <w:snapToGrid/>
        <w:spacing w:line="360" w:lineRule="auto"/>
        <w:ind w:firstLine="1546" w:firstLineChars="500"/>
        <w:textAlignment w:val="auto"/>
        <w:outlineLvl w:val="9"/>
        <w:rPr>
          <w:rFonts w:hint="eastAsia" w:ascii="宋体" w:hAnsi="宋体" w:eastAsia="宋体" w:cs="宋体"/>
          <w:b/>
          <w:color w:val="auto"/>
          <w:spacing w:val="-6"/>
          <w:kern w:val="0"/>
          <w:sz w:val="32"/>
          <w:szCs w:val="32"/>
        </w:rPr>
      </w:pPr>
      <w:bookmarkStart w:id="0" w:name="_Toc25229"/>
      <w:bookmarkStart w:id="1" w:name="_Toc21994"/>
    </w:p>
    <w:p w14:paraId="6026D5CA">
      <w:pPr>
        <w:pStyle w:val="13"/>
        <w:rPr>
          <w:rFonts w:hint="eastAsia"/>
        </w:rPr>
      </w:pPr>
    </w:p>
    <w:p w14:paraId="14F62947">
      <w:pPr>
        <w:keepNext w:val="0"/>
        <w:keepLines w:val="0"/>
        <w:pageBreakBefore w:val="0"/>
        <w:widowControl/>
        <w:tabs>
          <w:tab w:val="left" w:pos="-1155"/>
          <w:tab w:val="left" w:pos="-1050"/>
        </w:tabs>
        <w:kinsoku/>
        <w:wordWrap/>
        <w:overflowPunct/>
        <w:topLinePunct w:val="0"/>
        <w:autoSpaceDE/>
        <w:autoSpaceDN/>
        <w:bidi w:val="0"/>
        <w:adjustRightInd/>
        <w:snapToGrid/>
        <w:spacing w:line="360" w:lineRule="auto"/>
        <w:ind w:firstLine="1050" w:firstLineChars="500"/>
        <w:textAlignment w:val="auto"/>
        <w:outlineLvl w:val="9"/>
        <w:rPr>
          <w:rFonts w:hint="eastAsia" w:ascii="宋体" w:hAnsi="宋体" w:eastAsia="宋体" w:cs="宋体"/>
          <w:b/>
          <w:color w:val="auto"/>
          <w:spacing w:val="-6"/>
          <w:kern w:val="0"/>
          <w:sz w:val="32"/>
          <w:szCs w:val="32"/>
        </w:rPr>
      </w:pPr>
      <w:r>
        <w:drawing>
          <wp:anchor distT="0" distB="0" distL="114300" distR="114300" simplePos="0" relativeHeight="251659264" behindDoc="1" locked="0" layoutInCell="1" allowOverlap="1">
            <wp:simplePos x="0" y="0"/>
            <wp:positionH relativeFrom="column">
              <wp:posOffset>3692525</wp:posOffset>
            </wp:positionH>
            <wp:positionV relativeFrom="paragraph">
              <wp:posOffset>281305</wp:posOffset>
            </wp:positionV>
            <wp:extent cx="1609090" cy="1430655"/>
            <wp:effectExtent l="0" t="0" r="0" b="1714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1609090" cy="1430655"/>
                    </a:xfrm>
                    <a:prstGeom prst="rect">
                      <a:avLst/>
                    </a:prstGeom>
                    <a:noFill/>
                    <a:ln>
                      <a:noFill/>
                    </a:ln>
                  </pic:spPr>
                </pic:pic>
              </a:graphicData>
            </a:graphic>
          </wp:anchor>
        </w:drawing>
      </w:r>
    </w:p>
    <w:p w14:paraId="3D62074D">
      <w:pPr>
        <w:keepNext w:val="0"/>
        <w:keepLines w:val="0"/>
        <w:pageBreakBefore w:val="0"/>
        <w:widowControl/>
        <w:tabs>
          <w:tab w:val="left" w:pos="-1155"/>
          <w:tab w:val="left" w:pos="-1050"/>
        </w:tabs>
        <w:kinsoku/>
        <w:wordWrap/>
        <w:overflowPunct/>
        <w:topLinePunct w:val="0"/>
        <w:autoSpaceDE/>
        <w:autoSpaceDN/>
        <w:bidi w:val="0"/>
        <w:adjustRightInd/>
        <w:snapToGrid/>
        <w:spacing w:line="360" w:lineRule="auto"/>
        <w:ind w:firstLine="1856" w:firstLineChars="600"/>
        <w:textAlignment w:val="auto"/>
        <w:outlineLvl w:val="9"/>
        <w:rPr>
          <w:rFonts w:ascii="宋体" w:hAnsi="宋体" w:eastAsia="宋体" w:cs="宋体"/>
          <w:b/>
          <w:color w:val="auto"/>
          <w:spacing w:val="-6"/>
          <w:kern w:val="0"/>
          <w:sz w:val="32"/>
          <w:szCs w:val="32"/>
        </w:rPr>
      </w:pPr>
      <w:r>
        <w:rPr>
          <w:rFonts w:hint="eastAsia" w:ascii="宋体" w:hAnsi="宋体" w:eastAsia="宋体" w:cs="宋体"/>
          <w:b/>
          <w:color w:val="auto"/>
          <w:spacing w:val="-6"/>
          <w:kern w:val="0"/>
          <w:sz w:val="32"/>
          <w:szCs w:val="32"/>
        </w:rPr>
        <w:t>采   购   人：</w:t>
      </w:r>
      <w:bookmarkEnd w:id="0"/>
      <w:bookmarkEnd w:id="1"/>
      <w:r>
        <w:rPr>
          <w:rFonts w:hint="eastAsia" w:ascii="宋体" w:hAnsi="宋体" w:eastAsia="宋体" w:cs="宋体"/>
          <w:b/>
          <w:color w:val="auto"/>
          <w:spacing w:val="-6"/>
          <w:kern w:val="0"/>
          <w:sz w:val="32"/>
          <w:szCs w:val="32"/>
          <w:lang w:eastAsia="zh-CN"/>
        </w:rPr>
        <w:t>灵宝市消防救援大队</w:t>
      </w:r>
    </w:p>
    <w:p w14:paraId="053A14A0">
      <w:pPr>
        <w:keepNext w:val="0"/>
        <w:keepLines w:val="0"/>
        <w:pageBreakBefore w:val="0"/>
        <w:widowControl/>
        <w:tabs>
          <w:tab w:val="left" w:pos="-1155"/>
          <w:tab w:val="left" w:pos="-1050"/>
        </w:tabs>
        <w:kinsoku/>
        <w:wordWrap/>
        <w:overflowPunct/>
        <w:topLinePunct w:val="0"/>
        <w:autoSpaceDE/>
        <w:autoSpaceDN/>
        <w:bidi w:val="0"/>
        <w:adjustRightInd/>
        <w:snapToGrid/>
        <w:spacing w:line="360" w:lineRule="auto"/>
        <w:ind w:firstLine="1856" w:firstLineChars="600"/>
        <w:textAlignment w:val="auto"/>
        <w:outlineLvl w:val="9"/>
        <w:rPr>
          <w:rFonts w:hint="default" w:ascii="宋体" w:hAnsi="宋体" w:eastAsia="宋体" w:cs="宋体"/>
          <w:b/>
          <w:color w:val="auto"/>
          <w:spacing w:val="-6"/>
          <w:kern w:val="0"/>
          <w:sz w:val="32"/>
          <w:szCs w:val="32"/>
          <w:lang w:val="en-US" w:eastAsia="zh-CN"/>
        </w:rPr>
      </w:pPr>
      <w:r>
        <w:rPr>
          <w:rFonts w:hint="eastAsia" w:ascii="宋体" w:hAnsi="宋体" w:eastAsia="宋体" w:cs="宋体"/>
          <w:b/>
          <w:color w:val="auto"/>
          <w:spacing w:val="-6"/>
          <w:kern w:val="0"/>
          <w:sz w:val="32"/>
          <w:szCs w:val="32"/>
        </w:rPr>
        <w:t>采购代理机构：</w:t>
      </w:r>
      <w:r>
        <w:rPr>
          <w:rFonts w:hint="eastAsia" w:ascii="宋体" w:hAnsi="宋体" w:eastAsia="宋体" w:cs="宋体"/>
          <w:b/>
          <w:color w:val="auto"/>
          <w:spacing w:val="-6"/>
          <w:kern w:val="0"/>
          <w:sz w:val="32"/>
          <w:szCs w:val="32"/>
          <w:lang w:val="en-US" w:eastAsia="zh-CN"/>
        </w:rPr>
        <w:t>河南邦兴工程服务有限公司</w:t>
      </w:r>
    </w:p>
    <w:p w14:paraId="66C44D46">
      <w:pPr>
        <w:ind w:firstLine="1856" w:firstLineChars="600"/>
        <w:jc w:val="both"/>
        <w:rPr>
          <w:rFonts w:hint="eastAsia" w:ascii="宋体" w:hAnsi="宋体" w:eastAsia="宋体" w:cs="宋体"/>
          <w:b/>
          <w:color w:val="auto"/>
          <w:spacing w:val="-6"/>
          <w:kern w:val="0"/>
          <w:sz w:val="32"/>
          <w:szCs w:val="32"/>
          <w:lang w:eastAsia="zh-CN"/>
        </w:rPr>
      </w:pPr>
      <w:bookmarkStart w:id="2" w:name="_Toc32763"/>
      <w:r>
        <w:rPr>
          <w:rFonts w:hint="eastAsia" w:ascii="宋体" w:hAnsi="宋体" w:eastAsia="宋体" w:cs="宋体"/>
          <w:b/>
          <w:color w:val="auto"/>
          <w:spacing w:val="-6"/>
          <w:kern w:val="0"/>
          <w:sz w:val="32"/>
          <w:szCs w:val="32"/>
        </w:rPr>
        <w:t>日        期：</w:t>
      </w:r>
      <w:bookmarkEnd w:id="2"/>
      <w:r>
        <w:rPr>
          <w:rFonts w:hint="eastAsia" w:ascii="宋体" w:hAnsi="宋体" w:eastAsia="宋体" w:cs="宋体"/>
          <w:b/>
          <w:color w:val="auto"/>
          <w:spacing w:val="-6"/>
          <w:kern w:val="0"/>
          <w:sz w:val="32"/>
          <w:szCs w:val="32"/>
          <w:lang w:eastAsia="zh-CN"/>
        </w:rPr>
        <w:t>二○二</w:t>
      </w:r>
      <w:r>
        <w:rPr>
          <w:rFonts w:hint="eastAsia" w:ascii="宋体" w:hAnsi="宋体" w:eastAsia="宋体" w:cs="宋体"/>
          <w:b/>
          <w:color w:val="auto"/>
          <w:spacing w:val="-6"/>
          <w:kern w:val="0"/>
          <w:sz w:val="32"/>
          <w:szCs w:val="32"/>
          <w:lang w:val="en-US" w:eastAsia="zh-CN"/>
        </w:rPr>
        <w:t>六</w:t>
      </w:r>
      <w:r>
        <w:rPr>
          <w:rFonts w:hint="eastAsia" w:ascii="宋体" w:hAnsi="宋体" w:eastAsia="宋体" w:cs="宋体"/>
          <w:b/>
          <w:color w:val="auto"/>
          <w:spacing w:val="-6"/>
          <w:kern w:val="0"/>
          <w:sz w:val="32"/>
          <w:szCs w:val="32"/>
          <w:lang w:eastAsia="zh-CN"/>
        </w:rPr>
        <w:t>年</w:t>
      </w:r>
      <w:r>
        <w:rPr>
          <w:rFonts w:hint="eastAsia" w:ascii="宋体" w:hAnsi="宋体" w:eastAsia="宋体" w:cs="宋体"/>
          <w:b/>
          <w:color w:val="auto"/>
          <w:spacing w:val="-6"/>
          <w:kern w:val="0"/>
          <w:sz w:val="32"/>
          <w:szCs w:val="32"/>
          <w:lang w:val="en-US" w:eastAsia="zh-CN"/>
        </w:rPr>
        <w:t>八</w:t>
      </w:r>
      <w:r>
        <w:rPr>
          <w:rFonts w:hint="eastAsia" w:ascii="宋体" w:hAnsi="宋体" w:eastAsia="宋体" w:cs="宋体"/>
          <w:b/>
          <w:color w:val="auto"/>
          <w:spacing w:val="-6"/>
          <w:kern w:val="0"/>
          <w:sz w:val="32"/>
          <w:szCs w:val="32"/>
          <w:lang w:eastAsia="zh-CN"/>
        </w:rPr>
        <w:t>月</w:t>
      </w:r>
    </w:p>
    <w:p w14:paraId="6AB8AEFE">
      <w:pPr>
        <w:jc w:val="both"/>
        <w:rPr>
          <w:rFonts w:hint="eastAsia" w:ascii="宋体" w:hAnsi="宋体" w:eastAsia="宋体" w:cs="宋体"/>
          <w:b/>
          <w:color w:val="auto"/>
          <w:spacing w:val="-6"/>
          <w:kern w:val="0"/>
          <w:sz w:val="32"/>
          <w:szCs w:val="32"/>
          <w:lang w:eastAsia="zh-CN"/>
        </w:rPr>
      </w:pPr>
    </w:p>
    <w:p w14:paraId="46891BF8">
      <w:pPr>
        <w:spacing w:before="0" w:beforeLines="0" w:after="0" w:afterLines="0" w:line="600" w:lineRule="auto"/>
        <w:ind w:left="0" w:leftChars="0" w:right="0" w:rightChars="0" w:firstLine="0" w:firstLineChars="0"/>
        <w:jc w:val="center"/>
      </w:pPr>
      <w:r>
        <w:rPr>
          <w:rFonts w:ascii="宋体" w:hAnsi="宋体" w:eastAsia="宋体"/>
          <w:b/>
          <w:bCs/>
          <w:color w:val="auto"/>
          <w:sz w:val="40"/>
          <w:szCs w:val="44"/>
        </w:rPr>
        <w:t>目录</w:t>
      </w:r>
      <w:r>
        <w:rPr>
          <w:color w:val="auto"/>
          <w:sz w:val="40"/>
          <w:szCs w:val="40"/>
          <w:lang w:val="zh-CN"/>
        </w:rPr>
        <w:fldChar w:fldCharType="begin"/>
      </w:r>
      <w:r>
        <w:rPr>
          <w:color w:val="auto"/>
          <w:sz w:val="40"/>
          <w:szCs w:val="40"/>
          <w:lang w:val="zh-CN"/>
        </w:rPr>
        <w:instrText xml:space="preserve">TOC \o "1-1" \h \u </w:instrText>
      </w:r>
      <w:r>
        <w:rPr>
          <w:color w:val="auto"/>
          <w:sz w:val="40"/>
          <w:szCs w:val="40"/>
          <w:lang w:val="zh-CN"/>
        </w:rPr>
        <w:fldChar w:fldCharType="separate"/>
      </w:r>
    </w:p>
    <w:sdt>
      <w:sdtPr>
        <w:rPr>
          <w:rFonts w:ascii="宋体" w:hAnsi="宋体" w:eastAsia="宋体" w:cstheme="minorBidi"/>
          <w:kern w:val="2"/>
          <w:sz w:val="21"/>
          <w:szCs w:val="24"/>
          <w:lang w:val="en-US" w:eastAsia="zh-CN" w:bidi="ar-SA"/>
        </w:rPr>
        <w:id w:val="147456155"/>
        <w15:color w:val="DBDBDB"/>
        <w:docPartObj>
          <w:docPartGallery w:val="Table of Contents"/>
          <w:docPartUnique/>
        </w:docPartObj>
      </w:sdtPr>
      <w:sdtEndPr>
        <w:rPr>
          <w:rFonts w:asciiTheme="minorHAnsi" w:hAnsiTheme="minorHAnsi" w:eastAsiaTheme="minorEastAsia" w:cstheme="minorBidi"/>
          <w:kern w:val="2"/>
          <w:sz w:val="21"/>
          <w:szCs w:val="24"/>
          <w:lang w:val="en-US" w:eastAsia="zh-CN" w:bidi="ar-SA"/>
        </w:rPr>
      </w:sdtEndPr>
      <w:sdtContent>
        <w:p w14:paraId="76FD1440">
          <w:pPr>
            <w:spacing w:before="0" w:beforeLines="0" w:after="0" w:afterLines="0" w:line="240" w:lineRule="auto"/>
            <w:ind w:left="0" w:leftChars="0" w:right="0" w:rightChars="0" w:firstLine="0" w:firstLineChars="0"/>
            <w:jc w:val="center"/>
          </w:pPr>
        </w:p>
        <w:p w14:paraId="437BF301">
          <w:pPr>
            <w:pStyle w:val="15"/>
            <w:tabs>
              <w:tab w:val="right" w:leader="dot" w:pos="9172"/>
            </w:tabs>
            <w:rPr>
              <w:sz w:val="28"/>
              <w:szCs w:val="22"/>
            </w:rPr>
          </w:pPr>
          <w:r>
            <w:fldChar w:fldCharType="begin"/>
          </w:r>
          <w:r>
            <w:instrText xml:space="preserve">TOC \o "1-1" \h \u </w:instrText>
          </w:r>
          <w:r>
            <w:fldChar w:fldCharType="separate"/>
          </w:r>
          <w:r>
            <w:rPr>
              <w:sz w:val="28"/>
              <w:szCs w:val="22"/>
            </w:rPr>
            <w:fldChar w:fldCharType="begin"/>
          </w:r>
          <w:r>
            <w:rPr>
              <w:sz w:val="28"/>
              <w:szCs w:val="22"/>
            </w:rPr>
            <w:instrText xml:space="preserve"> HYPERLINK \l _Toc15715 </w:instrText>
          </w:r>
          <w:r>
            <w:rPr>
              <w:sz w:val="28"/>
              <w:szCs w:val="22"/>
            </w:rPr>
            <w:fldChar w:fldCharType="separate"/>
          </w:r>
          <w:r>
            <w:rPr>
              <w:rFonts w:hint="eastAsia"/>
              <w:bCs/>
              <w:sz w:val="28"/>
              <w:szCs w:val="44"/>
              <w:lang w:val="zh-CN"/>
            </w:rPr>
            <w:t xml:space="preserve">第一章 </w:t>
          </w:r>
          <w:r>
            <w:rPr>
              <w:rFonts w:hint="eastAsia"/>
              <w:bCs/>
              <w:sz w:val="28"/>
              <w:szCs w:val="44"/>
              <w:lang w:val="en-US" w:eastAsia="zh-CN"/>
            </w:rPr>
            <w:t>竞争性磋商</w:t>
          </w:r>
          <w:r>
            <w:rPr>
              <w:rFonts w:hint="eastAsia"/>
              <w:bCs/>
              <w:sz w:val="28"/>
              <w:szCs w:val="44"/>
              <w:lang w:val="zh-CN"/>
            </w:rPr>
            <w:t>公告</w:t>
          </w:r>
          <w:r>
            <w:rPr>
              <w:sz w:val="28"/>
              <w:szCs w:val="22"/>
            </w:rPr>
            <w:tab/>
          </w:r>
          <w:r>
            <w:rPr>
              <w:sz w:val="28"/>
              <w:szCs w:val="22"/>
            </w:rPr>
            <w:fldChar w:fldCharType="begin"/>
          </w:r>
          <w:r>
            <w:rPr>
              <w:sz w:val="28"/>
              <w:szCs w:val="22"/>
            </w:rPr>
            <w:instrText xml:space="preserve"> PAGEREF _Toc15715 \h </w:instrText>
          </w:r>
          <w:r>
            <w:rPr>
              <w:sz w:val="28"/>
              <w:szCs w:val="22"/>
            </w:rPr>
            <w:fldChar w:fldCharType="separate"/>
          </w:r>
          <w:r>
            <w:rPr>
              <w:sz w:val="28"/>
              <w:szCs w:val="22"/>
            </w:rPr>
            <w:t>3</w:t>
          </w:r>
          <w:r>
            <w:rPr>
              <w:sz w:val="28"/>
              <w:szCs w:val="22"/>
            </w:rPr>
            <w:fldChar w:fldCharType="end"/>
          </w:r>
          <w:r>
            <w:rPr>
              <w:sz w:val="28"/>
              <w:szCs w:val="22"/>
            </w:rPr>
            <w:fldChar w:fldCharType="end"/>
          </w:r>
        </w:p>
        <w:p w14:paraId="3D772109">
          <w:pPr>
            <w:pStyle w:val="15"/>
            <w:tabs>
              <w:tab w:val="right" w:leader="dot" w:pos="9172"/>
            </w:tabs>
            <w:rPr>
              <w:sz w:val="28"/>
              <w:szCs w:val="22"/>
            </w:rPr>
          </w:pPr>
          <w:r>
            <w:rPr>
              <w:sz w:val="28"/>
              <w:szCs w:val="22"/>
            </w:rPr>
            <w:fldChar w:fldCharType="begin"/>
          </w:r>
          <w:r>
            <w:rPr>
              <w:sz w:val="28"/>
              <w:szCs w:val="22"/>
            </w:rPr>
            <w:instrText xml:space="preserve"> HYPERLINK \l _Toc16776 </w:instrText>
          </w:r>
          <w:r>
            <w:rPr>
              <w:sz w:val="28"/>
              <w:szCs w:val="22"/>
            </w:rPr>
            <w:fldChar w:fldCharType="separate"/>
          </w:r>
          <w:r>
            <w:rPr>
              <w:rFonts w:hint="eastAsia"/>
              <w:sz w:val="28"/>
              <w:szCs w:val="22"/>
            </w:rPr>
            <w:t xml:space="preserve">第二章 </w:t>
          </w:r>
          <w:r>
            <w:rPr>
              <w:rFonts w:hint="eastAsia"/>
              <w:sz w:val="28"/>
              <w:szCs w:val="22"/>
              <w:lang w:eastAsia="zh-CN"/>
            </w:rPr>
            <w:t>供应商须知</w:t>
          </w:r>
          <w:r>
            <w:rPr>
              <w:sz w:val="28"/>
              <w:szCs w:val="22"/>
            </w:rPr>
            <w:tab/>
          </w:r>
          <w:r>
            <w:rPr>
              <w:sz w:val="28"/>
              <w:szCs w:val="22"/>
            </w:rPr>
            <w:fldChar w:fldCharType="begin"/>
          </w:r>
          <w:r>
            <w:rPr>
              <w:sz w:val="28"/>
              <w:szCs w:val="22"/>
            </w:rPr>
            <w:instrText xml:space="preserve"> PAGEREF _Toc16776 \h </w:instrText>
          </w:r>
          <w:r>
            <w:rPr>
              <w:sz w:val="28"/>
              <w:szCs w:val="22"/>
            </w:rPr>
            <w:fldChar w:fldCharType="separate"/>
          </w:r>
          <w:r>
            <w:rPr>
              <w:sz w:val="28"/>
              <w:szCs w:val="22"/>
            </w:rPr>
            <w:t>8</w:t>
          </w:r>
          <w:r>
            <w:rPr>
              <w:sz w:val="28"/>
              <w:szCs w:val="22"/>
            </w:rPr>
            <w:fldChar w:fldCharType="end"/>
          </w:r>
          <w:r>
            <w:rPr>
              <w:sz w:val="28"/>
              <w:szCs w:val="22"/>
            </w:rPr>
            <w:fldChar w:fldCharType="end"/>
          </w:r>
        </w:p>
        <w:p w14:paraId="5A1664FB">
          <w:pPr>
            <w:pStyle w:val="15"/>
            <w:tabs>
              <w:tab w:val="right" w:leader="dot" w:pos="9172"/>
            </w:tabs>
            <w:rPr>
              <w:sz w:val="28"/>
              <w:szCs w:val="22"/>
            </w:rPr>
          </w:pPr>
          <w:r>
            <w:rPr>
              <w:sz w:val="28"/>
              <w:szCs w:val="22"/>
            </w:rPr>
            <w:fldChar w:fldCharType="begin"/>
          </w:r>
          <w:r>
            <w:rPr>
              <w:sz w:val="28"/>
              <w:szCs w:val="22"/>
            </w:rPr>
            <w:instrText xml:space="preserve"> HYPERLINK \l _Toc21289 </w:instrText>
          </w:r>
          <w:r>
            <w:rPr>
              <w:sz w:val="28"/>
              <w:szCs w:val="22"/>
            </w:rPr>
            <w:fldChar w:fldCharType="separate"/>
          </w:r>
          <w:r>
            <w:rPr>
              <w:rFonts w:hint="eastAsia"/>
              <w:sz w:val="28"/>
              <w:szCs w:val="24"/>
              <w:lang w:val="en-US" w:eastAsia="zh-CN"/>
            </w:rPr>
            <w:t>第三章 工程量清单</w:t>
          </w:r>
          <w:r>
            <w:rPr>
              <w:sz w:val="28"/>
              <w:szCs w:val="22"/>
            </w:rPr>
            <w:tab/>
          </w:r>
          <w:r>
            <w:rPr>
              <w:sz w:val="28"/>
              <w:szCs w:val="22"/>
            </w:rPr>
            <w:fldChar w:fldCharType="begin"/>
          </w:r>
          <w:r>
            <w:rPr>
              <w:sz w:val="28"/>
              <w:szCs w:val="22"/>
            </w:rPr>
            <w:instrText xml:space="preserve"> PAGEREF _Toc21289 \h </w:instrText>
          </w:r>
          <w:r>
            <w:rPr>
              <w:sz w:val="28"/>
              <w:szCs w:val="22"/>
            </w:rPr>
            <w:fldChar w:fldCharType="separate"/>
          </w:r>
          <w:r>
            <w:rPr>
              <w:sz w:val="28"/>
              <w:szCs w:val="22"/>
            </w:rPr>
            <w:t>3</w:t>
          </w:r>
          <w:r>
            <w:rPr>
              <w:rFonts w:hint="eastAsia"/>
              <w:sz w:val="28"/>
              <w:szCs w:val="22"/>
              <w:lang w:val="en-US" w:eastAsia="zh-CN"/>
            </w:rPr>
            <w:t>2</w:t>
          </w:r>
          <w:r>
            <w:rPr>
              <w:sz w:val="28"/>
              <w:szCs w:val="22"/>
            </w:rPr>
            <w:fldChar w:fldCharType="end"/>
          </w:r>
          <w:r>
            <w:rPr>
              <w:sz w:val="28"/>
              <w:szCs w:val="22"/>
            </w:rPr>
            <w:fldChar w:fldCharType="end"/>
          </w:r>
        </w:p>
        <w:p w14:paraId="19E453EE">
          <w:pPr>
            <w:pStyle w:val="15"/>
            <w:tabs>
              <w:tab w:val="right" w:leader="dot" w:pos="9172"/>
            </w:tabs>
            <w:rPr>
              <w:sz w:val="28"/>
              <w:szCs w:val="22"/>
            </w:rPr>
          </w:pPr>
          <w:r>
            <w:rPr>
              <w:sz w:val="28"/>
              <w:szCs w:val="22"/>
            </w:rPr>
            <w:fldChar w:fldCharType="begin"/>
          </w:r>
          <w:r>
            <w:rPr>
              <w:sz w:val="28"/>
              <w:szCs w:val="22"/>
            </w:rPr>
            <w:instrText xml:space="preserve"> HYPERLINK \l _Toc17477 </w:instrText>
          </w:r>
          <w:r>
            <w:rPr>
              <w:sz w:val="28"/>
              <w:szCs w:val="22"/>
            </w:rPr>
            <w:fldChar w:fldCharType="separate"/>
          </w:r>
          <w:r>
            <w:rPr>
              <w:rFonts w:hint="eastAsia" w:ascii="宋体" w:hAnsi="宋体" w:cs="宋体"/>
              <w:bCs/>
              <w:sz w:val="28"/>
              <w:szCs w:val="40"/>
            </w:rPr>
            <w:t>第</w:t>
          </w:r>
          <w:r>
            <w:rPr>
              <w:rFonts w:hint="eastAsia" w:ascii="宋体" w:hAnsi="宋体" w:cs="宋体"/>
              <w:bCs/>
              <w:sz w:val="28"/>
              <w:szCs w:val="40"/>
              <w:lang w:val="en-US" w:eastAsia="zh-CN"/>
            </w:rPr>
            <w:t>四</w:t>
          </w:r>
          <w:r>
            <w:rPr>
              <w:rFonts w:hint="eastAsia" w:ascii="宋体" w:hAnsi="宋体" w:cs="宋体"/>
              <w:bCs/>
              <w:sz w:val="28"/>
              <w:szCs w:val="40"/>
            </w:rPr>
            <w:t xml:space="preserve">章 </w:t>
          </w:r>
          <w:r>
            <w:rPr>
              <w:rFonts w:hint="eastAsia" w:ascii="宋体" w:hAnsi="宋体" w:cs="宋体"/>
              <w:bCs/>
              <w:sz w:val="28"/>
              <w:szCs w:val="40"/>
              <w:lang w:val="zh-CN"/>
            </w:rPr>
            <w:t>评</w:t>
          </w:r>
          <w:r>
            <w:rPr>
              <w:rFonts w:hint="eastAsia" w:ascii="宋体" w:hAnsi="宋体" w:cs="宋体"/>
              <w:bCs/>
              <w:sz w:val="28"/>
              <w:szCs w:val="40"/>
              <w:lang w:val="en-US" w:eastAsia="zh-CN"/>
            </w:rPr>
            <w:t>审</w:t>
          </w:r>
          <w:r>
            <w:rPr>
              <w:rFonts w:hint="eastAsia" w:ascii="宋体" w:hAnsi="宋体" w:cs="宋体"/>
              <w:bCs/>
              <w:sz w:val="28"/>
              <w:szCs w:val="40"/>
              <w:lang w:val="zh-CN"/>
            </w:rPr>
            <w:t>办法（综合评分法）</w:t>
          </w:r>
          <w:r>
            <w:rPr>
              <w:sz w:val="28"/>
              <w:szCs w:val="22"/>
            </w:rPr>
            <w:tab/>
          </w:r>
          <w:r>
            <w:rPr>
              <w:sz w:val="28"/>
              <w:szCs w:val="22"/>
            </w:rPr>
            <w:fldChar w:fldCharType="begin"/>
          </w:r>
          <w:r>
            <w:rPr>
              <w:sz w:val="28"/>
              <w:szCs w:val="22"/>
            </w:rPr>
            <w:instrText xml:space="preserve"> PAGEREF _Toc17477 \h </w:instrText>
          </w:r>
          <w:r>
            <w:rPr>
              <w:sz w:val="28"/>
              <w:szCs w:val="22"/>
            </w:rPr>
            <w:fldChar w:fldCharType="separate"/>
          </w:r>
          <w:r>
            <w:rPr>
              <w:sz w:val="28"/>
              <w:szCs w:val="22"/>
            </w:rPr>
            <w:t>3</w:t>
          </w:r>
          <w:r>
            <w:rPr>
              <w:rFonts w:hint="eastAsia"/>
              <w:sz w:val="28"/>
              <w:szCs w:val="22"/>
              <w:lang w:val="en-US" w:eastAsia="zh-CN"/>
            </w:rPr>
            <w:t>3</w:t>
          </w:r>
          <w:r>
            <w:rPr>
              <w:sz w:val="28"/>
              <w:szCs w:val="22"/>
            </w:rPr>
            <w:fldChar w:fldCharType="end"/>
          </w:r>
          <w:r>
            <w:rPr>
              <w:sz w:val="28"/>
              <w:szCs w:val="22"/>
            </w:rPr>
            <w:fldChar w:fldCharType="end"/>
          </w:r>
        </w:p>
        <w:p w14:paraId="3F940296">
          <w:pPr>
            <w:pStyle w:val="15"/>
            <w:tabs>
              <w:tab w:val="right" w:leader="dot" w:pos="9172"/>
            </w:tabs>
            <w:rPr>
              <w:rFonts w:hint="eastAsia" w:eastAsia="宋体"/>
              <w:sz w:val="28"/>
              <w:szCs w:val="22"/>
              <w:lang w:val="en-US" w:eastAsia="zh-CN"/>
            </w:rPr>
          </w:pPr>
          <w:r>
            <w:rPr>
              <w:sz w:val="28"/>
              <w:szCs w:val="22"/>
            </w:rPr>
            <w:fldChar w:fldCharType="begin"/>
          </w:r>
          <w:r>
            <w:rPr>
              <w:sz w:val="28"/>
              <w:szCs w:val="22"/>
            </w:rPr>
            <w:instrText xml:space="preserve"> HYPERLINK \l _Toc20179 </w:instrText>
          </w:r>
          <w:r>
            <w:rPr>
              <w:sz w:val="28"/>
              <w:szCs w:val="22"/>
            </w:rPr>
            <w:fldChar w:fldCharType="separate"/>
          </w:r>
          <w:r>
            <w:rPr>
              <w:rFonts w:hint="eastAsia"/>
              <w:sz w:val="28"/>
              <w:szCs w:val="22"/>
              <w:highlight w:val="none"/>
              <w:lang w:val="en-US" w:eastAsia="zh-CN"/>
            </w:rPr>
            <w:t>第五章 技术标准及要求</w:t>
          </w:r>
          <w:r>
            <w:rPr>
              <w:sz w:val="28"/>
              <w:szCs w:val="22"/>
            </w:rPr>
            <w:tab/>
          </w:r>
          <w:r>
            <w:rPr>
              <w:rFonts w:hint="eastAsia"/>
              <w:sz w:val="28"/>
              <w:szCs w:val="22"/>
              <w:lang w:val="en-US" w:eastAsia="zh-CN"/>
            </w:rPr>
            <w:t>4</w:t>
          </w:r>
          <w:r>
            <w:rPr>
              <w:sz w:val="28"/>
              <w:szCs w:val="22"/>
            </w:rPr>
            <w:fldChar w:fldCharType="end"/>
          </w:r>
          <w:r>
            <w:rPr>
              <w:rFonts w:hint="eastAsia"/>
              <w:sz w:val="28"/>
              <w:szCs w:val="22"/>
              <w:lang w:val="en-US" w:eastAsia="zh-CN"/>
            </w:rPr>
            <w:t>3</w:t>
          </w:r>
        </w:p>
        <w:p w14:paraId="575F3F9B">
          <w:pPr>
            <w:pStyle w:val="15"/>
            <w:tabs>
              <w:tab w:val="right" w:leader="dot" w:pos="9172"/>
            </w:tabs>
            <w:rPr>
              <w:sz w:val="28"/>
              <w:szCs w:val="22"/>
            </w:rPr>
          </w:pPr>
          <w:r>
            <w:rPr>
              <w:sz w:val="28"/>
              <w:szCs w:val="22"/>
            </w:rPr>
            <w:fldChar w:fldCharType="begin"/>
          </w:r>
          <w:r>
            <w:rPr>
              <w:sz w:val="28"/>
              <w:szCs w:val="22"/>
            </w:rPr>
            <w:instrText xml:space="preserve"> HYPERLINK \l _Toc31025 </w:instrText>
          </w:r>
          <w:r>
            <w:rPr>
              <w:sz w:val="28"/>
              <w:szCs w:val="22"/>
            </w:rPr>
            <w:fldChar w:fldCharType="separate"/>
          </w:r>
          <w:r>
            <w:rPr>
              <w:rFonts w:hint="eastAsia"/>
              <w:sz w:val="28"/>
              <w:szCs w:val="22"/>
              <w:lang w:val="en-US" w:eastAsia="zh-CN"/>
            </w:rPr>
            <w:t xml:space="preserve">第六章 </w:t>
          </w:r>
          <w:r>
            <w:rPr>
              <w:rFonts w:hint="eastAsia"/>
              <w:sz w:val="28"/>
              <w:szCs w:val="22"/>
            </w:rPr>
            <w:t>合同条款及格式</w:t>
          </w:r>
          <w:r>
            <w:rPr>
              <w:sz w:val="28"/>
              <w:szCs w:val="22"/>
            </w:rPr>
            <w:tab/>
          </w:r>
          <w:r>
            <w:rPr>
              <w:sz w:val="28"/>
              <w:szCs w:val="22"/>
            </w:rPr>
            <w:fldChar w:fldCharType="begin"/>
          </w:r>
          <w:r>
            <w:rPr>
              <w:sz w:val="28"/>
              <w:szCs w:val="22"/>
            </w:rPr>
            <w:instrText xml:space="preserve"> PAGEREF _Toc31025 \h </w:instrText>
          </w:r>
          <w:r>
            <w:rPr>
              <w:sz w:val="28"/>
              <w:szCs w:val="22"/>
            </w:rPr>
            <w:fldChar w:fldCharType="separate"/>
          </w:r>
          <w:r>
            <w:rPr>
              <w:sz w:val="28"/>
              <w:szCs w:val="22"/>
            </w:rPr>
            <w:t>4</w:t>
          </w:r>
          <w:r>
            <w:rPr>
              <w:rFonts w:hint="eastAsia"/>
              <w:sz w:val="28"/>
              <w:szCs w:val="22"/>
              <w:lang w:val="en-US" w:eastAsia="zh-CN"/>
            </w:rPr>
            <w:t>4</w:t>
          </w:r>
          <w:r>
            <w:rPr>
              <w:sz w:val="28"/>
              <w:szCs w:val="22"/>
            </w:rPr>
            <w:fldChar w:fldCharType="end"/>
          </w:r>
          <w:r>
            <w:rPr>
              <w:sz w:val="28"/>
              <w:szCs w:val="22"/>
            </w:rPr>
            <w:fldChar w:fldCharType="end"/>
          </w:r>
        </w:p>
        <w:p w14:paraId="37869907">
          <w:pPr>
            <w:pStyle w:val="15"/>
            <w:tabs>
              <w:tab w:val="right" w:leader="dot" w:pos="9172"/>
            </w:tabs>
          </w:pPr>
          <w:r>
            <w:rPr>
              <w:sz w:val="28"/>
              <w:szCs w:val="22"/>
            </w:rPr>
            <w:fldChar w:fldCharType="begin"/>
          </w:r>
          <w:r>
            <w:rPr>
              <w:sz w:val="28"/>
              <w:szCs w:val="22"/>
            </w:rPr>
            <w:instrText xml:space="preserve"> HYPERLINK \l _Toc27481 </w:instrText>
          </w:r>
          <w:r>
            <w:rPr>
              <w:sz w:val="28"/>
              <w:szCs w:val="22"/>
            </w:rPr>
            <w:fldChar w:fldCharType="separate"/>
          </w:r>
          <w:r>
            <w:rPr>
              <w:rFonts w:hint="eastAsia"/>
              <w:sz w:val="28"/>
              <w:szCs w:val="22"/>
              <w:lang w:val="en-US" w:eastAsia="zh-CN"/>
            </w:rPr>
            <w:t>第七章 电子响应文件格式</w:t>
          </w:r>
          <w:r>
            <w:rPr>
              <w:sz w:val="28"/>
              <w:szCs w:val="22"/>
            </w:rPr>
            <w:tab/>
          </w:r>
          <w:r>
            <w:rPr>
              <w:sz w:val="28"/>
              <w:szCs w:val="22"/>
            </w:rPr>
            <w:fldChar w:fldCharType="begin"/>
          </w:r>
          <w:r>
            <w:rPr>
              <w:sz w:val="28"/>
              <w:szCs w:val="22"/>
            </w:rPr>
            <w:instrText xml:space="preserve"> PAGEREF _Toc27481 \h </w:instrText>
          </w:r>
          <w:r>
            <w:rPr>
              <w:sz w:val="28"/>
              <w:szCs w:val="22"/>
            </w:rPr>
            <w:fldChar w:fldCharType="separate"/>
          </w:r>
          <w:r>
            <w:rPr>
              <w:sz w:val="28"/>
              <w:szCs w:val="22"/>
            </w:rPr>
            <w:t>6</w:t>
          </w:r>
          <w:r>
            <w:rPr>
              <w:rFonts w:hint="eastAsia"/>
              <w:sz w:val="28"/>
              <w:szCs w:val="22"/>
              <w:lang w:val="en-US" w:eastAsia="zh-CN"/>
            </w:rPr>
            <w:t>7</w:t>
          </w:r>
          <w:r>
            <w:rPr>
              <w:sz w:val="28"/>
              <w:szCs w:val="22"/>
            </w:rPr>
            <w:fldChar w:fldCharType="end"/>
          </w:r>
          <w:r>
            <w:rPr>
              <w:sz w:val="28"/>
              <w:szCs w:val="22"/>
            </w:rPr>
            <w:fldChar w:fldCharType="end"/>
          </w:r>
        </w:p>
        <w:p w14:paraId="157F91F4">
          <w:pPr>
            <w:rPr>
              <w:rFonts w:asciiTheme="minorHAnsi" w:hAnsiTheme="minorHAnsi" w:eastAsiaTheme="minorEastAsia" w:cstheme="minorBidi"/>
              <w:kern w:val="2"/>
              <w:sz w:val="21"/>
              <w:szCs w:val="24"/>
              <w:lang w:val="en-US" w:eastAsia="zh-CN" w:bidi="ar-SA"/>
            </w:rPr>
          </w:pPr>
          <w:r>
            <w:fldChar w:fldCharType="end"/>
          </w:r>
        </w:p>
      </w:sdtContent>
    </w:sdt>
    <w:p w14:paraId="74FF7400">
      <w:pPr>
        <w:pStyle w:val="7"/>
      </w:pPr>
    </w:p>
    <w:p w14:paraId="7F8ABED3">
      <w:pPr>
        <w:pStyle w:val="15"/>
        <w:tabs>
          <w:tab w:val="right" w:leader="dot" w:pos="9174"/>
        </w:tabs>
      </w:pPr>
    </w:p>
    <w:p w14:paraId="0605686F">
      <w:pPr>
        <w:pStyle w:val="15"/>
        <w:tabs>
          <w:tab w:val="right" w:leader="dot" w:pos="9174"/>
        </w:tabs>
      </w:pPr>
    </w:p>
    <w:p w14:paraId="38F5E583">
      <w:pPr>
        <w:jc w:val="both"/>
        <w:rPr>
          <w:color w:val="auto"/>
          <w:sz w:val="24"/>
          <w:szCs w:val="40"/>
          <w:lang w:val="zh-CN"/>
        </w:rPr>
      </w:pPr>
      <w:r>
        <w:rPr>
          <w:color w:val="auto"/>
          <w:szCs w:val="40"/>
          <w:lang w:val="zh-CN"/>
        </w:rPr>
        <w:fldChar w:fldCharType="end"/>
      </w:r>
    </w:p>
    <w:p w14:paraId="1CB37B5B">
      <w:pPr>
        <w:jc w:val="both"/>
        <w:rPr>
          <w:color w:val="auto"/>
          <w:sz w:val="24"/>
          <w:szCs w:val="40"/>
          <w:lang w:val="zh-CN"/>
        </w:rPr>
      </w:pPr>
    </w:p>
    <w:p w14:paraId="11A65221">
      <w:pPr>
        <w:jc w:val="both"/>
        <w:rPr>
          <w:color w:val="auto"/>
          <w:sz w:val="24"/>
          <w:szCs w:val="40"/>
          <w:lang w:val="zh-CN"/>
        </w:rPr>
      </w:pPr>
    </w:p>
    <w:p w14:paraId="30228EA6">
      <w:pPr>
        <w:jc w:val="both"/>
        <w:rPr>
          <w:color w:val="auto"/>
          <w:sz w:val="24"/>
          <w:szCs w:val="40"/>
          <w:lang w:val="zh-CN"/>
        </w:rPr>
      </w:pPr>
    </w:p>
    <w:p w14:paraId="30282FCD">
      <w:pPr>
        <w:jc w:val="both"/>
        <w:rPr>
          <w:color w:val="auto"/>
          <w:sz w:val="24"/>
          <w:szCs w:val="40"/>
          <w:lang w:val="zh-CN"/>
        </w:rPr>
      </w:pPr>
    </w:p>
    <w:p w14:paraId="772ED5E2">
      <w:pPr>
        <w:jc w:val="both"/>
        <w:rPr>
          <w:color w:val="auto"/>
          <w:sz w:val="24"/>
          <w:szCs w:val="40"/>
          <w:lang w:val="zh-CN"/>
        </w:rPr>
      </w:pPr>
    </w:p>
    <w:p w14:paraId="44B60F63">
      <w:pPr>
        <w:jc w:val="both"/>
        <w:rPr>
          <w:color w:val="auto"/>
          <w:sz w:val="24"/>
          <w:szCs w:val="40"/>
          <w:lang w:val="zh-CN"/>
        </w:rPr>
      </w:pPr>
    </w:p>
    <w:p w14:paraId="38C92982">
      <w:pPr>
        <w:jc w:val="both"/>
        <w:rPr>
          <w:color w:val="auto"/>
          <w:sz w:val="24"/>
          <w:szCs w:val="40"/>
          <w:lang w:val="zh-CN"/>
        </w:rPr>
      </w:pPr>
    </w:p>
    <w:p w14:paraId="6FA6EE1D">
      <w:pPr>
        <w:jc w:val="both"/>
        <w:rPr>
          <w:color w:val="auto"/>
          <w:sz w:val="24"/>
          <w:szCs w:val="40"/>
          <w:lang w:val="zh-CN"/>
        </w:rPr>
      </w:pPr>
    </w:p>
    <w:p w14:paraId="27F15EA8">
      <w:pPr>
        <w:jc w:val="both"/>
        <w:rPr>
          <w:color w:val="auto"/>
          <w:sz w:val="24"/>
          <w:szCs w:val="40"/>
          <w:lang w:val="zh-CN"/>
        </w:rPr>
      </w:pPr>
    </w:p>
    <w:p w14:paraId="2FE34771">
      <w:pPr>
        <w:jc w:val="both"/>
        <w:rPr>
          <w:color w:val="auto"/>
          <w:sz w:val="24"/>
          <w:szCs w:val="40"/>
          <w:lang w:val="zh-CN"/>
        </w:rPr>
      </w:pPr>
    </w:p>
    <w:p w14:paraId="27B530D7">
      <w:pPr>
        <w:jc w:val="both"/>
        <w:rPr>
          <w:color w:val="auto"/>
          <w:sz w:val="24"/>
          <w:szCs w:val="40"/>
          <w:lang w:val="zh-CN"/>
        </w:rPr>
      </w:pPr>
    </w:p>
    <w:p w14:paraId="43B50785">
      <w:pPr>
        <w:pStyle w:val="20"/>
        <w:rPr>
          <w:color w:val="auto"/>
          <w:sz w:val="24"/>
          <w:szCs w:val="40"/>
          <w:lang w:val="zh-CN"/>
        </w:rPr>
      </w:pPr>
    </w:p>
    <w:p w14:paraId="5637314B">
      <w:pPr>
        <w:pStyle w:val="19"/>
        <w:rPr>
          <w:lang w:val="zh-CN"/>
        </w:rPr>
      </w:pPr>
    </w:p>
    <w:p w14:paraId="5DDA35EB">
      <w:pPr>
        <w:jc w:val="both"/>
        <w:rPr>
          <w:color w:val="auto"/>
          <w:sz w:val="24"/>
          <w:szCs w:val="40"/>
          <w:lang w:val="zh-CN"/>
        </w:rPr>
      </w:pPr>
    </w:p>
    <w:p w14:paraId="2A793ED6">
      <w:pPr>
        <w:jc w:val="both"/>
        <w:rPr>
          <w:color w:val="auto"/>
          <w:sz w:val="24"/>
          <w:szCs w:val="40"/>
          <w:lang w:val="zh-CN"/>
        </w:rPr>
      </w:pPr>
    </w:p>
    <w:p w14:paraId="3E7AA0CA">
      <w:pPr>
        <w:jc w:val="both"/>
        <w:rPr>
          <w:color w:val="auto"/>
          <w:sz w:val="24"/>
          <w:szCs w:val="40"/>
          <w:lang w:val="zh-CN"/>
        </w:rPr>
      </w:pPr>
    </w:p>
    <w:p w14:paraId="6F26625F">
      <w:pPr>
        <w:pStyle w:val="13"/>
        <w:rPr>
          <w:lang w:val="zh-CN"/>
        </w:rPr>
      </w:pPr>
    </w:p>
    <w:p w14:paraId="1ABA1442">
      <w:pPr>
        <w:pStyle w:val="2"/>
        <w:bidi w:val="0"/>
        <w:spacing w:line="240" w:lineRule="auto"/>
        <w:jc w:val="center"/>
        <w:rPr>
          <w:b/>
          <w:bCs/>
          <w:color w:val="auto"/>
          <w:sz w:val="36"/>
          <w:szCs w:val="36"/>
          <w:lang w:val="zh-CN"/>
        </w:rPr>
      </w:pPr>
      <w:bookmarkStart w:id="3" w:name="_Toc4320"/>
      <w:bookmarkStart w:id="4" w:name="_Toc15715"/>
      <w:r>
        <w:rPr>
          <w:rFonts w:hint="eastAsia"/>
          <w:b/>
          <w:bCs/>
          <w:color w:val="auto"/>
          <w:sz w:val="36"/>
          <w:szCs w:val="36"/>
          <w:lang w:val="zh-CN"/>
        </w:rPr>
        <w:t xml:space="preserve">第一章 </w:t>
      </w:r>
      <w:r>
        <w:rPr>
          <w:rFonts w:hint="eastAsia"/>
          <w:b/>
          <w:bCs/>
          <w:color w:val="auto"/>
          <w:sz w:val="36"/>
          <w:szCs w:val="36"/>
          <w:lang w:val="en-US" w:eastAsia="zh-CN"/>
        </w:rPr>
        <w:t>竞争性磋商</w:t>
      </w:r>
      <w:r>
        <w:rPr>
          <w:rFonts w:hint="eastAsia"/>
          <w:b/>
          <w:bCs/>
          <w:color w:val="auto"/>
          <w:sz w:val="36"/>
          <w:szCs w:val="36"/>
          <w:lang w:val="zh-CN"/>
        </w:rPr>
        <w:t>公告</w:t>
      </w:r>
      <w:bookmarkEnd w:id="3"/>
      <w:bookmarkEnd w:id="4"/>
    </w:p>
    <w:p w14:paraId="78772A73">
      <w:pPr>
        <w:spacing w:line="360" w:lineRule="auto"/>
        <w:ind w:firstLine="566" w:firstLineChars="236"/>
        <w:rPr>
          <w:rFonts w:hint="eastAsia" w:ascii="宋体" w:hAnsi="宋体" w:cs="宋体"/>
          <w:sz w:val="24"/>
          <w:szCs w:val="24"/>
          <w:highlight w:val="none"/>
          <w:lang w:eastAsia="zh-CN"/>
        </w:rPr>
      </w:pPr>
      <w:r>
        <w:rPr>
          <w:rFonts w:hint="eastAsia" w:ascii="宋体" w:hAnsi="宋体" w:eastAsia="宋体"/>
          <w:sz w:val="24"/>
          <w:szCs w:val="24"/>
          <w:highlight w:val="none"/>
        </w:rPr>
        <w:t>项目概况</w:t>
      </w:r>
    </w:p>
    <w:p w14:paraId="47C65569">
      <w:pPr>
        <w:spacing w:line="360" w:lineRule="auto"/>
        <w:ind w:firstLine="566" w:firstLineChars="236"/>
        <w:rPr>
          <w:rFonts w:ascii="宋体" w:hAnsi="宋体" w:eastAsia="宋体"/>
          <w:sz w:val="24"/>
          <w:szCs w:val="24"/>
          <w:highlight w:val="none"/>
        </w:rPr>
      </w:pPr>
      <w:r>
        <w:rPr>
          <w:rFonts w:hint="eastAsia" w:ascii="宋体" w:hAnsi="宋体" w:cs="宋体"/>
          <w:sz w:val="24"/>
          <w:szCs w:val="24"/>
          <w:highlight w:val="none"/>
          <w:lang w:eastAsia="zh-CN"/>
        </w:rPr>
        <w:t>灵宝市阳平镇政府专职消防队建设项目</w:t>
      </w:r>
      <w:r>
        <w:rPr>
          <w:rFonts w:hint="eastAsia" w:ascii="宋体" w:hAnsi="宋体" w:eastAsia="宋体"/>
          <w:sz w:val="24"/>
          <w:szCs w:val="24"/>
          <w:highlight w:val="none"/>
        </w:rPr>
        <w:t>的潜在供应商应在三门峡市公共资源交易中心网上获取磋商文件，并于2026年</w:t>
      </w:r>
      <w:r>
        <w:rPr>
          <w:rFonts w:hint="eastAsia" w:ascii="宋体" w:hAnsi="宋体" w:eastAsia="宋体"/>
          <w:sz w:val="24"/>
          <w:szCs w:val="24"/>
          <w:highlight w:val="none"/>
          <w:lang w:val="en-US" w:eastAsia="zh-CN"/>
        </w:rPr>
        <w:t>9</w:t>
      </w:r>
      <w:r>
        <w:rPr>
          <w:rFonts w:hint="eastAsia" w:ascii="宋体" w:hAnsi="宋体" w:eastAsia="宋体"/>
          <w:sz w:val="24"/>
          <w:szCs w:val="24"/>
          <w:highlight w:val="none"/>
        </w:rPr>
        <w:t>月</w:t>
      </w:r>
      <w:r>
        <w:rPr>
          <w:rFonts w:hint="eastAsia" w:ascii="宋体" w:hAnsi="宋体" w:eastAsia="宋体"/>
          <w:sz w:val="24"/>
          <w:szCs w:val="24"/>
          <w:highlight w:val="none"/>
          <w:lang w:val="en-US" w:eastAsia="zh-CN"/>
        </w:rPr>
        <w:t xml:space="preserve"> 9</w:t>
      </w:r>
      <w:r>
        <w:rPr>
          <w:rFonts w:hint="eastAsia" w:ascii="宋体" w:hAnsi="宋体" w:eastAsia="宋体"/>
          <w:sz w:val="24"/>
          <w:szCs w:val="24"/>
          <w:highlight w:val="none"/>
        </w:rPr>
        <w:t>日</w:t>
      </w:r>
      <w:r>
        <w:rPr>
          <w:rFonts w:hint="eastAsia" w:ascii="宋体" w:hAnsi="宋体" w:eastAsia="宋体"/>
          <w:sz w:val="24"/>
          <w:szCs w:val="24"/>
          <w:highlight w:val="none"/>
          <w:lang w:val="en-US" w:eastAsia="zh-CN"/>
        </w:rPr>
        <w:t>9</w:t>
      </w:r>
      <w:r>
        <w:rPr>
          <w:rFonts w:hint="eastAsia" w:ascii="宋体" w:hAnsi="宋体" w:eastAsia="宋体"/>
          <w:sz w:val="24"/>
          <w:szCs w:val="24"/>
          <w:highlight w:val="none"/>
        </w:rPr>
        <w:t>时</w:t>
      </w:r>
      <w:r>
        <w:rPr>
          <w:rFonts w:hint="eastAsia" w:ascii="宋体" w:hAnsi="宋体" w:eastAsia="宋体"/>
          <w:sz w:val="24"/>
          <w:szCs w:val="24"/>
          <w:highlight w:val="none"/>
          <w:lang w:val="en-US" w:eastAsia="zh-CN"/>
        </w:rPr>
        <w:t>00</w:t>
      </w:r>
      <w:r>
        <w:rPr>
          <w:rFonts w:hint="eastAsia" w:ascii="宋体" w:hAnsi="宋体" w:eastAsia="宋体"/>
          <w:sz w:val="24"/>
          <w:szCs w:val="24"/>
          <w:highlight w:val="none"/>
        </w:rPr>
        <w:t>分（北京时间）前递交响应文件。</w:t>
      </w:r>
    </w:p>
    <w:p w14:paraId="1C712CE3">
      <w:pPr>
        <w:spacing w:line="360" w:lineRule="auto"/>
        <w:ind w:firstLine="487" w:firstLineChars="20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、项目基本情况</w:t>
      </w:r>
    </w:p>
    <w:p w14:paraId="71A50899">
      <w:pPr>
        <w:spacing w:line="360" w:lineRule="auto"/>
        <w:ind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1、采购</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：灵宝市阳平镇政府专职消防队建设项目</w:t>
      </w:r>
      <w:r>
        <w:rPr>
          <w:rFonts w:hint="eastAsia" w:ascii="宋体" w:hAnsi="宋体" w:eastAsia="宋体" w:cs="宋体"/>
          <w:color w:val="auto"/>
          <w:sz w:val="24"/>
          <w:szCs w:val="24"/>
          <w:highlight w:val="none"/>
        </w:rPr>
        <w:t>；</w:t>
      </w:r>
    </w:p>
    <w:p w14:paraId="4486D1D9">
      <w:pPr>
        <w:spacing w:line="360" w:lineRule="auto"/>
        <w:ind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2、采购</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灵宝竞磋采购-2026-99、LBGZ[2026]172-ZC135</w:t>
      </w:r>
      <w:r>
        <w:rPr>
          <w:rFonts w:hint="eastAsia" w:ascii="宋体" w:hAnsi="宋体" w:eastAsia="宋体" w:cs="宋体"/>
          <w:color w:val="auto"/>
          <w:sz w:val="24"/>
          <w:szCs w:val="24"/>
          <w:highlight w:val="none"/>
        </w:rPr>
        <w:t>；</w:t>
      </w:r>
    </w:p>
    <w:p w14:paraId="6B59EF61">
      <w:pPr>
        <w:spacing w:line="360" w:lineRule="auto"/>
        <w:ind w:firstLine="484" w:firstLineChars="202"/>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3、采购方式：竞争性磋商；</w:t>
      </w:r>
    </w:p>
    <w:p w14:paraId="0CE418F6">
      <w:pPr>
        <w:spacing w:line="360" w:lineRule="auto"/>
        <w:ind w:firstLine="484" w:firstLineChars="20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4、预算：3836952.27元；</w:t>
      </w:r>
    </w:p>
    <w:tbl>
      <w:tblPr>
        <w:tblStyle w:val="22"/>
        <w:tblW w:w="9465" w:type="dxa"/>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2566"/>
        <w:gridCol w:w="1731"/>
        <w:gridCol w:w="1630"/>
        <w:gridCol w:w="1491"/>
        <w:gridCol w:w="1485"/>
      </w:tblGrid>
      <w:tr w14:paraId="7C2DB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trPr>
        <w:tc>
          <w:tcPr>
            <w:tcW w:w="562" w:type="dxa"/>
            <w:vAlign w:val="center"/>
          </w:tcPr>
          <w:p w14:paraId="561F8A88">
            <w:pPr>
              <w:pStyle w:val="7"/>
              <w:jc w:val="center"/>
              <w:rPr>
                <w:rFonts w:hint="eastAsia" w:eastAsiaTheme="minorEastAsia"/>
                <w:sz w:val="24"/>
                <w:szCs w:val="32"/>
                <w:highlight w:val="none"/>
                <w:vertAlign w:val="baseline"/>
                <w:lang w:val="en-US" w:eastAsia="zh-CN"/>
              </w:rPr>
            </w:pPr>
            <w:r>
              <w:rPr>
                <w:rFonts w:hint="eastAsia"/>
                <w:sz w:val="24"/>
                <w:szCs w:val="32"/>
                <w:highlight w:val="none"/>
                <w:vertAlign w:val="baseline"/>
                <w:lang w:val="en-US" w:eastAsia="zh-CN"/>
              </w:rPr>
              <w:t>序号</w:t>
            </w:r>
          </w:p>
        </w:tc>
        <w:tc>
          <w:tcPr>
            <w:tcW w:w="2566" w:type="dxa"/>
            <w:vAlign w:val="center"/>
          </w:tcPr>
          <w:p w14:paraId="77A600E8">
            <w:pPr>
              <w:pStyle w:val="7"/>
              <w:jc w:val="center"/>
              <w:rPr>
                <w:rFonts w:hint="eastAsia" w:eastAsiaTheme="minorEastAsia"/>
                <w:sz w:val="24"/>
                <w:szCs w:val="32"/>
                <w:highlight w:val="none"/>
                <w:vertAlign w:val="baseline"/>
                <w:lang w:val="en-US" w:eastAsia="zh-CN"/>
              </w:rPr>
            </w:pPr>
            <w:r>
              <w:rPr>
                <w:rFonts w:hint="eastAsia"/>
                <w:sz w:val="24"/>
                <w:szCs w:val="32"/>
                <w:highlight w:val="none"/>
                <w:vertAlign w:val="baseline"/>
                <w:lang w:val="en-US" w:eastAsia="zh-CN"/>
              </w:rPr>
              <w:t>包号</w:t>
            </w:r>
          </w:p>
        </w:tc>
        <w:tc>
          <w:tcPr>
            <w:tcW w:w="1731" w:type="dxa"/>
            <w:vAlign w:val="center"/>
          </w:tcPr>
          <w:p w14:paraId="7A1DD80F">
            <w:pPr>
              <w:pStyle w:val="7"/>
              <w:jc w:val="center"/>
              <w:rPr>
                <w:rFonts w:hint="eastAsia" w:eastAsiaTheme="minorEastAsia"/>
                <w:sz w:val="24"/>
                <w:szCs w:val="32"/>
                <w:highlight w:val="none"/>
                <w:vertAlign w:val="baseline"/>
                <w:lang w:val="en-US" w:eastAsia="zh-CN"/>
              </w:rPr>
            </w:pPr>
            <w:r>
              <w:rPr>
                <w:rFonts w:hint="eastAsia"/>
                <w:sz w:val="24"/>
                <w:szCs w:val="32"/>
                <w:highlight w:val="none"/>
                <w:vertAlign w:val="baseline"/>
                <w:lang w:val="en-US" w:eastAsia="zh-CN"/>
              </w:rPr>
              <w:t>包名称</w:t>
            </w:r>
          </w:p>
        </w:tc>
        <w:tc>
          <w:tcPr>
            <w:tcW w:w="1630" w:type="dxa"/>
            <w:vAlign w:val="center"/>
          </w:tcPr>
          <w:p w14:paraId="68D11747">
            <w:pPr>
              <w:pStyle w:val="7"/>
              <w:jc w:val="center"/>
              <w:rPr>
                <w:rFonts w:hint="eastAsia"/>
                <w:sz w:val="24"/>
                <w:szCs w:val="32"/>
                <w:highlight w:val="none"/>
                <w:vertAlign w:val="baseline"/>
                <w:lang w:val="en-US" w:eastAsia="zh-CN"/>
              </w:rPr>
            </w:pPr>
            <w:r>
              <w:rPr>
                <w:rFonts w:hint="eastAsia"/>
                <w:sz w:val="24"/>
                <w:szCs w:val="32"/>
                <w:highlight w:val="none"/>
                <w:vertAlign w:val="baseline"/>
                <w:lang w:val="en-US" w:eastAsia="zh-CN"/>
              </w:rPr>
              <w:t>包预算</w:t>
            </w:r>
          </w:p>
          <w:p w14:paraId="77820CEA">
            <w:pPr>
              <w:pStyle w:val="7"/>
              <w:jc w:val="center"/>
              <w:rPr>
                <w:rFonts w:hint="eastAsia" w:eastAsiaTheme="minorEastAsia"/>
                <w:sz w:val="24"/>
                <w:szCs w:val="32"/>
                <w:highlight w:val="none"/>
                <w:vertAlign w:val="baseline"/>
                <w:lang w:val="en-US" w:eastAsia="zh-CN"/>
              </w:rPr>
            </w:pPr>
            <w:r>
              <w:rPr>
                <w:rFonts w:hint="eastAsia"/>
                <w:sz w:val="24"/>
                <w:szCs w:val="32"/>
                <w:highlight w:val="none"/>
                <w:vertAlign w:val="baseline"/>
                <w:lang w:val="en-US" w:eastAsia="zh-CN"/>
              </w:rPr>
              <w:t>（元）</w:t>
            </w:r>
          </w:p>
        </w:tc>
        <w:tc>
          <w:tcPr>
            <w:tcW w:w="1491" w:type="dxa"/>
            <w:vAlign w:val="center"/>
          </w:tcPr>
          <w:p w14:paraId="201734D4">
            <w:pPr>
              <w:pStyle w:val="7"/>
              <w:jc w:val="center"/>
              <w:rPr>
                <w:rFonts w:hint="eastAsia" w:eastAsiaTheme="minorEastAsia"/>
                <w:sz w:val="24"/>
                <w:szCs w:val="32"/>
                <w:highlight w:val="none"/>
                <w:vertAlign w:val="baseline"/>
                <w:lang w:val="en-US" w:eastAsia="zh-CN"/>
              </w:rPr>
            </w:pPr>
            <w:r>
              <w:rPr>
                <w:rFonts w:hint="eastAsia"/>
                <w:sz w:val="24"/>
                <w:szCs w:val="32"/>
                <w:highlight w:val="none"/>
                <w:vertAlign w:val="baseline"/>
                <w:lang w:val="en-US" w:eastAsia="zh-CN"/>
              </w:rPr>
              <w:t>包最高限价（元）</w:t>
            </w:r>
          </w:p>
        </w:tc>
        <w:tc>
          <w:tcPr>
            <w:tcW w:w="1485" w:type="dxa"/>
            <w:vAlign w:val="center"/>
          </w:tcPr>
          <w:p w14:paraId="45CF209E">
            <w:pPr>
              <w:pStyle w:val="7"/>
              <w:jc w:val="center"/>
              <w:rPr>
                <w:rFonts w:hint="eastAsia"/>
                <w:sz w:val="24"/>
                <w:szCs w:val="32"/>
                <w:highlight w:val="none"/>
                <w:vertAlign w:val="baseline"/>
                <w:lang w:val="en-US" w:eastAsia="zh-CN"/>
              </w:rPr>
            </w:pPr>
            <w:r>
              <w:rPr>
                <w:rFonts w:hint="eastAsia"/>
                <w:sz w:val="24"/>
                <w:szCs w:val="32"/>
                <w:highlight w:val="none"/>
                <w:vertAlign w:val="baseline"/>
                <w:lang w:val="en-US" w:eastAsia="zh-CN"/>
              </w:rPr>
              <w:t>是否专门面向中小企业</w:t>
            </w:r>
          </w:p>
        </w:tc>
      </w:tr>
      <w:tr w14:paraId="15342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562" w:type="dxa"/>
            <w:vAlign w:val="center"/>
          </w:tcPr>
          <w:p w14:paraId="777EC3AD">
            <w:pPr>
              <w:pStyle w:val="7"/>
              <w:jc w:val="center"/>
              <w:rPr>
                <w:rFonts w:hint="eastAsia" w:eastAsiaTheme="minorEastAsia"/>
                <w:highlight w:val="none"/>
                <w:vertAlign w:val="baseline"/>
                <w:lang w:val="en-US" w:eastAsia="zh-CN"/>
              </w:rPr>
            </w:pPr>
            <w:r>
              <w:rPr>
                <w:rFonts w:hint="eastAsia"/>
                <w:highlight w:val="none"/>
                <w:vertAlign w:val="baseline"/>
                <w:lang w:val="en-US" w:eastAsia="zh-CN"/>
              </w:rPr>
              <w:t>1</w:t>
            </w:r>
          </w:p>
        </w:tc>
        <w:tc>
          <w:tcPr>
            <w:tcW w:w="2566" w:type="dxa"/>
            <w:vAlign w:val="center"/>
          </w:tcPr>
          <w:p w14:paraId="4EFDBFA1">
            <w:pPr>
              <w:pStyle w:val="7"/>
              <w:jc w:val="center"/>
              <w:rPr>
                <w:rFonts w:hint="default" w:eastAsiaTheme="minorEastAsia"/>
                <w:highlight w:val="none"/>
                <w:vertAlign w:val="baseline"/>
                <w:lang w:val="en-US" w:eastAsia="zh-CN"/>
              </w:rPr>
            </w:pPr>
            <w:r>
              <w:rPr>
                <w:rFonts w:hint="default" w:eastAsiaTheme="minorEastAsia"/>
                <w:highlight w:val="none"/>
                <w:vertAlign w:val="baseline"/>
                <w:lang w:val="en-US" w:eastAsia="zh-CN"/>
              </w:rPr>
              <w:t>LBGZ[2026]172-ZC135</w:t>
            </w:r>
            <w:r>
              <w:rPr>
                <w:rFonts w:hint="eastAsia"/>
                <w:highlight w:val="none"/>
                <w:vertAlign w:val="baseline"/>
                <w:lang w:val="en-US" w:eastAsia="zh-CN"/>
              </w:rPr>
              <w:t>-1</w:t>
            </w:r>
          </w:p>
        </w:tc>
        <w:tc>
          <w:tcPr>
            <w:tcW w:w="1731" w:type="dxa"/>
            <w:vAlign w:val="center"/>
          </w:tcPr>
          <w:p w14:paraId="1C3FBA50">
            <w:pPr>
              <w:pStyle w:val="7"/>
              <w:jc w:val="center"/>
              <w:rPr>
                <w:rFonts w:hint="default"/>
                <w:highlight w:val="none"/>
                <w:vertAlign w:val="baseline"/>
                <w:lang w:val="en-US"/>
              </w:rPr>
            </w:pPr>
            <w:r>
              <w:rPr>
                <w:rFonts w:hint="eastAsia" w:ascii="宋体" w:hAnsi="宋体" w:eastAsia="宋体" w:cs="宋体"/>
                <w:color w:val="auto"/>
                <w:sz w:val="24"/>
                <w:szCs w:val="24"/>
                <w:highlight w:val="none"/>
                <w:lang w:eastAsia="zh-CN"/>
              </w:rPr>
              <w:t>灵宝市阳平镇政府专职消防队建设项目</w:t>
            </w:r>
          </w:p>
        </w:tc>
        <w:tc>
          <w:tcPr>
            <w:tcW w:w="1630" w:type="dxa"/>
            <w:vAlign w:val="center"/>
          </w:tcPr>
          <w:p w14:paraId="19B891D8">
            <w:pPr>
              <w:pStyle w:val="7"/>
              <w:jc w:val="center"/>
              <w:rPr>
                <w:rFonts w:hint="default" w:eastAsiaTheme="minorEastAsia"/>
                <w:sz w:val="24"/>
                <w:szCs w:val="32"/>
                <w:highlight w:val="none"/>
                <w:vertAlign w:val="baseline"/>
                <w:lang w:val="en-US" w:eastAsia="zh-CN"/>
              </w:rPr>
            </w:pPr>
            <w:r>
              <w:rPr>
                <w:rFonts w:hint="default" w:eastAsiaTheme="minorEastAsia"/>
                <w:sz w:val="24"/>
                <w:szCs w:val="32"/>
                <w:highlight w:val="none"/>
                <w:vertAlign w:val="baseline"/>
                <w:lang w:val="en-US" w:eastAsia="zh-CN"/>
              </w:rPr>
              <w:t>3836952</w:t>
            </w:r>
            <w:r>
              <w:rPr>
                <w:rFonts w:hint="eastAsia"/>
                <w:sz w:val="24"/>
                <w:szCs w:val="32"/>
                <w:highlight w:val="none"/>
                <w:vertAlign w:val="baseline"/>
                <w:lang w:val="en-US" w:eastAsia="zh-CN"/>
              </w:rPr>
              <w:t>.</w:t>
            </w:r>
            <w:r>
              <w:rPr>
                <w:rFonts w:hint="default" w:eastAsiaTheme="minorEastAsia"/>
                <w:sz w:val="24"/>
                <w:szCs w:val="32"/>
                <w:highlight w:val="none"/>
                <w:vertAlign w:val="baseline"/>
                <w:lang w:val="en-US" w:eastAsia="zh-CN"/>
              </w:rPr>
              <w:t>27</w:t>
            </w:r>
          </w:p>
        </w:tc>
        <w:tc>
          <w:tcPr>
            <w:tcW w:w="1491" w:type="dxa"/>
            <w:vAlign w:val="center"/>
          </w:tcPr>
          <w:p w14:paraId="06AD5BE0">
            <w:pPr>
              <w:pStyle w:val="7"/>
              <w:jc w:val="center"/>
              <w:rPr>
                <w:rFonts w:hint="eastAsia"/>
                <w:sz w:val="24"/>
                <w:szCs w:val="32"/>
                <w:highlight w:val="none"/>
                <w:vertAlign w:val="baseline"/>
              </w:rPr>
            </w:pPr>
            <w:r>
              <w:rPr>
                <w:rFonts w:hint="default" w:eastAsiaTheme="minorEastAsia"/>
                <w:sz w:val="24"/>
                <w:szCs w:val="32"/>
                <w:highlight w:val="none"/>
                <w:vertAlign w:val="baseline"/>
                <w:lang w:val="en-US" w:eastAsia="zh-CN"/>
              </w:rPr>
              <w:t>3836952</w:t>
            </w:r>
            <w:r>
              <w:rPr>
                <w:rFonts w:hint="eastAsia"/>
                <w:sz w:val="24"/>
                <w:szCs w:val="32"/>
                <w:highlight w:val="none"/>
                <w:vertAlign w:val="baseline"/>
                <w:lang w:val="en-US" w:eastAsia="zh-CN"/>
              </w:rPr>
              <w:t>.</w:t>
            </w:r>
            <w:r>
              <w:rPr>
                <w:rFonts w:hint="default" w:eastAsiaTheme="minorEastAsia"/>
                <w:sz w:val="24"/>
                <w:szCs w:val="32"/>
                <w:highlight w:val="none"/>
                <w:vertAlign w:val="baseline"/>
                <w:lang w:val="en-US" w:eastAsia="zh-CN"/>
              </w:rPr>
              <w:t>27</w:t>
            </w:r>
          </w:p>
        </w:tc>
        <w:tc>
          <w:tcPr>
            <w:tcW w:w="1485" w:type="dxa"/>
            <w:vAlign w:val="center"/>
          </w:tcPr>
          <w:p w14:paraId="13B26A36">
            <w:pPr>
              <w:pStyle w:val="7"/>
              <w:jc w:val="center"/>
              <w:rPr>
                <w:rFonts w:hint="eastAsia" w:eastAsiaTheme="minorEastAsia"/>
                <w:highlight w:val="none"/>
                <w:vertAlign w:val="baseline"/>
                <w:lang w:eastAsia="zh-CN"/>
              </w:rPr>
            </w:pPr>
            <w:r>
              <w:rPr>
                <w:rFonts w:hint="eastAsia"/>
                <w:highlight w:val="none"/>
                <w:vertAlign w:val="baseline"/>
                <w:lang w:eastAsia="zh-CN"/>
              </w:rPr>
              <w:t>是</w:t>
            </w:r>
          </w:p>
        </w:tc>
      </w:tr>
    </w:tbl>
    <w:p w14:paraId="00ED3B55">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sz w:val="24"/>
          <w:szCs w:val="24"/>
          <w:highlight w:val="none"/>
        </w:rPr>
        <w:t>采购需求(包括目标、标准、数量、规格、服务要求、验收、标准等)：</w:t>
      </w:r>
    </w:p>
    <w:p w14:paraId="6D7228BA">
      <w:pPr>
        <w:spacing w:line="360" w:lineRule="auto"/>
        <w:ind w:firstLine="484" w:firstLineChars="20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5.1、项目</w:t>
      </w:r>
      <w:r>
        <w:rPr>
          <w:rFonts w:hint="eastAsia" w:ascii="宋体" w:hAnsi="宋体" w:eastAsia="宋体" w:cs="宋体"/>
          <w:color w:val="auto"/>
          <w:sz w:val="24"/>
          <w:szCs w:val="24"/>
          <w:highlight w:val="none"/>
        </w:rPr>
        <w:t>概况</w:t>
      </w:r>
      <w:r>
        <w:rPr>
          <w:rFonts w:hint="eastAsia" w:ascii="宋体" w:hAnsi="宋体" w:eastAsia="宋体" w:cs="宋体"/>
          <w:color w:val="auto"/>
          <w:sz w:val="24"/>
          <w:szCs w:val="24"/>
          <w:highlight w:val="none"/>
          <w:lang w:eastAsia="zh-CN"/>
        </w:rPr>
        <w:t>：本工程为灵宝市阳平镇政府专职消防队建设项目。</w:t>
      </w:r>
      <w:r>
        <w:rPr>
          <w:rFonts w:hint="eastAsia" w:ascii="宋体" w:hAnsi="宋体" w:eastAsia="宋体" w:cs="宋体"/>
          <w:color w:val="auto"/>
          <w:sz w:val="24"/>
          <w:szCs w:val="24"/>
          <w:highlight w:val="none"/>
          <w:lang w:val="en-US" w:eastAsia="zh-CN"/>
        </w:rPr>
        <w:t>工程主要内容主要内容为阳平镇消防站办公楼改造、新建门卫室、车库、室外工程等</w:t>
      </w:r>
      <w:r>
        <w:rPr>
          <w:rFonts w:hint="eastAsia" w:ascii="宋体" w:hAnsi="宋体" w:eastAsia="宋体" w:cs="宋体"/>
          <w:color w:val="auto"/>
          <w:sz w:val="24"/>
          <w:szCs w:val="24"/>
          <w:highlight w:val="none"/>
          <w:lang w:eastAsia="zh-CN"/>
        </w:rPr>
        <w:t>，具体内容详见工程量清单。</w:t>
      </w:r>
    </w:p>
    <w:p w14:paraId="63B6702D">
      <w:pPr>
        <w:spacing w:line="360" w:lineRule="auto"/>
        <w:ind w:firstLine="484" w:firstLineChars="202"/>
        <w:rPr>
          <w:rFonts w:hint="eastAsia" w:ascii="宋体" w:hAnsi="宋体" w:eastAsia="宋体"/>
          <w:sz w:val="24"/>
          <w:szCs w:val="24"/>
          <w:highlight w:val="none"/>
          <w:lang w:eastAsia="zh-CN"/>
        </w:rPr>
      </w:pPr>
      <w:r>
        <w:rPr>
          <w:rFonts w:hint="eastAsia" w:ascii="宋体" w:hAnsi="宋体" w:eastAsia="宋体" w:cs="宋体"/>
          <w:color w:val="auto"/>
          <w:sz w:val="24"/>
          <w:szCs w:val="24"/>
          <w:highlight w:val="none"/>
          <w:lang w:val="en-US" w:eastAsia="zh-CN"/>
        </w:rPr>
        <w:t>5.2、采购</w:t>
      </w:r>
      <w:r>
        <w:rPr>
          <w:rFonts w:hint="eastAsia" w:ascii="宋体" w:hAnsi="宋体" w:eastAsia="宋体" w:cs="宋体"/>
          <w:color w:val="auto"/>
          <w:sz w:val="24"/>
          <w:szCs w:val="24"/>
          <w:highlight w:val="none"/>
        </w:rPr>
        <w:t>范围：</w:t>
      </w:r>
      <w:r>
        <w:rPr>
          <w:rFonts w:hint="eastAsia" w:ascii="宋体" w:hAnsi="宋体" w:eastAsia="宋体"/>
          <w:sz w:val="24"/>
          <w:szCs w:val="24"/>
          <w:highlight w:val="none"/>
        </w:rPr>
        <w:t>本项目磋商文件、工程量清单、图纸等列明的所有内容</w:t>
      </w:r>
      <w:r>
        <w:rPr>
          <w:rFonts w:hint="eastAsia" w:ascii="宋体" w:hAnsi="宋体" w:eastAsia="宋体"/>
          <w:sz w:val="24"/>
          <w:szCs w:val="24"/>
          <w:highlight w:val="none"/>
          <w:lang w:eastAsia="zh-CN"/>
        </w:rPr>
        <w:t>；</w:t>
      </w:r>
    </w:p>
    <w:p w14:paraId="333903AC">
      <w:pPr>
        <w:spacing w:line="360" w:lineRule="auto"/>
        <w:ind w:firstLine="484" w:firstLineChars="20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5.3、资金来源：财政资金，已落实；</w:t>
      </w:r>
    </w:p>
    <w:p w14:paraId="1EF3F8E5">
      <w:pPr>
        <w:spacing w:line="360" w:lineRule="auto"/>
        <w:ind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5.4、项目</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eastAsia="zh-CN"/>
        </w:rPr>
        <w:t>采购人指定地点</w:t>
      </w:r>
      <w:r>
        <w:rPr>
          <w:rFonts w:hint="eastAsia" w:ascii="宋体" w:hAnsi="宋体" w:eastAsia="宋体" w:cs="宋体"/>
          <w:color w:val="auto"/>
          <w:sz w:val="24"/>
          <w:szCs w:val="24"/>
          <w:highlight w:val="none"/>
        </w:rPr>
        <w:t>；</w:t>
      </w:r>
    </w:p>
    <w:p w14:paraId="25152E20">
      <w:pPr>
        <w:spacing w:line="360" w:lineRule="auto"/>
        <w:ind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5.5、计划工期：240日历天；</w:t>
      </w:r>
    </w:p>
    <w:p w14:paraId="035BB634">
      <w:pPr>
        <w:spacing w:line="360" w:lineRule="auto"/>
        <w:ind w:firstLine="484" w:firstLineChars="20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5.6、质量标准：达到国家质量验收规范合格标准；</w:t>
      </w:r>
    </w:p>
    <w:p w14:paraId="291A4149">
      <w:pPr>
        <w:spacing w:line="360" w:lineRule="auto"/>
        <w:ind w:firstLine="480" w:firstLineChars="200"/>
        <w:rPr>
          <w:rFonts w:hint="eastAsia"/>
          <w:highlight w:val="none"/>
          <w:lang w:val="en-US" w:eastAsia="zh-CN"/>
        </w:rPr>
      </w:pPr>
      <w:r>
        <w:rPr>
          <w:rFonts w:hint="eastAsia" w:ascii="宋体" w:hAnsi="宋体" w:eastAsia="宋体"/>
          <w:sz w:val="24"/>
          <w:szCs w:val="24"/>
          <w:highlight w:val="none"/>
          <w:lang w:val="en-US" w:eastAsia="zh-CN"/>
        </w:rPr>
        <w:t>5.7、</w:t>
      </w:r>
      <w:r>
        <w:rPr>
          <w:rFonts w:hint="eastAsia" w:ascii="宋体" w:hAnsi="宋体" w:eastAsia="宋体"/>
          <w:sz w:val="24"/>
          <w:szCs w:val="24"/>
          <w:highlight w:val="none"/>
        </w:rPr>
        <w:t>安全目标：零事故</w:t>
      </w:r>
      <w:r>
        <w:rPr>
          <w:rFonts w:hint="eastAsia" w:ascii="宋体" w:hAnsi="宋体" w:eastAsia="宋体"/>
          <w:sz w:val="24"/>
          <w:szCs w:val="24"/>
          <w:highlight w:val="none"/>
          <w:lang w:eastAsia="zh-CN"/>
        </w:rPr>
        <w:t>。</w:t>
      </w:r>
    </w:p>
    <w:p w14:paraId="0E4819CD">
      <w:pPr>
        <w:spacing w:line="360" w:lineRule="auto"/>
        <w:ind w:firstLine="484" w:firstLineChars="20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标段划分：本项目</w:t>
      </w:r>
      <w:r>
        <w:rPr>
          <w:rFonts w:hint="eastAsia" w:ascii="宋体" w:hAnsi="宋体" w:eastAsia="宋体" w:cs="宋体"/>
          <w:color w:val="auto"/>
          <w:sz w:val="24"/>
          <w:szCs w:val="24"/>
          <w:highlight w:val="none"/>
          <w:lang w:val="en-US" w:eastAsia="zh-CN"/>
        </w:rPr>
        <w:t>不划分标段</w:t>
      </w:r>
      <w:r>
        <w:rPr>
          <w:rFonts w:hint="eastAsia" w:ascii="宋体" w:hAnsi="宋体" w:eastAsia="宋体" w:cs="宋体"/>
          <w:color w:val="auto"/>
          <w:sz w:val="24"/>
          <w:szCs w:val="24"/>
          <w:highlight w:val="none"/>
          <w:lang w:eastAsia="zh-CN"/>
        </w:rPr>
        <w:t>；</w:t>
      </w:r>
    </w:p>
    <w:p w14:paraId="78C87F7C">
      <w:pPr>
        <w:spacing w:line="360" w:lineRule="auto"/>
        <w:ind w:firstLine="484" w:firstLineChars="20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7、本项目是否接受联合体磋商：否；</w:t>
      </w:r>
    </w:p>
    <w:p w14:paraId="19ECF2BB">
      <w:pPr>
        <w:spacing w:line="360" w:lineRule="auto"/>
        <w:ind w:firstLine="484" w:firstLineChars="20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8、是否接受进口产品：否。</w:t>
      </w:r>
    </w:p>
    <w:p w14:paraId="7B9AD498">
      <w:pPr>
        <w:pStyle w:val="13"/>
        <w:spacing w:line="360" w:lineRule="auto"/>
        <w:ind w:left="0" w:leftChars="0" w:firstLine="480" w:firstLineChars="20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9、</w:t>
      </w:r>
      <w:r>
        <w:rPr>
          <w:rFonts w:hint="eastAsia" w:ascii="宋体" w:hAnsi="宋体" w:eastAsia="宋体"/>
          <w:sz w:val="24"/>
          <w:szCs w:val="24"/>
          <w:highlight w:val="none"/>
        </w:rPr>
        <w:t>是否专门面向中小企业：</w:t>
      </w:r>
      <w:r>
        <w:rPr>
          <w:rFonts w:hint="eastAsia" w:ascii="宋体" w:hAnsi="宋体" w:eastAsia="宋体"/>
          <w:sz w:val="24"/>
          <w:szCs w:val="24"/>
          <w:highlight w:val="none"/>
          <w:lang w:val="en-US" w:eastAsia="zh-CN"/>
        </w:rPr>
        <w:t>是</w:t>
      </w:r>
    </w:p>
    <w:p w14:paraId="6CCDF541">
      <w:pPr>
        <w:pStyle w:val="13"/>
        <w:spacing w:line="360" w:lineRule="auto"/>
        <w:ind w:left="0" w:leftChars="0"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rPr>
        <w:t>资格要求</w:t>
      </w:r>
    </w:p>
    <w:p w14:paraId="293E3199">
      <w:pPr>
        <w:spacing w:line="360" w:lineRule="auto"/>
        <w:ind w:firstLine="484" w:firstLineChars="202"/>
        <w:rPr>
          <w:rFonts w:hint="eastAsia" w:ascii="宋体" w:hAnsi="宋体" w:eastAsia="宋体" w:cs="宋体"/>
          <w:color w:val="auto"/>
          <w:sz w:val="24"/>
          <w:szCs w:val="24"/>
          <w:highlight w:val="none"/>
        </w:rPr>
      </w:pPr>
      <w:bookmarkStart w:id="5" w:name="_Toc4460"/>
      <w:bookmarkStart w:id="6" w:name="_Toc30420"/>
      <w:bookmarkStart w:id="7" w:name="_Toc1168"/>
      <w:bookmarkStart w:id="8" w:name="_Toc1160"/>
      <w:bookmarkStart w:id="9" w:name="_Toc528057036"/>
      <w:bookmarkStart w:id="10" w:name="_Toc528051171"/>
      <w:bookmarkStart w:id="11" w:name="_Toc20281"/>
      <w:bookmarkStart w:id="12" w:name="_Toc524622265"/>
      <w:bookmarkStart w:id="13" w:name="_Toc528051182"/>
      <w:bookmarkStart w:id="14" w:name="_Toc524622267"/>
      <w:bookmarkStart w:id="15" w:name="_Toc528057047"/>
      <w:r>
        <w:rPr>
          <w:rFonts w:hint="eastAsia" w:ascii="宋体" w:hAnsi="宋体" w:eastAsia="宋体" w:cs="宋体"/>
          <w:color w:val="auto"/>
          <w:sz w:val="24"/>
          <w:szCs w:val="24"/>
          <w:highlight w:val="none"/>
          <w:lang w:val="en-US" w:eastAsia="zh-CN"/>
        </w:rPr>
        <w:t>1、</w:t>
      </w:r>
      <w:r>
        <w:rPr>
          <w:rFonts w:ascii="宋体" w:hAnsi="宋体" w:eastAsia="宋体"/>
          <w:sz w:val="24"/>
          <w:szCs w:val="24"/>
          <w:highlight w:val="none"/>
        </w:rPr>
        <w:t>满足《中华人民共和国政府采购法》第二十二条规定</w:t>
      </w:r>
      <w:r>
        <w:rPr>
          <w:rFonts w:hint="eastAsia" w:ascii="宋体" w:hAnsi="宋体" w:eastAsia="宋体" w:cs="宋体"/>
          <w:color w:val="auto"/>
          <w:sz w:val="24"/>
          <w:szCs w:val="24"/>
          <w:highlight w:val="none"/>
          <w:lang w:val="en-US" w:eastAsia="zh-CN"/>
        </w:rPr>
        <w:t>；</w:t>
      </w:r>
    </w:p>
    <w:bookmarkEnd w:id="5"/>
    <w:bookmarkEnd w:id="6"/>
    <w:bookmarkEnd w:id="7"/>
    <w:bookmarkEnd w:id="8"/>
    <w:bookmarkEnd w:id="9"/>
    <w:bookmarkEnd w:id="10"/>
    <w:bookmarkEnd w:id="11"/>
    <w:p w14:paraId="30259F50">
      <w:pPr>
        <w:spacing w:line="360" w:lineRule="auto"/>
        <w:ind w:firstLine="484" w:firstLineChars="202"/>
        <w:rPr>
          <w:rFonts w:hint="default" w:eastAsia="宋体"/>
          <w:color w:val="auto"/>
          <w:highlight w:val="none"/>
          <w:lang w:val="en-US" w:eastAsia="zh-CN"/>
        </w:rPr>
      </w:pPr>
      <w:bookmarkStart w:id="16" w:name="_Toc28844"/>
      <w:bookmarkStart w:id="17" w:name="_Toc528057038"/>
      <w:bookmarkStart w:id="18" w:name="_Toc25061"/>
      <w:bookmarkStart w:id="19" w:name="_Toc528051172"/>
      <w:bookmarkStart w:id="20" w:name="_Toc5339"/>
      <w:bookmarkStart w:id="21" w:name="_Toc29172"/>
      <w:bookmarkStart w:id="22" w:name="_Toc23029"/>
      <w:bookmarkStart w:id="23" w:name="_Toc11085"/>
      <w:bookmarkStart w:id="24" w:name="_Toc528057037"/>
      <w:bookmarkStart w:id="25" w:name="_Toc15351"/>
      <w:bookmarkStart w:id="26" w:name="_Toc19525"/>
      <w:bookmarkStart w:id="27" w:name="_Toc528051173"/>
      <w:r>
        <w:rPr>
          <w:rFonts w:hint="eastAsia" w:ascii="宋体" w:hAnsi="宋体" w:eastAsia="宋体" w:cs="宋体"/>
          <w:color w:val="auto"/>
          <w:sz w:val="24"/>
          <w:szCs w:val="24"/>
          <w:highlight w:val="none"/>
          <w:lang w:val="en-US" w:eastAsia="zh-CN"/>
        </w:rPr>
        <w:t>2、落实政府采购政策满足的资格要求：落实政府采购政策满足的资格要求：根据《政府采购促进中小企业发展管理办法》（财库〔2020〕46号）规定，本项目专门面向中小企业采购,同时供应商须提供《中小企业声明函》；</w:t>
      </w:r>
    </w:p>
    <w:p w14:paraId="421B35BD">
      <w:pPr>
        <w:spacing w:line="360" w:lineRule="auto"/>
        <w:ind w:firstLine="480" w:firstLineChars="200"/>
        <w:rPr>
          <w:rFonts w:ascii="宋体" w:hAnsi="宋体" w:eastAsia="宋体"/>
          <w:sz w:val="24"/>
          <w:szCs w:val="24"/>
          <w:highlight w:val="none"/>
        </w:rPr>
      </w:pPr>
      <w:r>
        <w:rPr>
          <w:rFonts w:hint="eastAsia" w:ascii="宋体" w:hAnsi="宋体" w:eastAsia="宋体" w:cs="宋体"/>
          <w:color w:val="auto"/>
          <w:sz w:val="24"/>
          <w:szCs w:val="24"/>
          <w:highlight w:val="none"/>
          <w:lang w:val="en-US" w:eastAsia="zh-CN"/>
        </w:rPr>
        <w:t>3、</w:t>
      </w:r>
      <w:r>
        <w:rPr>
          <w:rFonts w:ascii="宋体" w:hAnsi="宋体" w:eastAsia="宋体"/>
          <w:sz w:val="24"/>
          <w:szCs w:val="24"/>
          <w:highlight w:val="none"/>
        </w:rPr>
        <w:t>本项目的特定资格要求</w:t>
      </w:r>
    </w:p>
    <w:p w14:paraId="518F7D9E">
      <w:pPr>
        <w:spacing w:line="360" w:lineRule="auto"/>
        <w:ind w:firstLine="480" w:firstLineChars="200"/>
        <w:rPr>
          <w:rFonts w:hint="eastAsia" w:ascii="宋体" w:hAnsi="宋体" w:eastAsia="宋体" w:cs="宋体"/>
          <w:color w:val="auto"/>
          <w:sz w:val="24"/>
          <w:szCs w:val="24"/>
          <w:highlight w:val="none"/>
          <w:lang w:val="en-US" w:eastAsia="zh-CN"/>
        </w:rPr>
      </w:pPr>
      <w:r>
        <w:rPr>
          <w:rFonts w:ascii="宋体" w:hAnsi="宋体" w:eastAsia="宋体"/>
          <w:sz w:val="24"/>
          <w:szCs w:val="24"/>
          <w:highlight w:val="none"/>
        </w:rPr>
        <w:t>3.1</w:t>
      </w:r>
      <w:r>
        <w:rPr>
          <w:rFonts w:hint="eastAsia" w:ascii="宋体" w:hAnsi="宋体" w:eastAsia="宋体"/>
          <w:sz w:val="24"/>
          <w:szCs w:val="24"/>
          <w:highlight w:val="none"/>
          <w:lang w:eastAsia="zh-CN"/>
        </w:rPr>
        <w:t>、</w:t>
      </w:r>
      <w:r>
        <w:rPr>
          <w:rFonts w:hint="eastAsia" w:ascii="宋体" w:hAnsi="宋体" w:eastAsia="宋体" w:cs="宋体"/>
          <w:color w:val="auto"/>
          <w:sz w:val="24"/>
          <w:szCs w:val="24"/>
          <w:highlight w:val="none"/>
          <w:lang w:val="en-US" w:eastAsia="zh-CN"/>
        </w:rPr>
        <w:t>供应商须</w:t>
      </w:r>
      <w:r>
        <w:rPr>
          <w:rFonts w:hint="eastAsia" w:ascii="宋体" w:hAnsi="宋体" w:eastAsia="宋体"/>
          <w:sz w:val="24"/>
          <w:szCs w:val="24"/>
          <w:highlight w:val="none"/>
        </w:rPr>
        <w:t>具有有效的营业执照；</w:t>
      </w:r>
    </w:p>
    <w:p w14:paraId="6AFF92A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3.2、供应商须具有建筑工程施工总承包叁级及以上资质，且具有有效的安全生产许可证；并在人员、设备、资金等方面具有相应的施工能力（提供承诺书或证明材料，承诺书格式自拟）；</w:t>
      </w:r>
    </w:p>
    <w:bookmarkEnd w:id="16"/>
    <w:bookmarkEnd w:id="17"/>
    <w:bookmarkEnd w:id="18"/>
    <w:bookmarkEnd w:id="19"/>
    <w:bookmarkEnd w:id="20"/>
    <w:bookmarkEnd w:id="21"/>
    <w:bookmarkEnd w:id="22"/>
    <w:bookmarkEnd w:id="23"/>
    <w:bookmarkEnd w:id="24"/>
    <w:bookmarkEnd w:id="25"/>
    <w:bookmarkEnd w:id="26"/>
    <w:bookmarkEnd w:id="27"/>
    <w:p w14:paraId="18450B37">
      <w:pPr>
        <w:spacing w:line="360" w:lineRule="auto"/>
        <w:ind w:firstLine="480" w:firstLineChars="200"/>
        <w:rPr>
          <w:rFonts w:hint="eastAsia" w:ascii="宋体" w:hAnsi="宋体" w:eastAsia="宋体" w:cs="宋体"/>
          <w:color w:val="auto"/>
          <w:sz w:val="24"/>
          <w:szCs w:val="24"/>
          <w:highlight w:val="none"/>
          <w:lang w:val="en-US" w:eastAsia="zh-CN"/>
        </w:rPr>
      </w:pPr>
      <w:bookmarkStart w:id="28" w:name="_Toc528051177"/>
      <w:bookmarkStart w:id="29" w:name="_Toc31847"/>
      <w:bookmarkStart w:id="30" w:name="_Toc21850"/>
      <w:bookmarkStart w:id="31" w:name="_Toc528057042"/>
      <w:bookmarkStart w:id="32" w:name="_Toc25787"/>
      <w:bookmarkStart w:id="33" w:name="_Toc18362"/>
      <w:bookmarkStart w:id="34" w:name="_Toc26141"/>
      <w:bookmarkStart w:id="35" w:name="_Toc27709"/>
      <w:bookmarkStart w:id="36" w:name="_Toc19362"/>
      <w:bookmarkStart w:id="37" w:name="_Toc2303"/>
      <w:r>
        <w:rPr>
          <w:rFonts w:hint="eastAsia" w:ascii="宋体" w:hAnsi="宋体" w:eastAsia="宋体" w:cs="宋体"/>
          <w:color w:val="auto"/>
          <w:sz w:val="24"/>
          <w:szCs w:val="24"/>
          <w:highlight w:val="none"/>
          <w:lang w:val="en-US" w:eastAsia="zh-CN"/>
        </w:rPr>
        <w:t>3.3、拟派项目经理须具备建筑工程专业贰级及以上注册建造师资格，并具有有效的安全生产考核合格证及单位的养老保险缴纳证明；且未在其他在建项目中担任项目经理，出具无在建承诺书，格式自拟；</w:t>
      </w:r>
    </w:p>
    <w:p w14:paraId="3B0ADA5B">
      <w:pPr>
        <w:spacing w:line="360" w:lineRule="auto"/>
        <w:ind w:firstLine="484" w:firstLineChars="20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3.4、供应商具有良好的商业信誉和健全的财务会计制度</w:t>
      </w:r>
      <w:r>
        <w:rPr>
          <w:rFonts w:hint="eastAsia" w:ascii="宋体" w:hAnsi="宋体" w:eastAsia="宋体" w:cs="宋体"/>
          <w:color w:val="000000"/>
          <w:sz w:val="24"/>
          <w:szCs w:val="24"/>
          <w:highlight w:val="none"/>
        </w:rPr>
        <w:t>(提供</w:t>
      </w:r>
      <w:r>
        <w:rPr>
          <w:rFonts w:hint="eastAsia" w:ascii="宋体" w:hAnsi="宋体" w:eastAsia="宋体" w:cs="宋体"/>
          <w:color w:val="000000"/>
          <w:sz w:val="24"/>
          <w:szCs w:val="24"/>
          <w:highlight w:val="none"/>
          <w:lang w:eastAsia="zh-CN"/>
        </w:rPr>
        <w:t>近三</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lang w:eastAsia="zh-CN"/>
        </w:rPr>
        <w:t>任意一年</w:t>
      </w:r>
      <w:r>
        <w:rPr>
          <w:rFonts w:hint="eastAsia" w:ascii="宋体" w:hAnsi="宋体" w:eastAsia="宋体" w:cs="宋体"/>
          <w:color w:val="000000"/>
          <w:sz w:val="24"/>
          <w:szCs w:val="24"/>
          <w:highlight w:val="none"/>
        </w:rPr>
        <w:t>的</w:t>
      </w:r>
      <w:r>
        <w:rPr>
          <w:rFonts w:hint="eastAsia" w:ascii="宋体" w:hAnsi="宋体" w:eastAsia="宋体" w:cs="宋体"/>
          <w:color w:val="000000"/>
          <w:sz w:val="24"/>
          <w:szCs w:val="24"/>
          <w:highlight w:val="none"/>
          <w:lang w:eastAsia="zh-CN"/>
        </w:rPr>
        <w:t>审计报告或</w:t>
      </w:r>
      <w:r>
        <w:rPr>
          <w:rFonts w:hint="eastAsia" w:ascii="宋体" w:hAnsi="宋体" w:eastAsia="宋体" w:cs="宋体"/>
          <w:color w:val="000000"/>
          <w:sz w:val="24"/>
          <w:szCs w:val="24"/>
          <w:highlight w:val="none"/>
        </w:rPr>
        <w:t>财务报告，不足一年，应提供注册期后至今的财务报表）</w:t>
      </w:r>
      <w:r>
        <w:rPr>
          <w:rFonts w:hint="eastAsia" w:ascii="宋体" w:hAnsi="宋体" w:eastAsia="宋体" w:cs="宋体"/>
          <w:color w:val="auto"/>
          <w:sz w:val="24"/>
          <w:szCs w:val="24"/>
          <w:highlight w:val="none"/>
          <w:lang w:val="en-US" w:eastAsia="zh-CN"/>
        </w:rPr>
        <w:t>；</w:t>
      </w:r>
    </w:p>
    <w:bookmarkEnd w:id="28"/>
    <w:bookmarkEnd w:id="29"/>
    <w:bookmarkEnd w:id="30"/>
    <w:bookmarkEnd w:id="31"/>
    <w:bookmarkEnd w:id="32"/>
    <w:bookmarkEnd w:id="33"/>
    <w:bookmarkEnd w:id="34"/>
    <w:bookmarkEnd w:id="35"/>
    <w:bookmarkEnd w:id="36"/>
    <w:bookmarkEnd w:id="37"/>
    <w:p w14:paraId="31F7DC84">
      <w:pPr>
        <w:spacing w:line="360" w:lineRule="auto"/>
        <w:ind w:firstLine="484" w:firstLineChars="20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000000"/>
          <w:sz w:val="24"/>
          <w:szCs w:val="24"/>
          <w:highlight w:val="none"/>
          <w:lang w:val="en-US" w:eastAsia="zh-CN"/>
        </w:rPr>
        <w:t>参加政府采购活动前3年内无行贿犯罪记录、商业贿赂、不正当竞争行为、骗取中标、严重违约及重大工程质量等问题（提供承诺书或证明材料，承诺书格式自拟）</w:t>
      </w:r>
      <w:r>
        <w:rPr>
          <w:rFonts w:hint="eastAsia" w:ascii="宋体" w:hAnsi="宋体" w:eastAsia="宋体" w:cs="宋体"/>
          <w:color w:val="auto"/>
          <w:sz w:val="24"/>
          <w:szCs w:val="24"/>
          <w:highlight w:val="none"/>
          <w:lang w:eastAsia="zh-CN"/>
        </w:rPr>
        <w:t>；</w:t>
      </w:r>
    </w:p>
    <w:p w14:paraId="60A6103C">
      <w:pPr>
        <w:pStyle w:val="13"/>
        <w:spacing w:line="360" w:lineRule="auto"/>
        <w:ind w:left="0" w:leftChars="0" w:firstLine="480" w:firstLineChars="200"/>
        <w:rPr>
          <w:rFonts w:hint="eastAsia" w:ascii="宋体" w:hAnsi="宋体" w:eastAsia="宋体" w:cs="宋体"/>
          <w:color w:val="auto"/>
          <w:kern w:val="0"/>
          <w:sz w:val="24"/>
          <w:szCs w:val="24"/>
          <w:highlight w:val="none"/>
          <w:lang w:val="en-US" w:eastAsia="zh-CN" w:bidi="ar-SA"/>
        </w:rPr>
      </w:pPr>
      <w:r>
        <w:rPr>
          <w:rFonts w:hint="eastAsia" w:eastAsia="宋体" w:cs="宋体"/>
          <w:color w:val="auto"/>
          <w:kern w:val="0"/>
          <w:sz w:val="24"/>
          <w:szCs w:val="24"/>
          <w:highlight w:val="none"/>
          <w:lang w:val="en-US" w:eastAsia="zh-CN" w:bidi="ar-SA"/>
        </w:rPr>
        <w:t>3.6、</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kern w:val="0"/>
          <w:sz w:val="24"/>
          <w:szCs w:val="24"/>
          <w:highlight w:val="none"/>
          <w:lang w:val="en-US" w:eastAsia="zh-CN" w:bidi="ar-SA"/>
        </w:rPr>
        <w:t>出具无行贿犯罪记录在中国裁判文书网自行查询或自行承诺（查询/承诺对象：企业、法定代表人），查询日期必须在本项目</w:t>
      </w:r>
      <w:r>
        <w:rPr>
          <w:rFonts w:hint="eastAsia" w:eastAsia="宋体" w:cs="宋体"/>
          <w:color w:val="auto"/>
          <w:kern w:val="0"/>
          <w:sz w:val="24"/>
          <w:szCs w:val="24"/>
          <w:highlight w:val="none"/>
          <w:lang w:val="en-US" w:eastAsia="zh-CN" w:bidi="ar-SA"/>
        </w:rPr>
        <w:t>磋商</w:t>
      </w:r>
      <w:r>
        <w:rPr>
          <w:rFonts w:hint="eastAsia" w:ascii="宋体" w:hAnsi="宋体" w:eastAsia="宋体" w:cs="宋体"/>
          <w:color w:val="auto"/>
          <w:kern w:val="0"/>
          <w:sz w:val="24"/>
          <w:szCs w:val="24"/>
          <w:highlight w:val="none"/>
          <w:lang w:val="en-US" w:eastAsia="zh-CN" w:bidi="ar-SA"/>
        </w:rPr>
        <w:t>公告发布之日后，查询截图需显示查询时间；</w:t>
      </w:r>
    </w:p>
    <w:p w14:paraId="720EAE88">
      <w:pPr>
        <w:spacing w:line="360" w:lineRule="auto"/>
        <w:ind w:firstLine="484" w:firstLineChars="202"/>
        <w:rPr>
          <w:rFonts w:hint="eastAsia" w:ascii="宋体" w:hAnsi="宋体" w:eastAsia="宋体" w:cs="宋体"/>
          <w:color w:val="auto"/>
          <w:sz w:val="24"/>
          <w:szCs w:val="24"/>
          <w:highlight w:val="none"/>
        </w:rPr>
      </w:pPr>
      <w:bookmarkStart w:id="38" w:name="_Toc16304"/>
      <w:bookmarkStart w:id="39" w:name="_Toc528057044"/>
      <w:bookmarkStart w:id="40" w:name="_Toc24426"/>
      <w:bookmarkStart w:id="41" w:name="_Toc16817"/>
      <w:bookmarkStart w:id="42" w:name="_Toc31941"/>
      <w:bookmarkStart w:id="43" w:name="_Toc528051179"/>
      <w:bookmarkStart w:id="44" w:name="_Toc8049"/>
      <w:bookmarkStart w:id="45" w:name="_Toc3725"/>
      <w:bookmarkStart w:id="46" w:name="_Toc17502"/>
      <w:bookmarkStart w:id="47" w:name="_Toc2196"/>
      <w:r>
        <w:rPr>
          <w:rFonts w:hint="eastAsia" w:ascii="宋体" w:hAnsi="宋体" w:eastAsia="宋体" w:cs="宋体"/>
          <w:color w:val="auto"/>
          <w:sz w:val="24"/>
          <w:szCs w:val="24"/>
          <w:highlight w:val="none"/>
          <w:lang w:val="en-US" w:eastAsia="zh-CN"/>
        </w:rPr>
        <w:t>3.7、信誉要求：根据《关于在政府采购活动中查询及使用信用记录有关问题的通知》(财库[2016]125号)和豫财购【2016】15号的规定，企业没有被列入“中国执行信息公开网”网站的“失信被执行人”、“信用中国”网站的“重大税收违法失信主体”及“中国政府采购网”网站的“政府采购严重违法失信行为记录名单”，查询渠道： “中国执行信息公开网”网站（http://zxgk.court.gov.cn/shixin）“信用中国”网站（www.creditchina.gov.cn）、中国政府采购网（www.ccgp.gov.cn），采购人或招标代理机构将在开标后通过以上网站进行查询，信用信息查询记录和证据将同采购文件等资料一同归档保存（相关网站有最新规定的，按最新规定执行）</w:t>
      </w:r>
      <w:r>
        <w:rPr>
          <w:rFonts w:hint="eastAsia" w:ascii="宋体" w:hAnsi="宋体" w:eastAsia="宋体" w:cs="宋体"/>
          <w:color w:val="auto"/>
          <w:sz w:val="24"/>
          <w:szCs w:val="24"/>
          <w:highlight w:val="none"/>
        </w:rPr>
        <w:t>；</w:t>
      </w:r>
    </w:p>
    <w:p w14:paraId="27C7BB60">
      <w:pPr>
        <w:keepNext w:val="0"/>
        <w:keepLines w:val="0"/>
        <w:pageBreakBefore w:val="0"/>
        <w:widowControl w:val="0"/>
        <w:kinsoku/>
        <w:overflowPunct/>
        <w:topLinePunct w:val="0"/>
        <w:autoSpaceDE/>
        <w:autoSpaceDN/>
        <w:bidi w:val="0"/>
        <w:adjustRightInd/>
        <w:snapToGrid/>
        <w:spacing w:line="360" w:lineRule="auto"/>
        <w:ind w:firstLine="480" w:firstLineChars="200"/>
        <w:textAlignment w:val="auto"/>
        <w:rPr>
          <w:rFonts w:hint="eastAsia" w:eastAsia="宋体"/>
          <w:highlight w:val="none"/>
          <w:lang w:val="en-US" w:eastAsia="zh-CN"/>
        </w:rPr>
      </w:pPr>
      <w:r>
        <w:rPr>
          <w:rFonts w:hint="eastAsia" w:ascii="宋体" w:hAnsi="宋体" w:eastAsia="宋体" w:cs="宋体"/>
          <w:color w:val="auto"/>
          <w:sz w:val="24"/>
          <w:szCs w:val="24"/>
          <w:highlight w:val="none"/>
          <w:lang w:val="en-US" w:eastAsia="zh-CN"/>
        </w:rPr>
        <w:t>3.8、</w:t>
      </w:r>
      <w:r>
        <w:rPr>
          <w:rFonts w:hint="eastAsia" w:cs="Times New Roman" w:asciiTheme="minorEastAsia" w:hAnsiTheme="minorEastAsia" w:eastAsiaTheme="minorEastAsia"/>
          <w:color w:val="auto"/>
          <w:sz w:val="24"/>
          <w:szCs w:val="24"/>
          <w:highlight w:val="none"/>
          <w:lang w:val="en-US" w:eastAsia="zh-CN"/>
        </w:rPr>
        <w:t>单位负责人为同一人或者存在直接控股、管理关系的不同供应商，不得同时参加同一项目的</w:t>
      </w:r>
      <w:r>
        <w:rPr>
          <w:rFonts w:hint="eastAsia" w:cs="Times New Roman" w:asciiTheme="minorEastAsia" w:hAnsiTheme="minorEastAsia"/>
          <w:color w:val="auto"/>
          <w:sz w:val="24"/>
          <w:szCs w:val="24"/>
          <w:highlight w:val="none"/>
          <w:lang w:val="en-US" w:eastAsia="zh-CN"/>
        </w:rPr>
        <w:t>磋商</w:t>
      </w:r>
      <w:r>
        <w:rPr>
          <w:rFonts w:hint="eastAsia" w:cs="Times New Roman" w:asciiTheme="minorEastAsia" w:hAnsiTheme="minorEastAsia" w:eastAsiaTheme="minorEastAsia"/>
          <w:color w:val="auto"/>
          <w:sz w:val="24"/>
          <w:szCs w:val="24"/>
          <w:highlight w:val="none"/>
          <w:lang w:val="en-US" w:eastAsia="zh-CN"/>
        </w:rPr>
        <w:t>（提供“国家企业信用信息公示系统”中公示的公司基础信息、股东或投资人信息，査询时间须是</w:t>
      </w:r>
      <w:r>
        <w:rPr>
          <w:rFonts w:hint="eastAsia" w:cs="Times New Roman" w:asciiTheme="minorEastAsia" w:hAnsiTheme="minorEastAsia"/>
          <w:color w:val="auto"/>
          <w:sz w:val="24"/>
          <w:szCs w:val="24"/>
          <w:highlight w:val="none"/>
          <w:lang w:val="en-US" w:eastAsia="zh-CN"/>
        </w:rPr>
        <w:t>磋商</w:t>
      </w:r>
      <w:r>
        <w:rPr>
          <w:rFonts w:hint="eastAsia" w:cs="Times New Roman" w:asciiTheme="minorEastAsia" w:hAnsiTheme="minorEastAsia" w:eastAsiaTheme="minorEastAsia"/>
          <w:color w:val="auto"/>
          <w:sz w:val="24"/>
          <w:szCs w:val="24"/>
          <w:highlight w:val="none"/>
          <w:lang w:val="en-US" w:eastAsia="zh-CN"/>
        </w:rPr>
        <w:t xml:space="preserve">公告发布以后开标时间以前，查询结果清晰可见）； </w:t>
      </w:r>
    </w:p>
    <w:bookmarkEnd w:id="12"/>
    <w:bookmarkEnd w:id="13"/>
    <w:bookmarkEnd w:id="14"/>
    <w:bookmarkEnd w:id="15"/>
    <w:bookmarkEnd w:id="38"/>
    <w:bookmarkEnd w:id="39"/>
    <w:bookmarkEnd w:id="40"/>
    <w:bookmarkEnd w:id="41"/>
    <w:bookmarkEnd w:id="42"/>
    <w:bookmarkEnd w:id="43"/>
    <w:bookmarkEnd w:id="44"/>
    <w:bookmarkEnd w:id="45"/>
    <w:bookmarkEnd w:id="46"/>
    <w:bookmarkEnd w:id="47"/>
    <w:p w14:paraId="1DF7F168">
      <w:pPr>
        <w:spacing w:line="360" w:lineRule="auto"/>
        <w:ind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本项目不接受联合体</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（提供非联合体</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承诺书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格式自拟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2405F764">
      <w:pPr>
        <w:widowControl/>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kern w:val="0"/>
          <w:sz w:val="24"/>
          <w:szCs w:val="28"/>
          <w:highlight w:val="none"/>
          <w:lang w:val="en-US" w:eastAsia="zh-CN"/>
        </w:rPr>
        <w:t>注：</w:t>
      </w:r>
      <w:r>
        <w:rPr>
          <w:rFonts w:hint="eastAsia" w:ascii="宋体" w:hAnsi="宋体" w:cs="宋体"/>
          <w:kern w:val="0"/>
          <w:sz w:val="24"/>
          <w:szCs w:val="28"/>
          <w:highlight w:val="none"/>
        </w:rPr>
        <w:t>本次</w:t>
      </w:r>
      <w:r>
        <w:rPr>
          <w:rFonts w:hint="eastAsia" w:ascii="宋体" w:hAnsi="宋体" w:cs="宋体"/>
          <w:kern w:val="0"/>
          <w:sz w:val="24"/>
          <w:szCs w:val="28"/>
          <w:highlight w:val="none"/>
          <w:lang w:val="en-US" w:eastAsia="zh-CN"/>
        </w:rPr>
        <w:t>磋商</w:t>
      </w:r>
      <w:r>
        <w:rPr>
          <w:rFonts w:hint="eastAsia" w:ascii="宋体" w:hAnsi="宋体" w:cs="宋体"/>
          <w:kern w:val="0"/>
          <w:sz w:val="24"/>
          <w:szCs w:val="28"/>
          <w:highlight w:val="none"/>
        </w:rPr>
        <w:t>实行资格后审，资格审查的具体要求见</w:t>
      </w:r>
      <w:r>
        <w:rPr>
          <w:rFonts w:hint="eastAsia" w:ascii="宋体" w:hAnsi="宋体" w:cs="宋体"/>
          <w:kern w:val="0"/>
          <w:sz w:val="24"/>
          <w:szCs w:val="28"/>
          <w:highlight w:val="none"/>
          <w:lang w:val="en-US" w:eastAsia="zh-CN"/>
        </w:rPr>
        <w:t>磋商</w:t>
      </w:r>
      <w:r>
        <w:rPr>
          <w:rFonts w:hint="eastAsia" w:ascii="宋体" w:hAnsi="宋体" w:cs="宋体"/>
          <w:kern w:val="0"/>
          <w:sz w:val="24"/>
          <w:szCs w:val="28"/>
          <w:highlight w:val="none"/>
        </w:rPr>
        <w:t>文件</w:t>
      </w:r>
      <w:r>
        <w:rPr>
          <w:rFonts w:hint="eastAsia" w:ascii="宋体" w:hAnsi="宋体" w:cs="宋体"/>
          <w:kern w:val="0"/>
          <w:sz w:val="24"/>
          <w:szCs w:val="28"/>
          <w:highlight w:val="none"/>
          <w:lang w:eastAsia="zh-CN"/>
        </w:rPr>
        <w:t>。</w:t>
      </w:r>
      <w:r>
        <w:rPr>
          <w:rFonts w:hint="eastAsia" w:ascii="宋体" w:hAnsi="宋体" w:eastAsia="宋体" w:cs="宋体"/>
          <w:color w:val="auto"/>
          <w:sz w:val="24"/>
          <w:szCs w:val="24"/>
          <w:highlight w:val="none"/>
        </w:rPr>
        <w:t xml:space="preserve">                                                    </w:t>
      </w:r>
    </w:p>
    <w:p w14:paraId="6B91CC01">
      <w:pPr>
        <w:spacing w:line="360" w:lineRule="auto"/>
        <w:ind w:firstLine="482" w:firstLineChars="200"/>
        <w:rPr>
          <w:rFonts w:ascii="宋体" w:hAnsi="宋体" w:cs="Times New Roman"/>
          <w:b/>
          <w:sz w:val="24"/>
          <w:szCs w:val="24"/>
          <w:highlight w:val="none"/>
        </w:rPr>
      </w:pPr>
      <w:bookmarkStart w:id="48" w:name="_Toc20887"/>
      <w:bookmarkStart w:id="49" w:name="_Toc518840739"/>
      <w:bookmarkStart w:id="50" w:name="_Toc513818619"/>
      <w:bookmarkStart w:id="51" w:name="_Toc518840700"/>
      <w:r>
        <w:rPr>
          <w:rFonts w:hint="eastAsia" w:ascii="宋体" w:hAnsi="宋体" w:cs="Times New Roman"/>
          <w:b/>
          <w:sz w:val="24"/>
          <w:szCs w:val="24"/>
          <w:highlight w:val="none"/>
          <w:lang w:val="en-US" w:eastAsia="zh-CN"/>
        </w:rPr>
        <w:t>三、采购</w:t>
      </w:r>
      <w:r>
        <w:rPr>
          <w:rFonts w:ascii="宋体" w:hAnsi="宋体" w:cs="Times New Roman"/>
          <w:b/>
          <w:sz w:val="24"/>
          <w:szCs w:val="24"/>
          <w:highlight w:val="none"/>
        </w:rPr>
        <w:t>文件的获取</w:t>
      </w:r>
    </w:p>
    <w:p w14:paraId="6462CAE8">
      <w:pPr>
        <w:spacing w:line="360" w:lineRule="auto"/>
        <w:ind w:firstLine="480" w:firstLineChars="200"/>
        <w:rPr>
          <w:rFonts w:hint="eastAsia" w:ascii="宋体" w:hAnsi="宋体" w:eastAsia="宋体" w:cs="宋体"/>
          <w:sz w:val="24"/>
          <w:szCs w:val="24"/>
          <w:highlight w:val="none"/>
          <w:lang w:eastAsia="zh-CN"/>
        </w:rPr>
      </w:pPr>
      <w:bookmarkStart w:id="52" w:name="_Toc247513938"/>
      <w:bookmarkStart w:id="53" w:name="_Toc144974484"/>
      <w:bookmarkStart w:id="54" w:name="_Toc152045516"/>
      <w:bookmarkStart w:id="55" w:name="_Toc247527539"/>
      <w:bookmarkStart w:id="56" w:name="_Toc152042292"/>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时间：202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27</w:t>
      </w:r>
      <w:r>
        <w:rPr>
          <w:rFonts w:hint="eastAsia" w:ascii="宋体" w:hAnsi="宋体" w:eastAsia="宋体" w:cs="宋体"/>
          <w:sz w:val="24"/>
          <w:szCs w:val="24"/>
          <w:highlight w:val="none"/>
        </w:rPr>
        <w:t>日至202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09</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北京时间</w:t>
      </w:r>
      <w:r>
        <w:rPr>
          <w:rFonts w:hint="eastAsia" w:ascii="宋体" w:hAnsi="宋体" w:eastAsia="宋体" w:cs="宋体"/>
          <w:sz w:val="24"/>
          <w:szCs w:val="24"/>
          <w:highlight w:val="none"/>
          <w:lang w:eastAsia="zh-CN"/>
        </w:rPr>
        <w:t>）</w:t>
      </w:r>
    </w:p>
    <w:p w14:paraId="090FF3C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地点：三门峡市公共资源交易平台（网址：http://gzjy.smx.gov.cn/）</w:t>
      </w:r>
    </w:p>
    <w:p w14:paraId="59378F15">
      <w:pPr>
        <w:spacing w:line="360" w:lineRule="auto"/>
        <w:ind w:firstLine="480" w:firstLineChars="200"/>
        <w:rPr>
          <w:rFonts w:hint="eastAsia" w:ascii="宋体" w:hAnsi="宋体" w:eastAsia="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方式：</w:t>
      </w:r>
      <w:r>
        <w:rPr>
          <w:rFonts w:hint="eastAsia" w:ascii="宋体" w:hAnsi="宋体" w:eastAsia="宋体"/>
          <w:sz w:val="24"/>
          <w:szCs w:val="24"/>
          <w:highlight w:val="none"/>
        </w:rPr>
        <w:t>方式：供应商凭CA数字证书通过三门峡市公共资源交易中心网（网址：http://gzjy.smx.gov.cn），点击交易平台选择“交易主体登录”，在所参与项目右侧点击参与投标，即可直接下载本项目竞争性磋商文件。</w:t>
      </w:r>
    </w:p>
    <w:p w14:paraId="385B9152">
      <w:pPr>
        <w:spacing w:line="360" w:lineRule="auto"/>
        <w:ind w:firstLine="480" w:firstLineChars="200"/>
        <w:rPr>
          <w:rFonts w:ascii="宋体" w:hAnsi="宋体" w:cs="宋体"/>
          <w:sz w:val="24"/>
          <w:szCs w:val="24"/>
          <w:highlight w:val="none"/>
        </w:rPr>
      </w:pPr>
      <w:r>
        <w:rPr>
          <w:rFonts w:hint="eastAsia" w:ascii="宋体" w:hAnsi="宋体" w:eastAsia="宋体"/>
          <w:sz w:val="24"/>
          <w:szCs w:val="24"/>
          <w:highlight w:val="none"/>
        </w:rPr>
        <w:t>三门峡市公共资源交易平台操作手册</w:t>
      </w:r>
      <w:r>
        <w:rPr>
          <w:rFonts w:hint="eastAsia" w:ascii="宋体" w:hAnsi="宋体" w:cs="宋体"/>
          <w:sz w:val="24"/>
          <w:szCs w:val="24"/>
          <w:highlight w:val="none"/>
        </w:rPr>
        <w:t>：</w:t>
      </w:r>
    </w:p>
    <w:p w14:paraId="4908B9A2">
      <w:pPr>
        <w:spacing w:line="360" w:lineRule="auto"/>
        <w:ind w:firstLine="480" w:firstLineChars="200"/>
        <w:rPr>
          <w:rFonts w:ascii="宋体" w:hAnsi="宋体" w:cs="宋体"/>
          <w:color w:val="000000"/>
          <w:sz w:val="24"/>
          <w:szCs w:val="24"/>
          <w:highlight w:val="none"/>
          <w:u w:val="none"/>
        </w:rPr>
      </w:pPr>
      <w:r>
        <w:rPr>
          <w:color w:val="000000"/>
          <w:sz w:val="24"/>
          <w:szCs w:val="24"/>
          <w:highlight w:val="none"/>
          <w:u w:val="none"/>
        </w:rPr>
        <w:fldChar w:fldCharType="begin"/>
      </w:r>
      <w:r>
        <w:rPr>
          <w:color w:val="000000"/>
          <w:sz w:val="24"/>
          <w:szCs w:val="24"/>
          <w:highlight w:val="none"/>
          <w:u w:val="none"/>
        </w:rPr>
        <w:instrText xml:space="preserve"> HYPERLINK "http://gzjy.smx.gov.cn/fwzn/004003/20200325/b13aa3fa-a543-403f-b537-82cb417132bd.html" </w:instrText>
      </w:r>
      <w:r>
        <w:rPr>
          <w:color w:val="000000"/>
          <w:sz w:val="24"/>
          <w:szCs w:val="24"/>
          <w:highlight w:val="none"/>
          <w:u w:val="none"/>
        </w:rPr>
        <w:fldChar w:fldCharType="separate"/>
      </w:r>
      <w:r>
        <w:rPr>
          <w:rFonts w:hint="eastAsia" w:ascii="宋体" w:hAnsi="宋体" w:cs="宋体"/>
          <w:color w:val="000000"/>
          <w:sz w:val="24"/>
          <w:szCs w:val="24"/>
          <w:highlight w:val="none"/>
          <w:u w:val="none"/>
        </w:rPr>
        <w:t>http://gzjy.smx.gov.cn/fwzn/004003/20200325/b13aa3fa-a543-403f-b537-82cb417132bd.html</w:t>
      </w:r>
      <w:r>
        <w:rPr>
          <w:rFonts w:hint="eastAsia" w:ascii="宋体" w:hAnsi="宋体" w:cs="宋体"/>
          <w:color w:val="000000"/>
          <w:sz w:val="24"/>
          <w:szCs w:val="24"/>
          <w:highlight w:val="none"/>
          <w:u w:val="none"/>
        </w:rPr>
        <w:fldChar w:fldCharType="end"/>
      </w:r>
    </w:p>
    <w:p w14:paraId="4BF34B1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办理CA证书：</w:t>
      </w:r>
    </w:p>
    <w:p w14:paraId="0CB6EE93">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http://gzjy.smx.gov.cn/bzzx/008001/20231102/4defc9b5-408e-47f2-9e9f-1f376a06ee1f.html</w:t>
      </w:r>
    </w:p>
    <w:p w14:paraId="155E62C4">
      <w:pPr>
        <w:pStyle w:val="7"/>
        <w:ind w:firstLine="480" w:firstLineChars="200"/>
        <w:rPr>
          <w:rFonts w:hint="eastAsia" w:eastAsiaTheme="minorEastAsia"/>
          <w:highlight w:val="none"/>
          <w:lang w:val="en-US" w:eastAsia="zh-CN"/>
        </w:rPr>
      </w:pPr>
      <w:r>
        <w:rPr>
          <w:rFonts w:hint="eastAsia" w:ascii="宋体" w:hAnsi="宋体" w:cs="宋体"/>
          <w:sz w:val="24"/>
          <w:szCs w:val="24"/>
          <w:highlight w:val="none"/>
          <w:lang w:val="en-US" w:eastAsia="zh-CN"/>
        </w:rPr>
        <w:t>4、</w:t>
      </w:r>
      <w:r>
        <w:rPr>
          <w:rFonts w:hint="eastAsia" w:ascii="宋体" w:hAnsi="宋体"/>
          <w:color w:val="auto"/>
          <w:sz w:val="24"/>
          <w:szCs w:val="24"/>
          <w:highlight w:val="none"/>
        </w:rPr>
        <w:t>售价：0元</w:t>
      </w:r>
    </w:p>
    <w:p w14:paraId="35FFDCB3">
      <w:pPr>
        <w:spacing w:line="360" w:lineRule="auto"/>
        <w:ind w:firstLine="569" w:firstLineChars="236"/>
        <w:rPr>
          <w:rFonts w:ascii="宋体" w:hAnsi="宋体" w:eastAsia="宋体"/>
          <w:sz w:val="24"/>
          <w:szCs w:val="24"/>
          <w:highlight w:val="none"/>
        </w:rPr>
      </w:pPr>
      <w:r>
        <w:rPr>
          <w:rFonts w:hint="eastAsia" w:ascii="宋体" w:hAnsi="宋体" w:cs="Times New Roman"/>
          <w:b/>
          <w:sz w:val="24"/>
          <w:szCs w:val="24"/>
          <w:highlight w:val="none"/>
          <w:lang w:val="en-US" w:eastAsia="zh-CN"/>
        </w:rPr>
        <w:t>四</w:t>
      </w:r>
      <w:r>
        <w:rPr>
          <w:rFonts w:ascii="宋体" w:hAnsi="宋体" w:cs="Times New Roman"/>
          <w:b/>
          <w:sz w:val="24"/>
          <w:szCs w:val="24"/>
          <w:highlight w:val="none"/>
        </w:rPr>
        <w:t>、</w:t>
      </w:r>
      <w:r>
        <w:rPr>
          <w:rFonts w:hint="eastAsia" w:ascii="宋体" w:hAnsi="宋体" w:eastAsia="宋体"/>
          <w:b/>
          <w:bCs/>
          <w:sz w:val="24"/>
          <w:szCs w:val="24"/>
          <w:highlight w:val="none"/>
        </w:rPr>
        <w:t>响应文件提交截止时间及地点</w:t>
      </w:r>
    </w:p>
    <w:p w14:paraId="3031E6B6">
      <w:pPr>
        <w:spacing w:line="360" w:lineRule="auto"/>
        <w:ind w:firstLine="566" w:firstLineChars="236"/>
        <w:rPr>
          <w:rFonts w:ascii="宋体" w:hAnsi="宋体" w:eastAsia="宋体"/>
          <w:sz w:val="24"/>
          <w:szCs w:val="24"/>
          <w:highlight w:val="none"/>
        </w:rPr>
      </w:pPr>
      <w:r>
        <w:rPr>
          <w:rFonts w:hint="eastAsia" w:ascii="宋体" w:hAnsi="宋体" w:eastAsia="宋体"/>
          <w:sz w:val="24"/>
          <w:szCs w:val="24"/>
          <w:highlight w:val="none"/>
        </w:rPr>
        <w:t>1.时间：2026年</w:t>
      </w:r>
      <w:r>
        <w:rPr>
          <w:rFonts w:hint="eastAsia" w:ascii="宋体" w:hAnsi="宋体" w:eastAsia="宋体"/>
          <w:sz w:val="24"/>
          <w:szCs w:val="24"/>
          <w:highlight w:val="none"/>
          <w:lang w:val="en-US" w:eastAsia="zh-CN"/>
        </w:rPr>
        <w:t>9</w:t>
      </w:r>
      <w:r>
        <w:rPr>
          <w:rFonts w:hint="eastAsia" w:ascii="宋体" w:hAnsi="宋体" w:eastAsia="宋体"/>
          <w:sz w:val="24"/>
          <w:szCs w:val="24"/>
          <w:highlight w:val="none"/>
        </w:rPr>
        <w:t>月</w:t>
      </w:r>
      <w:r>
        <w:rPr>
          <w:rFonts w:hint="eastAsia" w:ascii="宋体" w:hAnsi="宋体" w:eastAsia="宋体"/>
          <w:sz w:val="24"/>
          <w:szCs w:val="24"/>
          <w:highlight w:val="none"/>
          <w:lang w:val="en-US" w:eastAsia="zh-CN"/>
        </w:rPr>
        <w:t>9</w:t>
      </w:r>
      <w:r>
        <w:rPr>
          <w:rFonts w:hint="eastAsia" w:ascii="宋体" w:hAnsi="宋体" w:eastAsia="宋体"/>
          <w:sz w:val="24"/>
          <w:szCs w:val="24"/>
          <w:highlight w:val="none"/>
        </w:rPr>
        <w:t>日</w:t>
      </w:r>
      <w:r>
        <w:rPr>
          <w:rFonts w:hint="eastAsia" w:ascii="宋体" w:hAnsi="宋体" w:eastAsia="宋体"/>
          <w:sz w:val="24"/>
          <w:szCs w:val="24"/>
          <w:highlight w:val="none"/>
          <w:lang w:val="en-US" w:eastAsia="zh-CN"/>
        </w:rPr>
        <w:t>09</w:t>
      </w:r>
      <w:r>
        <w:rPr>
          <w:rFonts w:hint="eastAsia" w:ascii="宋体" w:hAnsi="宋体" w:eastAsia="宋体"/>
          <w:sz w:val="24"/>
          <w:szCs w:val="24"/>
          <w:highlight w:val="none"/>
        </w:rPr>
        <w:t>时</w:t>
      </w:r>
      <w:r>
        <w:rPr>
          <w:rFonts w:hint="eastAsia" w:ascii="宋体" w:hAnsi="宋体" w:eastAsia="宋体"/>
          <w:sz w:val="24"/>
          <w:szCs w:val="24"/>
          <w:highlight w:val="none"/>
          <w:lang w:val="en-US" w:eastAsia="zh-CN"/>
        </w:rPr>
        <w:t>0</w:t>
      </w:r>
      <w:r>
        <w:rPr>
          <w:rFonts w:hint="eastAsia" w:ascii="宋体" w:hAnsi="宋体" w:eastAsia="宋体"/>
          <w:sz w:val="24"/>
          <w:szCs w:val="24"/>
          <w:highlight w:val="none"/>
        </w:rPr>
        <w:t>0分。</w:t>
      </w:r>
    </w:p>
    <w:p w14:paraId="224E5D98">
      <w:pPr>
        <w:spacing w:line="360" w:lineRule="auto"/>
        <w:ind w:firstLine="566" w:firstLineChars="236"/>
        <w:rPr>
          <w:rFonts w:ascii="宋体" w:hAnsi="宋体" w:cs="Times New Roman"/>
          <w:b/>
          <w:sz w:val="24"/>
          <w:szCs w:val="24"/>
          <w:highlight w:val="none"/>
        </w:rPr>
      </w:pPr>
      <w:r>
        <w:rPr>
          <w:rFonts w:hint="eastAsia" w:ascii="宋体" w:hAnsi="宋体" w:eastAsia="宋体"/>
          <w:sz w:val="24"/>
          <w:szCs w:val="24"/>
          <w:highlight w:val="none"/>
        </w:rPr>
        <w:t>2.地点：加密电子竞争性磋商响应文件须在磋商截止时间前通过三门峡市公共资源交易中心电子交易平台加密上传。</w:t>
      </w:r>
    </w:p>
    <w:p w14:paraId="5F36D3E8">
      <w:pPr>
        <w:spacing w:line="360" w:lineRule="auto"/>
        <w:ind w:firstLine="569" w:firstLineChars="236"/>
        <w:rPr>
          <w:rFonts w:ascii="宋体" w:hAnsi="宋体" w:eastAsia="宋体"/>
          <w:b/>
          <w:bCs/>
          <w:sz w:val="24"/>
          <w:szCs w:val="24"/>
          <w:highlight w:val="none"/>
        </w:rPr>
      </w:pPr>
      <w:r>
        <w:rPr>
          <w:rFonts w:hint="eastAsia" w:ascii="宋体" w:hAnsi="宋体" w:eastAsia="宋体"/>
          <w:b/>
          <w:bCs/>
          <w:sz w:val="24"/>
          <w:szCs w:val="24"/>
          <w:highlight w:val="none"/>
        </w:rPr>
        <w:t>五、响应文件开启时间及地点</w:t>
      </w:r>
    </w:p>
    <w:p w14:paraId="2584A7F6">
      <w:pPr>
        <w:spacing w:line="360" w:lineRule="auto"/>
        <w:ind w:firstLine="566" w:firstLineChars="236"/>
        <w:rPr>
          <w:rFonts w:ascii="宋体" w:hAnsi="宋体" w:eastAsia="宋体"/>
          <w:sz w:val="24"/>
          <w:szCs w:val="24"/>
          <w:highlight w:val="none"/>
        </w:rPr>
      </w:pPr>
      <w:r>
        <w:rPr>
          <w:rFonts w:hint="eastAsia" w:ascii="宋体" w:hAnsi="宋体" w:eastAsia="宋体"/>
          <w:sz w:val="24"/>
          <w:szCs w:val="24"/>
          <w:highlight w:val="none"/>
        </w:rPr>
        <w:t>1.时间：2026年</w:t>
      </w:r>
      <w:r>
        <w:rPr>
          <w:rFonts w:hint="eastAsia" w:ascii="宋体" w:hAnsi="宋体" w:eastAsia="宋体"/>
          <w:sz w:val="24"/>
          <w:szCs w:val="24"/>
          <w:highlight w:val="none"/>
          <w:lang w:val="en-US" w:eastAsia="zh-CN"/>
        </w:rPr>
        <w:t>9</w:t>
      </w:r>
      <w:r>
        <w:rPr>
          <w:rFonts w:hint="eastAsia" w:ascii="宋体" w:hAnsi="宋体" w:eastAsia="宋体"/>
          <w:sz w:val="24"/>
          <w:szCs w:val="24"/>
          <w:highlight w:val="none"/>
        </w:rPr>
        <w:t>月</w:t>
      </w:r>
      <w:r>
        <w:rPr>
          <w:rFonts w:hint="eastAsia" w:ascii="宋体" w:hAnsi="宋体" w:eastAsia="宋体"/>
          <w:sz w:val="24"/>
          <w:szCs w:val="24"/>
          <w:highlight w:val="none"/>
          <w:lang w:val="en-US" w:eastAsia="zh-CN"/>
        </w:rPr>
        <w:t>9</w:t>
      </w:r>
      <w:r>
        <w:rPr>
          <w:rFonts w:hint="eastAsia" w:ascii="宋体" w:hAnsi="宋体" w:eastAsia="宋体"/>
          <w:sz w:val="24"/>
          <w:szCs w:val="24"/>
          <w:highlight w:val="none"/>
        </w:rPr>
        <w:t>日</w:t>
      </w:r>
      <w:r>
        <w:rPr>
          <w:rFonts w:hint="eastAsia" w:ascii="宋体" w:hAnsi="宋体" w:eastAsia="宋体"/>
          <w:sz w:val="24"/>
          <w:szCs w:val="24"/>
          <w:highlight w:val="none"/>
          <w:lang w:val="en-US" w:eastAsia="zh-CN"/>
        </w:rPr>
        <w:t>09</w:t>
      </w:r>
      <w:r>
        <w:rPr>
          <w:rFonts w:hint="eastAsia" w:ascii="宋体" w:hAnsi="宋体" w:eastAsia="宋体"/>
          <w:sz w:val="24"/>
          <w:szCs w:val="24"/>
          <w:highlight w:val="none"/>
        </w:rPr>
        <w:t>时</w:t>
      </w:r>
      <w:r>
        <w:rPr>
          <w:rFonts w:hint="eastAsia" w:ascii="宋体" w:hAnsi="宋体" w:eastAsia="宋体"/>
          <w:sz w:val="24"/>
          <w:szCs w:val="24"/>
          <w:highlight w:val="none"/>
          <w:lang w:val="en-US" w:eastAsia="zh-CN"/>
        </w:rPr>
        <w:t>0</w:t>
      </w:r>
      <w:r>
        <w:rPr>
          <w:rFonts w:hint="eastAsia" w:ascii="宋体" w:hAnsi="宋体" w:eastAsia="宋体"/>
          <w:sz w:val="24"/>
          <w:szCs w:val="24"/>
          <w:highlight w:val="none"/>
        </w:rPr>
        <w:t>0分。</w:t>
      </w:r>
    </w:p>
    <w:p w14:paraId="6B3AADCA">
      <w:pPr>
        <w:pStyle w:val="36"/>
        <w:numPr>
          <w:ilvl w:val="0"/>
          <w:numId w:val="0"/>
        </w:numPr>
        <w:shd w:val="clear" w:fill="auto"/>
        <w:tabs>
          <w:tab w:val="left" w:pos="1006"/>
        </w:tabs>
        <w:autoSpaceDE/>
        <w:autoSpaceDN/>
        <w:adjustRightInd w:val="0"/>
        <w:snapToGrid w:val="0"/>
        <w:spacing w:line="360" w:lineRule="auto"/>
        <w:ind w:firstLine="480" w:firstLineChars="200"/>
        <w:jc w:val="both"/>
        <w:rPr>
          <w:rFonts w:hint="default" w:cs="宋体"/>
          <w:color w:val="auto"/>
          <w:sz w:val="24"/>
          <w:szCs w:val="24"/>
          <w:highlight w:val="none"/>
          <w:shd w:val="clear" w:color="auto" w:fill="auto"/>
          <w:lang w:val="en-US" w:eastAsia="zh-CN" w:bidi="ar-SA"/>
        </w:rPr>
      </w:pPr>
      <w:r>
        <w:rPr>
          <w:rFonts w:hint="eastAsia" w:ascii="宋体" w:hAnsi="宋体" w:eastAsia="宋体"/>
          <w:sz w:val="24"/>
          <w:szCs w:val="24"/>
          <w:highlight w:val="none"/>
        </w:rPr>
        <w:t>2.地点：</w:t>
      </w:r>
      <w:r>
        <w:rPr>
          <w:rFonts w:hint="eastAsia" w:ascii="宋体" w:hAnsi="宋体" w:cs="宋体"/>
          <w:sz w:val="24"/>
          <w:szCs w:val="24"/>
          <w:highlight w:val="none"/>
          <w:lang w:val="en-US" w:eastAsia="zh-CN"/>
        </w:rPr>
        <w:t>灵宝市公共资源交易中心开标</w:t>
      </w:r>
      <w:r>
        <w:rPr>
          <w:rFonts w:hint="eastAsia" w:cs="宋体"/>
          <w:sz w:val="24"/>
          <w:szCs w:val="24"/>
          <w:highlight w:val="none"/>
          <w:lang w:val="en-US" w:eastAsia="zh-CN"/>
        </w:rPr>
        <w:t>二</w:t>
      </w:r>
      <w:r>
        <w:rPr>
          <w:rFonts w:hint="eastAsia" w:ascii="宋体" w:hAnsi="宋体" w:cs="宋体"/>
          <w:sz w:val="24"/>
          <w:szCs w:val="24"/>
          <w:highlight w:val="none"/>
          <w:lang w:val="en-US" w:eastAsia="zh-CN"/>
        </w:rPr>
        <w:t>室、评标</w:t>
      </w:r>
      <w:r>
        <w:rPr>
          <w:rFonts w:hint="eastAsia" w:cs="宋体"/>
          <w:sz w:val="24"/>
          <w:szCs w:val="24"/>
          <w:highlight w:val="none"/>
          <w:lang w:val="en-US" w:eastAsia="zh-CN"/>
        </w:rPr>
        <w:t>二</w:t>
      </w:r>
      <w:r>
        <w:rPr>
          <w:rFonts w:hint="eastAsia" w:ascii="宋体" w:hAnsi="宋体" w:cs="宋体"/>
          <w:sz w:val="24"/>
          <w:szCs w:val="24"/>
          <w:highlight w:val="none"/>
          <w:lang w:val="en-US" w:eastAsia="zh-CN"/>
        </w:rPr>
        <w:t>室（灵宝市信用合作联社12楼）</w:t>
      </w:r>
      <w:r>
        <w:rPr>
          <w:rFonts w:hint="eastAsia" w:cs="宋体"/>
          <w:sz w:val="24"/>
          <w:szCs w:val="24"/>
          <w:highlight w:val="none"/>
          <w:lang w:val="en-US" w:eastAsia="zh-CN"/>
        </w:rPr>
        <w:t>。</w:t>
      </w:r>
    </w:p>
    <w:p w14:paraId="4B9B46CB">
      <w:pPr>
        <w:spacing w:line="360" w:lineRule="auto"/>
        <w:ind w:firstLine="569" w:firstLineChars="236"/>
        <w:rPr>
          <w:rFonts w:ascii="宋体" w:hAnsi="宋体" w:eastAsia="宋体"/>
          <w:b/>
          <w:bCs/>
          <w:sz w:val="24"/>
          <w:szCs w:val="24"/>
          <w:highlight w:val="none"/>
        </w:rPr>
      </w:pPr>
      <w:r>
        <w:rPr>
          <w:rFonts w:hint="eastAsia" w:ascii="宋体" w:hAnsi="宋体" w:eastAsia="宋体"/>
          <w:b/>
          <w:bCs/>
          <w:sz w:val="24"/>
          <w:szCs w:val="24"/>
          <w:highlight w:val="none"/>
        </w:rPr>
        <w:t>六、发布公告的媒介</w:t>
      </w:r>
    </w:p>
    <w:p w14:paraId="3FE4079F">
      <w:pPr>
        <w:spacing w:line="360" w:lineRule="auto"/>
        <w:ind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本次公告同时在《河南省政府采购网》、《三门峡市公共资源交易中心网》、《中国招标投标公共服务平台》发布。</w:t>
      </w:r>
    </w:p>
    <w:p w14:paraId="3DC74709">
      <w:pPr>
        <w:spacing w:line="360" w:lineRule="auto"/>
        <w:ind w:firstLine="487" w:firstLineChars="202"/>
        <w:rPr>
          <w:rFonts w:ascii="宋体" w:hAnsi="宋体" w:eastAsia="宋体"/>
          <w:b/>
          <w:bCs/>
          <w:sz w:val="24"/>
          <w:szCs w:val="24"/>
          <w:highlight w:val="none"/>
        </w:rPr>
      </w:pPr>
      <w:r>
        <w:rPr>
          <w:rFonts w:ascii="宋体" w:hAnsi="宋体" w:eastAsia="宋体"/>
          <w:b/>
          <w:bCs/>
          <w:sz w:val="24"/>
          <w:szCs w:val="24"/>
          <w:highlight w:val="none"/>
        </w:rPr>
        <w:t>七、其他补充事宜</w:t>
      </w:r>
    </w:p>
    <w:p w14:paraId="799A5D5B">
      <w:pPr>
        <w:spacing w:line="360" w:lineRule="auto"/>
        <w:ind w:firstLine="484" w:firstLineChars="202"/>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本项目为不见面开标项目，开标当日，供应商无需到开标现场参加开标会议，供应商应当在</w:t>
      </w:r>
      <w:r>
        <w:rPr>
          <w:rFonts w:hint="eastAsia" w:ascii="宋体" w:hAnsi="宋体" w:eastAsia="宋体"/>
          <w:sz w:val="24"/>
          <w:szCs w:val="24"/>
          <w:highlight w:val="none"/>
          <w:lang w:val="en-US" w:eastAsia="zh-CN"/>
        </w:rPr>
        <w:t>磋商</w:t>
      </w:r>
      <w:r>
        <w:rPr>
          <w:rFonts w:hint="eastAsia" w:ascii="宋体" w:hAnsi="宋体" w:eastAsia="宋体"/>
          <w:sz w:val="24"/>
          <w:szCs w:val="24"/>
          <w:highlight w:val="none"/>
        </w:rPr>
        <w:t>截止时间前，登陆不见面开标大厅选择登陆三门峡市公共资源电子招投标系统进行登陆（网址为</w:t>
      </w:r>
    </w:p>
    <w:p w14:paraId="1F5ED959">
      <w:pPr>
        <w:spacing w:line="360" w:lineRule="auto"/>
        <w:ind w:firstLine="484" w:firstLineChars="202"/>
        <w:rPr>
          <w:rFonts w:ascii="宋体" w:hAnsi="宋体" w:eastAsia="宋体"/>
          <w:sz w:val="24"/>
          <w:szCs w:val="24"/>
          <w:highlight w:val="none"/>
        </w:rPr>
      </w:pPr>
      <w:r>
        <w:rPr>
          <w:rFonts w:hint="eastAsia" w:ascii="宋体" w:hAnsi="宋体" w:eastAsia="宋体"/>
          <w:sz w:val="24"/>
          <w:szCs w:val="24"/>
          <w:highlight w:val="none"/>
        </w:rPr>
        <w:fldChar w:fldCharType="begin"/>
      </w:r>
      <w:r>
        <w:rPr>
          <w:rFonts w:hint="eastAsia" w:ascii="宋体" w:hAnsi="宋体" w:eastAsia="宋体"/>
          <w:sz w:val="24"/>
          <w:szCs w:val="24"/>
          <w:highlight w:val="none"/>
        </w:rPr>
        <w:instrText xml:space="preserve"> HYPERLINK "http://120.194.249.36:10094/BidOpening/bidopeninghallaction/hall/login）,在线准时参加开标活动并进行响应文件解密等。每位供应商的解密时间为开标时间起30分钟内完成。因供应商原因未能解密、解密失败或解密超时的将被拒绝。" </w:instrText>
      </w:r>
      <w:r>
        <w:rPr>
          <w:rFonts w:hint="eastAsia" w:ascii="宋体" w:hAnsi="宋体" w:eastAsia="宋体"/>
          <w:sz w:val="24"/>
          <w:szCs w:val="24"/>
          <w:highlight w:val="none"/>
        </w:rPr>
        <w:fldChar w:fldCharType="separate"/>
      </w:r>
      <w:r>
        <w:rPr>
          <w:rFonts w:hint="eastAsia" w:ascii="宋体" w:hAnsi="宋体" w:eastAsia="宋体"/>
          <w:sz w:val="24"/>
          <w:szCs w:val="24"/>
          <w:highlight w:val="none"/>
        </w:rPr>
        <w:t>http://120.194.249.36:10094/BidOpening/bidopeninghallaction/hall/login）,在线准时参加开标活动并进行响应文件解密等。每位供应商的解密时间为开标时间起30分钟内完成。因供应商原因未能解密、解密失败或解密超时的将被拒绝。</w:t>
      </w:r>
      <w:r>
        <w:rPr>
          <w:rFonts w:hint="eastAsia" w:ascii="宋体" w:hAnsi="宋体" w:eastAsia="宋体"/>
          <w:sz w:val="24"/>
          <w:szCs w:val="24"/>
          <w:highlight w:val="none"/>
        </w:rPr>
        <w:fldChar w:fldCharType="end"/>
      </w:r>
    </w:p>
    <w:p w14:paraId="6B6F2098">
      <w:pPr>
        <w:spacing w:line="360" w:lineRule="auto"/>
        <w:ind w:firstLine="484" w:firstLineChars="202"/>
        <w:rPr>
          <w:rFonts w:ascii="宋体" w:hAnsi="宋体" w:eastAsia="宋体"/>
          <w:sz w:val="24"/>
          <w:szCs w:val="24"/>
          <w:highlight w:val="none"/>
        </w:rPr>
      </w:pPr>
      <w:r>
        <w:rPr>
          <w:rFonts w:ascii="宋体" w:hAnsi="宋体" w:eastAsia="宋体"/>
          <w:sz w:val="24"/>
          <w:szCs w:val="24"/>
          <w:highlight w:val="none"/>
        </w:rPr>
        <w:t>2.本项目为电子化、无纸化交易项目，开标时不再接受任何纸质资料，为保证</w:t>
      </w:r>
      <w:r>
        <w:rPr>
          <w:rFonts w:hint="eastAsia" w:ascii="宋体" w:hAnsi="宋体" w:eastAsia="宋体"/>
          <w:sz w:val="24"/>
          <w:szCs w:val="24"/>
          <w:highlight w:val="none"/>
        </w:rPr>
        <w:t>您能</w:t>
      </w:r>
      <w:r>
        <w:rPr>
          <w:rFonts w:hint="eastAsia" w:ascii="宋体" w:hAnsi="宋体" w:eastAsia="宋体"/>
          <w:sz w:val="24"/>
          <w:szCs w:val="24"/>
          <w:highlight w:val="none"/>
          <w:lang w:val="en-US" w:eastAsia="zh-CN"/>
        </w:rPr>
        <w:t>磋商</w:t>
      </w:r>
      <w:r>
        <w:rPr>
          <w:rFonts w:hint="eastAsia" w:ascii="宋体" w:hAnsi="宋体" w:eastAsia="宋体"/>
          <w:sz w:val="24"/>
          <w:szCs w:val="24"/>
          <w:highlight w:val="none"/>
        </w:rPr>
        <w:t>成功，请需仔细阅读</w:t>
      </w:r>
      <w:r>
        <w:rPr>
          <w:rFonts w:hint="eastAsia" w:ascii="宋体" w:hAnsi="宋体" w:eastAsia="宋体"/>
          <w:sz w:val="24"/>
          <w:szCs w:val="24"/>
          <w:highlight w:val="none"/>
          <w:lang w:val="en-US" w:eastAsia="zh-CN"/>
        </w:rPr>
        <w:t>磋商</w:t>
      </w:r>
      <w:r>
        <w:rPr>
          <w:rFonts w:hint="eastAsia" w:ascii="宋体" w:hAnsi="宋体" w:eastAsia="宋体"/>
          <w:sz w:val="24"/>
          <w:szCs w:val="24"/>
          <w:highlight w:val="none"/>
        </w:rPr>
        <w:t>文件和三门峡市公共资源交易中心官网业务办理指南。</w:t>
      </w:r>
    </w:p>
    <w:p w14:paraId="0D1D5A7E">
      <w:pPr>
        <w:spacing w:line="360" w:lineRule="auto"/>
        <w:ind w:firstLine="484" w:firstLineChars="202"/>
        <w:rPr>
          <w:rFonts w:ascii="宋体" w:hAnsi="宋体" w:eastAsia="宋体"/>
          <w:sz w:val="24"/>
          <w:szCs w:val="24"/>
        </w:rPr>
      </w:pPr>
      <w:r>
        <w:rPr>
          <w:rFonts w:ascii="宋体" w:hAnsi="宋体" w:eastAsia="宋体"/>
          <w:sz w:val="24"/>
          <w:szCs w:val="24"/>
          <w:highlight w:val="none"/>
        </w:rPr>
        <w:t>3</w:t>
      </w:r>
      <w:r>
        <w:rPr>
          <w:rFonts w:hint="eastAsia" w:ascii="宋体" w:hAnsi="宋体" w:eastAsia="宋体"/>
          <w:sz w:val="24"/>
          <w:szCs w:val="24"/>
          <w:highlight w:val="none"/>
        </w:rPr>
        <w:t>.根据《河南省财政厅关于优化政府采购营</w:t>
      </w:r>
      <w:r>
        <w:rPr>
          <w:rFonts w:hint="eastAsia" w:ascii="宋体" w:hAnsi="宋体" w:eastAsia="宋体"/>
          <w:sz w:val="24"/>
          <w:szCs w:val="24"/>
        </w:rPr>
        <w:t>商环境有关问题的通知》（豫财购【2019】4号）第6条的规定，</w:t>
      </w:r>
      <w:r>
        <w:rPr>
          <w:rFonts w:hint="eastAsia" w:ascii="宋体" w:hAnsi="宋体" w:eastAsia="宋体"/>
          <w:sz w:val="24"/>
          <w:szCs w:val="24"/>
          <w:lang w:val="en-US" w:eastAsia="zh-CN"/>
        </w:rPr>
        <w:t>磋商</w:t>
      </w:r>
      <w:r>
        <w:rPr>
          <w:rFonts w:hint="eastAsia" w:ascii="宋体" w:hAnsi="宋体" w:eastAsia="宋体"/>
          <w:sz w:val="24"/>
          <w:szCs w:val="24"/>
        </w:rPr>
        <w:t>保证金不再收取。</w:t>
      </w:r>
    </w:p>
    <w:p w14:paraId="4684C939">
      <w:pPr>
        <w:spacing w:line="360" w:lineRule="auto"/>
        <w:ind w:firstLine="484" w:firstLineChars="202"/>
        <w:rPr>
          <w:rFonts w:ascii="宋体" w:hAnsi="宋体" w:eastAsia="宋体"/>
          <w:sz w:val="24"/>
          <w:szCs w:val="24"/>
        </w:rPr>
      </w:pPr>
      <w:r>
        <w:rPr>
          <w:rFonts w:ascii="宋体" w:hAnsi="宋体" w:eastAsia="宋体"/>
          <w:sz w:val="24"/>
          <w:szCs w:val="24"/>
        </w:rPr>
        <w:t>4</w:t>
      </w:r>
      <w:r>
        <w:rPr>
          <w:rFonts w:hint="eastAsia" w:ascii="宋体" w:hAnsi="宋体" w:eastAsia="宋体"/>
          <w:sz w:val="24"/>
          <w:szCs w:val="24"/>
        </w:rPr>
        <w:t>.资格评审部分：资格评审以响应文件为准，其上传资料真实性由供应商自行承担，同时，供应商应在开标前自行完善主体库信息。</w:t>
      </w:r>
    </w:p>
    <w:p w14:paraId="27E70904">
      <w:pPr>
        <w:spacing w:line="360" w:lineRule="auto"/>
        <w:ind w:firstLine="484" w:firstLineChars="202"/>
        <w:rPr>
          <w:rFonts w:ascii="宋体" w:hAnsi="宋体" w:eastAsia="宋体"/>
          <w:sz w:val="24"/>
          <w:szCs w:val="24"/>
        </w:rPr>
      </w:pPr>
      <w:r>
        <w:rPr>
          <w:rFonts w:hint="eastAsia" w:ascii="宋体" w:hAnsi="宋体" w:eastAsia="宋体"/>
          <w:sz w:val="24"/>
          <w:szCs w:val="24"/>
        </w:rPr>
        <w:t>5.评标打分部分：评标打分部分按照100分制原则进行，涉及到资格审查、人员业绩、企业业绩等计分部分时，以供应商自行上传到响应文件中的各类相应内容为准。</w:t>
      </w:r>
    </w:p>
    <w:p w14:paraId="10F086F8">
      <w:pPr>
        <w:spacing w:line="360" w:lineRule="auto"/>
        <w:ind w:firstLine="484" w:firstLineChars="202"/>
        <w:rPr>
          <w:rFonts w:ascii="宋体" w:hAnsi="宋体" w:eastAsia="宋体"/>
          <w:sz w:val="24"/>
          <w:szCs w:val="24"/>
        </w:rPr>
      </w:pPr>
      <w:r>
        <w:rPr>
          <w:rFonts w:ascii="宋体" w:hAnsi="宋体" w:eastAsia="宋体"/>
          <w:sz w:val="24"/>
          <w:szCs w:val="24"/>
        </w:rPr>
        <w:t>6.</w:t>
      </w:r>
      <w:r>
        <w:rPr>
          <w:rFonts w:hint="eastAsia" w:ascii="宋体" w:hAnsi="宋体" w:eastAsia="宋体"/>
          <w:sz w:val="24"/>
          <w:szCs w:val="24"/>
        </w:rPr>
        <w:t>响应文件编制部分：在磋商文件中要求供应商按照响应文件格式进行响应文件编制，在响应文件编制时，应明确将供应商企业基本情况、资质情况、人员情况、财务情况、业绩情况编入响应文件，便于进行资格审查及评标打分。</w:t>
      </w:r>
    </w:p>
    <w:p w14:paraId="6243AA29">
      <w:pPr>
        <w:spacing w:line="360" w:lineRule="auto"/>
        <w:ind w:firstLine="484" w:firstLineChars="202"/>
        <w:rPr>
          <w:rFonts w:ascii="宋体" w:hAnsi="宋体" w:eastAsia="宋体"/>
          <w:sz w:val="24"/>
          <w:szCs w:val="24"/>
        </w:rPr>
      </w:pPr>
      <w:r>
        <w:rPr>
          <w:rFonts w:ascii="宋体" w:hAnsi="宋体" w:eastAsia="宋体"/>
          <w:sz w:val="24"/>
          <w:szCs w:val="24"/>
        </w:rPr>
        <w:t>7</w:t>
      </w:r>
      <w:r>
        <w:rPr>
          <w:rFonts w:hint="eastAsia" w:ascii="宋体" w:hAnsi="宋体" w:eastAsia="宋体"/>
          <w:sz w:val="24"/>
          <w:szCs w:val="24"/>
        </w:rPr>
        <w:t>.我单位（采购人）严格按三财购【2021】9号文要求的时限发布成交结果公告，发出成交通知书，签订采购合同，上传采购合同。</w:t>
      </w:r>
    </w:p>
    <w:bookmarkEnd w:id="48"/>
    <w:bookmarkEnd w:id="49"/>
    <w:bookmarkEnd w:id="50"/>
    <w:bookmarkEnd w:id="51"/>
    <w:bookmarkEnd w:id="52"/>
    <w:bookmarkEnd w:id="53"/>
    <w:bookmarkEnd w:id="54"/>
    <w:bookmarkEnd w:id="55"/>
    <w:bookmarkEnd w:id="56"/>
    <w:p w14:paraId="33D7621B">
      <w:pPr>
        <w:spacing w:line="360" w:lineRule="auto"/>
        <w:rPr>
          <w:rFonts w:ascii="宋体" w:hAnsi="宋体" w:eastAsia="宋体"/>
          <w:b/>
          <w:bCs/>
          <w:sz w:val="24"/>
          <w:szCs w:val="24"/>
        </w:rPr>
      </w:pPr>
      <w:r>
        <w:rPr>
          <w:rFonts w:hint="eastAsia" w:ascii="宋体" w:hAnsi="宋体" w:eastAsia="宋体"/>
          <w:b/>
          <w:bCs/>
          <w:sz w:val="24"/>
          <w:szCs w:val="24"/>
        </w:rPr>
        <w:t>八、凡对本次</w:t>
      </w:r>
      <w:r>
        <w:rPr>
          <w:rFonts w:hint="eastAsia" w:ascii="宋体" w:hAnsi="宋体" w:eastAsia="宋体"/>
          <w:b/>
          <w:bCs/>
          <w:sz w:val="24"/>
          <w:szCs w:val="24"/>
          <w:lang w:val="en-US" w:eastAsia="zh-CN"/>
        </w:rPr>
        <w:t>采购</w:t>
      </w:r>
      <w:r>
        <w:rPr>
          <w:rFonts w:hint="eastAsia" w:ascii="宋体" w:hAnsi="宋体" w:eastAsia="宋体"/>
          <w:b/>
          <w:bCs/>
          <w:sz w:val="24"/>
          <w:szCs w:val="24"/>
        </w:rPr>
        <w:t>提出询问，请按照以下方式联系</w:t>
      </w:r>
    </w:p>
    <w:p w14:paraId="41F64EF9">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highlight w:val="none"/>
          <w:lang w:val="en-US" w:eastAsia="zh-CN"/>
        </w:rPr>
        <w:t>监督部门：灵宝市财政局政府采购监督管理科</w:t>
      </w:r>
    </w:p>
    <w:p w14:paraId="5D5D0C4D">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联系电话：0398-8852670</w:t>
      </w:r>
    </w:p>
    <w:p w14:paraId="3D2620C8">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2、采购人：灵宝市消防救援大队</w:t>
      </w:r>
    </w:p>
    <w:p w14:paraId="7690046E">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地址：河南省灵宝市北区崇德路与天宝路交叉口东南角</w:t>
      </w:r>
    </w:p>
    <w:p w14:paraId="26BF1CED">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联系人：程先生</w:t>
      </w:r>
    </w:p>
    <w:p w14:paraId="329ACAA1">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联系方式：15939815436</w:t>
      </w:r>
    </w:p>
    <w:p w14:paraId="048EEFD6">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采购代理机构：</w:t>
      </w:r>
      <w:r>
        <w:rPr>
          <w:rFonts w:hint="eastAsia" w:ascii="宋体" w:hAnsi="宋体" w:eastAsia="宋体" w:cs="宋体"/>
          <w:color w:val="auto"/>
          <w:sz w:val="24"/>
          <w:szCs w:val="24"/>
          <w:lang w:val="en-US" w:eastAsia="zh-CN"/>
        </w:rPr>
        <w:t>河南邦兴工程服务有限公司</w:t>
      </w:r>
    </w:p>
    <w:p w14:paraId="67D8AA93">
      <w:pPr>
        <w:spacing w:line="360" w:lineRule="auto"/>
        <w:ind w:firstLine="484" w:firstLineChars="202"/>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联系人：</w:t>
      </w:r>
      <w:r>
        <w:rPr>
          <w:rFonts w:hint="eastAsia" w:ascii="宋体" w:hAnsi="宋体" w:eastAsia="宋体" w:cs="宋体"/>
          <w:color w:val="auto"/>
          <w:sz w:val="24"/>
          <w:szCs w:val="24"/>
          <w:lang w:val="en-US" w:eastAsia="zh-CN"/>
        </w:rPr>
        <w:t>李女士</w:t>
      </w:r>
    </w:p>
    <w:p w14:paraId="6BC40EA2">
      <w:pPr>
        <w:spacing w:line="360" w:lineRule="auto"/>
        <w:ind w:firstLine="484" w:firstLineChars="20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电  话：</w:t>
      </w:r>
      <w:r>
        <w:rPr>
          <w:rFonts w:hint="eastAsia" w:ascii="宋体" w:hAnsi="宋体" w:eastAsia="宋体" w:cs="宋体"/>
          <w:color w:val="auto"/>
          <w:sz w:val="24"/>
          <w:szCs w:val="24"/>
          <w:lang w:val="en-US" w:eastAsia="zh-CN"/>
        </w:rPr>
        <w:t>18530360709</w:t>
      </w:r>
    </w:p>
    <w:p w14:paraId="2515BF9C">
      <w:pPr>
        <w:spacing w:line="360" w:lineRule="auto"/>
        <w:ind w:firstLine="484" w:firstLineChars="202"/>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 </w:t>
      </w:r>
      <w:r>
        <w:rPr>
          <w:rFonts w:hint="eastAsia" w:ascii="宋体" w:hAnsi="宋体" w:eastAsia="宋体" w:cs="宋体"/>
          <w:color w:val="auto"/>
          <w:sz w:val="24"/>
          <w:szCs w:val="24"/>
          <w:lang w:val="en-US" w:eastAsia="zh-CN"/>
        </w:rPr>
        <w:t>河南省郑州市高新技术产业开发区翠竹街1号23幢3层01号</w:t>
      </w:r>
    </w:p>
    <w:p w14:paraId="39407C98">
      <w:pPr>
        <w:spacing w:line="360" w:lineRule="auto"/>
        <w:ind w:firstLine="484" w:firstLineChars="202"/>
        <w:rPr>
          <w:rFonts w:hint="default"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4、项目联系人</w:t>
      </w:r>
    </w:p>
    <w:p w14:paraId="347B3570">
      <w:pPr>
        <w:spacing w:line="360" w:lineRule="auto"/>
        <w:ind w:firstLine="484" w:firstLineChars="202"/>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联系人：李女士</w:t>
      </w:r>
    </w:p>
    <w:p w14:paraId="7B9D17F5">
      <w:pPr>
        <w:spacing w:line="360" w:lineRule="auto"/>
        <w:ind w:firstLine="484" w:firstLineChars="202"/>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联系方式：18530360709</w:t>
      </w:r>
    </w:p>
    <w:p w14:paraId="7987E22B">
      <w:pPr>
        <w:pStyle w:val="2"/>
        <w:bidi w:val="0"/>
        <w:jc w:val="center"/>
        <w:rPr>
          <w:rFonts w:hint="eastAsia"/>
        </w:rPr>
      </w:pPr>
      <w:bookmarkStart w:id="57" w:name="_Toc16776"/>
      <w:bookmarkStart w:id="58" w:name="_Toc12163"/>
      <w:bookmarkStart w:id="59" w:name="_Toc12906"/>
      <w:bookmarkStart w:id="60" w:name="_Toc18194"/>
      <w:bookmarkStart w:id="61" w:name="_Toc11140"/>
      <w:bookmarkStart w:id="62" w:name="_Toc30124"/>
    </w:p>
    <w:p w14:paraId="582E6B03">
      <w:pPr>
        <w:rPr>
          <w:rFonts w:hint="eastAsia"/>
        </w:rPr>
      </w:pPr>
    </w:p>
    <w:p w14:paraId="20599829">
      <w:pPr>
        <w:rPr>
          <w:rFonts w:hint="eastAsia"/>
        </w:rPr>
      </w:pPr>
    </w:p>
    <w:p w14:paraId="6EBD2E06">
      <w:pPr>
        <w:rPr>
          <w:rFonts w:hint="eastAsia"/>
        </w:rPr>
      </w:pPr>
    </w:p>
    <w:p w14:paraId="0B457B20">
      <w:pPr>
        <w:rPr>
          <w:rFonts w:hint="eastAsia"/>
        </w:rPr>
      </w:pPr>
    </w:p>
    <w:p w14:paraId="2AEEF8D4">
      <w:pPr>
        <w:rPr>
          <w:rFonts w:hint="eastAsia"/>
        </w:rPr>
      </w:pPr>
    </w:p>
    <w:p w14:paraId="7D7F2913">
      <w:pPr>
        <w:rPr>
          <w:rFonts w:hint="eastAsia"/>
        </w:rPr>
      </w:pPr>
    </w:p>
    <w:p w14:paraId="473865BA">
      <w:pPr>
        <w:rPr>
          <w:rFonts w:hint="eastAsia"/>
        </w:rPr>
      </w:pPr>
    </w:p>
    <w:p w14:paraId="2F05C175">
      <w:pPr>
        <w:rPr>
          <w:rFonts w:hint="eastAsia"/>
        </w:rPr>
      </w:pPr>
    </w:p>
    <w:p w14:paraId="780CE092">
      <w:pPr>
        <w:pStyle w:val="13"/>
        <w:rPr>
          <w:rFonts w:hint="eastAsia"/>
        </w:rPr>
      </w:pPr>
    </w:p>
    <w:p w14:paraId="3B14DEF8">
      <w:pPr>
        <w:pStyle w:val="13"/>
        <w:rPr>
          <w:rFonts w:hint="eastAsia"/>
        </w:rPr>
      </w:pPr>
    </w:p>
    <w:p w14:paraId="0A45D78D">
      <w:pPr>
        <w:pStyle w:val="13"/>
        <w:rPr>
          <w:rFonts w:hint="eastAsia"/>
        </w:rPr>
      </w:pPr>
    </w:p>
    <w:p w14:paraId="1B42D4AF">
      <w:pPr>
        <w:pStyle w:val="13"/>
        <w:rPr>
          <w:rFonts w:hint="eastAsia"/>
        </w:rPr>
      </w:pPr>
    </w:p>
    <w:p w14:paraId="062FD303">
      <w:pPr>
        <w:pStyle w:val="13"/>
        <w:rPr>
          <w:rFonts w:hint="eastAsia"/>
        </w:rPr>
      </w:pPr>
    </w:p>
    <w:p w14:paraId="1338A2F1">
      <w:pPr>
        <w:pStyle w:val="13"/>
        <w:rPr>
          <w:rFonts w:hint="eastAsia"/>
        </w:rPr>
      </w:pPr>
    </w:p>
    <w:p w14:paraId="31F7C3D4">
      <w:pPr>
        <w:pStyle w:val="13"/>
        <w:rPr>
          <w:rFonts w:hint="eastAsia"/>
        </w:rPr>
      </w:pPr>
    </w:p>
    <w:p w14:paraId="1974D939">
      <w:pPr>
        <w:pStyle w:val="13"/>
        <w:rPr>
          <w:rFonts w:hint="eastAsia"/>
        </w:rPr>
      </w:pPr>
    </w:p>
    <w:p w14:paraId="6493F033">
      <w:pPr>
        <w:pStyle w:val="13"/>
        <w:rPr>
          <w:rFonts w:hint="eastAsia"/>
        </w:rPr>
      </w:pPr>
    </w:p>
    <w:p w14:paraId="547B473A">
      <w:pPr>
        <w:pStyle w:val="13"/>
        <w:rPr>
          <w:rFonts w:hint="eastAsia"/>
        </w:rPr>
      </w:pPr>
    </w:p>
    <w:p w14:paraId="5E9A6873">
      <w:pPr>
        <w:pStyle w:val="13"/>
        <w:rPr>
          <w:rFonts w:hint="eastAsia"/>
        </w:rPr>
      </w:pPr>
    </w:p>
    <w:p w14:paraId="52279B0A">
      <w:pPr>
        <w:pStyle w:val="13"/>
        <w:rPr>
          <w:rFonts w:hint="eastAsia"/>
        </w:rPr>
      </w:pPr>
    </w:p>
    <w:p w14:paraId="36241F73">
      <w:pPr>
        <w:pStyle w:val="13"/>
        <w:rPr>
          <w:rFonts w:hint="eastAsia"/>
        </w:rPr>
      </w:pPr>
    </w:p>
    <w:p w14:paraId="505150FE">
      <w:pPr>
        <w:pStyle w:val="13"/>
        <w:rPr>
          <w:rFonts w:hint="eastAsia"/>
        </w:rPr>
      </w:pPr>
    </w:p>
    <w:p w14:paraId="723C95A9">
      <w:pPr>
        <w:pStyle w:val="13"/>
        <w:rPr>
          <w:rFonts w:hint="eastAsia"/>
        </w:rPr>
      </w:pPr>
    </w:p>
    <w:p w14:paraId="6DD01F5A">
      <w:pPr>
        <w:pStyle w:val="13"/>
        <w:rPr>
          <w:rFonts w:hint="eastAsia"/>
        </w:rPr>
      </w:pPr>
    </w:p>
    <w:p w14:paraId="6A671C63">
      <w:pPr>
        <w:pStyle w:val="13"/>
        <w:rPr>
          <w:rFonts w:hint="eastAsia"/>
        </w:rPr>
      </w:pPr>
    </w:p>
    <w:p w14:paraId="1FB7DDE6">
      <w:pPr>
        <w:pStyle w:val="13"/>
        <w:rPr>
          <w:rFonts w:hint="eastAsia"/>
        </w:rPr>
      </w:pPr>
    </w:p>
    <w:p w14:paraId="00946E8C">
      <w:pPr>
        <w:pStyle w:val="2"/>
        <w:bidi w:val="0"/>
        <w:spacing w:line="240" w:lineRule="auto"/>
        <w:jc w:val="center"/>
        <w:rPr>
          <w:rFonts w:hint="eastAsia"/>
          <w:lang w:eastAsia="zh-CN"/>
        </w:rPr>
      </w:pPr>
      <w:r>
        <w:rPr>
          <w:rFonts w:hint="eastAsia"/>
        </w:rPr>
        <w:t xml:space="preserve">第二章 </w:t>
      </w:r>
      <w:r>
        <w:rPr>
          <w:rFonts w:hint="eastAsia"/>
          <w:lang w:eastAsia="zh-CN"/>
        </w:rPr>
        <w:t>供应商须知</w:t>
      </w:r>
      <w:bookmarkEnd w:id="57"/>
      <w:bookmarkEnd w:id="58"/>
      <w:bookmarkEnd w:id="59"/>
      <w:bookmarkEnd w:id="60"/>
      <w:bookmarkEnd w:id="61"/>
      <w:bookmarkEnd w:id="62"/>
    </w:p>
    <w:p w14:paraId="779A9529">
      <w:pPr>
        <w:autoSpaceDE w:val="0"/>
        <w:autoSpaceDN w:val="0"/>
        <w:jc w:val="center"/>
        <w:rPr>
          <w:rFonts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 供应商须知前附表</w:t>
      </w:r>
    </w:p>
    <w:tbl>
      <w:tblPr>
        <w:tblStyle w:val="21"/>
        <w:tblW w:w="101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40"/>
        <w:gridCol w:w="1552"/>
        <w:gridCol w:w="7626"/>
      </w:tblGrid>
      <w:tr w14:paraId="0BE5E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45AD903D">
            <w:pPr>
              <w:widowControl/>
              <w:spacing w:before="0" w:beforeLines="0" w:beforeAutospacing="0" w:after="0" w:afterLines="0" w:afterAutospacing="0"/>
              <w:ind w:left="0" w:right="0"/>
              <w:jc w:val="center"/>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条款号</w:t>
            </w:r>
          </w:p>
        </w:tc>
        <w:tc>
          <w:tcPr>
            <w:tcW w:w="1552" w:type="dxa"/>
            <w:tcBorders>
              <w:top w:val="single" w:color="auto" w:sz="4" w:space="0"/>
              <w:left w:val="nil"/>
              <w:bottom w:val="single" w:color="auto" w:sz="4" w:space="0"/>
              <w:right w:val="single" w:color="auto" w:sz="4" w:space="0"/>
            </w:tcBorders>
            <w:noWrap w:val="0"/>
            <w:vAlign w:val="center"/>
          </w:tcPr>
          <w:p w14:paraId="03F84D12">
            <w:pPr>
              <w:widowControl/>
              <w:spacing w:before="0" w:beforeLines="0" w:beforeAutospacing="0" w:after="0" w:afterLines="0" w:afterAutospacing="0"/>
              <w:ind w:left="0" w:right="0"/>
              <w:jc w:val="center"/>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条款名称</w:t>
            </w:r>
          </w:p>
        </w:tc>
        <w:tc>
          <w:tcPr>
            <w:tcW w:w="7626" w:type="dxa"/>
            <w:tcBorders>
              <w:top w:val="single" w:color="auto" w:sz="4" w:space="0"/>
              <w:left w:val="nil"/>
              <w:bottom w:val="single" w:color="auto" w:sz="4" w:space="0"/>
              <w:right w:val="single" w:color="auto" w:sz="4" w:space="0"/>
            </w:tcBorders>
            <w:noWrap w:val="0"/>
            <w:vAlign w:val="center"/>
          </w:tcPr>
          <w:p w14:paraId="784A278A">
            <w:pPr>
              <w:widowControl/>
              <w:spacing w:before="0" w:beforeLines="0" w:beforeAutospacing="0" w:after="0" w:afterLines="0" w:afterAutospacing="0"/>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编列内容</w:t>
            </w:r>
          </w:p>
        </w:tc>
      </w:tr>
      <w:tr w14:paraId="01576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940" w:type="dxa"/>
            <w:tcBorders>
              <w:top w:val="nil"/>
              <w:left w:val="single" w:color="auto" w:sz="4" w:space="0"/>
              <w:right w:val="single" w:color="auto" w:sz="4" w:space="0"/>
            </w:tcBorders>
            <w:noWrap w:val="0"/>
            <w:vAlign w:val="center"/>
          </w:tcPr>
          <w:p w14:paraId="44A449FE">
            <w:pPr>
              <w:widowControl/>
              <w:spacing w:before="0" w:beforeLines="0" w:beforeAutospacing="0" w:afterAutospacing="0" w:line="360" w:lineRule="auto"/>
              <w:ind w:left="0" w:right="0"/>
              <w:jc w:val="center"/>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p>
        </w:tc>
        <w:tc>
          <w:tcPr>
            <w:tcW w:w="1552" w:type="dxa"/>
            <w:tcBorders>
              <w:top w:val="nil"/>
              <w:left w:val="single" w:color="auto" w:sz="4" w:space="0"/>
              <w:right w:val="single" w:color="auto" w:sz="4" w:space="0"/>
            </w:tcBorders>
            <w:noWrap w:val="0"/>
            <w:vAlign w:val="center"/>
          </w:tcPr>
          <w:p w14:paraId="6D64AB75">
            <w:pPr>
              <w:widowControl/>
              <w:spacing w:before="0" w:beforeLines="0" w:beforeAutospacing="0" w:afterAutospacing="0" w:line="360" w:lineRule="auto"/>
              <w:ind w:left="0" w:right="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监督单位与</w:t>
            </w:r>
            <w:r>
              <w:rPr>
                <w:rFonts w:hint="eastAsia" w:ascii="宋体" w:hAnsi="宋体" w:eastAsia="宋体" w:cs="宋体"/>
                <w:color w:val="auto"/>
                <w:kern w:val="2"/>
                <w:sz w:val="24"/>
                <w:szCs w:val="24"/>
                <w:highlight w:val="none"/>
              </w:rPr>
              <w:t>采购人</w:t>
            </w:r>
          </w:p>
        </w:tc>
        <w:tc>
          <w:tcPr>
            <w:tcW w:w="7626" w:type="dxa"/>
            <w:tcBorders>
              <w:top w:val="single" w:color="auto" w:sz="4" w:space="0"/>
              <w:left w:val="nil"/>
              <w:bottom w:val="single" w:color="auto" w:sz="6" w:space="0"/>
              <w:right w:val="single" w:color="auto" w:sz="4" w:space="0"/>
            </w:tcBorders>
            <w:noWrap w:val="0"/>
            <w:vAlign w:val="center"/>
          </w:tcPr>
          <w:p w14:paraId="5EB537CC">
            <w:pPr>
              <w:widowControl/>
              <w:spacing w:before="0" w:beforeLines="0" w:beforeAutospacing="0" w:after="0" w:afterLines="0" w:afterAutospacing="0" w:line="400" w:lineRule="exact"/>
              <w:ind w:left="0" w:right="0"/>
              <w:rPr>
                <w:rFonts w:hint="default" w:ascii="宋体" w:hAnsi="宋体" w:eastAsia="宋体" w:cs="仿宋"/>
                <w:color w:val="auto"/>
                <w:kern w:val="2"/>
                <w:sz w:val="24"/>
                <w:szCs w:val="24"/>
                <w:highlight w:val="none"/>
                <w:lang w:val="en-US" w:eastAsia="zh-CN"/>
              </w:rPr>
            </w:pPr>
            <w:r>
              <w:rPr>
                <w:rFonts w:hint="default" w:ascii="宋体" w:hAnsi="宋体" w:eastAsia="宋体" w:cs="仿宋"/>
                <w:color w:val="auto"/>
                <w:kern w:val="2"/>
                <w:sz w:val="24"/>
                <w:szCs w:val="24"/>
                <w:highlight w:val="none"/>
                <w:lang w:val="en-US" w:eastAsia="zh-CN"/>
              </w:rPr>
              <w:t>1、监督部门：灵宝市财政局政府采购监督管理科</w:t>
            </w:r>
          </w:p>
          <w:p w14:paraId="27E0A41E">
            <w:pPr>
              <w:widowControl/>
              <w:spacing w:before="0" w:beforeLines="0" w:beforeAutospacing="0" w:after="0" w:afterLines="0" w:afterAutospacing="0" w:line="400" w:lineRule="exact"/>
              <w:ind w:left="0" w:right="0"/>
              <w:rPr>
                <w:rFonts w:hint="default" w:ascii="宋体" w:hAnsi="宋体" w:eastAsia="宋体" w:cs="仿宋"/>
                <w:color w:val="auto"/>
                <w:kern w:val="2"/>
                <w:sz w:val="24"/>
                <w:szCs w:val="24"/>
                <w:highlight w:val="none"/>
                <w:lang w:val="en-US" w:eastAsia="zh-CN"/>
              </w:rPr>
            </w:pPr>
            <w:r>
              <w:rPr>
                <w:rFonts w:hint="default" w:ascii="宋体" w:hAnsi="宋体" w:eastAsia="宋体" w:cs="仿宋"/>
                <w:color w:val="auto"/>
                <w:kern w:val="2"/>
                <w:sz w:val="24"/>
                <w:szCs w:val="24"/>
                <w:highlight w:val="none"/>
                <w:lang w:val="en-US" w:eastAsia="zh-CN"/>
              </w:rPr>
              <w:t>联系电话：0398-8852670</w:t>
            </w:r>
          </w:p>
          <w:p w14:paraId="2DD3BFCB">
            <w:pPr>
              <w:widowControl/>
              <w:spacing w:before="0" w:beforeLines="0" w:beforeAutospacing="0" w:after="0" w:afterLines="0" w:afterAutospacing="0" w:line="400" w:lineRule="exact"/>
              <w:ind w:left="0" w:right="0"/>
              <w:rPr>
                <w:rFonts w:hint="default" w:ascii="宋体" w:hAnsi="宋体" w:eastAsia="宋体" w:cs="仿宋"/>
                <w:color w:val="auto"/>
                <w:kern w:val="2"/>
                <w:sz w:val="24"/>
                <w:szCs w:val="24"/>
                <w:highlight w:val="none"/>
                <w:lang w:val="en-US" w:eastAsia="zh-CN"/>
              </w:rPr>
            </w:pPr>
            <w:r>
              <w:rPr>
                <w:rFonts w:hint="default" w:ascii="宋体" w:hAnsi="宋体" w:eastAsia="宋体" w:cs="仿宋"/>
                <w:color w:val="auto"/>
                <w:kern w:val="2"/>
                <w:sz w:val="24"/>
                <w:szCs w:val="24"/>
                <w:highlight w:val="none"/>
                <w:lang w:val="en-US" w:eastAsia="zh-CN"/>
              </w:rPr>
              <w:t>2、采购人：灵宝市消防救援大队</w:t>
            </w:r>
          </w:p>
          <w:p w14:paraId="5141E72F">
            <w:pPr>
              <w:widowControl/>
              <w:spacing w:before="0" w:beforeLines="0" w:beforeAutospacing="0" w:after="0" w:afterLines="0" w:afterAutospacing="0" w:line="400" w:lineRule="exact"/>
              <w:ind w:left="0" w:right="0"/>
              <w:rPr>
                <w:rFonts w:hint="default" w:ascii="宋体" w:hAnsi="宋体" w:eastAsia="宋体" w:cs="仿宋"/>
                <w:color w:val="auto"/>
                <w:kern w:val="2"/>
                <w:sz w:val="24"/>
                <w:szCs w:val="24"/>
                <w:highlight w:val="none"/>
                <w:lang w:val="en-US"/>
              </w:rPr>
            </w:pPr>
            <w:r>
              <w:rPr>
                <w:rFonts w:hint="default" w:ascii="宋体" w:hAnsi="宋体" w:eastAsia="宋体" w:cs="仿宋"/>
                <w:color w:val="auto"/>
                <w:kern w:val="2"/>
                <w:sz w:val="24"/>
                <w:szCs w:val="24"/>
                <w:highlight w:val="none"/>
                <w:lang w:val="en-US"/>
              </w:rPr>
              <w:t>地址：河南省灵宝市北区崇德路与天宝路交叉口东南角</w:t>
            </w:r>
          </w:p>
          <w:p w14:paraId="0DD987EC">
            <w:pPr>
              <w:widowControl/>
              <w:spacing w:before="0" w:beforeLines="0" w:beforeAutospacing="0" w:after="0" w:afterLines="0" w:afterAutospacing="0" w:line="400" w:lineRule="exact"/>
              <w:ind w:left="0" w:right="0"/>
              <w:rPr>
                <w:rFonts w:hint="default" w:ascii="宋体" w:hAnsi="宋体" w:eastAsia="宋体" w:cs="仿宋"/>
                <w:color w:val="auto"/>
                <w:kern w:val="2"/>
                <w:sz w:val="24"/>
                <w:szCs w:val="24"/>
                <w:highlight w:val="none"/>
                <w:lang w:val="en-US" w:eastAsia="zh-CN"/>
              </w:rPr>
            </w:pPr>
            <w:r>
              <w:rPr>
                <w:rFonts w:hint="default" w:ascii="宋体" w:hAnsi="宋体" w:eastAsia="宋体" w:cs="仿宋"/>
                <w:color w:val="auto"/>
                <w:kern w:val="2"/>
                <w:sz w:val="24"/>
                <w:szCs w:val="24"/>
                <w:highlight w:val="none"/>
                <w:lang w:val="en-US"/>
              </w:rPr>
              <w:t>联系人：</w:t>
            </w:r>
            <w:r>
              <w:rPr>
                <w:rFonts w:hint="eastAsia" w:ascii="宋体" w:hAnsi="宋体" w:eastAsia="宋体" w:cs="仿宋"/>
                <w:color w:val="auto"/>
                <w:kern w:val="2"/>
                <w:sz w:val="24"/>
                <w:szCs w:val="24"/>
                <w:highlight w:val="none"/>
                <w:lang w:val="en-US" w:eastAsia="zh-CN"/>
              </w:rPr>
              <w:t>程</w:t>
            </w:r>
            <w:r>
              <w:rPr>
                <w:rFonts w:hint="default" w:ascii="宋体" w:hAnsi="宋体" w:eastAsia="宋体" w:cs="仿宋"/>
                <w:color w:val="auto"/>
                <w:kern w:val="2"/>
                <w:sz w:val="24"/>
                <w:szCs w:val="24"/>
                <w:highlight w:val="none"/>
                <w:lang w:val="en-US" w:eastAsia="zh-CN"/>
              </w:rPr>
              <w:t>先生</w:t>
            </w:r>
          </w:p>
          <w:p w14:paraId="205C3C5D">
            <w:pPr>
              <w:spacing w:line="360" w:lineRule="auto"/>
              <w:rPr>
                <w:rFonts w:hint="default" w:ascii="宋体" w:hAnsi="宋体" w:eastAsia="宋体" w:cs="仿宋"/>
                <w:color w:val="auto"/>
                <w:kern w:val="2"/>
                <w:sz w:val="24"/>
                <w:szCs w:val="24"/>
                <w:highlight w:val="none"/>
                <w:lang w:val="en-US"/>
              </w:rPr>
            </w:pPr>
            <w:r>
              <w:rPr>
                <w:rFonts w:hint="default" w:ascii="宋体" w:hAnsi="宋体" w:eastAsia="宋体" w:cs="仿宋"/>
                <w:color w:val="auto"/>
                <w:kern w:val="2"/>
                <w:sz w:val="24"/>
                <w:szCs w:val="24"/>
                <w:highlight w:val="none"/>
                <w:lang w:val="en-US"/>
              </w:rPr>
              <w:t>联系方式：</w:t>
            </w:r>
            <w:r>
              <w:rPr>
                <w:rFonts w:hint="eastAsia" w:asciiTheme="minorEastAsia" w:hAnsiTheme="minorEastAsia" w:cstheme="minorEastAsia"/>
                <w:sz w:val="24"/>
                <w:szCs w:val="24"/>
                <w:highlight w:val="none"/>
                <w:lang w:val="en-US" w:eastAsia="zh-CN"/>
              </w:rPr>
              <w:t>15939815436</w:t>
            </w:r>
          </w:p>
        </w:tc>
      </w:tr>
      <w:tr w14:paraId="5DF5D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3"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11331B30">
            <w:pPr>
              <w:widowControl/>
              <w:spacing w:before="0" w:beforeLines="0" w:beforeAutospacing="0" w:afterAutospacing="0" w:line="360" w:lineRule="auto"/>
              <w:ind w:left="0" w:right="0"/>
              <w:jc w:val="center"/>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w:t>
            </w:r>
          </w:p>
        </w:tc>
        <w:tc>
          <w:tcPr>
            <w:tcW w:w="1552" w:type="dxa"/>
            <w:tcBorders>
              <w:top w:val="single" w:color="auto" w:sz="4" w:space="0"/>
              <w:left w:val="single" w:color="auto" w:sz="4" w:space="0"/>
              <w:bottom w:val="single" w:color="auto" w:sz="4" w:space="0"/>
              <w:right w:val="single" w:color="auto" w:sz="4" w:space="0"/>
            </w:tcBorders>
            <w:noWrap w:val="0"/>
            <w:vAlign w:val="center"/>
          </w:tcPr>
          <w:p w14:paraId="65A7F875">
            <w:pPr>
              <w:widowControl/>
              <w:spacing w:before="0" w:beforeLines="0" w:beforeAutospacing="0" w:afterAutospacing="0" w:line="360" w:lineRule="auto"/>
              <w:ind w:left="0" w:right="0"/>
              <w:jc w:val="center"/>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代理机构</w:t>
            </w:r>
          </w:p>
        </w:tc>
        <w:tc>
          <w:tcPr>
            <w:tcW w:w="7626" w:type="dxa"/>
            <w:tcBorders>
              <w:top w:val="single" w:color="auto" w:sz="4" w:space="0"/>
              <w:left w:val="nil"/>
              <w:bottom w:val="single" w:color="auto" w:sz="4" w:space="0"/>
              <w:right w:val="single" w:color="auto" w:sz="4" w:space="0"/>
            </w:tcBorders>
            <w:noWrap w:val="0"/>
            <w:vAlign w:val="center"/>
          </w:tcPr>
          <w:p w14:paraId="6035C435">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eastAsia="zh-CN"/>
              </w:rPr>
            </w:pPr>
            <w:r>
              <w:rPr>
                <w:rFonts w:hint="eastAsia" w:ascii="宋体" w:hAnsi="宋体" w:eastAsia="宋体" w:cs="仿宋"/>
                <w:color w:val="auto"/>
                <w:kern w:val="2"/>
                <w:sz w:val="24"/>
                <w:szCs w:val="24"/>
                <w:highlight w:val="none"/>
              </w:rPr>
              <w:t>采购代理机构：</w:t>
            </w:r>
            <w:r>
              <w:rPr>
                <w:rFonts w:hint="eastAsia" w:ascii="宋体" w:hAnsi="宋体" w:eastAsia="宋体" w:cs="仿宋"/>
                <w:color w:val="auto"/>
                <w:kern w:val="2"/>
                <w:sz w:val="24"/>
                <w:szCs w:val="24"/>
                <w:highlight w:val="none"/>
                <w:lang w:val="en-US" w:eastAsia="zh-CN"/>
              </w:rPr>
              <w:t>河南邦兴工程服务有限公司</w:t>
            </w:r>
          </w:p>
          <w:p w14:paraId="4467D870">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eastAsia="zh-CN"/>
              </w:rPr>
            </w:pPr>
            <w:r>
              <w:rPr>
                <w:rFonts w:hint="eastAsia" w:ascii="宋体" w:hAnsi="宋体" w:eastAsia="宋体" w:cs="仿宋"/>
                <w:color w:val="auto"/>
                <w:kern w:val="2"/>
                <w:sz w:val="24"/>
                <w:szCs w:val="24"/>
                <w:highlight w:val="none"/>
              </w:rPr>
              <w:t>联系人：</w:t>
            </w:r>
            <w:r>
              <w:rPr>
                <w:rFonts w:hint="eastAsia" w:ascii="宋体" w:hAnsi="宋体" w:eastAsia="宋体" w:cs="仿宋"/>
                <w:color w:val="auto"/>
                <w:kern w:val="2"/>
                <w:sz w:val="24"/>
                <w:szCs w:val="24"/>
                <w:highlight w:val="none"/>
                <w:lang w:val="en-US" w:eastAsia="zh-CN"/>
              </w:rPr>
              <w:t>李女士</w:t>
            </w:r>
          </w:p>
          <w:p w14:paraId="73FCFCD4">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val="en-US" w:eastAsia="zh-CN"/>
              </w:rPr>
            </w:pPr>
            <w:r>
              <w:rPr>
                <w:rFonts w:hint="eastAsia" w:ascii="宋体" w:hAnsi="宋体" w:eastAsia="宋体" w:cs="仿宋"/>
                <w:color w:val="auto"/>
                <w:kern w:val="2"/>
                <w:sz w:val="24"/>
                <w:szCs w:val="24"/>
                <w:highlight w:val="none"/>
              </w:rPr>
              <w:t>电  话：</w:t>
            </w:r>
            <w:r>
              <w:rPr>
                <w:rFonts w:hint="eastAsia" w:ascii="宋体" w:hAnsi="宋体" w:eastAsia="宋体" w:cs="仿宋"/>
                <w:color w:val="auto"/>
                <w:kern w:val="2"/>
                <w:sz w:val="24"/>
                <w:szCs w:val="24"/>
                <w:highlight w:val="none"/>
                <w:lang w:val="en-US" w:eastAsia="zh-CN"/>
              </w:rPr>
              <w:t>18530360709</w:t>
            </w:r>
          </w:p>
          <w:p w14:paraId="3E0DE640">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 xml:space="preserve">地  址: </w:t>
            </w:r>
            <w:r>
              <w:rPr>
                <w:rFonts w:hint="eastAsia" w:ascii="宋体" w:hAnsi="宋体" w:eastAsia="宋体" w:cs="仿宋"/>
                <w:color w:val="auto"/>
                <w:kern w:val="2"/>
                <w:sz w:val="24"/>
                <w:szCs w:val="24"/>
                <w:highlight w:val="none"/>
                <w:lang w:val="en-US" w:eastAsia="zh-CN"/>
              </w:rPr>
              <w:t>河南省郑州市高新技术产业开发区翠竹街1号23幢3层01号</w:t>
            </w:r>
          </w:p>
        </w:tc>
      </w:tr>
      <w:tr w14:paraId="4D926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2"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38A676BD">
            <w:pPr>
              <w:widowControl/>
              <w:spacing w:before="0" w:beforeLines="0" w:beforeAutospacing="0" w:afterAutospacing="0" w:line="360" w:lineRule="auto"/>
              <w:ind w:left="0" w:right="0"/>
              <w:jc w:val="center"/>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w:t>
            </w:r>
          </w:p>
        </w:tc>
        <w:tc>
          <w:tcPr>
            <w:tcW w:w="1552" w:type="dxa"/>
            <w:tcBorders>
              <w:top w:val="single" w:color="auto" w:sz="4" w:space="0"/>
              <w:left w:val="nil"/>
              <w:bottom w:val="single" w:color="auto" w:sz="4" w:space="0"/>
              <w:right w:val="single" w:color="auto" w:sz="4" w:space="0"/>
            </w:tcBorders>
            <w:noWrap w:val="0"/>
            <w:vAlign w:val="center"/>
          </w:tcPr>
          <w:p w14:paraId="64337181">
            <w:pPr>
              <w:widowControl/>
              <w:spacing w:before="0" w:beforeLines="0" w:beforeAutospacing="0" w:after="0" w:afterLines="0" w:afterAutospacing="0" w:line="400" w:lineRule="exact"/>
              <w:ind w:left="0" w:right="0" w:firstLine="240" w:firstLineChars="10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项目名称</w:t>
            </w:r>
          </w:p>
        </w:tc>
        <w:tc>
          <w:tcPr>
            <w:tcW w:w="7626" w:type="dxa"/>
            <w:tcBorders>
              <w:top w:val="single" w:color="auto" w:sz="4" w:space="0"/>
              <w:left w:val="nil"/>
              <w:bottom w:val="single" w:color="auto" w:sz="4" w:space="0"/>
              <w:right w:val="single" w:color="auto" w:sz="4" w:space="0"/>
            </w:tcBorders>
            <w:noWrap w:val="0"/>
            <w:vAlign w:val="center"/>
          </w:tcPr>
          <w:p w14:paraId="50D24BF5">
            <w:pPr>
              <w:widowControl/>
              <w:spacing w:before="0" w:beforeLines="0" w:beforeAutospacing="0" w:after="0" w:afterLines="0" w:afterAutospacing="0" w:line="400" w:lineRule="exact"/>
              <w:ind w:left="0" w:right="0"/>
              <w:jc w:val="left"/>
              <w:rPr>
                <w:rFonts w:hint="eastAsia" w:ascii="宋体" w:hAnsi="宋体" w:eastAsia="宋体" w:cs="Calibri"/>
                <w:color w:val="auto"/>
                <w:kern w:val="2"/>
                <w:sz w:val="24"/>
                <w:szCs w:val="24"/>
                <w:highlight w:val="none"/>
                <w:lang w:eastAsia="zh-CN"/>
              </w:rPr>
            </w:pPr>
            <w:r>
              <w:rPr>
                <w:rFonts w:hint="eastAsia" w:ascii="宋体" w:hAnsi="宋体" w:eastAsia="宋体" w:cs="宋体"/>
                <w:color w:val="auto"/>
                <w:sz w:val="24"/>
                <w:szCs w:val="24"/>
                <w:lang w:eastAsia="zh-CN"/>
              </w:rPr>
              <w:t>灵宝市阳平镇政府专职消防队建设项目</w:t>
            </w:r>
          </w:p>
        </w:tc>
      </w:tr>
      <w:tr w14:paraId="03C09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1" w:hRule="atLeast"/>
          <w:jc w:val="center"/>
        </w:trPr>
        <w:tc>
          <w:tcPr>
            <w:tcW w:w="940" w:type="dxa"/>
            <w:tcBorders>
              <w:top w:val="nil"/>
              <w:left w:val="single" w:color="auto" w:sz="4" w:space="0"/>
              <w:bottom w:val="single" w:color="auto" w:sz="4" w:space="0"/>
              <w:right w:val="single" w:color="auto" w:sz="4" w:space="0"/>
            </w:tcBorders>
            <w:noWrap w:val="0"/>
            <w:vAlign w:val="center"/>
          </w:tcPr>
          <w:p w14:paraId="56E2BDC6">
            <w:pPr>
              <w:widowControl/>
              <w:spacing w:before="0" w:beforeLines="0" w:beforeAutospacing="0" w:afterAutospacing="0" w:line="360" w:lineRule="auto"/>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w:t>
            </w:r>
          </w:p>
        </w:tc>
        <w:tc>
          <w:tcPr>
            <w:tcW w:w="1552" w:type="dxa"/>
            <w:tcBorders>
              <w:top w:val="nil"/>
              <w:left w:val="nil"/>
              <w:bottom w:val="single" w:color="auto" w:sz="4" w:space="0"/>
              <w:right w:val="single" w:color="auto" w:sz="4" w:space="0"/>
            </w:tcBorders>
            <w:noWrap w:val="0"/>
            <w:vAlign w:val="center"/>
          </w:tcPr>
          <w:p w14:paraId="704D7D80">
            <w:pPr>
              <w:widowControl/>
              <w:spacing w:before="0" w:beforeLines="0" w:beforeAutospacing="0" w:after="0" w:afterLines="0" w:afterAutospacing="0" w:line="400" w:lineRule="exact"/>
              <w:ind w:left="0" w:right="0"/>
              <w:jc w:val="center"/>
              <w:rPr>
                <w:rFonts w:hint="default" w:ascii="宋体" w:hAnsi="宋体" w:eastAsia="宋体" w:cs="Calibri"/>
                <w:color w:val="auto"/>
                <w:kern w:val="2"/>
                <w:sz w:val="24"/>
                <w:szCs w:val="24"/>
                <w:highlight w:val="none"/>
                <w:lang w:val="en-US" w:eastAsia="zh-CN"/>
              </w:rPr>
            </w:pPr>
            <w:r>
              <w:rPr>
                <w:rFonts w:hint="eastAsia" w:ascii="宋体" w:hAnsi="宋体" w:eastAsia="宋体" w:cs="Calibri"/>
                <w:color w:val="auto"/>
                <w:kern w:val="2"/>
                <w:sz w:val="24"/>
                <w:szCs w:val="24"/>
                <w:highlight w:val="none"/>
                <w:lang w:val="en-US" w:eastAsia="zh-CN"/>
              </w:rPr>
              <w:t>项目编号</w:t>
            </w:r>
          </w:p>
        </w:tc>
        <w:tc>
          <w:tcPr>
            <w:tcW w:w="7626" w:type="dxa"/>
            <w:tcBorders>
              <w:top w:val="nil"/>
              <w:left w:val="nil"/>
              <w:bottom w:val="single" w:color="auto" w:sz="4" w:space="0"/>
              <w:right w:val="single" w:color="auto" w:sz="4" w:space="0"/>
            </w:tcBorders>
            <w:noWrap w:val="0"/>
            <w:vAlign w:val="center"/>
          </w:tcPr>
          <w:p w14:paraId="6C220C1B">
            <w:pPr>
              <w:widowControl/>
              <w:spacing w:before="0" w:beforeLines="0" w:beforeAutospacing="0" w:after="0" w:afterLines="0" w:afterAutospacing="0" w:line="400" w:lineRule="exact"/>
              <w:ind w:left="0" w:right="0"/>
              <w:jc w:val="left"/>
              <w:rPr>
                <w:rFonts w:hint="default" w:ascii="宋体" w:hAnsi="宋体" w:eastAsia="宋体" w:cs="Calibri"/>
                <w:color w:val="auto"/>
                <w:kern w:val="2"/>
                <w:sz w:val="24"/>
                <w:szCs w:val="24"/>
                <w:highlight w:val="none"/>
                <w:lang w:val="en-US" w:eastAsia="zh-CN"/>
              </w:rPr>
            </w:pPr>
            <w:r>
              <w:rPr>
                <w:rFonts w:hint="default" w:ascii="宋体" w:hAnsi="宋体" w:eastAsia="宋体" w:cs="Calibri"/>
                <w:color w:val="auto"/>
                <w:kern w:val="2"/>
                <w:sz w:val="24"/>
                <w:szCs w:val="24"/>
                <w:highlight w:val="none"/>
                <w:lang w:val="en-US" w:eastAsia="zh-CN"/>
              </w:rPr>
              <w:t>灵宝竞磋采购-2026-99</w:t>
            </w:r>
            <w:r>
              <w:rPr>
                <w:rFonts w:hint="eastAsia" w:ascii="宋体" w:hAnsi="宋体" w:eastAsia="宋体" w:cs="Calibri"/>
                <w:color w:val="auto"/>
                <w:kern w:val="2"/>
                <w:sz w:val="24"/>
                <w:szCs w:val="24"/>
                <w:highlight w:val="none"/>
                <w:lang w:val="en-US" w:eastAsia="zh-CN"/>
              </w:rPr>
              <w:t>、LBGZ[2026]172-ZC135</w:t>
            </w:r>
          </w:p>
        </w:tc>
      </w:tr>
      <w:tr w14:paraId="330B5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940" w:type="dxa"/>
            <w:tcBorders>
              <w:top w:val="nil"/>
              <w:left w:val="single" w:color="auto" w:sz="4" w:space="0"/>
              <w:bottom w:val="single" w:color="auto" w:sz="4" w:space="0"/>
              <w:right w:val="single" w:color="auto" w:sz="4" w:space="0"/>
            </w:tcBorders>
            <w:noWrap w:val="0"/>
            <w:vAlign w:val="center"/>
          </w:tcPr>
          <w:p w14:paraId="0995C2B4">
            <w:pPr>
              <w:widowControl/>
              <w:spacing w:before="0" w:beforeLines="0" w:beforeAutospacing="0" w:afterAutospacing="0" w:line="360" w:lineRule="auto"/>
              <w:ind w:left="0" w:right="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5</w:t>
            </w:r>
          </w:p>
        </w:tc>
        <w:tc>
          <w:tcPr>
            <w:tcW w:w="1552" w:type="dxa"/>
            <w:tcBorders>
              <w:top w:val="nil"/>
              <w:left w:val="nil"/>
              <w:bottom w:val="single" w:color="auto" w:sz="4" w:space="0"/>
              <w:right w:val="single" w:color="auto" w:sz="4" w:space="0"/>
            </w:tcBorders>
            <w:noWrap w:val="0"/>
            <w:vAlign w:val="center"/>
          </w:tcPr>
          <w:p w14:paraId="4951038F">
            <w:pPr>
              <w:widowControl/>
              <w:spacing w:before="0" w:beforeLines="0" w:beforeAutospacing="0" w:after="0" w:afterLines="0" w:afterAutospacing="0" w:line="400" w:lineRule="exact"/>
              <w:ind w:left="0" w:right="0"/>
              <w:jc w:val="center"/>
              <w:rPr>
                <w:rFonts w:hint="default" w:ascii="宋体" w:hAnsi="宋体" w:eastAsia="宋体" w:cs="仿宋"/>
                <w:color w:val="auto"/>
                <w:kern w:val="2"/>
                <w:sz w:val="24"/>
                <w:szCs w:val="24"/>
                <w:highlight w:val="none"/>
                <w:lang w:val="en-US" w:eastAsia="zh-CN"/>
              </w:rPr>
            </w:pPr>
            <w:r>
              <w:rPr>
                <w:rFonts w:hint="eastAsia" w:ascii="宋体" w:hAnsi="宋体" w:eastAsia="宋体" w:cs="Calibri"/>
                <w:color w:val="auto"/>
                <w:kern w:val="2"/>
                <w:sz w:val="24"/>
                <w:szCs w:val="24"/>
                <w:highlight w:val="none"/>
                <w:lang w:val="en-US" w:eastAsia="zh-CN"/>
              </w:rPr>
              <w:t>预算金额</w:t>
            </w:r>
          </w:p>
        </w:tc>
        <w:tc>
          <w:tcPr>
            <w:tcW w:w="7626" w:type="dxa"/>
            <w:tcBorders>
              <w:top w:val="nil"/>
              <w:left w:val="nil"/>
              <w:bottom w:val="single" w:color="auto" w:sz="4" w:space="0"/>
              <w:right w:val="single" w:color="auto" w:sz="4" w:space="0"/>
            </w:tcBorders>
            <w:noWrap w:val="0"/>
            <w:vAlign w:val="center"/>
          </w:tcPr>
          <w:p w14:paraId="315CCD2F">
            <w:pPr>
              <w:widowControl/>
              <w:spacing w:before="0" w:beforeLines="0" w:beforeAutospacing="0" w:after="0" w:afterLines="0" w:afterAutospacing="0" w:line="400" w:lineRule="exact"/>
              <w:ind w:left="0" w:right="0"/>
              <w:jc w:val="left"/>
              <w:rPr>
                <w:rFonts w:hint="default" w:ascii="宋体" w:hAnsi="宋体" w:eastAsia="宋体" w:cs="Calibri"/>
                <w:color w:val="auto"/>
                <w:kern w:val="2"/>
                <w:sz w:val="24"/>
                <w:szCs w:val="24"/>
                <w:highlight w:val="none"/>
                <w:lang w:val="en-US" w:eastAsia="zh-CN"/>
              </w:rPr>
            </w:pPr>
            <w:r>
              <w:rPr>
                <w:rFonts w:hint="eastAsia" w:ascii="宋体" w:hAnsi="宋体" w:eastAsia="宋体" w:cs="宋体"/>
                <w:color w:val="auto"/>
                <w:sz w:val="24"/>
                <w:szCs w:val="24"/>
                <w:highlight w:val="none"/>
                <w:lang w:val="en-US" w:eastAsia="zh-CN"/>
              </w:rPr>
              <w:t>3836952.27元</w:t>
            </w:r>
          </w:p>
        </w:tc>
      </w:tr>
      <w:tr w14:paraId="12AAF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6" w:hRule="atLeast"/>
          <w:jc w:val="center"/>
        </w:trPr>
        <w:tc>
          <w:tcPr>
            <w:tcW w:w="940" w:type="dxa"/>
            <w:tcBorders>
              <w:top w:val="nil"/>
              <w:left w:val="single" w:color="auto" w:sz="4" w:space="0"/>
              <w:bottom w:val="single" w:color="auto" w:sz="4" w:space="0"/>
              <w:right w:val="single" w:color="auto" w:sz="4" w:space="0"/>
            </w:tcBorders>
            <w:noWrap w:val="0"/>
            <w:vAlign w:val="center"/>
          </w:tcPr>
          <w:p w14:paraId="278BF1D8">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6</w:t>
            </w:r>
          </w:p>
        </w:tc>
        <w:tc>
          <w:tcPr>
            <w:tcW w:w="1552" w:type="dxa"/>
            <w:tcBorders>
              <w:top w:val="nil"/>
              <w:left w:val="nil"/>
              <w:bottom w:val="single" w:color="auto" w:sz="4" w:space="0"/>
              <w:right w:val="single" w:color="auto" w:sz="4" w:space="0"/>
            </w:tcBorders>
            <w:noWrap w:val="0"/>
            <w:vAlign w:val="center"/>
          </w:tcPr>
          <w:p w14:paraId="651D0E06">
            <w:pPr>
              <w:widowControl/>
              <w:spacing w:before="0" w:beforeLines="0" w:beforeAutospacing="0" w:after="0" w:afterLines="0" w:afterAutospacing="0" w:line="400" w:lineRule="exact"/>
              <w:ind w:left="0" w:right="0"/>
              <w:jc w:val="center"/>
              <w:rPr>
                <w:rFonts w:hint="eastAsia" w:ascii="宋体" w:hAnsi="宋体" w:eastAsia="宋体" w:cs="Calibri"/>
                <w:color w:val="auto"/>
                <w:kern w:val="2"/>
                <w:sz w:val="24"/>
                <w:szCs w:val="24"/>
                <w:highlight w:val="none"/>
                <w:lang w:val="en-US" w:eastAsia="zh-CN"/>
              </w:rPr>
            </w:pPr>
            <w:r>
              <w:rPr>
                <w:rFonts w:hint="eastAsia" w:ascii="宋体" w:hAnsi="宋体" w:eastAsia="宋体" w:cs="宋体"/>
                <w:color w:val="auto"/>
                <w:sz w:val="24"/>
                <w:szCs w:val="24"/>
                <w:lang w:val="en-US" w:eastAsia="zh-CN"/>
              </w:rPr>
              <w:t>采购方式</w:t>
            </w:r>
          </w:p>
        </w:tc>
        <w:tc>
          <w:tcPr>
            <w:tcW w:w="7626" w:type="dxa"/>
            <w:tcBorders>
              <w:top w:val="nil"/>
              <w:left w:val="nil"/>
              <w:bottom w:val="single" w:color="auto" w:sz="4" w:space="0"/>
              <w:right w:val="single" w:color="auto" w:sz="4" w:space="0"/>
            </w:tcBorders>
            <w:noWrap w:val="0"/>
            <w:vAlign w:val="center"/>
          </w:tcPr>
          <w:p w14:paraId="6CCC0B8E">
            <w:pPr>
              <w:widowControl/>
              <w:spacing w:before="0" w:beforeLines="0" w:beforeAutospacing="0" w:after="0" w:afterLines="0" w:afterAutospacing="0" w:line="400" w:lineRule="exact"/>
              <w:ind w:left="0" w:right="0"/>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竞争性磋商</w:t>
            </w:r>
          </w:p>
        </w:tc>
      </w:tr>
      <w:tr w14:paraId="2F51F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940" w:type="dxa"/>
            <w:tcBorders>
              <w:top w:val="nil"/>
              <w:left w:val="single" w:color="auto" w:sz="4" w:space="0"/>
              <w:bottom w:val="single" w:color="auto" w:sz="4" w:space="0"/>
              <w:right w:val="single" w:color="auto" w:sz="4" w:space="0"/>
            </w:tcBorders>
            <w:noWrap w:val="0"/>
            <w:vAlign w:val="center"/>
          </w:tcPr>
          <w:p w14:paraId="52CF7BF2">
            <w:pPr>
              <w:widowControl/>
              <w:spacing w:before="0" w:beforeLines="0" w:beforeAutospacing="0" w:afterAutospacing="0" w:line="360" w:lineRule="auto"/>
              <w:ind w:left="0" w:right="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7</w:t>
            </w:r>
          </w:p>
        </w:tc>
        <w:tc>
          <w:tcPr>
            <w:tcW w:w="1552" w:type="dxa"/>
            <w:tcBorders>
              <w:top w:val="nil"/>
              <w:left w:val="nil"/>
              <w:bottom w:val="single" w:color="auto" w:sz="4" w:space="0"/>
              <w:right w:val="single" w:color="auto" w:sz="4" w:space="0"/>
            </w:tcBorders>
            <w:noWrap w:val="0"/>
            <w:vAlign w:val="center"/>
          </w:tcPr>
          <w:p w14:paraId="48A39187">
            <w:pPr>
              <w:widowControl/>
              <w:spacing w:before="0" w:beforeLines="0" w:beforeAutospacing="0" w:after="0" w:afterLines="0" w:afterAutospacing="0" w:line="400" w:lineRule="exact"/>
              <w:ind w:left="0" w:leftChars="0" w:right="0"/>
              <w:jc w:val="center"/>
              <w:rPr>
                <w:rFonts w:hint="eastAsia" w:ascii="宋体" w:hAnsi="宋体" w:eastAsia="宋体" w:cs="仿宋"/>
                <w:color w:val="auto"/>
                <w:kern w:val="2"/>
                <w:sz w:val="24"/>
                <w:szCs w:val="24"/>
                <w:highlight w:val="none"/>
                <w:lang w:val="en-US" w:eastAsia="zh-CN" w:bidi="ar-SA"/>
              </w:rPr>
            </w:pPr>
            <w:r>
              <w:rPr>
                <w:rFonts w:hint="eastAsia" w:ascii="宋体" w:hAnsi="宋体" w:eastAsia="宋体" w:cs="Calibri"/>
                <w:color w:val="auto"/>
                <w:kern w:val="2"/>
                <w:sz w:val="24"/>
                <w:szCs w:val="24"/>
                <w:highlight w:val="none"/>
              </w:rPr>
              <w:t>标段划分</w:t>
            </w:r>
          </w:p>
        </w:tc>
        <w:tc>
          <w:tcPr>
            <w:tcW w:w="7626" w:type="dxa"/>
            <w:tcBorders>
              <w:top w:val="nil"/>
              <w:left w:val="nil"/>
              <w:bottom w:val="single" w:color="auto" w:sz="4" w:space="0"/>
              <w:right w:val="single" w:color="auto" w:sz="4" w:space="0"/>
            </w:tcBorders>
            <w:noWrap w:val="0"/>
            <w:vAlign w:val="center"/>
          </w:tcPr>
          <w:p w14:paraId="22DCC4B6">
            <w:pPr>
              <w:spacing w:line="360" w:lineRule="auto"/>
              <w:jc w:val="both"/>
              <w:rPr>
                <w:rFonts w:hint="eastAsia"/>
                <w:lang w:val="en-US" w:eastAsia="zh-CN"/>
              </w:rPr>
            </w:pPr>
            <w:r>
              <w:rPr>
                <w:rFonts w:hint="eastAsia" w:ascii="宋体" w:hAnsi="宋体" w:eastAsia="宋体" w:cs="宋体"/>
                <w:color w:val="auto"/>
                <w:sz w:val="24"/>
                <w:szCs w:val="24"/>
              </w:rPr>
              <w:t>本</w:t>
            </w:r>
            <w:r>
              <w:rPr>
                <w:rFonts w:hint="eastAsia" w:ascii="宋体" w:hAnsi="宋体" w:eastAsia="宋体" w:cs="Calibri"/>
                <w:color w:val="auto"/>
                <w:kern w:val="2"/>
                <w:sz w:val="24"/>
                <w:szCs w:val="24"/>
                <w:highlight w:val="none"/>
              </w:rPr>
              <w:t>项目</w:t>
            </w:r>
            <w:r>
              <w:rPr>
                <w:rFonts w:hint="eastAsia" w:ascii="宋体" w:hAnsi="宋体" w:eastAsia="宋体" w:cs="Calibri"/>
                <w:color w:val="auto"/>
                <w:kern w:val="2"/>
                <w:sz w:val="24"/>
                <w:szCs w:val="24"/>
                <w:highlight w:val="none"/>
                <w:lang w:val="en-US" w:eastAsia="zh-CN"/>
              </w:rPr>
              <w:t>不划分标段</w:t>
            </w:r>
          </w:p>
        </w:tc>
      </w:tr>
      <w:tr w14:paraId="18833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21B0E0FE">
            <w:pPr>
              <w:widowControl/>
              <w:spacing w:before="0" w:beforeLines="0" w:beforeAutospacing="0" w:afterAutospacing="0" w:line="360" w:lineRule="auto"/>
              <w:ind w:left="0" w:right="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8</w:t>
            </w:r>
          </w:p>
        </w:tc>
        <w:tc>
          <w:tcPr>
            <w:tcW w:w="1552" w:type="dxa"/>
            <w:tcBorders>
              <w:top w:val="single" w:color="auto" w:sz="4" w:space="0"/>
              <w:left w:val="single" w:color="auto" w:sz="4" w:space="0"/>
              <w:bottom w:val="single" w:color="auto" w:sz="4" w:space="0"/>
              <w:right w:val="single" w:color="auto" w:sz="4" w:space="0"/>
            </w:tcBorders>
            <w:noWrap w:val="0"/>
            <w:vAlign w:val="center"/>
          </w:tcPr>
          <w:p w14:paraId="61311A24">
            <w:pPr>
              <w:widowControl/>
              <w:spacing w:before="0" w:beforeLines="0" w:beforeAutospacing="0" w:after="0" w:afterLines="0" w:afterAutospacing="0" w:line="400" w:lineRule="exact"/>
              <w:ind w:left="0" w:right="0"/>
              <w:jc w:val="center"/>
              <w:rPr>
                <w:rFonts w:hint="eastAsia" w:ascii="宋体" w:hAnsi="宋体" w:eastAsia="宋体" w:cs="仿宋"/>
                <w:color w:val="auto"/>
                <w:kern w:val="2"/>
                <w:sz w:val="24"/>
                <w:szCs w:val="24"/>
                <w:highlight w:val="none"/>
                <w:lang w:eastAsia="zh-CN"/>
              </w:rPr>
            </w:pPr>
            <w:r>
              <w:rPr>
                <w:rFonts w:hint="eastAsia" w:ascii="宋体" w:hAnsi="宋体" w:eastAsia="宋体" w:cs="仿宋"/>
                <w:color w:val="auto"/>
                <w:kern w:val="2"/>
                <w:sz w:val="24"/>
                <w:szCs w:val="24"/>
                <w:highlight w:val="none"/>
              </w:rPr>
              <w:t>资金来源</w:t>
            </w:r>
            <w:r>
              <w:rPr>
                <w:rFonts w:hint="eastAsia" w:ascii="宋体" w:hAnsi="宋体" w:eastAsia="宋体" w:cs="仿宋"/>
                <w:color w:val="auto"/>
                <w:kern w:val="2"/>
                <w:sz w:val="24"/>
                <w:szCs w:val="24"/>
                <w:highlight w:val="none"/>
                <w:lang w:eastAsia="zh-CN"/>
              </w:rPr>
              <w:t>及落实情况</w:t>
            </w:r>
          </w:p>
        </w:tc>
        <w:tc>
          <w:tcPr>
            <w:tcW w:w="7626" w:type="dxa"/>
            <w:tcBorders>
              <w:top w:val="single" w:color="auto" w:sz="4" w:space="0"/>
              <w:left w:val="single" w:color="auto" w:sz="4" w:space="0"/>
              <w:bottom w:val="single" w:color="auto" w:sz="4" w:space="0"/>
              <w:right w:val="single" w:color="auto" w:sz="4" w:space="0"/>
            </w:tcBorders>
            <w:noWrap w:val="0"/>
            <w:vAlign w:val="center"/>
          </w:tcPr>
          <w:p w14:paraId="1C6BC602">
            <w:pPr>
              <w:widowControl/>
              <w:spacing w:before="0" w:beforeLines="0" w:beforeAutospacing="0" w:after="0" w:afterLines="0" w:afterAutospacing="0" w:line="400" w:lineRule="exact"/>
              <w:ind w:left="0" w:right="0"/>
              <w:jc w:val="left"/>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财政资金</w:t>
            </w:r>
            <w:r>
              <w:rPr>
                <w:rFonts w:hint="eastAsia" w:ascii="宋体" w:hAnsi="宋体" w:eastAsia="宋体" w:cs="仿宋"/>
                <w:color w:val="auto"/>
                <w:kern w:val="2"/>
                <w:sz w:val="24"/>
                <w:szCs w:val="24"/>
                <w:highlight w:val="none"/>
              </w:rPr>
              <w:t>，已落实</w:t>
            </w:r>
          </w:p>
        </w:tc>
      </w:tr>
      <w:tr w14:paraId="52CCD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7E12A889">
            <w:pPr>
              <w:widowControl/>
              <w:spacing w:before="0" w:beforeLines="0" w:beforeAutospacing="0" w:afterAutospacing="0" w:line="360" w:lineRule="auto"/>
              <w:ind w:left="0" w:right="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9</w:t>
            </w:r>
          </w:p>
        </w:tc>
        <w:tc>
          <w:tcPr>
            <w:tcW w:w="1552" w:type="dxa"/>
            <w:tcBorders>
              <w:top w:val="single" w:color="auto" w:sz="4" w:space="0"/>
              <w:left w:val="nil"/>
              <w:bottom w:val="single" w:color="auto" w:sz="4" w:space="0"/>
              <w:right w:val="single" w:color="auto" w:sz="4" w:space="0"/>
            </w:tcBorders>
            <w:noWrap w:val="0"/>
            <w:vAlign w:val="center"/>
          </w:tcPr>
          <w:p w14:paraId="5173601F">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项目概况</w:t>
            </w:r>
          </w:p>
        </w:tc>
        <w:tc>
          <w:tcPr>
            <w:tcW w:w="7626" w:type="dxa"/>
            <w:tcBorders>
              <w:top w:val="single" w:color="auto" w:sz="4" w:space="0"/>
              <w:left w:val="nil"/>
              <w:bottom w:val="single" w:color="auto" w:sz="4" w:space="0"/>
              <w:right w:val="single" w:color="auto" w:sz="4" w:space="0"/>
            </w:tcBorders>
            <w:noWrap w:val="0"/>
            <w:vAlign w:val="center"/>
          </w:tcPr>
          <w:p w14:paraId="1A6897F9">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宋体"/>
                <w:color w:val="auto"/>
                <w:sz w:val="24"/>
                <w:szCs w:val="24"/>
                <w:lang w:eastAsia="zh-CN"/>
              </w:rPr>
              <w:t>本工程为灵宝市阳平镇政府专职消防队建设项目。</w:t>
            </w:r>
            <w:r>
              <w:rPr>
                <w:rFonts w:hint="eastAsia" w:ascii="宋体" w:hAnsi="宋体" w:eastAsia="宋体" w:cs="宋体"/>
                <w:color w:val="auto"/>
                <w:sz w:val="24"/>
                <w:szCs w:val="24"/>
                <w:lang w:val="en-US" w:eastAsia="zh-CN"/>
              </w:rPr>
              <w:t>工程主要内容主要内容为阳平镇消防站办公楼改造、新建门卫室、车库、室外工程等</w:t>
            </w:r>
            <w:r>
              <w:rPr>
                <w:rFonts w:hint="eastAsia" w:ascii="宋体" w:hAnsi="宋体" w:eastAsia="宋体" w:cs="宋体"/>
                <w:color w:val="auto"/>
                <w:sz w:val="24"/>
                <w:szCs w:val="24"/>
                <w:lang w:eastAsia="zh-CN"/>
              </w:rPr>
              <w:t>，具体内容详见工程量清单。</w:t>
            </w:r>
          </w:p>
        </w:tc>
      </w:tr>
      <w:tr w14:paraId="0A76B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7"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3E7BD24F">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10</w:t>
            </w:r>
          </w:p>
        </w:tc>
        <w:tc>
          <w:tcPr>
            <w:tcW w:w="1552" w:type="dxa"/>
            <w:tcBorders>
              <w:top w:val="single" w:color="auto" w:sz="4" w:space="0"/>
              <w:left w:val="nil"/>
              <w:bottom w:val="single" w:color="auto" w:sz="4" w:space="0"/>
              <w:right w:val="single" w:color="auto" w:sz="4" w:space="0"/>
            </w:tcBorders>
            <w:noWrap w:val="0"/>
            <w:vAlign w:val="center"/>
          </w:tcPr>
          <w:p w14:paraId="7810B85D">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范围</w:t>
            </w:r>
          </w:p>
        </w:tc>
        <w:tc>
          <w:tcPr>
            <w:tcW w:w="7626" w:type="dxa"/>
            <w:tcBorders>
              <w:top w:val="single" w:color="auto" w:sz="4" w:space="0"/>
              <w:left w:val="nil"/>
              <w:bottom w:val="single" w:color="auto" w:sz="4" w:space="0"/>
              <w:right w:val="single" w:color="auto" w:sz="4" w:space="0"/>
            </w:tcBorders>
            <w:noWrap w:val="0"/>
            <w:vAlign w:val="center"/>
          </w:tcPr>
          <w:p w14:paraId="221F353A">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sz w:val="24"/>
                <w:szCs w:val="24"/>
              </w:rPr>
              <w:t>本项目磋商文件、工程量清单、图纸等列明的所有内容</w:t>
            </w:r>
          </w:p>
        </w:tc>
      </w:tr>
      <w:tr w14:paraId="12C95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2"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2175A85C">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11</w:t>
            </w:r>
          </w:p>
        </w:tc>
        <w:tc>
          <w:tcPr>
            <w:tcW w:w="1552" w:type="dxa"/>
            <w:tcBorders>
              <w:top w:val="single" w:color="auto" w:sz="4" w:space="0"/>
              <w:left w:val="nil"/>
              <w:bottom w:val="single" w:color="auto" w:sz="4" w:space="0"/>
              <w:right w:val="single" w:color="auto" w:sz="4" w:space="0"/>
            </w:tcBorders>
            <w:noWrap w:val="0"/>
            <w:vAlign w:val="center"/>
          </w:tcPr>
          <w:p w14:paraId="7FED3C17">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计划</w:t>
            </w:r>
            <w:r>
              <w:rPr>
                <w:rFonts w:hint="eastAsia" w:ascii="宋体" w:hAnsi="宋体" w:eastAsia="宋体" w:cs="仿宋"/>
                <w:color w:val="auto"/>
                <w:kern w:val="2"/>
                <w:sz w:val="24"/>
                <w:szCs w:val="24"/>
                <w:highlight w:val="none"/>
              </w:rPr>
              <w:t>工期</w:t>
            </w:r>
          </w:p>
        </w:tc>
        <w:tc>
          <w:tcPr>
            <w:tcW w:w="7626" w:type="dxa"/>
            <w:tcBorders>
              <w:top w:val="single" w:color="auto" w:sz="4" w:space="0"/>
              <w:left w:val="nil"/>
              <w:bottom w:val="single" w:color="auto" w:sz="4" w:space="0"/>
              <w:right w:val="single" w:color="auto" w:sz="4" w:space="0"/>
            </w:tcBorders>
            <w:noWrap w:val="0"/>
            <w:vAlign w:val="center"/>
          </w:tcPr>
          <w:p w14:paraId="2EE222ED">
            <w:pPr>
              <w:widowControl/>
              <w:spacing w:before="0" w:beforeLines="0" w:beforeAutospacing="0" w:after="0" w:afterLines="0" w:afterAutospacing="0" w:line="400" w:lineRule="exact"/>
              <w:ind w:left="0" w:right="0"/>
              <w:rPr>
                <w:rFonts w:hint="default" w:ascii="宋体" w:hAnsi="宋体" w:eastAsia="宋体" w:cs="仿宋"/>
                <w:color w:val="auto"/>
                <w:kern w:val="2"/>
                <w:sz w:val="24"/>
                <w:szCs w:val="24"/>
                <w:highlight w:val="none"/>
                <w:lang w:val="en-US" w:eastAsia="zh-CN"/>
              </w:rPr>
            </w:pPr>
            <w:r>
              <w:rPr>
                <w:rFonts w:hint="eastAsia" w:ascii="宋体" w:hAnsi="宋体" w:eastAsia="宋体" w:cs="仿宋"/>
                <w:color w:val="auto"/>
                <w:kern w:val="2"/>
                <w:sz w:val="24"/>
                <w:szCs w:val="24"/>
                <w:highlight w:val="none"/>
                <w:lang w:val="en-US" w:eastAsia="zh-CN"/>
              </w:rPr>
              <w:t>240日历天</w:t>
            </w:r>
          </w:p>
        </w:tc>
      </w:tr>
      <w:tr w14:paraId="671A7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1"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2B73800B">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12</w:t>
            </w:r>
          </w:p>
        </w:tc>
        <w:tc>
          <w:tcPr>
            <w:tcW w:w="1552" w:type="dxa"/>
            <w:tcBorders>
              <w:top w:val="single" w:color="auto" w:sz="4" w:space="0"/>
              <w:left w:val="nil"/>
              <w:bottom w:val="single" w:color="auto" w:sz="4" w:space="0"/>
              <w:right w:val="single" w:color="auto" w:sz="4" w:space="0"/>
            </w:tcBorders>
            <w:noWrap w:val="0"/>
            <w:vAlign w:val="center"/>
          </w:tcPr>
          <w:p w14:paraId="794D1EF1">
            <w:pPr>
              <w:widowControl/>
              <w:spacing w:before="0" w:beforeLines="0" w:beforeAutospacing="0" w:after="0" w:afterLines="0" w:afterAutospacing="0" w:line="400" w:lineRule="exact"/>
              <w:ind w:left="0" w:right="0"/>
              <w:jc w:val="center"/>
              <w:rPr>
                <w:rFonts w:hint="eastAsia" w:ascii="宋体" w:hAnsi="宋体" w:eastAsia="宋体" w:cs="仿宋"/>
                <w:color w:val="auto"/>
                <w:kern w:val="2"/>
                <w:sz w:val="24"/>
                <w:szCs w:val="24"/>
                <w:highlight w:val="none"/>
                <w:lang w:val="en-US" w:eastAsia="zh-CN"/>
              </w:rPr>
            </w:pPr>
            <w:r>
              <w:rPr>
                <w:rFonts w:hint="eastAsia" w:ascii="宋体" w:hAnsi="宋体" w:eastAsia="宋体" w:cs="仿宋"/>
                <w:color w:val="auto"/>
                <w:kern w:val="2"/>
                <w:sz w:val="24"/>
                <w:szCs w:val="24"/>
                <w:highlight w:val="none"/>
                <w:lang w:val="en-US" w:eastAsia="zh-CN"/>
              </w:rPr>
              <w:t>质量要求</w:t>
            </w:r>
          </w:p>
        </w:tc>
        <w:tc>
          <w:tcPr>
            <w:tcW w:w="7626" w:type="dxa"/>
            <w:tcBorders>
              <w:top w:val="single" w:color="auto" w:sz="4" w:space="0"/>
              <w:left w:val="nil"/>
              <w:bottom w:val="single" w:color="auto" w:sz="4" w:space="0"/>
              <w:right w:val="single" w:color="auto" w:sz="4" w:space="0"/>
            </w:tcBorders>
            <w:noWrap w:val="0"/>
            <w:vAlign w:val="center"/>
          </w:tcPr>
          <w:p w14:paraId="6C5FE7A7">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val="en-US" w:eastAsia="zh-CN"/>
              </w:rPr>
            </w:pPr>
            <w:r>
              <w:rPr>
                <w:rFonts w:hint="eastAsia" w:ascii="宋体" w:hAnsi="宋体" w:eastAsia="宋体" w:cs="宋体"/>
                <w:sz w:val="24"/>
                <w:szCs w:val="24"/>
                <w:lang w:val="en-US" w:eastAsia="zh-CN"/>
              </w:rPr>
              <w:t>达到国家质量验收规范合格标准</w:t>
            </w:r>
          </w:p>
        </w:tc>
      </w:tr>
      <w:tr w14:paraId="6741B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1"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7F6908D5">
            <w:pPr>
              <w:widowControl/>
              <w:spacing w:before="0" w:beforeLines="0" w:beforeAutospacing="0" w:afterAutospacing="0" w:line="360" w:lineRule="auto"/>
              <w:ind w:left="0" w:right="0"/>
              <w:jc w:val="center"/>
              <w:rPr>
                <w:rFonts w:hint="eastAsia" w:ascii="宋体" w:hAnsi="宋体" w:eastAsia="宋体" w:cs="宋体"/>
                <w:color w:val="auto"/>
                <w:kern w:val="2"/>
                <w:sz w:val="24"/>
                <w:szCs w:val="24"/>
                <w:highlight w:val="yellow"/>
                <w:lang w:eastAsia="zh-CN"/>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p>
        </w:tc>
        <w:tc>
          <w:tcPr>
            <w:tcW w:w="1552" w:type="dxa"/>
            <w:tcBorders>
              <w:top w:val="single" w:color="auto" w:sz="4" w:space="0"/>
              <w:left w:val="nil"/>
              <w:bottom w:val="single" w:color="auto" w:sz="4" w:space="0"/>
              <w:right w:val="single" w:color="auto" w:sz="4" w:space="0"/>
            </w:tcBorders>
            <w:noWrap w:val="0"/>
            <w:vAlign w:val="center"/>
          </w:tcPr>
          <w:p w14:paraId="478DA454">
            <w:pPr>
              <w:widowControl/>
              <w:spacing w:before="0" w:beforeLines="0" w:beforeAutospacing="0" w:after="0" w:afterLines="0" w:afterAutospacing="0" w:line="400" w:lineRule="exact"/>
              <w:ind w:left="0" w:leftChars="0" w:right="0" w:rightChars="0"/>
              <w:jc w:val="center"/>
              <w:rPr>
                <w:rFonts w:ascii="宋体" w:hAnsi="宋体" w:eastAsia="宋体" w:cs="Calibri"/>
                <w:color w:val="auto"/>
                <w:kern w:val="2"/>
                <w:sz w:val="24"/>
                <w:szCs w:val="24"/>
                <w:highlight w:val="yellow"/>
              </w:rPr>
            </w:pPr>
            <w:r>
              <w:rPr>
                <w:rFonts w:hint="eastAsia" w:ascii="宋体" w:hAnsi="宋体" w:eastAsia="宋体"/>
                <w:sz w:val="24"/>
                <w:szCs w:val="24"/>
              </w:rPr>
              <w:t>安全目标</w:t>
            </w:r>
          </w:p>
        </w:tc>
        <w:tc>
          <w:tcPr>
            <w:tcW w:w="7626" w:type="dxa"/>
            <w:tcBorders>
              <w:top w:val="single" w:color="auto" w:sz="4" w:space="0"/>
              <w:left w:val="nil"/>
              <w:bottom w:val="single" w:color="auto" w:sz="4" w:space="0"/>
              <w:right w:val="single" w:color="auto" w:sz="4" w:space="0"/>
            </w:tcBorders>
            <w:noWrap w:val="0"/>
            <w:vAlign w:val="center"/>
          </w:tcPr>
          <w:p w14:paraId="75FCC116">
            <w:pPr>
              <w:widowControl/>
              <w:spacing w:before="0" w:beforeLines="0" w:beforeAutospacing="0" w:after="0" w:afterLines="0" w:afterAutospacing="0" w:line="400" w:lineRule="exact"/>
              <w:ind w:left="0" w:leftChars="0" w:right="0" w:rightChars="0"/>
              <w:rPr>
                <w:rFonts w:hint="default" w:ascii="宋体" w:hAnsi="宋体" w:eastAsia="宋体" w:cs="Calibri"/>
                <w:color w:val="auto"/>
                <w:kern w:val="2"/>
                <w:sz w:val="24"/>
                <w:szCs w:val="24"/>
                <w:highlight w:val="yellow"/>
                <w:lang w:val="en-US"/>
              </w:rPr>
            </w:pPr>
            <w:r>
              <w:rPr>
                <w:rFonts w:hint="eastAsia" w:ascii="宋体" w:hAnsi="宋体" w:eastAsia="宋体"/>
                <w:sz w:val="24"/>
                <w:szCs w:val="24"/>
              </w:rPr>
              <w:t xml:space="preserve">零事故 </w:t>
            </w:r>
          </w:p>
        </w:tc>
      </w:tr>
      <w:tr w14:paraId="5DE4D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7E3CFC3D">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14</w:t>
            </w:r>
          </w:p>
        </w:tc>
        <w:tc>
          <w:tcPr>
            <w:tcW w:w="1552" w:type="dxa"/>
            <w:tcBorders>
              <w:top w:val="single" w:color="auto" w:sz="4" w:space="0"/>
              <w:left w:val="single" w:color="auto" w:sz="4" w:space="0"/>
              <w:bottom w:val="single" w:color="auto" w:sz="4" w:space="0"/>
              <w:right w:val="single" w:color="auto" w:sz="4" w:space="0"/>
            </w:tcBorders>
            <w:noWrap w:val="0"/>
            <w:vAlign w:val="center"/>
          </w:tcPr>
          <w:p w14:paraId="2D5F3B7A">
            <w:pPr>
              <w:widowControl/>
              <w:spacing w:before="0" w:beforeLines="0" w:beforeAutospacing="0" w:after="0" w:afterLines="0" w:afterAutospacing="0" w:line="400" w:lineRule="exact"/>
              <w:ind w:left="0" w:right="0"/>
              <w:jc w:val="center"/>
              <w:rPr>
                <w:rFonts w:hint="eastAsia" w:ascii="宋体" w:hAnsi="宋体" w:eastAsia="宋体" w:cs="Calibri"/>
                <w:color w:val="auto"/>
                <w:kern w:val="2"/>
                <w:sz w:val="24"/>
                <w:szCs w:val="24"/>
                <w:highlight w:val="none"/>
                <w:lang w:val="en-US" w:eastAsia="zh-CN"/>
              </w:rPr>
            </w:pPr>
            <w:r>
              <w:rPr>
                <w:rFonts w:hint="eastAsia" w:ascii="宋体" w:hAnsi="宋体" w:eastAsia="宋体" w:cs="Calibri"/>
                <w:color w:val="auto"/>
                <w:kern w:val="2"/>
                <w:sz w:val="24"/>
                <w:szCs w:val="24"/>
                <w:highlight w:val="none"/>
                <w:lang w:val="en-US" w:eastAsia="zh-CN"/>
              </w:rPr>
              <w:t>是否接受进口产品</w:t>
            </w:r>
          </w:p>
        </w:tc>
        <w:tc>
          <w:tcPr>
            <w:tcW w:w="7626" w:type="dxa"/>
            <w:tcBorders>
              <w:top w:val="single" w:color="auto" w:sz="4" w:space="0"/>
              <w:left w:val="nil"/>
              <w:bottom w:val="single" w:color="auto" w:sz="4" w:space="0"/>
              <w:right w:val="single" w:color="auto" w:sz="4" w:space="0"/>
            </w:tcBorders>
            <w:noWrap w:val="0"/>
            <w:vAlign w:val="center"/>
          </w:tcPr>
          <w:p w14:paraId="52D3AC84">
            <w:pPr>
              <w:widowControl/>
              <w:spacing w:before="0" w:beforeLines="0" w:beforeAutospacing="0" w:after="0" w:afterLines="0" w:afterAutospacing="0" w:line="400" w:lineRule="exact"/>
              <w:ind w:left="0" w:right="0"/>
              <w:jc w:val="both"/>
              <w:rPr>
                <w:rFonts w:hint="eastAsia" w:ascii="宋体" w:hAnsi="宋体" w:eastAsia="宋体" w:cs="Calibri"/>
                <w:color w:val="auto"/>
                <w:kern w:val="2"/>
                <w:sz w:val="24"/>
                <w:szCs w:val="24"/>
                <w:highlight w:val="none"/>
                <w:lang w:val="en-US" w:eastAsia="zh-CN"/>
              </w:rPr>
            </w:pPr>
            <w:r>
              <w:rPr>
                <w:rFonts w:hint="eastAsia" w:ascii="宋体" w:hAnsi="宋体" w:eastAsia="宋体" w:cs="Calibri"/>
                <w:color w:val="auto"/>
                <w:kern w:val="2"/>
                <w:sz w:val="24"/>
                <w:szCs w:val="24"/>
                <w:highlight w:val="none"/>
                <w:lang w:val="en-US" w:eastAsia="zh-CN"/>
              </w:rPr>
              <w:t>否</w:t>
            </w:r>
          </w:p>
          <w:p w14:paraId="3CC0C76C">
            <w:pPr>
              <w:widowControl/>
              <w:spacing w:before="0" w:beforeLines="0" w:beforeAutospacing="0" w:after="0" w:afterLines="0" w:afterAutospacing="0" w:line="400" w:lineRule="exact"/>
              <w:ind w:left="0" w:right="0"/>
              <w:jc w:val="both"/>
              <w:rPr>
                <w:rFonts w:hint="eastAsia" w:ascii="宋体" w:hAnsi="宋体" w:eastAsia="宋体" w:cs="Calibri"/>
                <w:color w:val="auto"/>
                <w:kern w:val="2"/>
                <w:sz w:val="24"/>
                <w:szCs w:val="24"/>
                <w:highlight w:val="none"/>
                <w:lang w:val="en-US" w:eastAsia="zh-CN"/>
              </w:rPr>
            </w:pPr>
          </w:p>
        </w:tc>
      </w:tr>
      <w:tr w14:paraId="79B45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3684EA5C">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15</w:t>
            </w:r>
          </w:p>
        </w:tc>
        <w:tc>
          <w:tcPr>
            <w:tcW w:w="1552" w:type="dxa"/>
            <w:tcBorders>
              <w:top w:val="single" w:color="auto" w:sz="4" w:space="0"/>
              <w:left w:val="single" w:color="auto" w:sz="4" w:space="0"/>
              <w:bottom w:val="single" w:color="auto" w:sz="4" w:space="0"/>
              <w:right w:val="single" w:color="auto" w:sz="4" w:space="0"/>
            </w:tcBorders>
            <w:noWrap w:val="0"/>
            <w:vAlign w:val="center"/>
          </w:tcPr>
          <w:p w14:paraId="42807878">
            <w:pPr>
              <w:widowControl/>
              <w:spacing w:before="0" w:beforeLines="0" w:beforeAutospacing="0" w:after="0" w:afterLines="0" w:afterAutospacing="0" w:line="400" w:lineRule="exact"/>
              <w:ind w:left="0" w:right="0"/>
              <w:jc w:val="center"/>
              <w:rPr>
                <w:rFonts w:hint="eastAsia" w:ascii="宋体" w:hAnsi="宋体" w:eastAsia="宋体" w:cs="仿宋"/>
                <w:color w:val="auto"/>
                <w:kern w:val="2"/>
                <w:sz w:val="24"/>
                <w:szCs w:val="24"/>
                <w:highlight w:val="none"/>
              </w:rPr>
            </w:pPr>
            <w:r>
              <w:rPr>
                <w:rFonts w:hint="eastAsia" w:ascii="宋体" w:hAnsi="宋体" w:eastAsia="宋体" w:cs="Calibri"/>
                <w:color w:val="auto"/>
                <w:kern w:val="2"/>
                <w:sz w:val="24"/>
                <w:szCs w:val="24"/>
                <w:highlight w:val="none"/>
                <w:lang w:val="en-US" w:eastAsia="zh-CN"/>
              </w:rPr>
              <w:t>是否专门面向中小企业</w:t>
            </w:r>
          </w:p>
        </w:tc>
        <w:tc>
          <w:tcPr>
            <w:tcW w:w="7626" w:type="dxa"/>
            <w:tcBorders>
              <w:top w:val="single" w:color="auto" w:sz="4" w:space="0"/>
              <w:left w:val="nil"/>
              <w:bottom w:val="single" w:color="auto" w:sz="4" w:space="0"/>
              <w:right w:val="single" w:color="auto" w:sz="4" w:space="0"/>
            </w:tcBorders>
            <w:noWrap w:val="0"/>
            <w:vAlign w:val="center"/>
          </w:tcPr>
          <w:p w14:paraId="459EF265">
            <w:pPr>
              <w:widowControl/>
              <w:spacing w:before="0" w:beforeLines="0" w:beforeAutospacing="0" w:after="0" w:afterLines="0" w:afterAutospacing="0" w:line="360" w:lineRule="auto"/>
              <w:ind w:left="0" w:right="0"/>
              <w:rPr>
                <w:rFonts w:hint="eastAsia" w:ascii="宋体" w:hAnsi="宋体" w:eastAsia="宋体" w:cs="仿宋"/>
                <w:color w:val="auto"/>
                <w:kern w:val="2"/>
                <w:sz w:val="24"/>
                <w:szCs w:val="24"/>
                <w:highlight w:val="none"/>
                <w:lang w:eastAsia="zh-CN"/>
              </w:rPr>
            </w:pPr>
            <w:r>
              <w:rPr>
                <w:rFonts w:hint="eastAsia" w:ascii="宋体" w:hAnsi="宋体" w:eastAsia="宋体" w:cs="仿宋"/>
                <w:color w:val="auto"/>
                <w:kern w:val="2"/>
                <w:sz w:val="24"/>
                <w:szCs w:val="24"/>
                <w:highlight w:val="none"/>
                <w:lang w:eastAsia="zh-CN"/>
              </w:rPr>
              <w:t>是</w:t>
            </w:r>
          </w:p>
        </w:tc>
      </w:tr>
      <w:tr w14:paraId="5B780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7081B876">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16</w:t>
            </w:r>
          </w:p>
        </w:tc>
        <w:tc>
          <w:tcPr>
            <w:tcW w:w="1552" w:type="dxa"/>
            <w:tcBorders>
              <w:top w:val="single" w:color="auto" w:sz="4" w:space="0"/>
              <w:left w:val="single" w:color="auto" w:sz="4" w:space="0"/>
              <w:bottom w:val="single" w:color="auto" w:sz="4" w:space="0"/>
              <w:right w:val="single" w:color="auto" w:sz="4" w:space="0"/>
            </w:tcBorders>
            <w:noWrap w:val="0"/>
            <w:vAlign w:val="center"/>
          </w:tcPr>
          <w:p w14:paraId="6FBAB1DD">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供应商的资质、能力</w:t>
            </w:r>
          </w:p>
        </w:tc>
        <w:tc>
          <w:tcPr>
            <w:tcW w:w="7626" w:type="dxa"/>
            <w:tcBorders>
              <w:top w:val="single" w:color="auto" w:sz="4" w:space="0"/>
              <w:left w:val="nil"/>
              <w:bottom w:val="single" w:color="auto" w:sz="4" w:space="0"/>
              <w:right w:val="single" w:color="auto" w:sz="4" w:space="0"/>
            </w:tcBorders>
            <w:noWrap w:val="0"/>
            <w:vAlign w:val="center"/>
          </w:tcPr>
          <w:p w14:paraId="2D29F260">
            <w:pPr>
              <w:widowControl/>
              <w:spacing w:before="0" w:beforeLines="0" w:beforeAutospacing="0" w:after="0" w:afterLines="0" w:afterAutospacing="0" w:line="360" w:lineRule="auto"/>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具体详见公告部分</w:t>
            </w:r>
          </w:p>
        </w:tc>
      </w:tr>
      <w:tr w14:paraId="592DE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5E58C5E3">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17</w:t>
            </w:r>
          </w:p>
        </w:tc>
        <w:tc>
          <w:tcPr>
            <w:tcW w:w="1552" w:type="dxa"/>
            <w:tcBorders>
              <w:top w:val="single" w:color="auto" w:sz="4" w:space="0"/>
              <w:left w:val="nil"/>
              <w:bottom w:val="single" w:color="auto" w:sz="4" w:space="0"/>
              <w:right w:val="single" w:color="auto" w:sz="4" w:space="0"/>
            </w:tcBorders>
            <w:noWrap w:val="0"/>
            <w:vAlign w:val="center"/>
          </w:tcPr>
          <w:p w14:paraId="148E7DE6">
            <w:pPr>
              <w:widowControl/>
              <w:spacing w:before="0" w:beforeLines="0" w:beforeAutospacing="0" w:after="0" w:afterLines="0" w:afterAutospacing="0" w:line="400" w:lineRule="exact"/>
              <w:ind w:left="0" w:right="0"/>
              <w:jc w:val="center"/>
              <w:rPr>
                <w:rFonts w:hint="eastAsia" w:ascii="宋体" w:hAnsi="宋体" w:eastAsia="宋体" w:cs="仿宋"/>
                <w:color w:val="auto"/>
                <w:kern w:val="2"/>
                <w:sz w:val="24"/>
                <w:szCs w:val="24"/>
                <w:highlight w:val="none"/>
                <w:lang w:eastAsia="zh-CN"/>
              </w:rPr>
            </w:pPr>
            <w:r>
              <w:rPr>
                <w:rFonts w:hint="eastAsia" w:ascii="宋体" w:hAnsi="宋体" w:eastAsia="宋体" w:cs="仿宋"/>
                <w:color w:val="auto"/>
                <w:kern w:val="2"/>
                <w:sz w:val="24"/>
                <w:szCs w:val="24"/>
                <w:highlight w:val="none"/>
              </w:rPr>
              <w:t>是否接受联合体</w:t>
            </w:r>
            <w:r>
              <w:rPr>
                <w:rFonts w:hint="eastAsia" w:ascii="宋体" w:hAnsi="宋体" w:eastAsia="宋体" w:cs="仿宋"/>
                <w:color w:val="auto"/>
                <w:kern w:val="2"/>
                <w:sz w:val="24"/>
                <w:szCs w:val="24"/>
                <w:highlight w:val="none"/>
                <w:lang w:val="en-US" w:eastAsia="zh-CN"/>
              </w:rPr>
              <w:t>磋商</w:t>
            </w:r>
          </w:p>
        </w:tc>
        <w:tc>
          <w:tcPr>
            <w:tcW w:w="7626" w:type="dxa"/>
            <w:tcBorders>
              <w:top w:val="single" w:color="auto" w:sz="4" w:space="0"/>
              <w:left w:val="nil"/>
              <w:bottom w:val="single" w:color="auto" w:sz="4" w:space="0"/>
              <w:right w:val="single" w:color="auto" w:sz="4" w:space="0"/>
            </w:tcBorders>
            <w:noWrap w:val="0"/>
            <w:vAlign w:val="center"/>
          </w:tcPr>
          <w:p w14:paraId="18BF316A">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不接受</w:t>
            </w:r>
          </w:p>
        </w:tc>
      </w:tr>
      <w:tr w14:paraId="486CD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6F9DA3C6">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18</w:t>
            </w:r>
          </w:p>
        </w:tc>
        <w:tc>
          <w:tcPr>
            <w:tcW w:w="1552" w:type="dxa"/>
            <w:tcBorders>
              <w:top w:val="single" w:color="auto" w:sz="4" w:space="0"/>
              <w:left w:val="nil"/>
              <w:bottom w:val="single" w:color="auto" w:sz="4" w:space="0"/>
              <w:right w:val="single" w:color="auto" w:sz="4" w:space="0"/>
            </w:tcBorders>
            <w:noWrap w:val="0"/>
            <w:vAlign w:val="center"/>
          </w:tcPr>
          <w:p w14:paraId="0041BAAB">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踏勘现场</w:t>
            </w:r>
          </w:p>
        </w:tc>
        <w:tc>
          <w:tcPr>
            <w:tcW w:w="7626" w:type="dxa"/>
            <w:tcBorders>
              <w:top w:val="single" w:color="auto" w:sz="4" w:space="0"/>
              <w:left w:val="nil"/>
              <w:bottom w:val="single" w:color="auto" w:sz="4" w:space="0"/>
              <w:right w:val="single" w:color="auto" w:sz="4" w:space="0"/>
            </w:tcBorders>
            <w:noWrap w:val="0"/>
            <w:vAlign w:val="center"/>
          </w:tcPr>
          <w:p w14:paraId="31F9D72C">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不组织</w:t>
            </w:r>
          </w:p>
        </w:tc>
      </w:tr>
      <w:tr w14:paraId="3794E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376CFA65">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19</w:t>
            </w:r>
          </w:p>
        </w:tc>
        <w:tc>
          <w:tcPr>
            <w:tcW w:w="1552" w:type="dxa"/>
            <w:tcBorders>
              <w:top w:val="single" w:color="auto" w:sz="4" w:space="0"/>
              <w:left w:val="nil"/>
              <w:bottom w:val="single" w:color="auto" w:sz="4" w:space="0"/>
              <w:right w:val="single" w:color="auto" w:sz="4" w:space="0"/>
            </w:tcBorders>
            <w:noWrap w:val="0"/>
            <w:vAlign w:val="center"/>
          </w:tcPr>
          <w:p w14:paraId="175ADCB3">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预备会</w:t>
            </w:r>
          </w:p>
        </w:tc>
        <w:tc>
          <w:tcPr>
            <w:tcW w:w="7626" w:type="dxa"/>
            <w:tcBorders>
              <w:top w:val="single" w:color="auto" w:sz="4" w:space="0"/>
              <w:left w:val="nil"/>
              <w:bottom w:val="single" w:color="auto" w:sz="4" w:space="0"/>
              <w:right w:val="single" w:color="auto" w:sz="4" w:space="0"/>
            </w:tcBorders>
            <w:noWrap w:val="0"/>
            <w:vAlign w:val="center"/>
          </w:tcPr>
          <w:p w14:paraId="35C74CCB">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不召开</w:t>
            </w:r>
          </w:p>
        </w:tc>
      </w:tr>
      <w:tr w14:paraId="0B377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6"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2F9A2640">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20</w:t>
            </w:r>
          </w:p>
        </w:tc>
        <w:tc>
          <w:tcPr>
            <w:tcW w:w="1552" w:type="dxa"/>
            <w:tcBorders>
              <w:top w:val="single" w:color="auto" w:sz="4" w:space="0"/>
              <w:left w:val="nil"/>
              <w:bottom w:val="single" w:color="auto" w:sz="4" w:space="0"/>
              <w:right w:val="single" w:color="auto" w:sz="4" w:space="0"/>
            </w:tcBorders>
            <w:noWrap w:val="0"/>
            <w:vAlign w:val="center"/>
          </w:tcPr>
          <w:p w14:paraId="67BC5492">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分包</w:t>
            </w:r>
          </w:p>
        </w:tc>
        <w:tc>
          <w:tcPr>
            <w:tcW w:w="7626" w:type="dxa"/>
            <w:tcBorders>
              <w:top w:val="single" w:color="auto" w:sz="4" w:space="0"/>
              <w:left w:val="nil"/>
              <w:bottom w:val="single" w:color="auto" w:sz="4" w:space="0"/>
              <w:right w:val="single" w:color="auto" w:sz="4" w:space="0"/>
            </w:tcBorders>
            <w:noWrap w:val="0"/>
            <w:vAlign w:val="center"/>
          </w:tcPr>
          <w:p w14:paraId="1104F2FF">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不允许</w:t>
            </w:r>
          </w:p>
        </w:tc>
      </w:tr>
      <w:tr w14:paraId="6CD51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6"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2676097D">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w:t>
            </w:r>
          </w:p>
        </w:tc>
        <w:tc>
          <w:tcPr>
            <w:tcW w:w="1552" w:type="dxa"/>
            <w:tcBorders>
              <w:top w:val="single" w:color="auto" w:sz="4" w:space="0"/>
              <w:left w:val="nil"/>
              <w:bottom w:val="single" w:color="auto" w:sz="4" w:space="0"/>
              <w:right w:val="single" w:color="auto" w:sz="4" w:space="0"/>
            </w:tcBorders>
            <w:noWrap w:val="0"/>
            <w:vAlign w:val="center"/>
          </w:tcPr>
          <w:p w14:paraId="296390D2">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偏离</w:t>
            </w:r>
          </w:p>
        </w:tc>
        <w:tc>
          <w:tcPr>
            <w:tcW w:w="7626" w:type="dxa"/>
            <w:tcBorders>
              <w:top w:val="single" w:color="auto" w:sz="4" w:space="0"/>
              <w:left w:val="nil"/>
              <w:bottom w:val="single" w:color="auto" w:sz="4" w:space="0"/>
              <w:right w:val="single" w:color="auto" w:sz="4" w:space="0"/>
            </w:tcBorders>
            <w:noWrap w:val="0"/>
            <w:vAlign w:val="center"/>
          </w:tcPr>
          <w:p w14:paraId="5AE2FD8C">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eastAsia="zh-CN"/>
              </w:rPr>
            </w:pPr>
            <w:r>
              <w:rPr>
                <w:rFonts w:hint="eastAsia" w:ascii="宋体" w:hAnsi="宋体" w:eastAsia="宋体" w:cs="仿宋"/>
                <w:color w:val="auto"/>
                <w:kern w:val="2"/>
                <w:sz w:val="24"/>
                <w:szCs w:val="24"/>
                <w:highlight w:val="none"/>
                <w:lang w:val="en-US" w:eastAsia="zh-CN"/>
              </w:rPr>
              <w:t>不</w:t>
            </w:r>
            <w:r>
              <w:rPr>
                <w:rFonts w:hint="eastAsia" w:ascii="宋体" w:hAnsi="宋体" w:eastAsia="宋体" w:cs="仿宋"/>
                <w:color w:val="auto"/>
                <w:kern w:val="2"/>
                <w:sz w:val="24"/>
                <w:szCs w:val="24"/>
                <w:highlight w:val="none"/>
              </w:rPr>
              <w:t>允许</w:t>
            </w:r>
          </w:p>
        </w:tc>
      </w:tr>
      <w:tr w14:paraId="5736A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5"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52EDECC3">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22</w:t>
            </w:r>
          </w:p>
        </w:tc>
        <w:tc>
          <w:tcPr>
            <w:tcW w:w="1552" w:type="dxa"/>
            <w:tcBorders>
              <w:top w:val="single" w:color="auto" w:sz="4" w:space="0"/>
              <w:left w:val="nil"/>
              <w:bottom w:val="single" w:color="auto" w:sz="4" w:space="0"/>
              <w:right w:val="single" w:color="auto" w:sz="4" w:space="0"/>
            </w:tcBorders>
            <w:noWrap w:val="0"/>
            <w:vAlign w:val="center"/>
          </w:tcPr>
          <w:p w14:paraId="16912DCC">
            <w:pPr>
              <w:widowControl/>
              <w:spacing w:line="360" w:lineRule="auto"/>
              <w:jc w:val="center"/>
              <w:textAlignment w:val="auto"/>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采购人书面澄清的时间</w:t>
            </w:r>
          </w:p>
        </w:tc>
        <w:tc>
          <w:tcPr>
            <w:tcW w:w="7626" w:type="dxa"/>
            <w:tcBorders>
              <w:top w:val="single" w:color="auto" w:sz="4" w:space="0"/>
              <w:left w:val="nil"/>
              <w:bottom w:val="single" w:color="auto" w:sz="4" w:space="0"/>
              <w:right w:val="single" w:color="auto" w:sz="4" w:space="0"/>
            </w:tcBorders>
            <w:noWrap w:val="0"/>
            <w:vAlign w:val="center"/>
          </w:tcPr>
          <w:p w14:paraId="27DF9691">
            <w:pPr>
              <w:widowControl/>
              <w:spacing w:line="360" w:lineRule="auto"/>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递交响应文件的截止之日</w:t>
            </w:r>
            <w:r>
              <w:rPr>
                <w:rFonts w:hint="eastAsia" w:ascii="宋体" w:hAnsi="宋体" w:eastAsia="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rPr>
              <w:t>日前</w:t>
            </w:r>
          </w:p>
        </w:tc>
      </w:tr>
      <w:tr w14:paraId="2202B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3AF0A98D">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23</w:t>
            </w:r>
          </w:p>
        </w:tc>
        <w:tc>
          <w:tcPr>
            <w:tcW w:w="1552" w:type="dxa"/>
            <w:tcBorders>
              <w:top w:val="single" w:color="auto" w:sz="4" w:space="0"/>
              <w:left w:val="nil"/>
              <w:bottom w:val="single" w:color="auto" w:sz="4" w:space="0"/>
              <w:right w:val="single" w:color="auto" w:sz="4" w:space="0"/>
            </w:tcBorders>
            <w:noWrap w:val="0"/>
            <w:vAlign w:val="center"/>
          </w:tcPr>
          <w:p w14:paraId="5D559F8B">
            <w:pPr>
              <w:widowControl/>
              <w:spacing w:after="200" w:afterLines="0" w:line="360" w:lineRule="auto"/>
              <w:jc w:val="center"/>
              <w:textAlignment w:val="auto"/>
              <w:rPr>
                <w:rFonts w:ascii="宋体" w:hAnsi="宋体" w:eastAsia="宋体" w:cs="仿宋"/>
                <w:color w:val="auto"/>
                <w:kern w:val="2"/>
                <w:sz w:val="24"/>
                <w:szCs w:val="24"/>
                <w:highlight w:val="none"/>
              </w:rPr>
            </w:pPr>
            <w:r>
              <w:rPr>
                <w:rFonts w:hint="eastAsia" w:ascii="宋体" w:hAnsi="宋体" w:eastAsia="宋体" w:cs="宋体"/>
                <w:color w:val="auto"/>
                <w:kern w:val="0"/>
                <w:sz w:val="24"/>
                <w:szCs w:val="24"/>
                <w:highlight w:val="none"/>
              </w:rPr>
              <w:t>构成</w:t>
            </w:r>
            <w:r>
              <w:rPr>
                <w:rFonts w:hint="eastAsia" w:ascii="宋体" w:hAnsi="宋体" w:eastAsia="宋体" w:cs="宋体"/>
                <w:color w:val="auto"/>
                <w:kern w:val="0"/>
                <w:sz w:val="24"/>
                <w:szCs w:val="24"/>
                <w:highlight w:val="none"/>
                <w:lang w:val="en-US" w:eastAsia="zh-CN"/>
              </w:rPr>
              <w:t>磋商文</w:t>
            </w:r>
            <w:r>
              <w:rPr>
                <w:rFonts w:hint="eastAsia" w:ascii="宋体" w:hAnsi="宋体" w:eastAsia="宋体" w:cs="宋体"/>
                <w:color w:val="auto"/>
                <w:kern w:val="0"/>
                <w:sz w:val="24"/>
                <w:szCs w:val="24"/>
                <w:highlight w:val="none"/>
              </w:rPr>
              <w:t>件的其他资料</w:t>
            </w:r>
          </w:p>
        </w:tc>
        <w:tc>
          <w:tcPr>
            <w:tcW w:w="7626" w:type="dxa"/>
            <w:tcBorders>
              <w:top w:val="single" w:color="auto" w:sz="4" w:space="0"/>
              <w:left w:val="nil"/>
              <w:bottom w:val="single" w:color="auto" w:sz="4" w:space="0"/>
              <w:right w:val="single" w:color="auto" w:sz="4" w:space="0"/>
            </w:tcBorders>
            <w:noWrap w:val="0"/>
            <w:vAlign w:val="center"/>
          </w:tcPr>
          <w:p w14:paraId="69CD6535">
            <w:pPr>
              <w:widowControl/>
              <w:spacing w:line="360" w:lineRule="auto"/>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rPr>
              <w:t>对</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文件所作的澄清（含答疑）、修改、补充构成</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 xml:space="preserve">文件的组成部分 </w:t>
            </w:r>
          </w:p>
        </w:tc>
      </w:tr>
      <w:tr w14:paraId="3473F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2"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02E1C5F6">
            <w:pPr>
              <w:widowControl/>
              <w:spacing w:before="0" w:beforeLines="0" w:beforeAutospacing="0" w:afterAutospacing="0" w:line="360" w:lineRule="auto"/>
              <w:ind w:left="0" w:right="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2</w:t>
            </w:r>
            <w:r>
              <w:rPr>
                <w:rFonts w:hint="eastAsia" w:ascii="宋体" w:hAnsi="宋体" w:eastAsia="宋体" w:cs="宋体"/>
                <w:color w:val="auto"/>
                <w:kern w:val="2"/>
                <w:sz w:val="24"/>
                <w:szCs w:val="24"/>
                <w:highlight w:val="none"/>
                <w:lang w:val="en-US" w:eastAsia="zh-CN"/>
              </w:rPr>
              <w:t>4</w:t>
            </w:r>
          </w:p>
        </w:tc>
        <w:tc>
          <w:tcPr>
            <w:tcW w:w="1552" w:type="dxa"/>
            <w:tcBorders>
              <w:top w:val="single" w:color="auto" w:sz="4" w:space="0"/>
              <w:left w:val="nil"/>
              <w:bottom w:val="single" w:color="auto" w:sz="4" w:space="0"/>
              <w:right w:val="single" w:color="auto" w:sz="4" w:space="0"/>
            </w:tcBorders>
            <w:noWrap w:val="0"/>
            <w:vAlign w:val="center"/>
          </w:tcPr>
          <w:p w14:paraId="1BB193FB">
            <w:pPr>
              <w:widowControl/>
              <w:spacing w:line="360" w:lineRule="auto"/>
              <w:jc w:val="center"/>
              <w:textAlignment w:val="auto"/>
              <w:rPr>
                <w:rFonts w:ascii="宋体" w:hAnsi="宋体" w:eastAsia="宋体" w:cs="仿宋"/>
                <w:color w:val="auto"/>
                <w:kern w:val="2"/>
                <w:sz w:val="24"/>
                <w:szCs w:val="24"/>
                <w:highlight w:val="none"/>
              </w:rPr>
            </w:pPr>
            <w:r>
              <w:rPr>
                <w:rFonts w:hint="eastAsia" w:ascii="宋体" w:hAnsi="宋体" w:eastAsia="宋体" w:cs="宋体"/>
                <w:color w:val="auto"/>
                <w:kern w:val="0"/>
                <w:sz w:val="24"/>
                <w:szCs w:val="24"/>
                <w:highlight w:val="none"/>
                <w:lang w:val="en-US" w:eastAsia="zh-CN"/>
              </w:rPr>
              <w:t>采购人</w:t>
            </w:r>
            <w:r>
              <w:rPr>
                <w:rFonts w:hint="eastAsia" w:ascii="宋体" w:hAnsi="宋体" w:eastAsia="宋体" w:cs="宋体"/>
                <w:color w:val="auto"/>
                <w:kern w:val="0"/>
                <w:sz w:val="24"/>
                <w:szCs w:val="24"/>
                <w:highlight w:val="none"/>
              </w:rPr>
              <w:t>对</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文件修改的时间</w:t>
            </w:r>
          </w:p>
        </w:tc>
        <w:tc>
          <w:tcPr>
            <w:tcW w:w="7626" w:type="dxa"/>
            <w:tcBorders>
              <w:top w:val="single" w:color="auto" w:sz="4" w:space="0"/>
              <w:left w:val="nil"/>
              <w:bottom w:val="single" w:color="auto" w:sz="4" w:space="0"/>
              <w:right w:val="single" w:color="auto" w:sz="4" w:space="0"/>
            </w:tcBorders>
            <w:noWrap w:val="0"/>
            <w:vAlign w:val="center"/>
          </w:tcPr>
          <w:p w14:paraId="2CDCDD0D">
            <w:pPr>
              <w:widowControl/>
              <w:spacing w:after="200" w:afterLines="0" w:line="360" w:lineRule="auto"/>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递交响应文件的截止之日</w:t>
            </w:r>
            <w:r>
              <w:rPr>
                <w:rFonts w:hint="eastAsia" w:ascii="宋体" w:hAnsi="宋体" w:eastAsia="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rPr>
              <w:t>日前</w:t>
            </w:r>
          </w:p>
        </w:tc>
      </w:tr>
      <w:tr w14:paraId="4CFC3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7" w:hRule="atLeast"/>
          <w:jc w:val="center"/>
        </w:trPr>
        <w:tc>
          <w:tcPr>
            <w:tcW w:w="940" w:type="dxa"/>
            <w:vMerge w:val="restart"/>
            <w:tcBorders>
              <w:top w:val="single" w:color="auto" w:sz="4" w:space="0"/>
              <w:left w:val="single" w:color="auto" w:sz="4" w:space="0"/>
              <w:bottom w:val="single" w:color="auto" w:sz="4" w:space="0"/>
              <w:right w:val="single" w:color="auto" w:sz="4" w:space="0"/>
            </w:tcBorders>
            <w:noWrap w:val="0"/>
            <w:vAlign w:val="center"/>
          </w:tcPr>
          <w:p w14:paraId="03A0B5A4">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25</w:t>
            </w:r>
          </w:p>
        </w:tc>
        <w:tc>
          <w:tcPr>
            <w:tcW w:w="1552" w:type="dxa"/>
            <w:vMerge w:val="restart"/>
            <w:tcBorders>
              <w:top w:val="single" w:color="auto" w:sz="4" w:space="0"/>
              <w:left w:val="single" w:color="auto" w:sz="4" w:space="0"/>
              <w:bottom w:val="single" w:color="auto" w:sz="4" w:space="0"/>
              <w:right w:val="single" w:color="auto" w:sz="4" w:space="0"/>
            </w:tcBorders>
            <w:noWrap w:val="0"/>
            <w:vAlign w:val="center"/>
          </w:tcPr>
          <w:p w14:paraId="33AC3D02">
            <w:pPr>
              <w:widowControl/>
              <w:spacing w:after="200" w:afterLines="0" w:line="36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sz w:val="24"/>
                <w:szCs w:val="24"/>
              </w:rPr>
              <w:t>供应商要求澄清竞争性磋商文件</w:t>
            </w:r>
          </w:p>
        </w:tc>
        <w:tc>
          <w:tcPr>
            <w:tcW w:w="7626" w:type="dxa"/>
            <w:tcBorders>
              <w:top w:val="single" w:color="auto" w:sz="4" w:space="0"/>
              <w:left w:val="single" w:color="auto" w:sz="4" w:space="0"/>
              <w:bottom w:val="single" w:color="auto" w:sz="4" w:space="0"/>
              <w:right w:val="single" w:color="auto" w:sz="4" w:space="0"/>
            </w:tcBorders>
            <w:noWrap w:val="0"/>
            <w:vAlign w:val="center"/>
          </w:tcPr>
          <w:p w14:paraId="5C584063">
            <w:pPr>
              <w:widowControl/>
              <w:spacing w:line="360" w:lineRule="auto"/>
              <w:jc w:val="left"/>
              <w:textAlignment w:val="auto"/>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时间：提交首次响应文件截止时间前</w:t>
            </w:r>
            <w:r>
              <w:rPr>
                <w:rFonts w:ascii="宋体" w:hAnsi="宋体" w:eastAsia="宋体" w:cs="宋体"/>
                <w:color w:val="auto"/>
                <w:kern w:val="0"/>
                <w:sz w:val="24"/>
                <w:szCs w:val="24"/>
                <w:highlight w:val="none"/>
                <w:lang w:val="en-US" w:eastAsia="zh-CN" w:bidi="ar-SA"/>
              </w:rPr>
              <w:t>5</w:t>
            </w:r>
            <w:r>
              <w:rPr>
                <w:rFonts w:hint="eastAsia" w:ascii="宋体" w:hAnsi="宋体" w:eastAsia="宋体" w:cs="宋体"/>
                <w:color w:val="auto"/>
                <w:kern w:val="0"/>
                <w:sz w:val="24"/>
                <w:szCs w:val="24"/>
                <w:highlight w:val="none"/>
                <w:lang w:val="en-US" w:eastAsia="zh-CN" w:bidi="ar-SA"/>
              </w:rPr>
              <w:t>日</w:t>
            </w:r>
          </w:p>
        </w:tc>
      </w:tr>
      <w:tr w14:paraId="2766C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7" w:hRule="atLeast"/>
          <w:jc w:val="center"/>
        </w:trPr>
        <w:tc>
          <w:tcPr>
            <w:tcW w:w="940" w:type="dxa"/>
            <w:vMerge w:val="continue"/>
            <w:tcBorders>
              <w:top w:val="single" w:color="auto" w:sz="4" w:space="0"/>
              <w:left w:val="single" w:color="auto" w:sz="4" w:space="0"/>
              <w:bottom w:val="single" w:color="auto" w:sz="4" w:space="0"/>
              <w:right w:val="single" w:color="auto" w:sz="4" w:space="0"/>
            </w:tcBorders>
            <w:noWrap w:val="0"/>
            <w:vAlign w:val="center"/>
          </w:tcPr>
          <w:p w14:paraId="4BC1327B">
            <w:pPr>
              <w:widowControl/>
              <w:spacing w:line="360" w:lineRule="auto"/>
              <w:jc w:val="left"/>
              <w:textAlignment w:val="auto"/>
            </w:pPr>
          </w:p>
        </w:tc>
        <w:tc>
          <w:tcPr>
            <w:tcW w:w="1552" w:type="dxa"/>
            <w:vMerge w:val="continue"/>
            <w:tcBorders>
              <w:top w:val="single" w:color="auto" w:sz="4" w:space="0"/>
              <w:left w:val="nil"/>
              <w:bottom w:val="single" w:color="auto" w:sz="4" w:space="0"/>
              <w:right w:val="single" w:color="auto" w:sz="4" w:space="0"/>
            </w:tcBorders>
            <w:noWrap w:val="0"/>
            <w:vAlign w:val="center"/>
          </w:tcPr>
          <w:p w14:paraId="37636F4B">
            <w:pPr>
              <w:widowControl/>
              <w:spacing w:line="360" w:lineRule="auto"/>
              <w:jc w:val="left"/>
              <w:textAlignment w:val="auto"/>
            </w:pPr>
          </w:p>
        </w:tc>
        <w:tc>
          <w:tcPr>
            <w:tcW w:w="7626" w:type="dxa"/>
            <w:tcBorders>
              <w:top w:val="single" w:color="auto" w:sz="4" w:space="0"/>
              <w:left w:val="nil"/>
              <w:bottom w:val="single" w:color="auto" w:sz="4" w:space="0"/>
              <w:right w:val="single" w:color="auto" w:sz="4" w:space="0"/>
            </w:tcBorders>
            <w:noWrap w:val="0"/>
            <w:vAlign w:val="center"/>
          </w:tcPr>
          <w:p w14:paraId="059982DE">
            <w:pPr>
              <w:widowControl/>
              <w:spacing w:line="36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sz w:val="24"/>
                <w:szCs w:val="24"/>
              </w:rPr>
              <w:t>形式：在三门峡市公共资源电子招标投标交易平台提出</w:t>
            </w:r>
          </w:p>
        </w:tc>
      </w:tr>
      <w:tr w14:paraId="7EB8F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940" w:type="dxa"/>
            <w:vMerge w:val="restart"/>
            <w:tcBorders>
              <w:top w:val="single" w:color="auto" w:sz="4" w:space="0"/>
              <w:left w:val="single" w:color="auto" w:sz="4" w:space="0"/>
              <w:bottom w:val="single" w:color="auto" w:sz="4" w:space="0"/>
              <w:right w:val="single" w:color="auto" w:sz="4" w:space="0"/>
            </w:tcBorders>
            <w:noWrap w:val="0"/>
            <w:vAlign w:val="center"/>
          </w:tcPr>
          <w:p w14:paraId="4975F695">
            <w:pPr>
              <w:widowControl/>
              <w:spacing w:before="0" w:beforeLines="0" w:beforeAutospacing="0" w:afterAutospacing="0" w:line="360" w:lineRule="auto"/>
              <w:ind w:left="0" w:right="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2</w:t>
            </w:r>
            <w:r>
              <w:rPr>
                <w:rFonts w:hint="eastAsia" w:ascii="宋体" w:hAnsi="宋体" w:eastAsia="宋体" w:cs="宋体"/>
                <w:color w:val="auto"/>
                <w:kern w:val="2"/>
                <w:sz w:val="24"/>
                <w:szCs w:val="24"/>
                <w:highlight w:val="none"/>
                <w:lang w:val="en-US" w:eastAsia="zh-CN"/>
              </w:rPr>
              <w:t>6</w:t>
            </w:r>
          </w:p>
        </w:tc>
        <w:tc>
          <w:tcPr>
            <w:tcW w:w="1552" w:type="dxa"/>
            <w:vMerge w:val="restart"/>
            <w:tcBorders>
              <w:top w:val="single" w:color="auto" w:sz="4" w:space="0"/>
              <w:left w:val="single" w:color="auto" w:sz="4" w:space="0"/>
              <w:bottom w:val="single" w:color="auto" w:sz="4" w:space="0"/>
              <w:right w:val="single" w:color="auto" w:sz="4" w:space="0"/>
            </w:tcBorders>
            <w:noWrap w:val="0"/>
            <w:vAlign w:val="center"/>
          </w:tcPr>
          <w:p w14:paraId="6D0C4897">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供应商确认收到</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文件澄清</w:t>
            </w:r>
            <w:r>
              <w:rPr>
                <w:rFonts w:hint="eastAsia" w:ascii="宋体" w:hAnsi="宋体" w:eastAsia="宋体" w:cs="宋体"/>
                <w:color w:val="auto"/>
                <w:kern w:val="0"/>
                <w:sz w:val="24"/>
                <w:szCs w:val="24"/>
                <w:highlight w:val="none"/>
              </w:rPr>
              <w:t>的时间</w:t>
            </w:r>
          </w:p>
        </w:tc>
        <w:tc>
          <w:tcPr>
            <w:tcW w:w="7626" w:type="dxa"/>
            <w:tcBorders>
              <w:top w:val="single" w:color="auto" w:sz="4" w:space="0"/>
              <w:left w:val="single" w:color="auto" w:sz="4" w:space="0"/>
              <w:bottom w:val="single" w:color="auto" w:sz="4" w:space="0"/>
              <w:right w:val="single" w:color="auto" w:sz="4" w:space="0"/>
            </w:tcBorders>
            <w:noWrap w:val="0"/>
            <w:vAlign w:val="center"/>
          </w:tcPr>
          <w:p w14:paraId="78FB59B3">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时间：</w:t>
            </w:r>
            <w:r>
              <w:rPr>
                <w:rFonts w:hint="eastAsia" w:ascii="宋体" w:hAnsi="宋体" w:eastAsia="宋体" w:cs="仿宋"/>
                <w:color w:val="auto"/>
                <w:kern w:val="2"/>
                <w:sz w:val="24"/>
                <w:szCs w:val="24"/>
                <w:highlight w:val="none"/>
              </w:rPr>
              <w:t>收到相应澄清文件后 24 小时内</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lang w:val="en-US" w:eastAsia="zh-CN"/>
              </w:rPr>
              <w:t>以</w:t>
            </w:r>
            <w:r>
              <w:rPr>
                <w:rFonts w:hint="eastAsia" w:ascii="宋体" w:hAnsi="宋体" w:eastAsia="宋体"/>
                <w:color w:val="auto"/>
                <w:sz w:val="24"/>
                <w:szCs w:val="24"/>
                <w:highlight w:val="none"/>
              </w:rPr>
              <w:t>发出时间为准）</w:t>
            </w:r>
          </w:p>
        </w:tc>
      </w:tr>
      <w:tr w14:paraId="0DC1D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940" w:type="dxa"/>
            <w:vMerge w:val="continue"/>
            <w:tcBorders>
              <w:top w:val="single" w:color="auto" w:sz="4" w:space="0"/>
              <w:left w:val="single" w:color="auto" w:sz="4" w:space="0"/>
              <w:bottom w:val="single" w:color="auto" w:sz="4" w:space="0"/>
              <w:right w:val="single" w:color="auto" w:sz="4" w:space="0"/>
            </w:tcBorders>
            <w:noWrap w:val="0"/>
            <w:vAlign w:val="center"/>
          </w:tcPr>
          <w:p w14:paraId="627EA19E">
            <w:pPr>
              <w:widowControl/>
              <w:spacing w:before="0" w:beforeLines="0" w:beforeAutospacing="0" w:after="0" w:afterLines="0" w:afterAutospacing="0" w:line="400" w:lineRule="exact"/>
              <w:ind w:left="0" w:right="0"/>
            </w:pPr>
          </w:p>
        </w:tc>
        <w:tc>
          <w:tcPr>
            <w:tcW w:w="1552" w:type="dxa"/>
            <w:vMerge w:val="continue"/>
            <w:tcBorders>
              <w:top w:val="single" w:color="auto" w:sz="4" w:space="0"/>
              <w:left w:val="single" w:color="auto" w:sz="4" w:space="0"/>
              <w:bottom w:val="single" w:color="auto" w:sz="4" w:space="0"/>
              <w:right w:val="single" w:color="auto" w:sz="4" w:space="0"/>
            </w:tcBorders>
            <w:noWrap w:val="0"/>
            <w:vAlign w:val="center"/>
          </w:tcPr>
          <w:p w14:paraId="521109E9">
            <w:pPr>
              <w:widowControl/>
              <w:spacing w:before="0" w:beforeLines="0" w:beforeAutospacing="0" w:after="0" w:afterLines="0" w:afterAutospacing="0" w:line="400" w:lineRule="exact"/>
              <w:ind w:left="0" w:right="0"/>
            </w:pPr>
          </w:p>
        </w:tc>
        <w:tc>
          <w:tcPr>
            <w:tcW w:w="7626" w:type="dxa"/>
            <w:tcBorders>
              <w:top w:val="single" w:color="auto" w:sz="4" w:space="0"/>
              <w:left w:val="single" w:color="auto" w:sz="4" w:space="0"/>
              <w:bottom w:val="single" w:color="auto" w:sz="4" w:space="0"/>
              <w:right w:val="single" w:color="auto" w:sz="4" w:space="0"/>
            </w:tcBorders>
            <w:noWrap w:val="0"/>
            <w:vAlign w:val="center"/>
          </w:tcPr>
          <w:p w14:paraId="17F47AE2">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宋体"/>
                <w:sz w:val="24"/>
                <w:szCs w:val="24"/>
              </w:rPr>
              <w:t>形式：</w:t>
            </w:r>
            <w:r>
              <w:rPr>
                <w:rFonts w:hint="eastAsia" w:ascii="宋体" w:hAnsi="宋体" w:eastAsia="宋体" w:cs="宋体"/>
                <w:kern w:val="0"/>
                <w:sz w:val="24"/>
                <w:szCs w:val="24"/>
              </w:rPr>
              <w:t>在</w:t>
            </w:r>
            <w:r>
              <w:rPr>
                <w:rFonts w:hint="eastAsia" w:ascii="宋体" w:hAnsi="宋体" w:eastAsia="宋体" w:cs="宋体"/>
                <w:sz w:val="24"/>
                <w:szCs w:val="24"/>
              </w:rPr>
              <w:t>三门峡市公共资源电子招标投标交易平台</w:t>
            </w:r>
            <w:r>
              <w:rPr>
                <w:rFonts w:hint="eastAsia" w:ascii="宋体" w:hAnsi="宋体" w:eastAsia="宋体" w:cs="宋体"/>
                <w:kern w:val="0"/>
                <w:sz w:val="24"/>
                <w:szCs w:val="24"/>
              </w:rPr>
              <w:t>进行回复确认</w:t>
            </w:r>
          </w:p>
        </w:tc>
      </w:tr>
      <w:tr w14:paraId="6C76C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940" w:type="dxa"/>
            <w:vMerge w:val="restart"/>
            <w:tcBorders>
              <w:top w:val="single" w:color="auto" w:sz="4" w:space="0"/>
              <w:left w:val="single" w:color="auto" w:sz="4" w:space="0"/>
              <w:right w:val="single" w:color="auto" w:sz="4" w:space="0"/>
            </w:tcBorders>
            <w:noWrap w:val="0"/>
            <w:vAlign w:val="center"/>
          </w:tcPr>
          <w:p w14:paraId="1BA34DB6">
            <w:pPr>
              <w:widowControl/>
              <w:spacing w:before="0" w:beforeLines="0" w:beforeAutospacing="0" w:afterAutospacing="0" w:line="360" w:lineRule="auto"/>
              <w:ind w:left="0" w:right="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2</w:t>
            </w:r>
            <w:r>
              <w:rPr>
                <w:rFonts w:hint="eastAsia" w:ascii="宋体" w:hAnsi="宋体" w:eastAsia="宋体" w:cs="宋体"/>
                <w:color w:val="auto"/>
                <w:kern w:val="2"/>
                <w:sz w:val="24"/>
                <w:szCs w:val="24"/>
                <w:highlight w:val="none"/>
                <w:lang w:val="en-US" w:eastAsia="zh-CN"/>
              </w:rPr>
              <w:t>7</w:t>
            </w:r>
          </w:p>
        </w:tc>
        <w:tc>
          <w:tcPr>
            <w:tcW w:w="1552" w:type="dxa"/>
            <w:vMerge w:val="restart"/>
            <w:tcBorders>
              <w:top w:val="single" w:color="auto" w:sz="4" w:space="0"/>
              <w:left w:val="nil"/>
              <w:right w:val="single" w:color="auto" w:sz="4" w:space="0"/>
            </w:tcBorders>
            <w:noWrap w:val="0"/>
            <w:vAlign w:val="center"/>
          </w:tcPr>
          <w:p w14:paraId="47A1F2BE">
            <w:pPr>
              <w:widowControl/>
              <w:spacing w:before="0" w:beforeLines="0" w:beforeAutospacing="0" w:after="0" w:afterLines="0" w:afterAutospacing="0" w:line="400" w:lineRule="exact"/>
              <w:ind w:left="0" w:right="0"/>
              <w:jc w:val="center"/>
              <w:rPr>
                <w:rFonts w:hint="eastAsia" w:ascii="宋体" w:hAnsi="宋体" w:eastAsia="宋体" w:cs="仿宋"/>
                <w:color w:val="auto"/>
                <w:kern w:val="2"/>
                <w:sz w:val="24"/>
                <w:szCs w:val="24"/>
                <w:highlight w:val="none"/>
                <w:lang w:val="en-US" w:eastAsia="zh-CN"/>
              </w:rPr>
            </w:pPr>
            <w:r>
              <w:rPr>
                <w:rFonts w:hint="eastAsia" w:ascii="宋体" w:hAnsi="宋体" w:eastAsia="宋体" w:cs="仿宋"/>
                <w:color w:val="auto"/>
                <w:kern w:val="2"/>
                <w:sz w:val="24"/>
                <w:szCs w:val="24"/>
                <w:highlight w:val="none"/>
              </w:rPr>
              <w:t>供应商确认收到</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文件修改</w:t>
            </w:r>
            <w:r>
              <w:rPr>
                <w:rFonts w:hint="eastAsia" w:ascii="宋体" w:hAnsi="宋体" w:eastAsia="宋体" w:cs="仿宋"/>
                <w:color w:val="auto"/>
                <w:kern w:val="2"/>
                <w:sz w:val="24"/>
                <w:szCs w:val="24"/>
                <w:highlight w:val="none"/>
                <w:lang w:val="en-US" w:eastAsia="zh-CN"/>
              </w:rPr>
              <w:t>时间</w:t>
            </w:r>
          </w:p>
        </w:tc>
        <w:tc>
          <w:tcPr>
            <w:tcW w:w="7626" w:type="dxa"/>
            <w:tcBorders>
              <w:top w:val="single" w:color="auto" w:sz="4" w:space="0"/>
              <w:left w:val="nil"/>
              <w:bottom w:val="single" w:color="auto" w:sz="4" w:space="0"/>
              <w:right w:val="single" w:color="auto" w:sz="4" w:space="0"/>
            </w:tcBorders>
            <w:noWrap w:val="0"/>
            <w:vAlign w:val="center"/>
          </w:tcPr>
          <w:p w14:paraId="2F0251B4">
            <w:pPr>
              <w:spacing w:line="500" w:lineRule="exact"/>
              <w:rPr>
                <w:rFonts w:ascii="宋体" w:hAnsi="宋体" w:eastAsia="宋体" w:cs="仿宋"/>
                <w:color w:val="auto"/>
                <w:kern w:val="2"/>
                <w:sz w:val="24"/>
                <w:szCs w:val="24"/>
                <w:highlight w:val="none"/>
              </w:rPr>
            </w:pPr>
            <w:r>
              <w:rPr>
                <w:rFonts w:hint="eastAsia" w:ascii="宋体" w:hAnsi="宋体" w:eastAsia="宋体" w:cs="宋体"/>
                <w:sz w:val="24"/>
                <w:szCs w:val="24"/>
              </w:rPr>
              <w:t>时间：在收到相应修改文件后 24 小时内</w:t>
            </w:r>
          </w:p>
        </w:tc>
      </w:tr>
      <w:tr w14:paraId="08076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940" w:type="dxa"/>
            <w:vMerge w:val="continue"/>
            <w:tcBorders>
              <w:left w:val="single" w:color="auto" w:sz="4" w:space="0"/>
              <w:bottom w:val="single" w:color="auto" w:sz="4" w:space="0"/>
              <w:right w:val="single" w:color="auto" w:sz="4" w:space="0"/>
            </w:tcBorders>
            <w:noWrap w:val="0"/>
            <w:vAlign w:val="center"/>
          </w:tcPr>
          <w:p w14:paraId="3C4DD759">
            <w:pPr>
              <w:widowControl/>
              <w:spacing w:before="0" w:beforeLines="0" w:beforeAutospacing="0" w:after="0" w:afterLines="0" w:afterAutospacing="0" w:line="400" w:lineRule="exact"/>
              <w:ind w:left="0" w:right="0"/>
            </w:pPr>
          </w:p>
        </w:tc>
        <w:tc>
          <w:tcPr>
            <w:tcW w:w="1552" w:type="dxa"/>
            <w:vMerge w:val="continue"/>
            <w:tcBorders>
              <w:left w:val="nil"/>
              <w:bottom w:val="single" w:color="auto" w:sz="4" w:space="0"/>
              <w:right w:val="single" w:color="auto" w:sz="4" w:space="0"/>
            </w:tcBorders>
            <w:noWrap w:val="0"/>
            <w:vAlign w:val="center"/>
          </w:tcPr>
          <w:p w14:paraId="786055A3">
            <w:pPr>
              <w:widowControl/>
              <w:spacing w:before="0" w:beforeLines="0" w:beforeAutospacing="0" w:after="0" w:afterLines="0" w:afterAutospacing="0" w:line="400" w:lineRule="exact"/>
              <w:ind w:left="0" w:right="0"/>
            </w:pPr>
          </w:p>
        </w:tc>
        <w:tc>
          <w:tcPr>
            <w:tcW w:w="7626" w:type="dxa"/>
            <w:tcBorders>
              <w:top w:val="single" w:color="auto" w:sz="4" w:space="0"/>
              <w:left w:val="nil"/>
              <w:bottom w:val="single" w:color="auto" w:sz="4" w:space="0"/>
              <w:right w:val="single" w:color="auto" w:sz="4" w:space="0"/>
            </w:tcBorders>
            <w:noWrap w:val="0"/>
            <w:vAlign w:val="center"/>
          </w:tcPr>
          <w:p w14:paraId="6E1C1E6E">
            <w:pPr>
              <w:spacing w:line="500" w:lineRule="exact"/>
              <w:rPr>
                <w:rFonts w:hint="eastAsia" w:ascii="宋体" w:hAnsi="宋体" w:eastAsia="宋体" w:cs="仿宋"/>
                <w:color w:val="auto"/>
                <w:kern w:val="2"/>
                <w:sz w:val="24"/>
                <w:szCs w:val="24"/>
                <w:highlight w:val="none"/>
              </w:rPr>
            </w:pPr>
            <w:r>
              <w:rPr>
                <w:rFonts w:hint="eastAsia" w:ascii="宋体" w:hAnsi="宋体" w:eastAsia="宋体" w:cs="宋体"/>
                <w:sz w:val="24"/>
                <w:szCs w:val="24"/>
              </w:rPr>
              <w:t>形式：</w:t>
            </w:r>
            <w:r>
              <w:rPr>
                <w:rFonts w:hint="eastAsia" w:ascii="宋体" w:hAnsi="宋体" w:eastAsia="宋体" w:cs="宋体"/>
                <w:kern w:val="0"/>
                <w:sz w:val="24"/>
                <w:szCs w:val="24"/>
              </w:rPr>
              <w:t>在</w:t>
            </w:r>
            <w:r>
              <w:rPr>
                <w:rFonts w:hint="eastAsia" w:ascii="宋体" w:hAnsi="宋体" w:eastAsia="宋体" w:cs="宋体"/>
                <w:sz w:val="24"/>
                <w:szCs w:val="24"/>
              </w:rPr>
              <w:t>三门峡市公共资源电子招标投标交易平台</w:t>
            </w:r>
            <w:r>
              <w:rPr>
                <w:rFonts w:hint="eastAsia" w:ascii="宋体" w:hAnsi="宋体" w:eastAsia="宋体" w:cs="宋体"/>
                <w:kern w:val="0"/>
                <w:sz w:val="24"/>
                <w:szCs w:val="24"/>
              </w:rPr>
              <w:t>进行回复确认</w:t>
            </w:r>
          </w:p>
        </w:tc>
      </w:tr>
      <w:tr w14:paraId="2973E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16511770">
            <w:pPr>
              <w:widowControl/>
              <w:spacing w:before="0" w:beforeLines="0" w:beforeAutospacing="0" w:afterAutospacing="0" w:line="360" w:lineRule="auto"/>
              <w:ind w:left="0" w:right="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2</w:t>
            </w:r>
            <w:r>
              <w:rPr>
                <w:rFonts w:hint="eastAsia" w:ascii="宋体" w:hAnsi="宋体" w:eastAsia="宋体" w:cs="宋体"/>
                <w:color w:val="auto"/>
                <w:kern w:val="2"/>
                <w:sz w:val="24"/>
                <w:szCs w:val="24"/>
                <w:highlight w:val="none"/>
                <w:lang w:val="en-US" w:eastAsia="zh-CN"/>
              </w:rPr>
              <w:t>8</w:t>
            </w:r>
          </w:p>
        </w:tc>
        <w:tc>
          <w:tcPr>
            <w:tcW w:w="1552" w:type="dxa"/>
            <w:tcBorders>
              <w:top w:val="single" w:color="auto" w:sz="4" w:space="0"/>
              <w:left w:val="nil"/>
              <w:bottom w:val="single" w:color="auto" w:sz="4" w:space="0"/>
              <w:right w:val="single" w:color="auto" w:sz="4" w:space="0"/>
            </w:tcBorders>
            <w:noWrap w:val="0"/>
            <w:vAlign w:val="center"/>
          </w:tcPr>
          <w:p w14:paraId="1C8B49F2">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构成</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文件的其他资料</w:t>
            </w:r>
          </w:p>
        </w:tc>
        <w:tc>
          <w:tcPr>
            <w:tcW w:w="7626" w:type="dxa"/>
            <w:tcBorders>
              <w:top w:val="single" w:color="auto" w:sz="4" w:space="0"/>
              <w:left w:val="nil"/>
              <w:bottom w:val="single" w:color="auto" w:sz="4" w:space="0"/>
              <w:right w:val="single" w:color="auto" w:sz="4" w:space="0"/>
            </w:tcBorders>
            <w:noWrap w:val="0"/>
            <w:vAlign w:val="center"/>
          </w:tcPr>
          <w:p w14:paraId="6152AC49">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按</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文件要求</w:t>
            </w:r>
          </w:p>
        </w:tc>
      </w:tr>
      <w:tr w14:paraId="13330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6E1DAF5A">
            <w:pPr>
              <w:widowControl/>
              <w:spacing w:before="0" w:beforeLines="0" w:beforeAutospacing="0" w:afterAutospacing="0" w:line="360" w:lineRule="auto"/>
              <w:ind w:left="0" w:right="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2</w:t>
            </w:r>
            <w:r>
              <w:rPr>
                <w:rFonts w:hint="eastAsia" w:ascii="宋体" w:hAnsi="宋体" w:eastAsia="宋体" w:cs="宋体"/>
                <w:color w:val="auto"/>
                <w:kern w:val="2"/>
                <w:sz w:val="24"/>
                <w:szCs w:val="24"/>
                <w:highlight w:val="none"/>
                <w:lang w:val="en-US" w:eastAsia="zh-CN"/>
              </w:rPr>
              <w:t>9</w:t>
            </w:r>
          </w:p>
        </w:tc>
        <w:tc>
          <w:tcPr>
            <w:tcW w:w="1552" w:type="dxa"/>
            <w:tcBorders>
              <w:top w:val="single" w:color="auto" w:sz="4" w:space="0"/>
              <w:left w:val="nil"/>
              <w:bottom w:val="single" w:color="auto" w:sz="4" w:space="0"/>
              <w:right w:val="single" w:color="auto" w:sz="4" w:space="0"/>
            </w:tcBorders>
            <w:noWrap w:val="0"/>
            <w:vAlign w:val="center"/>
          </w:tcPr>
          <w:p w14:paraId="11582DE6">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截止时间</w:t>
            </w:r>
          </w:p>
        </w:tc>
        <w:tc>
          <w:tcPr>
            <w:tcW w:w="7626" w:type="dxa"/>
            <w:tcBorders>
              <w:top w:val="single" w:color="auto" w:sz="4" w:space="0"/>
              <w:left w:val="nil"/>
              <w:bottom w:val="single" w:color="auto" w:sz="4" w:space="0"/>
              <w:right w:val="single" w:color="auto" w:sz="4" w:space="0"/>
            </w:tcBorders>
            <w:noWrap w:val="0"/>
            <w:vAlign w:val="center"/>
          </w:tcPr>
          <w:p w14:paraId="3A475538">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具体详见公告部分</w:t>
            </w:r>
          </w:p>
        </w:tc>
      </w:tr>
      <w:tr w14:paraId="413C3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6" w:hRule="atLeast"/>
          <w:jc w:val="center"/>
        </w:trPr>
        <w:tc>
          <w:tcPr>
            <w:tcW w:w="940" w:type="dxa"/>
            <w:tcBorders>
              <w:top w:val="nil"/>
              <w:left w:val="single" w:color="auto" w:sz="4" w:space="0"/>
              <w:bottom w:val="single" w:color="auto" w:sz="4" w:space="0"/>
              <w:right w:val="single" w:color="auto" w:sz="4" w:space="0"/>
            </w:tcBorders>
            <w:noWrap w:val="0"/>
            <w:vAlign w:val="center"/>
          </w:tcPr>
          <w:p w14:paraId="33CBDA86">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30</w:t>
            </w:r>
          </w:p>
        </w:tc>
        <w:tc>
          <w:tcPr>
            <w:tcW w:w="1552" w:type="dxa"/>
            <w:tcBorders>
              <w:top w:val="nil"/>
              <w:left w:val="nil"/>
              <w:bottom w:val="single" w:color="auto" w:sz="4" w:space="0"/>
              <w:right w:val="single" w:color="auto" w:sz="4" w:space="0"/>
            </w:tcBorders>
            <w:noWrap w:val="0"/>
            <w:vAlign w:val="center"/>
          </w:tcPr>
          <w:p w14:paraId="5D83471E">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有效期</w:t>
            </w:r>
          </w:p>
        </w:tc>
        <w:tc>
          <w:tcPr>
            <w:tcW w:w="7626" w:type="dxa"/>
            <w:tcBorders>
              <w:top w:val="nil"/>
              <w:left w:val="nil"/>
              <w:bottom w:val="single" w:color="auto" w:sz="4" w:space="0"/>
              <w:right w:val="single" w:color="auto" w:sz="4" w:space="0"/>
            </w:tcBorders>
            <w:noWrap w:val="0"/>
            <w:vAlign w:val="center"/>
          </w:tcPr>
          <w:p w14:paraId="0E5900E2">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响应</w:t>
            </w:r>
            <w:r>
              <w:rPr>
                <w:rFonts w:hint="eastAsia" w:ascii="宋体" w:hAnsi="宋体" w:eastAsia="宋体" w:cs="仿宋"/>
                <w:color w:val="auto"/>
                <w:kern w:val="2"/>
                <w:sz w:val="24"/>
                <w:szCs w:val="24"/>
                <w:highlight w:val="none"/>
              </w:rPr>
              <w:t>文件递交截止之日起60日历天</w:t>
            </w:r>
          </w:p>
        </w:tc>
      </w:tr>
      <w:tr w14:paraId="7EF6E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7245EFDA">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31</w:t>
            </w:r>
          </w:p>
        </w:tc>
        <w:tc>
          <w:tcPr>
            <w:tcW w:w="1552" w:type="dxa"/>
            <w:tcBorders>
              <w:top w:val="single" w:color="auto" w:sz="4" w:space="0"/>
              <w:left w:val="single" w:color="auto" w:sz="4" w:space="0"/>
              <w:bottom w:val="single" w:color="auto" w:sz="4" w:space="0"/>
              <w:right w:val="single" w:color="auto" w:sz="4" w:space="0"/>
            </w:tcBorders>
            <w:noWrap w:val="0"/>
            <w:vAlign w:val="center"/>
          </w:tcPr>
          <w:p w14:paraId="67A2427D">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保证金</w:t>
            </w:r>
          </w:p>
        </w:tc>
        <w:tc>
          <w:tcPr>
            <w:tcW w:w="7626" w:type="dxa"/>
            <w:tcBorders>
              <w:top w:val="single" w:color="auto" w:sz="4" w:space="0"/>
              <w:left w:val="single" w:color="auto" w:sz="4" w:space="0"/>
              <w:right w:val="single" w:color="auto" w:sz="4" w:space="0"/>
            </w:tcBorders>
            <w:noWrap w:val="0"/>
            <w:vAlign w:val="top"/>
          </w:tcPr>
          <w:p w14:paraId="015370DD">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按照《河南省财政厅关于优化政府采购营商环境有关问题的通知》（豫财购[2019]4号文）的要求本项目不再收取投标保证金</w:t>
            </w:r>
          </w:p>
        </w:tc>
      </w:tr>
      <w:tr w14:paraId="4BA13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8"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566CB51F">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32</w:t>
            </w:r>
          </w:p>
        </w:tc>
        <w:tc>
          <w:tcPr>
            <w:tcW w:w="1552" w:type="dxa"/>
            <w:tcBorders>
              <w:top w:val="single" w:color="auto" w:sz="4" w:space="0"/>
              <w:left w:val="nil"/>
              <w:bottom w:val="single" w:color="auto" w:sz="4" w:space="0"/>
              <w:right w:val="single" w:color="auto" w:sz="4" w:space="0"/>
            </w:tcBorders>
            <w:noWrap w:val="0"/>
            <w:vAlign w:val="center"/>
          </w:tcPr>
          <w:p w14:paraId="2E703AE1">
            <w:pPr>
              <w:widowControl/>
              <w:spacing w:line="360" w:lineRule="auto"/>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财务状况要求</w:t>
            </w:r>
          </w:p>
        </w:tc>
        <w:tc>
          <w:tcPr>
            <w:tcW w:w="7626" w:type="dxa"/>
            <w:tcBorders>
              <w:top w:val="single" w:color="auto" w:sz="4" w:space="0"/>
              <w:left w:val="nil"/>
              <w:bottom w:val="single" w:color="auto" w:sz="4" w:space="0"/>
              <w:right w:val="single" w:color="auto" w:sz="4" w:space="0"/>
            </w:tcBorders>
            <w:noWrap w:val="0"/>
            <w:vAlign w:val="center"/>
          </w:tcPr>
          <w:p w14:paraId="5A89A3F2">
            <w:pPr>
              <w:widowControl/>
              <w:spacing w:line="360" w:lineRule="auto"/>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具体详见公告部分</w:t>
            </w:r>
          </w:p>
        </w:tc>
      </w:tr>
      <w:tr w14:paraId="6FF32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385B8F06">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33</w:t>
            </w:r>
          </w:p>
        </w:tc>
        <w:tc>
          <w:tcPr>
            <w:tcW w:w="1552" w:type="dxa"/>
            <w:tcBorders>
              <w:top w:val="single" w:color="auto" w:sz="4" w:space="0"/>
              <w:left w:val="nil"/>
              <w:bottom w:val="single" w:color="auto" w:sz="4" w:space="0"/>
              <w:right w:val="single" w:color="auto" w:sz="4" w:space="0"/>
            </w:tcBorders>
            <w:noWrap w:val="0"/>
            <w:vAlign w:val="center"/>
          </w:tcPr>
          <w:p w14:paraId="2F435929">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近年完成的类似项目的业绩年份要求</w:t>
            </w:r>
          </w:p>
        </w:tc>
        <w:tc>
          <w:tcPr>
            <w:tcW w:w="7626" w:type="dxa"/>
            <w:tcBorders>
              <w:top w:val="single" w:color="auto" w:sz="4" w:space="0"/>
              <w:left w:val="nil"/>
              <w:bottom w:val="single" w:color="auto" w:sz="4" w:space="0"/>
              <w:right w:val="single" w:color="auto" w:sz="4" w:space="0"/>
            </w:tcBorders>
            <w:noWrap w:val="0"/>
            <w:vAlign w:val="center"/>
          </w:tcPr>
          <w:p w14:paraId="295B3976">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2023</w:t>
            </w:r>
            <w:r>
              <w:rPr>
                <w:rFonts w:hint="eastAsia" w:ascii="宋体" w:hAnsi="宋体" w:eastAsia="宋体" w:cs="仿宋"/>
                <w:color w:val="auto"/>
                <w:kern w:val="2"/>
                <w:sz w:val="24"/>
                <w:szCs w:val="24"/>
                <w:highlight w:val="none"/>
              </w:rPr>
              <w:t>年01月01日以来完成类似项目（以合同签订日期为准）</w:t>
            </w:r>
          </w:p>
        </w:tc>
      </w:tr>
      <w:tr w14:paraId="6182C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3F98C9D2">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34</w:t>
            </w:r>
          </w:p>
        </w:tc>
        <w:tc>
          <w:tcPr>
            <w:tcW w:w="1552" w:type="dxa"/>
            <w:tcBorders>
              <w:top w:val="single" w:color="auto" w:sz="4" w:space="0"/>
              <w:left w:val="nil"/>
              <w:bottom w:val="single" w:color="auto" w:sz="4" w:space="0"/>
              <w:right w:val="single" w:color="auto" w:sz="4" w:space="0"/>
            </w:tcBorders>
            <w:noWrap w:val="0"/>
            <w:vAlign w:val="center"/>
          </w:tcPr>
          <w:p w14:paraId="17593644">
            <w:pPr>
              <w:widowControl/>
              <w:spacing w:before="0" w:beforeLines="0" w:beforeAutospacing="0" w:after="0" w:afterLines="0" w:afterAutospacing="0" w:line="400" w:lineRule="exact"/>
              <w:ind w:left="0" w:right="0"/>
              <w:jc w:val="both"/>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近年发生的诉讼及仲裁情况的时间要求</w:t>
            </w:r>
          </w:p>
        </w:tc>
        <w:tc>
          <w:tcPr>
            <w:tcW w:w="7626" w:type="dxa"/>
            <w:tcBorders>
              <w:top w:val="single" w:color="auto" w:sz="4" w:space="0"/>
              <w:left w:val="nil"/>
              <w:bottom w:val="single" w:color="auto" w:sz="4" w:space="0"/>
              <w:right w:val="single" w:color="auto" w:sz="4" w:space="0"/>
            </w:tcBorders>
            <w:noWrap w:val="0"/>
            <w:vAlign w:val="center"/>
          </w:tcPr>
          <w:p w14:paraId="4662DAFE">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近三年</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指</w:t>
            </w:r>
            <w:r>
              <w:rPr>
                <w:rFonts w:hint="eastAsia" w:ascii="宋体" w:hAnsi="宋体" w:eastAsia="宋体" w:cs="仿宋"/>
                <w:color w:val="auto"/>
                <w:kern w:val="2"/>
                <w:sz w:val="24"/>
                <w:szCs w:val="24"/>
                <w:highlight w:val="none"/>
                <w:lang w:val="en-US" w:eastAsia="zh-CN"/>
              </w:rPr>
              <w:t>2023</w:t>
            </w:r>
            <w:r>
              <w:rPr>
                <w:rFonts w:hint="eastAsia" w:ascii="宋体" w:hAnsi="宋体" w:eastAsia="宋体" w:cs="仿宋"/>
                <w:color w:val="auto"/>
                <w:kern w:val="2"/>
                <w:sz w:val="24"/>
                <w:szCs w:val="24"/>
                <w:highlight w:val="none"/>
              </w:rPr>
              <w:t>年01月01日</w:t>
            </w:r>
            <w:r>
              <w:rPr>
                <w:rFonts w:hint="eastAsia" w:ascii="宋体" w:hAnsi="宋体" w:eastAsia="宋体" w:cs="宋体"/>
                <w:color w:val="auto"/>
                <w:kern w:val="0"/>
                <w:sz w:val="24"/>
                <w:szCs w:val="24"/>
                <w:highlight w:val="none"/>
              </w:rPr>
              <w:t>以来</w:t>
            </w:r>
            <w:r>
              <w:rPr>
                <w:rFonts w:hint="eastAsia" w:ascii="宋体" w:hAnsi="宋体" w:eastAsia="宋体" w:cs="仿宋"/>
                <w:color w:val="auto"/>
                <w:kern w:val="2"/>
                <w:sz w:val="24"/>
                <w:szCs w:val="24"/>
                <w:highlight w:val="none"/>
              </w:rPr>
              <w:t>（新注册企业从注册之日起至今）</w:t>
            </w:r>
          </w:p>
        </w:tc>
      </w:tr>
      <w:tr w14:paraId="78F92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4B5910A2">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35</w:t>
            </w:r>
          </w:p>
        </w:tc>
        <w:tc>
          <w:tcPr>
            <w:tcW w:w="1552" w:type="dxa"/>
            <w:tcBorders>
              <w:top w:val="single" w:color="auto" w:sz="4" w:space="0"/>
              <w:left w:val="nil"/>
              <w:bottom w:val="single" w:color="auto" w:sz="4" w:space="0"/>
              <w:right w:val="single" w:color="auto" w:sz="4" w:space="0"/>
            </w:tcBorders>
            <w:noWrap w:val="0"/>
            <w:vAlign w:val="center"/>
          </w:tcPr>
          <w:p w14:paraId="0FA2F578">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是否允许递交备选方案</w:t>
            </w:r>
          </w:p>
        </w:tc>
        <w:tc>
          <w:tcPr>
            <w:tcW w:w="7626" w:type="dxa"/>
            <w:tcBorders>
              <w:top w:val="single" w:color="auto" w:sz="4" w:space="0"/>
              <w:left w:val="nil"/>
              <w:bottom w:val="single" w:color="auto" w:sz="4" w:space="0"/>
              <w:right w:val="single" w:color="auto" w:sz="4" w:space="0"/>
            </w:tcBorders>
            <w:noWrap w:val="0"/>
            <w:vAlign w:val="center"/>
          </w:tcPr>
          <w:p w14:paraId="4A43B678">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不允许</w:t>
            </w:r>
          </w:p>
        </w:tc>
      </w:tr>
      <w:tr w14:paraId="47126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56FB659C">
            <w:pPr>
              <w:widowControl/>
              <w:spacing w:before="0" w:beforeLines="0" w:beforeAutospacing="0" w:afterAutospacing="0" w:line="360" w:lineRule="auto"/>
              <w:ind w:left="0" w:right="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3</w:t>
            </w:r>
            <w:r>
              <w:rPr>
                <w:rFonts w:hint="eastAsia" w:ascii="宋体" w:hAnsi="宋体" w:eastAsia="宋体" w:cs="宋体"/>
                <w:color w:val="auto"/>
                <w:kern w:val="2"/>
                <w:sz w:val="24"/>
                <w:szCs w:val="24"/>
                <w:highlight w:val="none"/>
                <w:lang w:val="en-US" w:eastAsia="zh-CN"/>
              </w:rPr>
              <w:t>6</w:t>
            </w:r>
          </w:p>
        </w:tc>
        <w:tc>
          <w:tcPr>
            <w:tcW w:w="1552" w:type="dxa"/>
            <w:tcBorders>
              <w:top w:val="single" w:color="auto" w:sz="4" w:space="0"/>
              <w:left w:val="nil"/>
              <w:bottom w:val="single" w:color="auto" w:sz="4" w:space="0"/>
              <w:right w:val="single" w:color="auto" w:sz="4" w:space="0"/>
            </w:tcBorders>
            <w:noWrap w:val="0"/>
            <w:vAlign w:val="center"/>
          </w:tcPr>
          <w:p w14:paraId="45146161">
            <w:pPr>
              <w:widowControl/>
              <w:spacing w:before="0" w:beforeLines="0" w:beforeAutospacing="0" w:after="0" w:afterLines="0" w:afterAutospacing="0" w:line="400" w:lineRule="exact"/>
              <w:ind w:left="0" w:right="0"/>
              <w:jc w:val="both"/>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电子</w:t>
            </w:r>
            <w:r>
              <w:rPr>
                <w:rFonts w:hint="eastAsia" w:ascii="宋体" w:hAnsi="宋体" w:eastAsia="宋体" w:cs="仿宋"/>
                <w:color w:val="auto"/>
                <w:kern w:val="2"/>
                <w:sz w:val="24"/>
                <w:szCs w:val="24"/>
                <w:highlight w:val="none"/>
                <w:lang w:val="en-US" w:eastAsia="zh-CN"/>
              </w:rPr>
              <w:t>响应</w:t>
            </w:r>
            <w:r>
              <w:rPr>
                <w:rFonts w:hint="eastAsia" w:ascii="宋体" w:hAnsi="宋体" w:eastAsia="宋体" w:cs="仿宋"/>
                <w:color w:val="auto"/>
                <w:kern w:val="2"/>
                <w:sz w:val="24"/>
                <w:szCs w:val="24"/>
                <w:highlight w:val="none"/>
              </w:rPr>
              <w:t>文件签章</w:t>
            </w:r>
          </w:p>
        </w:tc>
        <w:tc>
          <w:tcPr>
            <w:tcW w:w="7626" w:type="dxa"/>
            <w:tcBorders>
              <w:top w:val="single" w:color="auto" w:sz="4" w:space="0"/>
              <w:left w:val="nil"/>
              <w:bottom w:val="single" w:color="auto" w:sz="4" w:space="0"/>
              <w:right w:val="single" w:color="auto" w:sz="4" w:space="0"/>
            </w:tcBorders>
            <w:noWrap w:val="0"/>
            <w:vAlign w:val="center"/>
          </w:tcPr>
          <w:p w14:paraId="1B08AA89">
            <w:pPr>
              <w:keepNext w:val="0"/>
              <w:keepLines w:val="0"/>
              <w:pageBreakBefore w:val="0"/>
              <w:widowControl/>
              <w:kinsoku/>
              <w:wordWrap/>
              <w:overflowPunct/>
              <w:topLinePunct w:val="0"/>
              <w:autoSpaceDE/>
              <w:autoSpaceDN/>
              <w:bidi w:val="0"/>
              <w:adjustRightInd w:val="0"/>
              <w:snapToGrid w:val="0"/>
              <w:spacing w:before="0" w:beforeLines="0" w:beforeAutospacing="0" w:after="0" w:afterLines="0" w:afterAutospacing="0" w:line="500" w:lineRule="exact"/>
              <w:ind w:left="0" w:right="0"/>
              <w:textAlignment w:val="auto"/>
              <w:rPr>
                <w:rFonts w:hint="eastAsia" w:ascii="宋体" w:hAnsi="宋体" w:eastAsia="宋体" w:cs="仿宋"/>
                <w:color w:val="auto"/>
                <w:kern w:val="2"/>
                <w:sz w:val="24"/>
                <w:szCs w:val="24"/>
                <w:highlight w:val="none"/>
                <w:lang w:eastAsia="zh-CN"/>
              </w:rPr>
            </w:pPr>
            <w:r>
              <w:rPr>
                <w:rFonts w:hint="eastAsia" w:ascii="宋体" w:hAnsi="宋体" w:eastAsia="宋体" w:cs="仿宋"/>
                <w:color w:val="auto"/>
                <w:kern w:val="2"/>
                <w:sz w:val="24"/>
                <w:szCs w:val="24"/>
                <w:highlight w:val="none"/>
              </w:rPr>
              <w:t>1、供应商在生成电子化</w:t>
            </w:r>
            <w:r>
              <w:rPr>
                <w:rFonts w:hint="eastAsia" w:ascii="宋体" w:hAnsi="宋体" w:eastAsia="宋体" w:cs="仿宋"/>
                <w:color w:val="auto"/>
                <w:kern w:val="2"/>
                <w:sz w:val="24"/>
                <w:szCs w:val="24"/>
                <w:highlight w:val="none"/>
                <w:lang w:val="en-US" w:eastAsia="zh-CN"/>
              </w:rPr>
              <w:t>响应</w:t>
            </w:r>
            <w:r>
              <w:rPr>
                <w:rFonts w:hint="eastAsia" w:ascii="宋体" w:hAnsi="宋体" w:eastAsia="宋体" w:cs="仿宋"/>
                <w:color w:val="auto"/>
                <w:kern w:val="2"/>
                <w:sz w:val="24"/>
                <w:szCs w:val="24"/>
                <w:highlight w:val="none"/>
              </w:rPr>
              <w:t>文件后，应对电子化</w:t>
            </w:r>
            <w:r>
              <w:rPr>
                <w:rFonts w:hint="eastAsia" w:ascii="宋体" w:hAnsi="宋体" w:eastAsia="宋体" w:cs="仿宋"/>
                <w:color w:val="auto"/>
                <w:kern w:val="2"/>
                <w:sz w:val="24"/>
                <w:szCs w:val="24"/>
                <w:highlight w:val="none"/>
                <w:lang w:val="en-US" w:eastAsia="zh-CN"/>
              </w:rPr>
              <w:t>响应</w:t>
            </w:r>
            <w:r>
              <w:rPr>
                <w:rFonts w:hint="eastAsia" w:ascii="宋体" w:hAnsi="宋体" w:eastAsia="宋体" w:cs="仿宋"/>
                <w:color w:val="auto"/>
                <w:kern w:val="2"/>
                <w:sz w:val="24"/>
                <w:szCs w:val="24"/>
                <w:highlight w:val="none"/>
              </w:rPr>
              <w:t>文件进行签章，未进行签章的视为无效</w:t>
            </w:r>
            <w:r>
              <w:rPr>
                <w:rFonts w:hint="eastAsia" w:ascii="宋体" w:hAnsi="宋体" w:eastAsia="宋体" w:cs="仿宋"/>
                <w:color w:val="auto"/>
                <w:kern w:val="2"/>
                <w:sz w:val="24"/>
                <w:szCs w:val="24"/>
                <w:highlight w:val="none"/>
                <w:lang w:val="en-US" w:eastAsia="zh-CN"/>
              </w:rPr>
              <w:t>磋商</w:t>
            </w:r>
          </w:p>
          <w:p w14:paraId="1570A1F5">
            <w:pPr>
              <w:keepNext w:val="0"/>
              <w:keepLines w:val="0"/>
              <w:pageBreakBefore w:val="0"/>
              <w:widowControl/>
              <w:kinsoku/>
              <w:wordWrap/>
              <w:overflowPunct/>
              <w:topLinePunct w:val="0"/>
              <w:autoSpaceDE/>
              <w:autoSpaceDN/>
              <w:bidi w:val="0"/>
              <w:adjustRightInd w:val="0"/>
              <w:snapToGrid w:val="0"/>
              <w:spacing w:before="0" w:beforeLines="0" w:beforeAutospacing="0" w:after="0" w:afterLines="0" w:afterAutospacing="0" w:line="500" w:lineRule="exact"/>
              <w:ind w:left="0" w:right="0"/>
              <w:textAlignment w:val="auto"/>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2、</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文件中要求法定代表人或其委托代理人签字或盖章的，供应商在进行电子化</w:t>
            </w:r>
            <w:r>
              <w:rPr>
                <w:rFonts w:hint="eastAsia" w:ascii="宋体" w:hAnsi="宋体" w:eastAsia="宋体" w:cs="仿宋"/>
                <w:color w:val="auto"/>
                <w:kern w:val="2"/>
                <w:sz w:val="24"/>
                <w:szCs w:val="24"/>
                <w:highlight w:val="none"/>
                <w:lang w:val="en-US" w:eastAsia="zh-CN"/>
              </w:rPr>
              <w:t>响应</w:t>
            </w:r>
            <w:r>
              <w:rPr>
                <w:rFonts w:hint="eastAsia" w:ascii="宋体" w:hAnsi="宋体" w:eastAsia="宋体" w:cs="仿宋"/>
                <w:color w:val="auto"/>
                <w:kern w:val="2"/>
                <w:sz w:val="24"/>
                <w:szCs w:val="24"/>
                <w:highlight w:val="none"/>
              </w:rPr>
              <w:t>文件签章时，以签盖法定代表人签章为准。电子化</w:t>
            </w:r>
            <w:r>
              <w:rPr>
                <w:rFonts w:hint="eastAsia" w:ascii="宋体" w:hAnsi="宋体" w:eastAsia="宋体" w:cs="仿宋"/>
                <w:color w:val="auto"/>
                <w:kern w:val="2"/>
                <w:sz w:val="24"/>
                <w:szCs w:val="24"/>
                <w:highlight w:val="none"/>
                <w:lang w:val="en-US" w:eastAsia="zh-CN"/>
              </w:rPr>
              <w:t>响应</w:t>
            </w:r>
            <w:r>
              <w:rPr>
                <w:rFonts w:hint="eastAsia" w:ascii="宋体" w:hAnsi="宋体" w:eastAsia="宋体" w:cs="仿宋"/>
                <w:color w:val="auto"/>
                <w:kern w:val="2"/>
                <w:sz w:val="24"/>
                <w:szCs w:val="24"/>
                <w:highlight w:val="none"/>
              </w:rPr>
              <w:t>文件具体制作教材请供应商通过CA证书登录三门峡市公共资源电子化交易系统在右上角“组建下载”中查看</w:t>
            </w:r>
          </w:p>
        </w:tc>
      </w:tr>
      <w:tr w14:paraId="5EDF8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749CD5AB">
            <w:pPr>
              <w:widowControl/>
              <w:spacing w:before="0" w:beforeLines="0" w:beforeAutospacing="0" w:afterAutospacing="0" w:line="360" w:lineRule="auto"/>
              <w:ind w:left="0" w:right="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3</w:t>
            </w:r>
            <w:r>
              <w:rPr>
                <w:rFonts w:hint="eastAsia" w:ascii="宋体" w:hAnsi="宋体" w:eastAsia="宋体" w:cs="宋体"/>
                <w:color w:val="auto"/>
                <w:kern w:val="2"/>
                <w:sz w:val="24"/>
                <w:szCs w:val="24"/>
                <w:highlight w:val="none"/>
                <w:lang w:val="en-US" w:eastAsia="zh-CN"/>
              </w:rPr>
              <w:t>7</w:t>
            </w:r>
          </w:p>
        </w:tc>
        <w:tc>
          <w:tcPr>
            <w:tcW w:w="1552" w:type="dxa"/>
            <w:tcBorders>
              <w:top w:val="single" w:color="auto" w:sz="4" w:space="0"/>
              <w:left w:val="single" w:color="auto" w:sz="4" w:space="0"/>
              <w:bottom w:val="single" w:color="auto" w:sz="4" w:space="0"/>
              <w:right w:val="single" w:color="auto" w:sz="4" w:space="0"/>
            </w:tcBorders>
            <w:noWrap w:val="0"/>
            <w:vAlign w:val="center"/>
          </w:tcPr>
          <w:p w14:paraId="4A1E0CE0">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响应</w:t>
            </w:r>
            <w:r>
              <w:rPr>
                <w:rFonts w:hint="eastAsia" w:ascii="宋体" w:hAnsi="宋体" w:eastAsia="宋体" w:cs="仿宋"/>
                <w:color w:val="auto"/>
                <w:kern w:val="2"/>
                <w:sz w:val="24"/>
                <w:szCs w:val="24"/>
                <w:highlight w:val="none"/>
              </w:rPr>
              <w:t>文件</w:t>
            </w:r>
          </w:p>
        </w:tc>
        <w:tc>
          <w:tcPr>
            <w:tcW w:w="7626" w:type="dxa"/>
            <w:tcBorders>
              <w:top w:val="single" w:color="auto" w:sz="4" w:space="0"/>
              <w:left w:val="single" w:color="auto" w:sz="4" w:space="0"/>
              <w:bottom w:val="single" w:color="auto" w:sz="4" w:space="0"/>
              <w:right w:val="single" w:color="auto" w:sz="4" w:space="0"/>
            </w:tcBorders>
            <w:noWrap w:val="0"/>
            <w:vAlign w:val="center"/>
          </w:tcPr>
          <w:p w14:paraId="01AE1111">
            <w:pPr>
              <w:spacing w:line="360" w:lineRule="auto"/>
              <w:jc w:val="left"/>
              <w:rPr>
                <w:rFonts w:hint="eastAsia" w:ascii="宋体" w:hAnsi="宋体" w:cs="宋体"/>
                <w:color w:val="auto"/>
                <w:sz w:val="24"/>
                <w:highlight w:val="none"/>
                <w:lang w:bidi="ar"/>
              </w:rPr>
            </w:pPr>
            <w:r>
              <w:rPr>
                <w:rFonts w:hint="eastAsia" w:ascii="宋体" w:hAnsi="宋体" w:cs="宋体"/>
                <w:color w:val="auto"/>
                <w:sz w:val="24"/>
                <w:highlight w:val="none"/>
                <w:lang w:bidi="ar"/>
              </w:rPr>
              <w:t>1、本项目采用全过程电子化</w:t>
            </w:r>
            <w:r>
              <w:rPr>
                <w:rFonts w:hint="eastAsia" w:ascii="宋体" w:hAnsi="宋体" w:cs="宋体"/>
                <w:color w:val="auto"/>
                <w:sz w:val="24"/>
                <w:highlight w:val="none"/>
                <w:lang w:val="en-US" w:eastAsia="zh-CN" w:bidi="ar"/>
              </w:rPr>
              <w:t>磋商</w:t>
            </w:r>
            <w:r>
              <w:rPr>
                <w:rFonts w:hint="eastAsia" w:ascii="宋体" w:hAnsi="宋体" w:cs="宋体"/>
                <w:color w:val="auto"/>
                <w:sz w:val="24"/>
                <w:highlight w:val="none"/>
                <w:lang w:bidi="ar"/>
              </w:rPr>
              <w:t>，</w:t>
            </w:r>
            <w:r>
              <w:rPr>
                <w:rFonts w:hint="eastAsia" w:ascii="宋体" w:hAnsi="宋体" w:cs="宋体"/>
                <w:color w:val="auto"/>
                <w:sz w:val="24"/>
                <w:highlight w:val="none"/>
                <w:lang w:val="en-US" w:eastAsia="zh-CN" w:bidi="ar"/>
              </w:rPr>
              <w:t>供应商</w:t>
            </w:r>
            <w:r>
              <w:rPr>
                <w:rFonts w:hint="eastAsia" w:ascii="宋体" w:hAnsi="宋体" w:cs="宋体"/>
                <w:color w:val="auto"/>
                <w:sz w:val="24"/>
                <w:highlight w:val="none"/>
                <w:lang w:bidi="ar"/>
              </w:rPr>
              <w:t>需用 CA 在电子平台上传电子</w:t>
            </w:r>
            <w:r>
              <w:rPr>
                <w:rFonts w:hint="eastAsia" w:ascii="宋体" w:hAnsi="宋体" w:cs="宋体"/>
                <w:color w:val="auto"/>
                <w:sz w:val="24"/>
                <w:highlight w:val="none"/>
                <w:lang w:val="en-US" w:eastAsia="zh-CN" w:bidi="ar"/>
              </w:rPr>
              <w:t>响应</w:t>
            </w:r>
            <w:r>
              <w:rPr>
                <w:rFonts w:hint="eastAsia" w:ascii="宋体" w:hAnsi="宋体" w:cs="宋体"/>
                <w:color w:val="auto"/>
                <w:sz w:val="24"/>
                <w:highlight w:val="none"/>
                <w:lang w:bidi="ar"/>
              </w:rPr>
              <w:t>文件；</w:t>
            </w:r>
          </w:p>
          <w:p w14:paraId="3F0C4E30">
            <w:pPr>
              <w:keepNext w:val="0"/>
              <w:keepLines w:val="0"/>
              <w:pageBreakBefore w:val="0"/>
              <w:widowControl/>
              <w:kinsoku/>
              <w:wordWrap/>
              <w:overflowPunct/>
              <w:topLinePunct w:val="0"/>
              <w:autoSpaceDE/>
              <w:autoSpaceDN/>
              <w:bidi w:val="0"/>
              <w:adjustRightInd w:val="0"/>
              <w:snapToGrid w:val="0"/>
              <w:spacing w:before="0" w:beforeLines="0" w:beforeAutospacing="0" w:after="0" w:afterLines="0" w:afterAutospacing="0" w:line="500" w:lineRule="exact"/>
              <w:ind w:left="0" w:right="0"/>
              <w:textAlignment w:val="auto"/>
              <w:rPr>
                <w:color w:val="auto"/>
                <w:highlight w:val="none"/>
              </w:rPr>
            </w:pPr>
            <w:r>
              <w:rPr>
                <w:rFonts w:hint="eastAsia" w:ascii="宋体" w:hAnsi="宋体" w:cs="宋体"/>
                <w:color w:val="auto"/>
                <w:sz w:val="24"/>
                <w:highlight w:val="none"/>
                <w:lang w:bidi="ar"/>
              </w:rPr>
              <w:t>2、</w:t>
            </w:r>
            <w:r>
              <w:rPr>
                <w:rFonts w:hint="eastAsia" w:ascii="宋体" w:hAnsi="宋体" w:cs="宋体"/>
                <w:b/>
                <w:bCs/>
                <w:color w:val="auto"/>
                <w:sz w:val="24"/>
                <w:highlight w:val="none"/>
                <w:lang w:val="en-US" w:eastAsia="zh-CN" w:bidi="ar"/>
              </w:rPr>
              <w:t>磋商</w:t>
            </w:r>
            <w:r>
              <w:rPr>
                <w:rFonts w:hint="eastAsia" w:ascii="宋体" w:hAnsi="宋体" w:cs="宋体"/>
                <w:b/>
                <w:bCs/>
                <w:color w:val="auto"/>
                <w:sz w:val="24"/>
                <w:highlight w:val="none"/>
                <w:lang w:bidi="ar"/>
              </w:rPr>
              <w:t>时不再递交纸质</w:t>
            </w:r>
            <w:r>
              <w:rPr>
                <w:rFonts w:hint="eastAsia" w:ascii="宋体" w:hAnsi="宋体" w:cs="宋体"/>
                <w:b/>
                <w:bCs/>
                <w:color w:val="auto"/>
                <w:sz w:val="24"/>
                <w:highlight w:val="none"/>
                <w:lang w:val="en-US" w:eastAsia="zh-CN" w:bidi="ar"/>
              </w:rPr>
              <w:t>响应</w:t>
            </w:r>
            <w:r>
              <w:rPr>
                <w:rFonts w:hint="eastAsia" w:ascii="宋体" w:hAnsi="宋体" w:cs="宋体"/>
                <w:b/>
                <w:bCs/>
                <w:color w:val="auto"/>
                <w:sz w:val="24"/>
                <w:highlight w:val="none"/>
                <w:lang w:bidi="ar"/>
              </w:rPr>
              <w:t>文件，</w:t>
            </w:r>
            <w:r>
              <w:rPr>
                <w:rFonts w:hint="eastAsia" w:ascii="宋体" w:hAnsi="宋体" w:cs="宋体"/>
                <w:b/>
                <w:bCs/>
                <w:color w:val="auto"/>
                <w:sz w:val="24"/>
                <w:highlight w:val="none"/>
                <w:lang w:val="en-US" w:eastAsia="zh-CN" w:bidi="ar"/>
              </w:rPr>
              <w:t>成交</w:t>
            </w:r>
            <w:r>
              <w:rPr>
                <w:rFonts w:hint="eastAsia" w:ascii="宋体" w:hAnsi="宋体" w:cs="宋体"/>
                <w:b/>
                <w:bCs/>
                <w:color w:val="auto"/>
                <w:sz w:val="24"/>
                <w:highlight w:val="none"/>
                <w:lang w:bidi="ar"/>
              </w:rPr>
              <w:t>单位领取</w:t>
            </w:r>
            <w:r>
              <w:rPr>
                <w:rFonts w:hint="eastAsia" w:ascii="宋体" w:hAnsi="宋体" w:cs="宋体"/>
                <w:b/>
                <w:bCs/>
                <w:color w:val="auto"/>
                <w:sz w:val="24"/>
                <w:highlight w:val="none"/>
                <w:lang w:val="en-US" w:eastAsia="zh-CN" w:bidi="ar"/>
              </w:rPr>
              <w:t>成交</w:t>
            </w:r>
            <w:r>
              <w:rPr>
                <w:rFonts w:hint="eastAsia" w:ascii="宋体" w:hAnsi="宋体" w:cs="宋体"/>
                <w:b/>
                <w:bCs/>
                <w:color w:val="auto"/>
                <w:sz w:val="24"/>
                <w:highlight w:val="none"/>
                <w:lang w:bidi="ar"/>
              </w:rPr>
              <w:t>通知书时提交叁份与电子化</w:t>
            </w:r>
            <w:r>
              <w:rPr>
                <w:rFonts w:hint="eastAsia" w:ascii="宋体" w:hAnsi="宋体" w:cs="宋体"/>
                <w:b/>
                <w:bCs/>
                <w:color w:val="auto"/>
                <w:sz w:val="24"/>
                <w:highlight w:val="none"/>
                <w:lang w:val="en-US" w:eastAsia="zh-CN" w:bidi="ar"/>
              </w:rPr>
              <w:t>响应</w:t>
            </w:r>
            <w:r>
              <w:rPr>
                <w:rFonts w:hint="eastAsia" w:ascii="宋体" w:hAnsi="宋体" w:cs="宋体"/>
                <w:b/>
                <w:bCs/>
                <w:color w:val="auto"/>
                <w:sz w:val="24"/>
                <w:highlight w:val="none"/>
                <w:lang w:bidi="ar"/>
              </w:rPr>
              <w:t>文件相同的纸质</w:t>
            </w:r>
            <w:r>
              <w:rPr>
                <w:rFonts w:hint="eastAsia" w:ascii="宋体" w:hAnsi="宋体" w:cs="宋体"/>
                <w:b/>
                <w:bCs/>
                <w:color w:val="auto"/>
                <w:sz w:val="24"/>
                <w:highlight w:val="none"/>
                <w:lang w:val="en-US" w:eastAsia="zh-CN" w:bidi="ar"/>
              </w:rPr>
              <w:t>响应</w:t>
            </w:r>
            <w:r>
              <w:rPr>
                <w:rFonts w:hint="eastAsia" w:ascii="宋体" w:hAnsi="宋体" w:cs="宋体"/>
                <w:b/>
                <w:bCs/>
                <w:color w:val="auto"/>
                <w:sz w:val="24"/>
                <w:highlight w:val="none"/>
                <w:lang w:bidi="ar"/>
              </w:rPr>
              <w:t>文件，</w:t>
            </w:r>
            <w:r>
              <w:rPr>
                <w:rFonts w:hint="eastAsia" w:ascii="宋体" w:hAnsi="宋体" w:cs="宋体"/>
                <w:b/>
                <w:bCs/>
                <w:color w:val="auto"/>
                <w:sz w:val="24"/>
                <w:highlight w:val="none"/>
                <w:lang w:val="en-US" w:eastAsia="zh-CN" w:bidi="ar"/>
              </w:rPr>
              <w:t>响应文件</w:t>
            </w:r>
            <w:r>
              <w:rPr>
                <w:rFonts w:hint="eastAsia" w:ascii="宋体" w:hAnsi="宋体" w:cs="宋体"/>
                <w:b/>
                <w:bCs/>
                <w:color w:val="auto"/>
                <w:sz w:val="24"/>
                <w:highlight w:val="none"/>
                <w:lang w:bidi="ar"/>
              </w:rPr>
              <w:t>应按以下要求装订：胶装（不得采用活页装订），应有目录，并逐页标注连续页码，需加盖公章。</w:t>
            </w:r>
          </w:p>
        </w:tc>
      </w:tr>
      <w:tr w14:paraId="39ACC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757A76BF">
            <w:pPr>
              <w:widowControl/>
              <w:spacing w:before="0" w:beforeLines="0" w:beforeAutospacing="0" w:afterAutospacing="0" w:line="360" w:lineRule="auto"/>
              <w:ind w:left="0" w:right="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3</w:t>
            </w:r>
            <w:r>
              <w:rPr>
                <w:rFonts w:hint="eastAsia" w:ascii="宋体" w:hAnsi="宋体" w:eastAsia="宋体" w:cs="宋体"/>
                <w:color w:val="auto"/>
                <w:kern w:val="2"/>
                <w:sz w:val="24"/>
                <w:szCs w:val="24"/>
                <w:highlight w:val="none"/>
                <w:lang w:val="en-US" w:eastAsia="zh-CN"/>
              </w:rPr>
              <w:t>8</w:t>
            </w:r>
          </w:p>
        </w:tc>
        <w:tc>
          <w:tcPr>
            <w:tcW w:w="1552" w:type="dxa"/>
            <w:tcBorders>
              <w:top w:val="single" w:color="auto" w:sz="4" w:space="0"/>
              <w:left w:val="nil"/>
              <w:bottom w:val="single" w:color="auto" w:sz="4" w:space="0"/>
              <w:right w:val="single" w:color="auto" w:sz="4" w:space="0"/>
            </w:tcBorders>
            <w:noWrap w:val="0"/>
            <w:vAlign w:val="center"/>
          </w:tcPr>
          <w:p w14:paraId="4B269A76">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截止时间</w:t>
            </w:r>
          </w:p>
        </w:tc>
        <w:tc>
          <w:tcPr>
            <w:tcW w:w="7626" w:type="dxa"/>
            <w:tcBorders>
              <w:top w:val="single" w:color="auto" w:sz="4" w:space="0"/>
              <w:left w:val="nil"/>
              <w:bottom w:val="single" w:color="auto" w:sz="4" w:space="0"/>
              <w:right w:val="single" w:color="auto" w:sz="4" w:space="0"/>
            </w:tcBorders>
            <w:noWrap w:val="0"/>
            <w:vAlign w:val="center"/>
          </w:tcPr>
          <w:p w14:paraId="3A2E2D48">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具体详见公告部分</w:t>
            </w:r>
          </w:p>
        </w:tc>
      </w:tr>
      <w:tr w14:paraId="1ABDD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4"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75C88084">
            <w:pPr>
              <w:widowControl/>
              <w:spacing w:before="0" w:beforeLines="0" w:beforeAutospacing="0" w:afterAutospacing="0" w:line="360" w:lineRule="auto"/>
              <w:ind w:left="0" w:right="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3</w:t>
            </w:r>
            <w:r>
              <w:rPr>
                <w:rFonts w:hint="eastAsia" w:ascii="宋体" w:hAnsi="宋体" w:eastAsia="宋体" w:cs="宋体"/>
                <w:color w:val="auto"/>
                <w:kern w:val="2"/>
                <w:sz w:val="24"/>
                <w:szCs w:val="24"/>
                <w:highlight w:val="none"/>
                <w:lang w:val="en-US" w:eastAsia="zh-CN"/>
              </w:rPr>
              <w:t>9</w:t>
            </w:r>
          </w:p>
        </w:tc>
        <w:tc>
          <w:tcPr>
            <w:tcW w:w="1552" w:type="dxa"/>
            <w:tcBorders>
              <w:top w:val="single" w:color="auto" w:sz="4" w:space="0"/>
              <w:left w:val="single" w:color="auto" w:sz="4" w:space="0"/>
              <w:bottom w:val="single" w:color="auto" w:sz="4" w:space="0"/>
              <w:right w:val="single" w:color="auto" w:sz="4" w:space="0"/>
            </w:tcBorders>
            <w:noWrap w:val="0"/>
            <w:vAlign w:val="center"/>
          </w:tcPr>
          <w:p w14:paraId="4EAC0C79">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递交</w:t>
            </w:r>
            <w:r>
              <w:rPr>
                <w:rFonts w:hint="eastAsia" w:ascii="宋体" w:hAnsi="宋体" w:eastAsia="宋体" w:cs="仿宋"/>
                <w:color w:val="auto"/>
                <w:kern w:val="2"/>
                <w:sz w:val="24"/>
                <w:szCs w:val="24"/>
                <w:highlight w:val="none"/>
                <w:lang w:val="en-US" w:eastAsia="zh-CN"/>
              </w:rPr>
              <w:t>响应</w:t>
            </w:r>
            <w:r>
              <w:rPr>
                <w:rFonts w:hint="eastAsia" w:ascii="宋体" w:hAnsi="宋体" w:eastAsia="宋体" w:cs="仿宋"/>
                <w:color w:val="auto"/>
                <w:kern w:val="2"/>
                <w:sz w:val="24"/>
                <w:szCs w:val="24"/>
                <w:highlight w:val="none"/>
              </w:rPr>
              <w:t>文件地点</w:t>
            </w:r>
          </w:p>
        </w:tc>
        <w:tc>
          <w:tcPr>
            <w:tcW w:w="7626" w:type="dxa"/>
            <w:tcBorders>
              <w:top w:val="single" w:color="auto" w:sz="4" w:space="0"/>
              <w:left w:val="nil"/>
              <w:bottom w:val="single" w:color="auto" w:sz="4" w:space="0"/>
              <w:right w:val="single" w:color="auto" w:sz="4" w:space="0"/>
            </w:tcBorders>
            <w:noWrap w:val="0"/>
            <w:vAlign w:val="center"/>
          </w:tcPr>
          <w:p w14:paraId="07446975">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具体详见公告部分</w:t>
            </w:r>
          </w:p>
        </w:tc>
      </w:tr>
      <w:tr w14:paraId="4DE3D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4"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0073EC0C">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40</w:t>
            </w:r>
          </w:p>
        </w:tc>
        <w:tc>
          <w:tcPr>
            <w:tcW w:w="1552" w:type="dxa"/>
            <w:tcBorders>
              <w:top w:val="single" w:color="auto" w:sz="4" w:space="0"/>
              <w:left w:val="nil"/>
              <w:bottom w:val="single" w:color="auto" w:sz="4" w:space="0"/>
              <w:right w:val="single" w:color="auto" w:sz="4" w:space="0"/>
            </w:tcBorders>
            <w:noWrap w:val="0"/>
            <w:vAlign w:val="center"/>
          </w:tcPr>
          <w:p w14:paraId="6D621A3E">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响应</w:t>
            </w:r>
            <w:r>
              <w:rPr>
                <w:rFonts w:hint="eastAsia" w:ascii="宋体" w:hAnsi="宋体" w:eastAsia="宋体" w:cs="仿宋"/>
                <w:color w:val="auto"/>
                <w:kern w:val="2"/>
                <w:sz w:val="24"/>
                <w:szCs w:val="24"/>
                <w:highlight w:val="none"/>
              </w:rPr>
              <w:t>文件是否退还</w:t>
            </w:r>
          </w:p>
        </w:tc>
        <w:tc>
          <w:tcPr>
            <w:tcW w:w="7626" w:type="dxa"/>
            <w:tcBorders>
              <w:top w:val="single" w:color="auto" w:sz="4" w:space="0"/>
              <w:left w:val="nil"/>
              <w:bottom w:val="single" w:color="auto" w:sz="4" w:space="0"/>
              <w:right w:val="single" w:color="auto" w:sz="4" w:space="0"/>
            </w:tcBorders>
            <w:noWrap w:val="0"/>
            <w:vAlign w:val="center"/>
          </w:tcPr>
          <w:p w14:paraId="622359BC">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否</w:t>
            </w:r>
          </w:p>
        </w:tc>
      </w:tr>
      <w:tr w14:paraId="6D85F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6D1652C0">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41</w:t>
            </w:r>
          </w:p>
        </w:tc>
        <w:tc>
          <w:tcPr>
            <w:tcW w:w="1552" w:type="dxa"/>
            <w:tcBorders>
              <w:top w:val="single" w:color="auto" w:sz="4" w:space="0"/>
              <w:left w:val="nil"/>
              <w:bottom w:val="single" w:color="auto" w:sz="4" w:space="0"/>
              <w:right w:val="single" w:color="auto" w:sz="4" w:space="0"/>
            </w:tcBorders>
            <w:noWrap w:val="0"/>
            <w:vAlign w:val="center"/>
          </w:tcPr>
          <w:p w14:paraId="34FCF8E5">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时间和地点</w:t>
            </w:r>
          </w:p>
        </w:tc>
        <w:tc>
          <w:tcPr>
            <w:tcW w:w="7626" w:type="dxa"/>
            <w:tcBorders>
              <w:top w:val="single" w:color="auto" w:sz="4" w:space="0"/>
              <w:left w:val="nil"/>
              <w:bottom w:val="single" w:color="auto" w:sz="4" w:space="0"/>
              <w:right w:val="single" w:color="auto" w:sz="4" w:space="0"/>
            </w:tcBorders>
            <w:noWrap w:val="0"/>
            <w:vAlign w:val="center"/>
          </w:tcPr>
          <w:p w14:paraId="4103404A">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具体详见公告部分</w:t>
            </w:r>
          </w:p>
        </w:tc>
      </w:tr>
      <w:tr w14:paraId="19788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7"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07FF9657">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42</w:t>
            </w:r>
          </w:p>
        </w:tc>
        <w:tc>
          <w:tcPr>
            <w:tcW w:w="1552" w:type="dxa"/>
            <w:tcBorders>
              <w:top w:val="single" w:color="auto" w:sz="4" w:space="0"/>
              <w:left w:val="single" w:color="auto" w:sz="4" w:space="0"/>
              <w:bottom w:val="single" w:color="auto" w:sz="4" w:space="0"/>
              <w:right w:val="single" w:color="auto" w:sz="4" w:space="0"/>
            </w:tcBorders>
            <w:noWrap w:val="0"/>
            <w:vAlign w:val="center"/>
          </w:tcPr>
          <w:p w14:paraId="091BA9CD">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报价</w:t>
            </w:r>
          </w:p>
        </w:tc>
        <w:tc>
          <w:tcPr>
            <w:tcW w:w="7626" w:type="dxa"/>
            <w:tcBorders>
              <w:top w:val="single" w:color="auto" w:sz="4" w:space="0"/>
              <w:left w:val="nil"/>
              <w:bottom w:val="single" w:color="auto" w:sz="4" w:space="0"/>
              <w:right w:val="single" w:color="auto" w:sz="4" w:space="0"/>
            </w:tcBorders>
            <w:noWrap w:val="0"/>
            <w:vAlign w:val="top"/>
          </w:tcPr>
          <w:p w14:paraId="424BBC3A">
            <w:pPr>
              <w:widowControl/>
              <w:spacing w:before="0" w:beforeLines="0" w:beforeAutospacing="0" w:after="0" w:afterLines="0" w:afterAutospacing="0" w:line="400" w:lineRule="exact"/>
              <w:ind w:right="0" w:firstLine="484" w:firstLineChars="200"/>
              <w:jc w:val="both"/>
              <w:rPr>
                <w:rFonts w:hint="default" w:ascii="宋体" w:hAnsi="宋体" w:eastAsia="宋体" w:cs="宋体"/>
                <w:color w:val="auto"/>
                <w:spacing w:val="1"/>
                <w:sz w:val="24"/>
                <w:highlight w:val="none"/>
                <w:lang w:val="en-US" w:eastAsia="zh-CN"/>
              </w:rPr>
            </w:pPr>
            <w:r>
              <w:rPr>
                <w:rFonts w:hint="eastAsia" w:ascii="宋体" w:hAnsi="宋体" w:eastAsia="宋体" w:cs="宋体"/>
                <w:color w:val="auto"/>
                <w:spacing w:val="1"/>
                <w:sz w:val="24"/>
                <w:highlight w:val="none"/>
                <w:lang w:val="en-US" w:eastAsia="zh-CN"/>
              </w:rPr>
              <w:t>控制价：3836952.27元</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val="en-US" w:eastAsia="zh-CN"/>
              </w:rPr>
              <w:t>分两次进行报价，</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报价超过控制价的，其</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将被视为无效。</w:t>
            </w:r>
            <w:r>
              <w:rPr>
                <w:rFonts w:hint="eastAsia" w:ascii="宋体" w:hAnsi="宋体" w:eastAsia="宋体" w:cs="宋体"/>
                <w:color w:val="auto"/>
                <w:sz w:val="24"/>
                <w:szCs w:val="24"/>
                <w:highlight w:val="none"/>
                <w:lang w:val="en-US" w:eastAsia="zh-CN"/>
              </w:rPr>
              <w:t xml:space="preserve">  </w:t>
            </w:r>
          </w:p>
          <w:p w14:paraId="7410ECF3">
            <w:pPr>
              <w:widowControl/>
              <w:spacing w:before="0" w:beforeLines="0" w:beforeAutospacing="0" w:after="0" w:afterLines="0" w:afterAutospacing="0" w:line="400" w:lineRule="exact"/>
              <w:ind w:left="0" w:right="0" w:firstLine="480" w:firstLineChars="20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1）</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报价应完全包括</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文件规定的</w:t>
            </w:r>
            <w:r>
              <w:rPr>
                <w:rFonts w:hint="eastAsia" w:ascii="宋体" w:hAnsi="宋体" w:eastAsia="宋体" w:cs="仿宋"/>
                <w:color w:val="auto"/>
                <w:kern w:val="2"/>
                <w:sz w:val="24"/>
                <w:szCs w:val="24"/>
                <w:highlight w:val="none"/>
                <w:lang w:val="en-US" w:eastAsia="zh-CN"/>
              </w:rPr>
              <w:t>报价</w:t>
            </w:r>
            <w:r>
              <w:rPr>
                <w:rFonts w:hint="eastAsia" w:ascii="宋体" w:hAnsi="宋体" w:eastAsia="宋体" w:cs="仿宋"/>
                <w:color w:val="auto"/>
                <w:kern w:val="2"/>
                <w:sz w:val="24"/>
                <w:szCs w:val="24"/>
                <w:highlight w:val="none"/>
              </w:rPr>
              <w:t>范围，不得任意分割或合并所规定的分项；</w:t>
            </w:r>
          </w:p>
          <w:p w14:paraId="3BCC9E21">
            <w:pPr>
              <w:widowControl/>
              <w:spacing w:before="0" w:beforeLines="0" w:beforeAutospacing="0" w:after="0" w:afterLines="0" w:afterAutospacing="0" w:line="400" w:lineRule="exact"/>
              <w:ind w:left="0" w:right="0" w:firstLine="480" w:firstLineChars="20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2）供应商对每</w:t>
            </w:r>
            <w:r>
              <w:rPr>
                <w:rFonts w:hint="eastAsia" w:ascii="宋体" w:hAnsi="宋体" w:eastAsia="宋体" w:cs="仿宋"/>
                <w:color w:val="auto"/>
                <w:kern w:val="2"/>
                <w:sz w:val="24"/>
                <w:szCs w:val="24"/>
                <w:highlight w:val="none"/>
                <w:lang w:val="en-US" w:eastAsia="zh-CN"/>
              </w:rPr>
              <w:t>一项</w:t>
            </w:r>
            <w:r>
              <w:rPr>
                <w:rFonts w:hint="eastAsia" w:ascii="宋体" w:hAnsi="宋体" w:eastAsia="宋体" w:cs="仿宋"/>
                <w:color w:val="auto"/>
                <w:kern w:val="2"/>
                <w:sz w:val="24"/>
                <w:szCs w:val="24"/>
                <w:highlight w:val="none"/>
              </w:rPr>
              <w:t>只允许有一个报价，采购人和</w:t>
            </w:r>
            <w:r>
              <w:rPr>
                <w:rFonts w:hint="eastAsia" w:ascii="宋体" w:hAnsi="宋体" w:eastAsia="宋体" w:cs="仿宋"/>
                <w:color w:val="auto"/>
                <w:kern w:val="2"/>
                <w:sz w:val="24"/>
                <w:szCs w:val="24"/>
                <w:highlight w:val="none"/>
                <w:lang w:val="en-US" w:eastAsia="zh-CN"/>
              </w:rPr>
              <w:t>采购</w:t>
            </w:r>
            <w:r>
              <w:rPr>
                <w:rFonts w:hint="eastAsia" w:ascii="宋体" w:hAnsi="宋体" w:eastAsia="宋体" w:cs="仿宋"/>
                <w:color w:val="auto"/>
                <w:kern w:val="2"/>
                <w:sz w:val="24"/>
                <w:szCs w:val="24"/>
                <w:highlight w:val="none"/>
              </w:rPr>
              <w:t>代理机构不接受有任何选择报价的</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。（注：本项目不允许提交备选方案）；</w:t>
            </w:r>
          </w:p>
          <w:p w14:paraId="2A42ABAF">
            <w:pPr>
              <w:widowControl/>
              <w:spacing w:before="0" w:beforeLines="0" w:beforeAutospacing="0" w:after="0" w:afterLines="0" w:afterAutospacing="0" w:line="400" w:lineRule="exact"/>
              <w:ind w:left="0" w:right="0" w:firstLine="480" w:firstLineChars="20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3）供应商不得以任何理由在开标后对</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报价予以修改，报价在</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有效期内是固定的，不因任何原因而改变。任何包含价格调整要求和条件的</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，将被视为非实质性响应</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而予以拒绝；</w:t>
            </w:r>
          </w:p>
        </w:tc>
      </w:tr>
      <w:tr w14:paraId="4D5BD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717E9FA6">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43</w:t>
            </w:r>
          </w:p>
        </w:tc>
        <w:tc>
          <w:tcPr>
            <w:tcW w:w="1552" w:type="dxa"/>
            <w:tcBorders>
              <w:top w:val="single" w:color="auto" w:sz="4" w:space="0"/>
              <w:left w:val="single" w:color="auto" w:sz="4" w:space="0"/>
              <w:bottom w:val="single" w:color="auto" w:sz="4" w:space="0"/>
              <w:right w:val="single" w:color="auto" w:sz="4" w:space="0"/>
            </w:tcBorders>
            <w:noWrap w:val="0"/>
            <w:vAlign w:val="center"/>
          </w:tcPr>
          <w:p w14:paraId="0443B57C">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货币</w:t>
            </w:r>
          </w:p>
        </w:tc>
        <w:tc>
          <w:tcPr>
            <w:tcW w:w="7626" w:type="dxa"/>
            <w:tcBorders>
              <w:top w:val="nil"/>
              <w:left w:val="nil"/>
              <w:bottom w:val="single" w:color="auto" w:sz="4" w:space="0"/>
              <w:right w:val="single" w:color="auto" w:sz="4" w:space="0"/>
            </w:tcBorders>
            <w:noWrap w:val="0"/>
            <w:vAlign w:val="center"/>
          </w:tcPr>
          <w:p w14:paraId="174761FA">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人民币</w:t>
            </w:r>
          </w:p>
        </w:tc>
      </w:tr>
      <w:tr w14:paraId="65A95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1"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4D8EAC19">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44</w:t>
            </w:r>
          </w:p>
        </w:tc>
        <w:tc>
          <w:tcPr>
            <w:tcW w:w="1552" w:type="dxa"/>
            <w:tcBorders>
              <w:top w:val="single" w:color="auto" w:sz="4" w:space="0"/>
              <w:left w:val="single" w:color="auto" w:sz="4" w:space="0"/>
              <w:bottom w:val="single" w:color="auto" w:sz="4" w:space="0"/>
              <w:right w:val="single" w:color="auto" w:sz="4" w:space="0"/>
            </w:tcBorders>
            <w:noWrap w:val="0"/>
            <w:vAlign w:val="center"/>
          </w:tcPr>
          <w:p w14:paraId="2FEDAFA6">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磋商小组</w:t>
            </w:r>
            <w:r>
              <w:rPr>
                <w:rFonts w:hint="eastAsia" w:ascii="宋体" w:hAnsi="宋体" w:eastAsia="宋体" w:cs="仿宋"/>
                <w:color w:val="auto"/>
                <w:kern w:val="2"/>
                <w:sz w:val="24"/>
                <w:szCs w:val="24"/>
                <w:highlight w:val="none"/>
              </w:rPr>
              <w:t>的组建</w:t>
            </w:r>
          </w:p>
        </w:tc>
        <w:tc>
          <w:tcPr>
            <w:tcW w:w="7626" w:type="dxa"/>
            <w:tcBorders>
              <w:top w:val="single" w:color="auto" w:sz="4" w:space="0"/>
              <w:left w:val="single" w:color="auto" w:sz="4" w:space="0"/>
              <w:bottom w:val="single" w:color="auto" w:sz="4" w:space="0"/>
              <w:right w:val="single" w:color="auto" w:sz="4" w:space="0"/>
            </w:tcBorders>
            <w:noWrap w:val="0"/>
            <w:vAlign w:val="center"/>
          </w:tcPr>
          <w:p w14:paraId="47AFB602">
            <w:pPr>
              <w:widowControl/>
              <w:spacing w:before="0" w:beforeLines="0" w:beforeAutospacing="0" w:after="0" w:afterLines="0" w:afterAutospacing="0" w:line="400" w:lineRule="exact"/>
              <w:ind w:left="0" w:right="0"/>
              <w:rPr>
                <w:rFonts w:hint="eastAsia" w:eastAsiaTheme="minorEastAsia"/>
                <w:color w:val="auto"/>
                <w:highlight w:val="none"/>
                <w:lang w:eastAsia="zh-CN"/>
              </w:rPr>
            </w:pPr>
            <w:r>
              <w:rPr>
                <w:rFonts w:hint="eastAsia"/>
                <w:color w:val="auto"/>
                <w:sz w:val="24"/>
                <w:szCs w:val="32"/>
                <w:highlight w:val="none"/>
              </w:rPr>
              <w:t>磋商小组构成：由采购人代表及相关专业</w:t>
            </w:r>
            <w:r>
              <w:rPr>
                <w:rFonts w:hint="eastAsia"/>
                <w:color w:val="auto"/>
                <w:sz w:val="24"/>
                <w:szCs w:val="32"/>
                <w:highlight w:val="none"/>
                <w:lang w:val="en-US" w:eastAsia="zh-CN"/>
              </w:rPr>
              <w:t>经济、技术</w:t>
            </w:r>
            <w:r>
              <w:rPr>
                <w:rFonts w:hint="eastAsia"/>
                <w:color w:val="auto"/>
                <w:sz w:val="24"/>
                <w:szCs w:val="32"/>
                <w:highlight w:val="none"/>
              </w:rPr>
              <w:t>专家共 3 人组成，其中采购人代表 1 人，相关专业</w:t>
            </w:r>
            <w:r>
              <w:rPr>
                <w:rFonts w:hint="eastAsia"/>
                <w:color w:val="auto"/>
                <w:sz w:val="24"/>
                <w:szCs w:val="32"/>
                <w:highlight w:val="none"/>
                <w:lang w:val="en-US" w:eastAsia="zh-CN"/>
              </w:rPr>
              <w:t>经济、技术</w:t>
            </w:r>
            <w:r>
              <w:rPr>
                <w:rFonts w:hint="eastAsia"/>
                <w:color w:val="auto"/>
                <w:sz w:val="24"/>
                <w:szCs w:val="32"/>
                <w:highlight w:val="none"/>
              </w:rPr>
              <w:t>专家 2 人</w:t>
            </w:r>
            <w:r>
              <w:rPr>
                <w:rFonts w:hint="eastAsia"/>
                <w:color w:val="auto"/>
                <w:sz w:val="24"/>
                <w:szCs w:val="32"/>
                <w:highlight w:val="none"/>
                <w:lang w:eastAsia="zh-CN"/>
              </w:rPr>
              <w:t>，</w:t>
            </w:r>
            <w:r>
              <w:rPr>
                <w:rFonts w:hint="eastAsia"/>
                <w:color w:val="auto"/>
                <w:sz w:val="24"/>
                <w:szCs w:val="32"/>
                <w:highlight w:val="none"/>
              </w:rPr>
              <w:t>开标后从河南省</w:t>
            </w:r>
            <w:r>
              <w:rPr>
                <w:rFonts w:hint="eastAsia"/>
                <w:color w:val="auto"/>
                <w:sz w:val="24"/>
                <w:szCs w:val="32"/>
                <w:highlight w:val="none"/>
                <w:lang w:val="en-US" w:eastAsia="zh-CN"/>
              </w:rPr>
              <w:t>政府采购</w:t>
            </w:r>
            <w:r>
              <w:rPr>
                <w:rFonts w:hint="eastAsia"/>
                <w:color w:val="auto"/>
                <w:sz w:val="24"/>
                <w:szCs w:val="32"/>
                <w:highlight w:val="none"/>
              </w:rPr>
              <w:t>专家库中随机抽取</w:t>
            </w:r>
            <w:r>
              <w:rPr>
                <w:rFonts w:hint="eastAsia"/>
                <w:color w:val="auto"/>
                <w:sz w:val="24"/>
                <w:szCs w:val="32"/>
                <w:highlight w:val="none"/>
                <w:lang w:eastAsia="zh-CN"/>
              </w:rPr>
              <w:t>（</w:t>
            </w:r>
            <w:r>
              <w:rPr>
                <w:rFonts w:hint="eastAsia"/>
                <w:color w:val="auto"/>
                <w:sz w:val="24"/>
                <w:szCs w:val="32"/>
                <w:highlight w:val="none"/>
                <w:lang w:val="en-US" w:eastAsia="zh-CN"/>
              </w:rPr>
              <w:t>注：</w:t>
            </w:r>
            <w:r>
              <w:rPr>
                <w:rFonts w:hint="eastAsia"/>
                <w:color w:val="auto"/>
                <w:sz w:val="24"/>
                <w:szCs w:val="32"/>
                <w:highlight w:val="none"/>
              </w:rPr>
              <w:t>采购人代表</w:t>
            </w:r>
            <w:r>
              <w:rPr>
                <w:rFonts w:hint="eastAsia"/>
                <w:color w:val="auto"/>
                <w:sz w:val="24"/>
                <w:szCs w:val="32"/>
                <w:highlight w:val="none"/>
                <w:lang w:eastAsia="zh-CN"/>
              </w:rPr>
              <w:t>无</w:t>
            </w:r>
            <w:r>
              <w:rPr>
                <w:rFonts w:hint="eastAsia"/>
                <w:color w:val="auto"/>
                <w:sz w:val="24"/>
                <w:szCs w:val="32"/>
                <w:highlight w:val="none"/>
                <w:lang w:val="en-US" w:eastAsia="zh-CN"/>
              </w:rPr>
              <w:t>评标劳务费</w:t>
            </w:r>
            <w:r>
              <w:rPr>
                <w:rFonts w:hint="eastAsia"/>
                <w:color w:val="auto"/>
                <w:sz w:val="24"/>
                <w:szCs w:val="32"/>
                <w:highlight w:val="none"/>
                <w:lang w:eastAsia="zh-CN"/>
              </w:rPr>
              <w:t>）</w:t>
            </w:r>
          </w:p>
        </w:tc>
      </w:tr>
      <w:tr w14:paraId="6BDB9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2"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35E97251">
            <w:pPr>
              <w:widowControl/>
              <w:spacing w:before="0" w:beforeLines="0" w:beforeAutospacing="0" w:afterAutospacing="0" w:line="360" w:lineRule="auto"/>
              <w:ind w:left="0" w:right="0"/>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4</w:t>
            </w:r>
            <w:r>
              <w:rPr>
                <w:rFonts w:hint="eastAsia" w:ascii="宋体" w:hAnsi="宋体" w:eastAsia="宋体" w:cs="宋体"/>
                <w:color w:val="auto"/>
                <w:kern w:val="2"/>
                <w:sz w:val="24"/>
                <w:szCs w:val="24"/>
                <w:highlight w:val="none"/>
                <w:lang w:val="en-US" w:eastAsia="zh-CN"/>
              </w:rPr>
              <w:t>5</w:t>
            </w:r>
          </w:p>
        </w:tc>
        <w:tc>
          <w:tcPr>
            <w:tcW w:w="1552" w:type="dxa"/>
            <w:tcBorders>
              <w:top w:val="single" w:color="auto" w:sz="4" w:space="0"/>
              <w:left w:val="nil"/>
              <w:right w:val="single" w:color="auto" w:sz="4" w:space="0"/>
            </w:tcBorders>
            <w:noWrap w:val="0"/>
            <w:vAlign w:val="center"/>
          </w:tcPr>
          <w:p w14:paraId="27A4C43C">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是否授权</w:t>
            </w:r>
            <w:r>
              <w:rPr>
                <w:rFonts w:hint="eastAsia" w:ascii="宋体" w:hAnsi="宋体" w:eastAsia="宋体" w:cs="仿宋"/>
                <w:color w:val="auto"/>
                <w:kern w:val="2"/>
                <w:sz w:val="24"/>
                <w:szCs w:val="24"/>
                <w:highlight w:val="none"/>
                <w:lang w:val="en-US" w:eastAsia="zh-CN"/>
              </w:rPr>
              <w:t>磋商小组</w:t>
            </w:r>
            <w:r>
              <w:rPr>
                <w:rFonts w:hint="eastAsia" w:ascii="宋体" w:hAnsi="宋体" w:eastAsia="宋体" w:cs="仿宋"/>
                <w:color w:val="auto"/>
                <w:kern w:val="2"/>
                <w:sz w:val="24"/>
                <w:szCs w:val="24"/>
                <w:highlight w:val="none"/>
              </w:rPr>
              <w:t>确定</w:t>
            </w:r>
            <w:r>
              <w:rPr>
                <w:rFonts w:hint="eastAsia" w:ascii="宋体" w:hAnsi="宋体" w:eastAsia="宋体" w:cs="仿宋"/>
                <w:color w:val="auto"/>
                <w:kern w:val="2"/>
                <w:sz w:val="24"/>
                <w:szCs w:val="24"/>
                <w:highlight w:val="none"/>
                <w:lang w:val="en-US" w:eastAsia="zh-CN"/>
              </w:rPr>
              <w:t>成交</w:t>
            </w:r>
            <w:r>
              <w:rPr>
                <w:rFonts w:hint="eastAsia" w:ascii="宋体" w:hAnsi="宋体" w:eastAsia="宋体" w:cs="仿宋"/>
                <w:color w:val="auto"/>
                <w:kern w:val="2"/>
                <w:sz w:val="24"/>
                <w:szCs w:val="24"/>
                <w:highlight w:val="none"/>
              </w:rPr>
              <w:t>人</w:t>
            </w:r>
          </w:p>
        </w:tc>
        <w:tc>
          <w:tcPr>
            <w:tcW w:w="7626" w:type="dxa"/>
            <w:tcBorders>
              <w:top w:val="single" w:color="auto" w:sz="4" w:space="0"/>
              <w:left w:val="nil"/>
              <w:right w:val="single" w:color="auto" w:sz="4" w:space="0"/>
            </w:tcBorders>
            <w:noWrap w:val="0"/>
            <w:vAlign w:val="center"/>
          </w:tcPr>
          <w:p w14:paraId="6F0D533C">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否，推荐3名</w:t>
            </w:r>
            <w:r>
              <w:rPr>
                <w:rFonts w:hint="eastAsia" w:ascii="宋体" w:hAnsi="宋体" w:eastAsia="宋体" w:cs="仿宋"/>
                <w:color w:val="auto"/>
                <w:kern w:val="2"/>
                <w:sz w:val="24"/>
                <w:szCs w:val="24"/>
                <w:highlight w:val="none"/>
                <w:lang w:eastAsia="zh-CN"/>
              </w:rPr>
              <w:t>成交</w:t>
            </w:r>
            <w:r>
              <w:rPr>
                <w:rFonts w:hint="eastAsia" w:ascii="宋体" w:hAnsi="宋体" w:eastAsia="宋体" w:cs="仿宋"/>
                <w:color w:val="auto"/>
                <w:kern w:val="2"/>
                <w:sz w:val="24"/>
                <w:szCs w:val="24"/>
                <w:highlight w:val="none"/>
              </w:rPr>
              <w:t>候选人；若排名第一的</w:t>
            </w:r>
            <w:r>
              <w:rPr>
                <w:rFonts w:hint="eastAsia" w:ascii="宋体" w:hAnsi="宋体" w:eastAsia="宋体" w:cs="仿宋"/>
                <w:color w:val="auto"/>
                <w:kern w:val="2"/>
                <w:sz w:val="24"/>
                <w:szCs w:val="24"/>
                <w:highlight w:val="none"/>
                <w:lang w:eastAsia="zh-CN"/>
              </w:rPr>
              <w:t>成交</w:t>
            </w:r>
            <w:r>
              <w:rPr>
                <w:rFonts w:hint="eastAsia" w:ascii="宋体" w:hAnsi="宋体" w:eastAsia="宋体" w:cs="仿宋"/>
                <w:color w:val="auto"/>
                <w:kern w:val="2"/>
                <w:sz w:val="24"/>
                <w:szCs w:val="24"/>
                <w:highlight w:val="none"/>
              </w:rPr>
              <w:t>候选人自愿放弃</w:t>
            </w:r>
            <w:r>
              <w:rPr>
                <w:rFonts w:hint="eastAsia" w:ascii="宋体" w:hAnsi="宋体" w:eastAsia="宋体" w:cs="仿宋"/>
                <w:color w:val="auto"/>
                <w:kern w:val="2"/>
                <w:sz w:val="24"/>
                <w:szCs w:val="24"/>
                <w:highlight w:val="none"/>
                <w:lang w:eastAsia="zh-CN"/>
              </w:rPr>
              <w:t>成交</w:t>
            </w:r>
            <w:r>
              <w:rPr>
                <w:rFonts w:hint="eastAsia" w:ascii="宋体" w:hAnsi="宋体" w:eastAsia="宋体" w:cs="仿宋"/>
                <w:color w:val="auto"/>
                <w:kern w:val="2"/>
                <w:sz w:val="24"/>
                <w:szCs w:val="24"/>
                <w:highlight w:val="none"/>
              </w:rPr>
              <w:t>、或因不可抗力不能履行合同、或被查实存在影响</w:t>
            </w:r>
            <w:r>
              <w:rPr>
                <w:rFonts w:hint="eastAsia" w:ascii="宋体" w:hAnsi="宋体" w:eastAsia="宋体" w:cs="仿宋"/>
                <w:color w:val="auto"/>
                <w:kern w:val="2"/>
                <w:sz w:val="24"/>
                <w:szCs w:val="24"/>
                <w:highlight w:val="none"/>
                <w:lang w:eastAsia="zh-CN"/>
              </w:rPr>
              <w:t>成交</w:t>
            </w:r>
            <w:r>
              <w:rPr>
                <w:rFonts w:hint="eastAsia" w:ascii="宋体" w:hAnsi="宋体" w:eastAsia="宋体" w:cs="仿宋"/>
                <w:color w:val="auto"/>
                <w:kern w:val="2"/>
                <w:sz w:val="24"/>
                <w:szCs w:val="24"/>
                <w:highlight w:val="none"/>
              </w:rPr>
              <w:t>结果的违法行为等情形，不符合</w:t>
            </w:r>
            <w:r>
              <w:rPr>
                <w:rFonts w:hint="eastAsia" w:ascii="宋体" w:hAnsi="宋体" w:eastAsia="宋体" w:cs="仿宋"/>
                <w:color w:val="auto"/>
                <w:kern w:val="2"/>
                <w:sz w:val="24"/>
                <w:szCs w:val="24"/>
                <w:highlight w:val="none"/>
                <w:lang w:eastAsia="zh-CN"/>
              </w:rPr>
              <w:t>成交</w:t>
            </w:r>
            <w:r>
              <w:rPr>
                <w:rFonts w:hint="eastAsia" w:ascii="宋体" w:hAnsi="宋体" w:eastAsia="宋体" w:cs="仿宋"/>
                <w:color w:val="auto"/>
                <w:kern w:val="2"/>
                <w:sz w:val="24"/>
                <w:szCs w:val="24"/>
                <w:highlight w:val="none"/>
              </w:rPr>
              <w:t>条件的，采购人可按照评审小组推荐的</w:t>
            </w:r>
            <w:r>
              <w:rPr>
                <w:rFonts w:hint="eastAsia" w:ascii="宋体" w:hAnsi="宋体" w:eastAsia="宋体" w:cs="仿宋"/>
                <w:color w:val="auto"/>
                <w:kern w:val="2"/>
                <w:sz w:val="24"/>
                <w:szCs w:val="24"/>
                <w:highlight w:val="none"/>
                <w:lang w:eastAsia="zh-CN"/>
              </w:rPr>
              <w:t>成交</w:t>
            </w:r>
            <w:r>
              <w:rPr>
                <w:rFonts w:hint="eastAsia" w:ascii="宋体" w:hAnsi="宋体" w:eastAsia="宋体" w:cs="仿宋"/>
                <w:color w:val="auto"/>
                <w:kern w:val="2"/>
                <w:sz w:val="24"/>
                <w:szCs w:val="24"/>
                <w:highlight w:val="none"/>
              </w:rPr>
              <w:t>候选人名单排序依次确定</w:t>
            </w:r>
            <w:r>
              <w:rPr>
                <w:rFonts w:hint="eastAsia" w:ascii="宋体" w:hAnsi="宋体" w:eastAsia="宋体" w:cs="仿宋"/>
                <w:color w:val="auto"/>
                <w:kern w:val="2"/>
                <w:sz w:val="24"/>
                <w:szCs w:val="24"/>
                <w:highlight w:val="none"/>
                <w:lang w:eastAsia="zh-CN"/>
              </w:rPr>
              <w:t>成交</w:t>
            </w:r>
            <w:r>
              <w:rPr>
                <w:rFonts w:hint="eastAsia" w:ascii="宋体" w:hAnsi="宋体" w:eastAsia="宋体" w:cs="仿宋"/>
                <w:color w:val="auto"/>
                <w:kern w:val="2"/>
                <w:sz w:val="24"/>
                <w:szCs w:val="24"/>
                <w:highlight w:val="none"/>
              </w:rPr>
              <w:t>人</w:t>
            </w:r>
            <w:r>
              <w:rPr>
                <w:rFonts w:hint="eastAsia" w:ascii="宋体" w:hAnsi="宋体" w:eastAsia="宋体" w:cs="宋体"/>
                <w:b w:val="0"/>
                <w:bCs/>
                <w:color w:val="auto"/>
                <w:kern w:val="2"/>
                <w:sz w:val="24"/>
                <w:szCs w:val="24"/>
                <w:highlight w:val="none"/>
                <w:lang w:val="en-US" w:eastAsia="zh-CN" w:bidi="ar-SA"/>
              </w:rPr>
              <w:t>也可以重新开展政府采购活动。</w:t>
            </w:r>
          </w:p>
        </w:tc>
      </w:tr>
      <w:tr w14:paraId="04949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56D627A6">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46</w:t>
            </w:r>
          </w:p>
        </w:tc>
        <w:tc>
          <w:tcPr>
            <w:tcW w:w="1552" w:type="dxa"/>
            <w:tcBorders>
              <w:top w:val="single" w:color="auto" w:sz="4" w:space="0"/>
              <w:left w:val="single" w:color="auto" w:sz="4" w:space="0"/>
              <w:bottom w:val="single" w:color="auto" w:sz="4" w:space="0"/>
              <w:right w:val="single" w:color="auto" w:sz="4" w:space="0"/>
            </w:tcBorders>
            <w:noWrap w:val="0"/>
            <w:vAlign w:val="center"/>
          </w:tcPr>
          <w:p w14:paraId="5AB3A0EE">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val="en-US" w:eastAsia="zh-CN"/>
              </w:rPr>
            </w:pPr>
            <w:r>
              <w:rPr>
                <w:rFonts w:hint="eastAsia" w:ascii="宋体" w:hAnsi="宋体" w:eastAsia="宋体" w:cs="仿宋"/>
                <w:color w:val="auto"/>
                <w:kern w:val="2"/>
                <w:sz w:val="24"/>
                <w:szCs w:val="24"/>
                <w:highlight w:val="none"/>
                <w:lang w:val="en-US" w:eastAsia="zh-CN"/>
              </w:rPr>
              <w:t>成交</w:t>
            </w:r>
            <w:r>
              <w:rPr>
                <w:rFonts w:hint="eastAsia" w:ascii="宋体" w:hAnsi="宋体" w:eastAsia="宋体" w:cs="仿宋"/>
                <w:color w:val="auto"/>
                <w:kern w:val="2"/>
                <w:sz w:val="24"/>
                <w:szCs w:val="24"/>
                <w:highlight w:val="none"/>
              </w:rPr>
              <w:t>候选人履约能力审查</w:t>
            </w:r>
          </w:p>
        </w:tc>
        <w:tc>
          <w:tcPr>
            <w:tcW w:w="7626" w:type="dxa"/>
            <w:tcBorders>
              <w:top w:val="single" w:color="auto" w:sz="4" w:space="0"/>
              <w:left w:val="nil"/>
              <w:bottom w:val="single" w:color="auto" w:sz="4" w:space="0"/>
              <w:right w:val="single" w:color="auto" w:sz="4" w:space="0"/>
            </w:tcBorders>
            <w:noWrap w:val="0"/>
            <w:vAlign w:val="center"/>
          </w:tcPr>
          <w:p w14:paraId="030EC59A">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val="en-US" w:eastAsia="zh-CN"/>
              </w:rPr>
            </w:pPr>
            <w:r>
              <w:rPr>
                <w:rFonts w:hint="eastAsia" w:ascii="宋体" w:hAnsi="宋体" w:eastAsia="宋体" w:cs="仿宋"/>
                <w:color w:val="auto"/>
                <w:kern w:val="2"/>
                <w:sz w:val="24"/>
                <w:szCs w:val="24"/>
                <w:highlight w:val="none"/>
                <w:lang w:eastAsia="zh-CN"/>
              </w:rPr>
              <w:t>采购</w:t>
            </w:r>
            <w:r>
              <w:rPr>
                <w:rFonts w:hint="eastAsia" w:ascii="宋体" w:hAnsi="宋体" w:eastAsia="宋体" w:cs="仿宋"/>
                <w:color w:val="auto"/>
                <w:kern w:val="2"/>
                <w:sz w:val="24"/>
                <w:szCs w:val="24"/>
                <w:highlight w:val="none"/>
              </w:rPr>
              <w:t>人有权对</w:t>
            </w:r>
            <w:r>
              <w:rPr>
                <w:rFonts w:hint="eastAsia" w:ascii="宋体" w:hAnsi="宋体" w:eastAsia="宋体" w:cs="仿宋"/>
                <w:color w:val="auto"/>
                <w:kern w:val="2"/>
                <w:sz w:val="24"/>
                <w:szCs w:val="24"/>
                <w:highlight w:val="none"/>
                <w:lang w:val="en-US" w:eastAsia="zh-CN"/>
              </w:rPr>
              <w:t>成交</w:t>
            </w:r>
            <w:r>
              <w:rPr>
                <w:rFonts w:hint="eastAsia" w:ascii="宋体" w:hAnsi="宋体" w:eastAsia="宋体" w:cs="仿宋"/>
                <w:color w:val="auto"/>
                <w:kern w:val="2"/>
                <w:sz w:val="24"/>
                <w:szCs w:val="24"/>
                <w:highlight w:val="none"/>
              </w:rPr>
              <w:t>候选人</w:t>
            </w:r>
            <w:r>
              <w:rPr>
                <w:rFonts w:hint="eastAsia" w:ascii="宋体" w:hAnsi="宋体" w:eastAsia="宋体" w:cs="仿宋"/>
                <w:color w:val="auto"/>
                <w:kern w:val="2"/>
                <w:sz w:val="24"/>
                <w:szCs w:val="24"/>
                <w:highlight w:val="none"/>
                <w:lang w:val="en-US" w:eastAsia="zh-CN"/>
              </w:rPr>
              <w:t>响应</w:t>
            </w:r>
            <w:r>
              <w:rPr>
                <w:rFonts w:hint="eastAsia" w:ascii="宋体" w:hAnsi="宋体" w:eastAsia="宋体" w:cs="仿宋"/>
                <w:color w:val="auto"/>
                <w:kern w:val="2"/>
                <w:sz w:val="24"/>
                <w:szCs w:val="24"/>
                <w:highlight w:val="none"/>
              </w:rPr>
              <w:t>文件中所附的相关证明、材料、证件等真实性进行实地考察，如发现与</w:t>
            </w:r>
            <w:r>
              <w:rPr>
                <w:rFonts w:hint="eastAsia" w:ascii="宋体" w:hAnsi="宋体" w:eastAsia="宋体" w:cs="仿宋"/>
                <w:color w:val="auto"/>
                <w:kern w:val="2"/>
                <w:sz w:val="24"/>
                <w:szCs w:val="24"/>
                <w:highlight w:val="none"/>
                <w:lang w:val="en-US" w:eastAsia="zh-CN"/>
              </w:rPr>
              <w:t>响应</w:t>
            </w:r>
            <w:r>
              <w:rPr>
                <w:rFonts w:hint="eastAsia" w:ascii="宋体" w:hAnsi="宋体" w:eastAsia="宋体" w:cs="仿宋"/>
                <w:color w:val="auto"/>
                <w:kern w:val="2"/>
                <w:sz w:val="24"/>
                <w:szCs w:val="24"/>
                <w:highlight w:val="none"/>
              </w:rPr>
              <w:t>文件所提供的相关资料不符、存在弄虚作假行为，将根据相关法律、法规的规定，取消其</w:t>
            </w:r>
            <w:r>
              <w:rPr>
                <w:rFonts w:hint="eastAsia" w:ascii="宋体" w:hAnsi="宋体" w:eastAsia="宋体" w:cs="仿宋"/>
                <w:color w:val="auto"/>
                <w:kern w:val="2"/>
                <w:sz w:val="24"/>
                <w:szCs w:val="24"/>
                <w:highlight w:val="none"/>
                <w:lang w:val="en-US" w:eastAsia="zh-CN"/>
              </w:rPr>
              <w:t>现金</w:t>
            </w:r>
            <w:r>
              <w:rPr>
                <w:rFonts w:hint="eastAsia" w:ascii="宋体" w:hAnsi="宋体" w:eastAsia="宋体" w:cs="仿宋"/>
                <w:color w:val="auto"/>
                <w:kern w:val="2"/>
                <w:sz w:val="24"/>
                <w:szCs w:val="24"/>
                <w:highlight w:val="none"/>
              </w:rPr>
              <w:t>资格，顺延至其它</w:t>
            </w:r>
            <w:r>
              <w:rPr>
                <w:rFonts w:hint="eastAsia" w:ascii="宋体" w:hAnsi="宋体" w:eastAsia="宋体" w:cs="仿宋"/>
                <w:color w:val="auto"/>
                <w:kern w:val="2"/>
                <w:sz w:val="24"/>
                <w:szCs w:val="24"/>
                <w:highlight w:val="none"/>
                <w:lang w:val="en-US" w:eastAsia="zh-CN"/>
              </w:rPr>
              <w:t>成交</w:t>
            </w:r>
            <w:r>
              <w:rPr>
                <w:rFonts w:hint="eastAsia" w:ascii="宋体" w:hAnsi="宋体" w:eastAsia="宋体" w:cs="仿宋"/>
                <w:color w:val="auto"/>
                <w:kern w:val="2"/>
                <w:sz w:val="24"/>
                <w:szCs w:val="24"/>
                <w:highlight w:val="none"/>
              </w:rPr>
              <w:t>候选人</w:t>
            </w:r>
            <w:r>
              <w:rPr>
                <w:rFonts w:hint="eastAsia" w:ascii="宋体" w:hAnsi="宋体" w:eastAsia="宋体" w:cs="仿宋"/>
                <w:color w:val="auto"/>
                <w:kern w:val="2"/>
                <w:sz w:val="24"/>
                <w:szCs w:val="24"/>
                <w:highlight w:val="none"/>
                <w:lang w:val="en-US" w:eastAsia="zh-CN"/>
              </w:rPr>
              <w:t>或重新开展采购活动</w:t>
            </w:r>
            <w:r>
              <w:rPr>
                <w:rFonts w:hint="eastAsia" w:ascii="宋体" w:hAnsi="宋体" w:eastAsia="宋体" w:cs="仿宋"/>
                <w:color w:val="auto"/>
                <w:kern w:val="2"/>
                <w:sz w:val="24"/>
                <w:szCs w:val="24"/>
                <w:highlight w:val="none"/>
              </w:rPr>
              <w:t>。</w:t>
            </w:r>
          </w:p>
        </w:tc>
      </w:tr>
      <w:tr w14:paraId="7FE6F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3F72DDFC">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47</w:t>
            </w:r>
          </w:p>
        </w:tc>
        <w:tc>
          <w:tcPr>
            <w:tcW w:w="1552" w:type="dxa"/>
            <w:tcBorders>
              <w:top w:val="single" w:color="auto" w:sz="4" w:space="0"/>
              <w:left w:val="single" w:color="auto" w:sz="4" w:space="0"/>
              <w:bottom w:val="single" w:color="auto" w:sz="4" w:space="0"/>
              <w:right w:val="single" w:color="auto" w:sz="4" w:space="0"/>
            </w:tcBorders>
            <w:noWrap w:val="0"/>
            <w:vAlign w:val="center"/>
          </w:tcPr>
          <w:p w14:paraId="59E90E7D">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val="en-US" w:eastAsia="zh-CN"/>
              </w:rPr>
            </w:pPr>
            <w:r>
              <w:rPr>
                <w:rFonts w:hint="eastAsia" w:ascii="宋体" w:hAnsi="宋体" w:eastAsia="宋体" w:cs="仿宋"/>
                <w:color w:val="auto"/>
                <w:kern w:val="2"/>
                <w:sz w:val="24"/>
                <w:szCs w:val="24"/>
                <w:highlight w:val="none"/>
              </w:rPr>
              <w:t>无效标条件</w:t>
            </w:r>
          </w:p>
        </w:tc>
        <w:tc>
          <w:tcPr>
            <w:tcW w:w="7626" w:type="dxa"/>
            <w:tcBorders>
              <w:top w:val="single" w:color="auto" w:sz="4" w:space="0"/>
              <w:left w:val="nil"/>
              <w:bottom w:val="single" w:color="auto" w:sz="4" w:space="0"/>
              <w:right w:val="single" w:color="auto" w:sz="4" w:space="0"/>
            </w:tcBorders>
            <w:noWrap w:val="0"/>
            <w:vAlign w:val="center"/>
          </w:tcPr>
          <w:p w14:paraId="0FDE44AE">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1、供应商资格条件不符合国家有关规定和</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文件要求的；</w:t>
            </w:r>
          </w:p>
          <w:p w14:paraId="5C6F23E7">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2、没有按照</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文件要求提供</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承诺函；</w:t>
            </w:r>
          </w:p>
          <w:p w14:paraId="69AB7E28">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3、电子化</w:t>
            </w:r>
            <w:r>
              <w:rPr>
                <w:rFonts w:hint="eastAsia" w:ascii="宋体" w:hAnsi="宋体" w:eastAsia="宋体" w:cs="仿宋"/>
                <w:color w:val="auto"/>
                <w:kern w:val="2"/>
                <w:sz w:val="24"/>
                <w:szCs w:val="24"/>
                <w:highlight w:val="none"/>
                <w:lang w:val="en-US" w:eastAsia="zh-CN"/>
              </w:rPr>
              <w:t>响应</w:t>
            </w:r>
            <w:r>
              <w:rPr>
                <w:rFonts w:hint="eastAsia" w:ascii="宋体" w:hAnsi="宋体" w:eastAsia="宋体" w:cs="仿宋"/>
                <w:color w:val="auto"/>
                <w:kern w:val="2"/>
                <w:sz w:val="24"/>
                <w:szCs w:val="24"/>
                <w:highlight w:val="none"/>
              </w:rPr>
              <w:t>文件附有采购人不能接受的条件的；</w:t>
            </w:r>
          </w:p>
          <w:p w14:paraId="28D9E52C">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4、</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报价低于成本、高于</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文件设定的最高</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限价；</w:t>
            </w:r>
          </w:p>
          <w:p w14:paraId="29A90C33">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5、以他人的名义</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、串通</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、以行贿手段谋取</w:t>
            </w:r>
            <w:r>
              <w:rPr>
                <w:rFonts w:hint="eastAsia" w:ascii="宋体" w:hAnsi="宋体" w:eastAsia="宋体" w:cs="仿宋"/>
                <w:color w:val="auto"/>
                <w:kern w:val="2"/>
                <w:sz w:val="24"/>
                <w:szCs w:val="24"/>
                <w:highlight w:val="none"/>
                <w:lang w:val="en-US" w:eastAsia="zh-CN"/>
              </w:rPr>
              <w:t>成交</w:t>
            </w:r>
            <w:r>
              <w:rPr>
                <w:rFonts w:hint="eastAsia" w:ascii="宋体" w:hAnsi="宋体" w:eastAsia="宋体" w:cs="仿宋"/>
                <w:color w:val="auto"/>
                <w:kern w:val="2"/>
                <w:sz w:val="24"/>
                <w:szCs w:val="24"/>
                <w:highlight w:val="none"/>
              </w:rPr>
              <w:t>或者以其他弄虚作假方式</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的；</w:t>
            </w:r>
          </w:p>
          <w:p w14:paraId="706C2803">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6、采取不正当手段谋取</w:t>
            </w:r>
            <w:r>
              <w:rPr>
                <w:rFonts w:hint="eastAsia" w:ascii="宋体" w:hAnsi="宋体" w:eastAsia="宋体" w:cs="仿宋"/>
                <w:color w:val="auto"/>
                <w:kern w:val="2"/>
                <w:sz w:val="24"/>
                <w:szCs w:val="24"/>
                <w:highlight w:val="none"/>
                <w:lang w:val="en-US" w:eastAsia="zh-CN"/>
              </w:rPr>
              <w:t>成交</w:t>
            </w:r>
            <w:r>
              <w:rPr>
                <w:rFonts w:hint="eastAsia" w:ascii="宋体" w:hAnsi="宋体" w:eastAsia="宋体" w:cs="仿宋"/>
                <w:color w:val="auto"/>
                <w:kern w:val="2"/>
                <w:sz w:val="24"/>
                <w:szCs w:val="24"/>
                <w:highlight w:val="none"/>
              </w:rPr>
              <w:t>的；</w:t>
            </w:r>
          </w:p>
          <w:p w14:paraId="477098AD">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val="en-US" w:eastAsia="zh-CN"/>
              </w:rPr>
            </w:pPr>
            <w:r>
              <w:rPr>
                <w:rFonts w:hint="eastAsia" w:ascii="宋体" w:hAnsi="宋体" w:eastAsia="宋体" w:cs="仿宋"/>
                <w:color w:val="auto"/>
                <w:kern w:val="2"/>
                <w:sz w:val="24"/>
                <w:szCs w:val="24"/>
                <w:highlight w:val="none"/>
              </w:rPr>
              <w:t>7、法律、法规规定的其他情况。</w:t>
            </w:r>
          </w:p>
        </w:tc>
      </w:tr>
      <w:tr w14:paraId="7796A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5" w:hRule="atLeast"/>
          <w:jc w:val="center"/>
        </w:trPr>
        <w:tc>
          <w:tcPr>
            <w:tcW w:w="940" w:type="dxa"/>
            <w:vMerge w:val="restart"/>
            <w:tcBorders>
              <w:top w:val="single" w:color="auto" w:sz="4" w:space="0"/>
              <w:left w:val="single" w:color="auto" w:sz="4" w:space="0"/>
              <w:right w:val="single" w:color="auto" w:sz="4" w:space="0"/>
            </w:tcBorders>
            <w:noWrap w:val="0"/>
            <w:vAlign w:val="center"/>
          </w:tcPr>
          <w:p w14:paraId="484EE2C7">
            <w:pPr>
              <w:widowControl/>
              <w:spacing w:before="0" w:beforeLines="0" w:beforeAutospacing="0" w:after="0" w:afterLines="0" w:afterAutospacing="0" w:line="400" w:lineRule="exact"/>
              <w:ind w:right="0" w:firstLine="240" w:firstLineChars="100"/>
              <w:rPr>
                <w:rFonts w:hint="default" w:ascii="宋体" w:hAnsi="宋体" w:eastAsia="宋体" w:cs="仿宋"/>
                <w:color w:val="auto"/>
                <w:kern w:val="2"/>
                <w:sz w:val="24"/>
                <w:szCs w:val="24"/>
                <w:highlight w:val="none"/>
                <w:lang w:val="en-US" w:eastAsia="zh-CN"/>
              </w:rPr>
            </w:pPr>
            <w:r>
              <w:rPr>
                <w:rFonts w:hint="eastAsia" w:ascii="宋体" w:hAnsi="宋体" w:eastAsia="宋体" w:cs="仿宋"/>
                <w:color w:val="auto"/>
                <w:kern w:val="2"/>
                <w:sz w:val="24"/>
                <w:szCs w:val="24"/>
                <w:highlight w:val="none"/>
                <w:lang w:val="en-US" w:eastAsia="zh-CN"/>
              </w:rPr>
              <w:t>48</w:t>
            </w:r>
          </w:p>
        </w:tc>
        <w:tc>
          <w:tcPr>
            <w:tcW w:w="1552" w:type="dxa"/>
            <w:vMerge w:val="restart"/>
            <w:tcBorders>
              <w:top w:val="single" w:color="auto" w:sz="4" w:space="0"/>
              <w:left w:val="single" w:color="auto" w:sz="4" w:space="0"/>
              <w:right w:val="single" w:color="auto" w:sz="4" w:space="0"/>
            </w:tcBorders>
            <w:noWrap w:val="0"/>
            <w:vAlign w:val="center"/>
          </w:tcPr>
          <w:p w14:paraId="3F02008D">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val="en-US" w:eastAsia="zh-CN"/>
              </w:rPr>
            </w:pPr>
            <w:r>
              <w:rPr>
                <w:rFonts w:hint="eastAsia" w:ascii="宋体" w:hAnsi="宋体" w:eastAsia="宋体" w:cs="仿宋"/>
                <w:color w:val="auto"/>
                <w:kern w:val="2"/>
                <w:sz w:val="24"/>
                <w:szCs w:val="24"/>
                <w:highlight w:val="none"/>
              </w:rPr>
              <w:t>采购项目需要落实的政府采购政策</w:t>
            </w:r>
          </w:p>
        </w:tc>
        <w:tc>
          <w:tcPr>
            <w:tcW w:w="7626" w:type="dxa"/>
            <w:tcBorders>
              <w:top w:val="single" w:color="auto" w:sz="4" w:space="0"/>
              <w:left w:val="nil"/>
              <w:bottom w:val="single" w:color="auto" w:sz="4" w:space="0"/>
              <w:right w:val="single" w:color="auto" w:sz="4" w:space="0"/>
            </w:tcBorders>
            <w:noWrap w:val="0"/>
            <w:vAlign w:val="center"/>
          </w:tcPr>
          <w:p w14:paraId="140B85F1">
            <w:pPr>
              <w:widowControl/>
              <w:spacing w:before="0" w:beforeLines="0" w:beforeAutospacing="0" w:after="0" w:afterLines="0" w:afterAutospacing="0" w:line="400" w:lineRule="exact"/>
              <w:ind w:left="0" w:right="0"/>
              <w:rPr>
                <w:rFonts w:hint="default" w:ascii="宋体" w:hAnsi="宋体" w:eastAsia="宋体" w:cs="仿宋"/>
                <w:color w:val="auto"/>
                <w:kern w:val="2"/>
                <w:sz w:val="24"/>
                <w:szCs w:val="24"/>
                <w:highlight w:val="none"/>
                <w:lang w:val="en-US" w:eastAsia="zh-CN"/>
              </w:rPr>
            </w:pPr>
            <w:r>
              <w:rPr>
                <w:rFonts w:hint="default" w:ascii="宋体" w:hAnsi="宋体" w:eastAsia="宋体" w:cs="仿宋"/>
                <w:color w:val="auto"/>
                <w:kern w:val="2"/>
                <w:sz w:val="24"/>
                <w:szCs w:val="24"/>
                <w:highlight w:val="none"/>
                <w:lang w:val="en-US" w:eastAsia="zh-CN"/>
              </w:rPr>
              <w:t>落实政府采购政策满足的资格要求：根据《政府采购促进中小企业发展管理办法》（财库〔2020〕46号）规定，本项目专门面向中小企业采购,同时供应商须提供《中小企业声明函》</w:t>
            </w:r>
            <w:r>
              <w:rPr>
                <w:rFonts w:hint="eastAsia" w:ascii="宋体" w:hAnsi="宋体" w:eastAsia="宋体" w:cs="仿宋"/>
                <w:color w:val="auto"/>
                <w:kern w:val="2"/>
                <w:sz w:val="24"/>
                <w:szCs w:val="24"/>
                <w:highlight w:val="none"/>
                <w:lang w:val="en-US" w:eastAsia="zh-CN"/>
              </w:rPr>
              <w:t>。</w:t>
            </w:r>
          </w:p>
        </w:tc>
      </w:tr>
      <w:tr w14:paraId="42A03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0" w:hRule="atLeast"/>
          <w:jc w:val="center"/>
        </w:trPr>
        <w:tc>
          <w:tcPr>
            <w:tcW w:w="940" w:type="dxa"/>
            <w:vMerge w:val="continue"/>
            <w:tcBorders>
              <w:left w:val="single" w:color="auto" w:sz="4" w:space="0"/>
              <w:bottom w:val="single" w:color="auto" w:sz="4" w:space="0"/>
              <w:right w:val="single" w:color="auto" w:sz="4" w:space="0"/>
            </w:tcBorders>
            <w:noWrap w:val="0"/>
            <w:vAlign w:val="center"/>
          </w:tcPr>
          <w:p w14:paraId="76259786">
            <w:pPr>
              <w:widowControl/>
              <w:spacing w:before="0" w:beforeLines="0" w:beforeAutospacing="0" w:after="0" w:afterLines="0" w:afterAutospacing="0" w:line="400" w:lineRule="exact"/>
              <w:ind w:left="0" w:right="0"/>
            </w:pPr>
          </w:p>
        </w:tc>
        <w:tc>
          <w:tcPr>
            <w:tcW w:w="1552" w:type="dxa"/>
            <w:vMerge w:val="continue"/>
            <w:tcBorders>
              <w:left w:val="single" w:color="auto" w:sz="4" w:space="0"/>
              <w:bottom w:val="single" w:color="auto" w:sz="4" w:space="0"/>
              <w:right w:val="single" w:color="auto" w:sz="4" w:space="0"/>
            </w:tcBorders>
            <w:noWrap w:val="0"/>
            <w:vAlign w:val="center"/>
          </w:tcPr>
          <w:p w14:paraId="4574DD52">
            <w:pPr>
              <w:widowControl/>
              <w:spacing w:before="0" w:beforeLines="0" w:beforeAutospacing="0" w:after="0" w:afterLines="0" w:afterAutospacing="0" w:line="400" w:lineRule="exact"/>
              <w:ind w:left="0" w:right="0"/>
              <w:rPr>
                <w:color w:val="auto"/>
                <w:highlight w:val="none"/>
              </w:rPr>
            </w:pPr>
          </w:p>
        </w:tc>
        <w:tc>
          <w:tcPr>
            <w:tcW w:w="7626" w:type="dxa"/>
            <w:tcBorders>
              <w:top w:val="single" w:color="auto" w:sz="4" w:space="0"/>
              <w:left w:val="nil"/>
              <w:bottom w:val="single" w:color="auto" w:sz="4" w:space="0"/>
              <w:right w:val="single" w:color="auto" w:sz="4" w:space="0"/>
            </w:tcBorders>
            <w:noWrap w:val="0"/>
            <w:vAlign w:val="center"/>
          </w:tcPr>
          <w:p w14:paraId="4FB4EEFC">
            <w:pPr>
              <w:widowControl/>
              <w:spacing w:before="0" w:beforeLines="0" w:beforeAutospacing="0" w:after="0" w:afterLines="0" w:afterAutospacing="0" w:line="400" w:lineRule="exact"/>
              <w:ind w:left="0" w:right="0"/>
              <w:rPr>
                <w:rFonts w:hint="eastAsia" w:asciiTheme="minorEastAsia" w:hAnsi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eastAsia="zh-CN"/>
              </w:rPr>
              <w:t>本项目对应的中小企业划分标准所属行业为</w:t>
            </w:r>
            <w:r>
              <w:rPr>
                <w:rFonts w:hint="eastAsia"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lang w:val="en-US" w:eastAsia="zh-CN"/>
              </w:rPr>
              <w:t>建筑业</w:t>
            </w:r>
          </w:p>
        </w:tc>
      </w:tr>
      <w:tr w14:paraId="1BC59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7FE9E5E7">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49</w:t>
            </w:r>
          </w:p>
        </w:tc>
        <w:tc>
          <w:tcPr>
            <w:tcW w:w="155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C9F2A8">
            <w:pPr>
              <w:keepNext w:val="0"/>
              <w:keepLines w:val="0"/>
              <w:pageBreakBefore w:val="0"/>
              <w:widowControl/>
              <w:kinsoku/>
              <w:wordWrap/>
              <w:overflowPunct/>
              <w:topLinePunct w:val="0"/>
              <w:bidi w:val="0"/>
              <w:adjustRightInd w:val="0"/>
              <w:snapToGrid w:val="0"/>
              <w:spacing w:beforeLines="0" w:afterLines="0" w:line="360" w:lineRule="auto"/>
              <w:jc w:val="center"/>
              <w:textAlignment w:val="auto"/>
              <w:rPr>
                <w:rFonts w:hint="eastAsia" w:ascii="宋体" w:hAnsi="宋体" w:eastAsia="宋体" w:cs="宋体"/>
                <w:color w:val="auto"/>
                <w:kern w:val="44"/>
                <w:sz w:val="24"/>
                <w:szCs w:val="24"/>
                <w:lang w:val="en-US" w:eastAsia="zh-CN" w:bidi="ar-SA"/>
              </w:rPr>
            </w:pPr>
            <w:r>
              <w:rPr>
                <w:rFonts w:hint="eastAsia" w:ascii="宋体" w:hAnsi="宋体" w:eastAsia="宋体" w:cs="宋体"/>
                <w:color w:val="auto"/>
                <w:kern w:val="44"/>
                <w:sz w:val="24"/>
                <w:szCs w:val="24"/>
              </w:rPr>
              <w:t>合同形式</w:t>
            </w:r>
          </w:p>
        </w:tc>
        <w:tc>
          <w:tcPr>
            <w:tcW w:w="7626" w:type="dxa"/>
            <w:tcBorders>
              <w:top w:val="single" w:color="auto" w:sz="4" w:space="0"/>
              <w:left w:val="nil"/>
              <w:bottom w:val="single" w:color="auto" w:sz="4" w:space="0"/>
              <w:right w:val="single" w:color="auto" w:sz="4" w:space="0"/>
            </w:tcBorders>
            <w:shd w:val="clear" w:color="auto" w:fill="auto"/>
            <w:noWrap w:val="0"/>
            <w:vAlign w:val="center"/>
          </w:tcPr>
          <w:p w14:paraId="106E51CC">
            <w:pPr>
              <w:keepNext w:val="0"/>
              <w:keepLines w:val="0"/>
              <w:pageBreakBefore w:val="0"/>
              <w:widowControl/>
              <w:kinsoku/>
              <w:wordWrap/>
              <w:overflowPunct/>
              <w:topLinePunct w:val="0"/>
              <w:bidi w:val="0"/>
              <w:adjustRightInd w:val="0"/>
              <w:snapToGrid w:val="0"/>
              <w:spacing w:beforeLines="0" w:afterLines="0" w:line="360" w:lineRule="auto"/>
              <w:jc w:val="left"/>
              <w:textAlignment w:val="auto"/>
              <w:rPr>
                <w:rFonts w:hint="eastAsia" w:ascii="宋体" w:hAnsi="宋体" w:eastAsia="宋体" w:cs="宋体"/>
                <w:color w:val="auto"/>
                <w:kern w:val="44"/>
                <w:sz w:val="24"/>
                <w:szCs w:val="24"/>
                <w:lang w:val="en-US" w:eastAsia="zh-CN" w:bidi="ar-SA"/>
              </w:rPr>
            </w:pPr>
            <w:r>
              <w:rPr>
                <w:rFonts w:hint="eastAsia" w:ascii="宋体" w:hAnsi="宋体" w:eastAsia="宋体" w:cs="宋体"/>
                <w:color w:val="auto"/>
                <w:kern w:val="44"/>
                <w:sz w:val="24"/>
                <w:szCs w:val="24"/>
                <w:lang w:val="en-US" w:eastAsia="zh-CN"/>
              </w:rPr>
              <w:t>固定单价</w:t>
            </w:r>
            <w:r>
              <w:rPr>
                <w:rFonts w:hint="eastAsia" w:ascii="宋体" w:hAnsi="宋体" w:eastAsia="宋体" w:cs="宋体"/>
                <w:color w:val="auto"/>
                <w:kern w:val="44"/>
                <w:sz w:val="24"/>
                <w:szCs w:val="24"/>
              </w:rPr>
              <w:t>合同</w:t>
            </w:r>
          </w:p>
        </w:tc>
      </w:tr>
      <w:tr w14:paraId="7957A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75821C63">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50</w:t>
            </w:r>
          </w:p>
        </w:tc>
        <w:tc>
          <w:tcPr>
            <w:tcW w:w="155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989338">
            <w:pPr>
              <w:keepNext w:val="0"/>
              <w:keepLines w:val="0"/>
              <w:pageBreakBefore w:val="0"/>
              <w:widowControl/>
              <w:kinsoku/>
              <w:wordWrap/>
              <w:overflowPunct/>
              <w:topLinePunct w:val="0"/>
              <w:bidi w:val="0"/>
              <w:adjustRightInd w:val="0"/>
              <w:snapToGrid w:val="0"/>
              <w:spacing w:beforeLines="0" w:afterLines="0" w:line="360" w:lineRule="auto"/>
              <w:jc w:val="center"/>
              <w:textAlignment w:val="auto"/>
              <w:rPr>
                <w:rFonts w:hint="eastAsia" w:ascii="宋体" w:hAnsi="宋体" w:eastAsia="宋体" w:cs="宋体"/>
                <w:color w:val="auto"/>
                <w:kern w:val="44"/>
                <w:sz w:val="24"/>
                <w:szCs w:val="24"/>
                <w:highlight w:val="none"/>
                <w:lang w:val="en-US" w:eastAsia="zh-CN"/>
              </w:rPr>
            </w:pPr>
            <w:r>
              <w:rPr>
                <w:rFonts w:hint="eastAsia" w:ascii="宋体" w:hAnsi="宋体" w:eastAsia="宋体" w:cs="宋体"/>
                <w:color w:val="auto"/>
                <w:kern w:val="44"/>
                <w:sz w:val="24"/>
                <w:szCs w:val="24"/>
                <w:highlight w:val="none"/>
                <w:lang w:val="en-US" w:eastAsia="zh-CN"/>
              </w:rPr>
              <w:t>项目款支付</w:t>
            </w:r>
          </w:p>
        </w:tc>
        <w:tc>
          <w:tcPr>
            <w:tcW w:w="7626" w:type="dxa"/>
            <w:tcBorders>
              <w:top w:val="single" w:color="auto" w:sz="4" w:space="0"/>
              <w:left w:val="nil"/>
              <w:bottom w:val="single" w:color="auto" w:sz="4" w:space="0"/>
              <w:right w:val="single" w:color="auto" w:sz="4" w:space="0"/>
            </w:tcBorders>
            <w:shd w:val="clear" w:color="auto" w:fill="auto"/>
            <w:noWrap w:val="0"/>
            <w:vAlign w:val="center"/>
          </w:tcPr>
          <w:p w14:paraId="1EC045BB">
            <w:pPr>
              <w:keepNext w:val="0"/>
              <w:keepLines w:val="0"/>
              <w:pageBreakBefore w:val="0"/>
              <w:widowControl/>
              <w:numPr>
                <w:ilvl w:val="0"/>
                <w:numId w:val="0"/>
              </w:numPr>
              <w:kinsoku/>
              <w:wordWrap/>
              <w:overflowPunct/>
              <w:topLinePunct w:val="0"/>
              <w:bidi w:val="0"/>
              <w:adjustRightInd w:val="0"/>
              <w:snapToGrid w:val="0"/>
              <w:spacing w:beforeLines="0" w:afterLines="0" w:line="360" w:lineRule="auto"/>
              <w:ind w:leftChars="0"/>
              <w:jc w:val="left"/>
              <w:textAlignment w:val="auto"/>
              <w:rPr>
                <w:rFonts w:hint="eastAsia" w:ascii="宋体" w:hAnsi="宋体" w:eastAsia="宋体" w:cs="宋体"/>
                <w:color w:val="auto"/>
                <w:kern w:val="44"/>
                <w:sz w:val="24"/>
                <w:szCs w:val="24"/>
                <w:highlight w:val="none"/>
                <w:lang w:val="en-US" w:eastAsia="zh-CN"/>
              </w:rPr>
            </w:pPr>
            <w:r>
              <w:rPr>
                <w:rFonts w:hint="eastAsia" w:ascii="宋体" w:hAnsi="宋体" w:eastAsia="宋体" w:cs="宋体"/>
                <w:color w:val="auto"/>
                <w:kern w:val="44"/>
                <w:sz w:val="24"/>
                <w:szCs w:val="24"/>
                <w:highlight w:val="none"/>
                <w:lang w:val="en-US" w:eastAsia="zh-CN"/>
              </w:rPr>
              <w:t xml:space="preserve">1.工程预付款：本合同生效后，发包人按合同总价的 30% 向承包人支付工程预付款。该款项专项用于本工程前期筹备、材料采购、施工人员进场等工程启动开支，承包人不得挪作本合同工程以外用途。 </w:t>
            </w:r>
          </w:p>
          <w:p w14:paraId="4D99CFD9">
            <w:pPr>
              <w:keepNext w:val="0"/>
              <w:keepLines w:val="0"/>
              <w:pageBreakBefore w:val="0"/>
              <w:widowControl/>
              <w:numPr>
                <w:ilvl w:val="0"/>
                <w:numId w:val="0"/>
              </w:numPr>
              <w:kinsoku/>
              <w:wordWrap/>
              <w:overflowPunct/>
              <w:topLinePunct w:val="0"/>
              <w:bidi w:val="0"/>
              <w:adjustRightInd w:val="0"/>
              <w:snapToGrid w:val="0"/>
              <w:spacing w:beforeLines="0" w:afterLines="0" w:line="360" w:lineRule="auto"/>
              <w:ind w:leftChars="0"/>
              <w:jc w:val="left"/>
              <w:textAlignment w:val="auto"/>
              <w:rPr>
                <w:rFonts w:hint="eastAsia" w:ascii="宋体" w:hAnsi="宋体" w:eastAsia="宋体" w:cs="宋体"/>
                <w:color w:val="auto"/>
                <w:kern w:val="44"/>
                <w:sz w:val="24"/>
                <w:szCs w:val="24"/>
                <w:highlight w:val="none"/>
                <w:lang w:val="en-US" w:eastAsia="zh-CN"/>
              </w:rPr>
            </w:pPr>
            <w:r>
              <w:rPr>
                <w:rFonts w:hint="eastAsia" w:ascii="宋体" w:hAnsi="宋体" w:eastAsia="宋体" w:cs="宋体"/>
                <w:color w:val="auto"/>
                <w:kern w:val="44"/>
                <w:sz w:val="24"/>
                <w:szCs w:val="24"/>
                <w:highlight w:val="none"/>
                <w:lang w:val="en-US" w:eastAsia="zh-CN"/>
              </w:rPr>
              <w:t xml:space="preserve">2.工程进度款：工程进度款按月度周期结算支付。承包人应于每月约定时限内提交当期已完合格工程量报告、付款申请及对应质量验收合格资料，经发包人审核确认后，发包人按当期已完合格工程对应价款的80% 向承包人拨付工程进度款。 </w:t>
            </w:r>
          </w:p>
          <w:p w14:paraId="3543F5D6">
            <w:pPr>
              <w:keepNext w:val="0"/>
              <w:keepLines w:val="0"/>
              <w:pageBreakBefore w:val="0"/>
              <w:widowControl/>
              <w:numPr>
                <w:ilvl w:val="0"/>
                <w:numId w:val="0"/>
              </w:numPr>
              <w:kinsoku/>
              <w:wordWrap/>
              <w:overflowPunct/>
              <w:topLinePunct w:val="0"/>
              <w:bidi w:val="0"/>
              <w:adjustRightInd w:val="0"/>
              <w:snapToGrid w:val="0"/>
              <w:spacing w:beforeLines="0" w:afterLines="0" w:line="360" w:lineRule="auto"/>
              <w:ind w:leftChars="0"/>
              <w:jc w:val="left"/>
              <w:textAlignment w:val="auto"/>
              <w:rPr>
                <w:rFonts w:hint="eastAsia" w:ascii="宋体" w:hAnsi="宋体" w:eastAsia="宋体" w:cs="宋体"/>
                <w:color w:val="auto"/>
                <w:kern w:val="44"/>
                <w:sz w:val="24"/>
                <w:szCs w:val="24"/>
                <w:highlight w:val="none"/>
                <w:lang w:val="en-US" w:eastAsia="zh-CN"/>
              </w:rPr>
            </w:pPr>
            <w:r>
              <w:rPr>
                <w:rFonts w:hint="eastAsia" w:ascii="宋体" w:hAnsi="宋体" w:eastAsia="宋体" w:cs="宋体"/>
                <w:color w:val="auto"/>
                <w:kern w:val="44"/>
                <w:sz w:val="24"/>
                <w:szCs w:val="24"/>
                <w:highlight w:val="none"/>
                <w:lang w:val="en-US" w:eastAsia="zh-CN"/>
              </w:rPr>
              <w:t xml:space="preserve">3.竣工验收节点付款：本工程全部完工并通过竣工验收合格后，发包人累计支付工程款至结算总价的 90%。 </w:t>
            </w:r>
          </w:p>
          <w:p w14:paraId="05FE40B1">
            <w:pPr>
              <w:keepNext w:val="0"/>
              <w:keepLines w:val="0"/>
              <w:pageBreakBefore w:val="0"/>
              <w:widowControl/>
              <w:numPr>
                <w:ilvl w:val="0"/>
                <w:numId w:val="0"/>
              </w:numPr>
              <w:kinsoku/>
              <w:wordWrap/>
              <w:overflowPunct/>
              <w:topLinePunct w:val="0"/>
              <w:bidi w:val="0"/>
              <w:adjustRightInd w:val="0"/>
              <w:snapToGrid w:val="0"/>
              <w:spacing w:beforeLines="0" w:afterLines="0" w:line="360" w:lineRule="auto"/>
              <w:ind w:leftChars="0"/>
              <w:jc w:val="left"/>
              <w:textAlignment w:val="auto"/>
              <w:rPr>
                <w:rFonts w:hint="eastAsia" w:ascii="宋体" w:hAnsi="宋体" w:eastAsia="宋体" w:cs="宋体"/>
                <w:color w:val="auto"/>
                <w:kern w:val="44"/>
                <w:sz w:val="24"/>
                <w:szCs w:val="24"/>
                <w:highlight w:val="none"/>
                <w:lang w:val="en-US" w:eastAsia="zh-CN"/>
              </w:rPr>
            </w:pPr>
            <w:r>
              <w:rPr>
                <w:rFonts w:hint="eastAsia" w:ascii="宋体" w:hAnsi="宋体" w:eastAsia="宋体" w:cs="宋体"/>
                <w:color w:val="auto"/>
                <w:kern w:val="44"/>
                <w:sz w:val="24"/>
                <w:szCs w:val="24"/>
                <w:highlight w:val="none"/>
                <w:lang w:val="en-US" w:eastAsia="zh-CN"/>
              </w:rPr>
              <w:t xml:space="preserve">4.竣工结算付款：竣工结算审核完成且双方共同确认最终结算总价款后，发包人累计支付工程款至结算总价款的 97%。 </w:t>
            </w:r>
          </w:p>
          <w:p w14:paraId="59CBE8C4">
            <w:pPr>
              <w:keepNext w:val="0"/>
              <w:keepLines w:val="0"/>
              <w:pageBreakBefore w:val="0"/>
              <w:widowControl/>
              <w:numPr>
                <w:ilvl w:val="0"/>
                <w:numId w:val="0"/>
              </w:numPr>
              <w:kinsoku/>
              <w:wordWrap/>
              <w:overflowPunct/>
              <w:topLinePunct w:val="0"/>
              <w:bidi w:val="0"/>
              <w:adjustRightInd w:val="0"/>
              <w:snapToGrid w:val="0"/>
              <w:spacing w:beforeLines="0" w:afterLines="0" w:line="360" w:lineRule="auto"/>
              <w:ind w:leftChars="0"/>
              <w:jc w:val="left"/>
              <w:textAlignment w:val="auto"/>
              <w:rPr>
                <w:rFonts w:hint="eastAsia" w:ascii="宋体" w:hAnsi="宋体" w:eastAsia="宋体" w:cs="宋体"/>
                <w:color w:val="auto"/>
                <w:kern w:val="44"/>
                <w:sz w:val="24"/>
                <w:szCs w:val="24"/>
                <w:highlight w:val="none"/>
                <w:lang w:val="en-US" w:eastAsia="zh-CN"/>
              </w:rPr>
            </w:pPr>
            <w:r>
              <w:rPr>
                <w:rFonts w:hint="eastAsia" w:ascii="宋体" w:hAnsi="宋体" w:eastAsia="宋体" w:cs="宋体"/>
                <w:color w:val="auto"/>
                <w:kern w:val="44"/>
                <w:sz w:val="24"/>
                <w:szCs w:val="24"/>
                <w:highlight w:val="none"/>
                <w:lang w:val="en-US" w:eastAsia="zh-CN"/>
              </w:rPr>
              <w:t>5.质量保证金：结算总价款的 3% 预留为工程质量保证金。待本工程缺陷责任期届满，经发包人核查确认工程无质量缺陷、承包人已全面履行全部缺陷修复义务后，发包人将剩余质量保证金向承包人无息返还。</w:t>
            </w:r>
          </w:p>
        </w:tc>
      </w:tr>
      <w:tr w14:paraId="76EF1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771C23AB">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51</w:t>
            </w:r>
          </w:p>
        </w:tc>
        <w:tc>
          <w:tcPr>
            <w:tcW w:w="1552" w:type="dxa"/>
            <w:tcBorders>
              <w:top w:val="single" w:color="auto" w:sz="4" w:space="0"/>
              <w:left w:val="single" w:color="auto" w:sz="4" w:space="0"/>
              <w:bottom w:val="single" w:color="auto" w:sz="4" w:space="0"/>
              <w:right w:val="single" w:color="auto" w:sz="4" w:space="0"/>
            </w:tcBorders>
            <w:noWrap w:val="0"/>
            <w:vAlign w:val="center"/>
          </w:tcPr>
          <w:p w14:paraId="3A41A91C">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中标结果公告媒介</w:t>
            </w:r>
          </w:p>
        </w:tc>
        <w:tc>
          <w:tcPr>
            <w:tcW w:w="7626" w:type="dxa"/>
            <w:tcBorders>
              <w:top w:val="single" w:color="auto" w:sz="4" w:space="0"/>
              <w:left w:val="nil"/>
              <w:bottom w:val="single" w:color="auto" w:sz="4" w:space="0"/>
              <w:right w:val="single" w:color="auto" w:sz="4" w:space="0"/>
            </w:tcBorders>
            <w:noWrap w:val="0"/>
            <w:vAlign w:val="center"/>
          </w:tcPr>
          <w:p w14:paraId="51E9CDD0">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同时在《中国招标投标公共服务平台》、《河南省政府采购网》、《三门峡市公共资源交易中心网》上发布</w:t>
            </w:r>
          </w:p>
        </w:tc>
      </w:tr>
      <w:tr w14:paraId="6A720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09E30C53">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52</w:t>
            </w:r>
          </w:p>
        </w:tc>
        <w:tc>
          <w:tcPr>
            <w:tcW w:w="1552" w:type="dxa"/>
            <w:tcBorders>
              <w:top w:val="single" w:color="auto" w:sz="4" w:space="0"/>
              <w:left w:val="single" w:color="auto" w:sz="4" w:space="0"/>
              <w:bottom w:val="single" w:color="auto" w:sz="4" w:space="0"/>
              <w:right w:val="single" w:color="auto" w:sz="4" w:space="0"/>
            </w:tcBorders>
            <w:noWrap w:val="0"/>
            <w:vAlign w:val="center"/>
          </w:tcPr>
          <w:p w14:paraId="31D5E7AA">
            <w:pPr>
              <w:widowControl/>
              <w:spacing w:before="0" w:beforeLines="0" w:beforeAutospacing="0" w:after="0" w:afterLines="0" w:afterAutospacing="0" w:line="400" w:lineRule="exact"/>
              <w:ind w:left="0" w:right="0"/>
              <w:jc w:val="center"/>
              <w:rPr>
                <w:rFonts w:hint="eastAsia" w:ascii="宋体" w:hAnsi="宋体" w:eastAsia="宋体" w:cs="仿宋"/>
                <w:color w:val="auto"/>
                <w:kern w:val="2"/>
                <w:sz w:val="24"/>
                <w:szCs w:val="24"/>
                <w:highlight w:val="none"/>
                <w:lang w:eastAsia="zh-CN"/>
              </w:rPr>
            </w:pPr>
            <w:r>
              <w:rPr>
                <w:rFonts w:hint="eastAsia" w:ascii="宋体" w:hAnsi="宋体" w:eastAsia="宋体" w:cs="仿宋"/>
                <w:color w:val="auto"/>
                <w:kern w:val="2"/>
                <w:sz w:val="24"/>
                <w:szCs w:val="24"/>
                <w:highlight w:val="none"/>
                <w:lang w:eastAsia="zh-CN"/>
              </w:rPr>
              <w:t>履约保证金</w:t>
            </w:r>
          </w:p>
        </w:tc>
        <w:tc>
          <w:tcPr>
            <w:tcW w:w="7626" w:type="dxa"/>
            <w:tcBorders>
              <w:top w:val="single" w:color="auto" w:sz="4" w:space="0"/>
              <w:left w:val="nil"/>
              <w:bottom w:val="single" w:color="auto" w:sz="4" w:space="0"/>
              <w:right w:val="single" w:color="auto" w:sz="4" w:space="0"/>
            </w:tcBorders>
            <w:noWrap w:val="0"/>
            <w:vAlign w:val="center"/>
          </w:tcPr>
          <w:p w14:paraId="6C5F477A">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eastAsia="zh-CN"/>
              </w:rPr>
            </w:pPr>
            <w:r>
              <w:rPr>
                <w:rFonts w:hint="eastAsia" w:ascii="宋体" w:hAnsi="宋体" w:eastAsia="宋体" w:cs="仿宋"/>
                <w:color w:val="auto"/>
                <w:kern w:val="2"/>
                <w:sz w:val="24"/>
                <w:szCs w:val="24"/>
                <w:highlight w:val="none"/>
                <w:lang w:eastAsia="zh-CN"/>
              </w:rPr>
              <w:t>不收取</w:t>
            </w:r>
          </w:p>
        </w:tc>
      </w:tr>
      <w:tr w14:paraId="20878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1E0300DB">
            <w:pPr>
              <w:widowControl/>
              <w:spacing w:before="0" w:beforeLines="0" w:beforeAutospacing="0" w:afterAutospacing="0" w:line="360" w:lineRule="auto"/>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53</w:t>
            </w:r>
          </w:p>
        </w:tc>
        <w:tc>
          <w:tcPr>
            <w:tcW w:w="1552" w:type="dxa"/>
            <w:tcBorders>
              <w:top w:val="single" w:color="auto" w:sz="4" w:space="0"/>
              <w:left w:val="single" w:color="auto" w:sz="4" w:space="0"/>
              <w:bottom w:val="single" w:color="auto" w:sz="4" w:space="0"/>
              <w:right w:val="single" w:color="auto" w:sz="4" w:space="0"/>
            </w:tcBorders>
            <w:noWrap w:val="0"/>
            <w:vAlign w:val="center"/>
          </w:tcPr>
          <w:p w14:paraId="3A3D56CF">
            <w:pPr>
              <w:widowControl/>
              <w:spacing w:before="0" w:beforeLines="0" w:beforeAutospacing="0" w:after="0" w:afterLines="0" w:afterAutospacing="0" w:line="400" w:lineRule="exact"/>
              <w:ind w:left="0" w:right="0"/>
              <w:jc w:val="center"/>
              <w:rPr>
                <w:rFonts w:hint="default" w:ascii="宋体" w:hAnsi="宋体" w:eastAsia="宋体" w:cs="仿宋"/>
                <w:color w:val="auto"/>
                <w:kern w:val="2"/>
                <w:sz w:val="24"/>
                <w:szCs w:val="24"/>
                <w:highlight w:val="none"/>
                <w:lang w:val="en-US" w:eastAsia="zh-CN"/>
              </w:rPr>
            </w:pPr>
            <w:r>
              <w:rPr>
                <w:rFonts w:hint="eastAsia" w:ascii="宋体" w:hAnsi="宋体" w:eastAsia="宋体" w:cs="仿宋"/>
                <w:color w:val="auto"/>
                <w:kern w:val="2"/>
                <w:sz w:val="24"/>
                <w:szCs w:val="24"/>
                <w:highlight w:val="none"/>
                <w:lang w:eastAsia="zh-CN"/>
              </w:rPr>
              <w:t>验收</w:t>
            </w:r>
            <w:r>
              <w:rPr>
                <w:rFonts w:hint="eastAsia" w:ascii="宋体" w:hAnsi="宋体" w:eastAsia="宋体" w:cs="仿宋"/>
                <w:color w:val="auto"/>
                <w:kern w:val="2"/>
                <w:sz w:val="24"/>
                <w:szCs w:val="24"/>
                <w:highlight w:val="none"/>
                <w:lang w:val="en-US" w:eastAsia="zh-CN"/>
              </w:rPr>
              <w:t xml:space="preserve">                                                        </w:t>
            </w:r>
          </w:p>
        </w:tc>
        <w:tc>
          <w:tcPr>
            <w:tcW w:w="7626" w:type="dxa"/>
            <w:tcBorders>
              <w:top w:val="single" w:color="auto" w:sz="4" w:space="0"/>
              <w:left w:val="nil"/>
              <w:bottom w:val="single" w:color="auto" w:sz="4" w:space="0"/>
              <w:right w:val="single" w:color="auto" w:sz="4" w:space="0"/>
            </w:tcBorders>
            <w:noWrap w:val="0"/>
            <w:vAlign w:val="center"/>
          </w:tcPr>
          <w:p w14:paraId="1461D54C">
            <w:pPr>
              <w:widowControl/>
              <w:spacing w:before="0" w:beforeLines="0" w:beforeAutospacing="0" w:after="0" w:afterLines="0" w:afterAutospacing="0" w:line="400" w:lineRule="exact"/>
              <w:ind w:left="0" w:right="0"/>
              <w:rPr>
                <w:rFonts w:hint="default" w:ascii="宋体" w:hAnsi="宋体" w:eastAsia="宋体" w:cs="仿宋"/>
                <w:color w:val="auto"/>
                <w:kern w:val="2"/>
                <w:sz w:val="24"/>
                <w:szCs w:val="24"/>
                <w:highlight w:val="none"/>
                <w:lang w:val="en-US" w:eastAsia="zh-CN"/>
              </w:rPr>
            </w:pPr>
            <w:r>
              <w:rPr>
                <w:rFonts w:hint="eastAsia" w:ascii="宋体" w:hAnsi="宋体" w:eastAsia="宋体" w:cs="仿宋"/>
                <w:color w:val="auto"/>
                <w:kern w:val="2"/>
                <w:sz w:val="24"/>
                <w:szCs w:val="24"/>
                <w:highlight w:val="none"/>
                <w:lang w:val="en-US" w:eastAsia="zh-CN"/>
              </w:rPr>
              <w:t>符合国家相关行业质量验收合格标准</w:t>
            </w:r>
          </w:p>
        </w:tc>
      </w:tr>
      <w:tr w14:paraId="46BE8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10118" w:type="dxa"/>
            <w:gridSpan w:val="3"/>
            <w:tcBorders>
              <w:top w:val="single" w:color="auto" w:sz="4" w:space="0"/>
              <w:left w:val="single" w:color="auto" w:sz="4" w:space="0"/>
              <w:bottom w:val="single" w:color="auto" w:sz="4" w:space="0"/>
              <w:right w:val="single" w:color="auto" w:sz="4" w:space="0"/>
            </w:tcBorders>
            <w:noWrap w:val="0"/>
            <w:vAlign w:val="center"/>
          </w:tcPr>
          <w:p w14:paraId="10D2A8C1">
            <w:pPr>
              <w:widowControl/>
              <w:spacing w:before="0" w:beforeLines="0" w:beforeAutospacing="0" w:after="0" w:afterLines="0" w:afterAutospacing="0" w:line="400" w:lineRule="exact"/>
              <w:ind w:left="0" w:right="0"/>
              <w:jc w:val="center"/>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需要补充的其他内容</w:t>
            </w:r>
          </w:p>
        </w:tc>
      </w:tr>
      <w:tr w14:paraId="09479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7F06C63A">
            <w:pPr>
              <w:widowControl/>
              <w:spacing w:before="0" w:beforeLines="0" w:beforeAutospacing="0" w:afterAutospacing="0"/>
              <w:ind w:left="0" w:right="0"/>
              <w:jc w:val="center"/>
              <w:textAlignment w:val="baseline"/>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54</w:t>
            </w:r>
          </w:p>
        </w:tc>
        <w:tc>
          <w:tcPr>
            <w:tcW w:w="1552" w:type="dxa"/>
            <w:tcBorders>
              <w:top w:val="single" w:color="auto" w:sz="4" w:space="0"/>
              <w:left w:val="nil"/>
              <w:bottom w:val="single" w:color="auto" w:sz="4" w:space="0"/>
              <w:right w:val="single" w:color="auto" w:sz="4" w:space="0"/>
            </w:tcBorders>
            <w:noWrap w:val="0"/>
            <w:vAlign w:val="center"/>
          </w:tcPr>
          <w:p w14:paraId="7E7916AF">
            <w:pPr>
              <w:widowControl/>
              <w:spacing w:before="0" w:beforeLines="0" w:beforeAutospacing="0" w:afterAutospacing="0"/>
              <w:ind w:left="0" w:right="0"/>
              <w:jc w:val="center"/>
              <w:textAlignment w:val="baseline"/>
              <w:rPr>
                <w:rFonts w:ascii="宋体" w:hAnsi="宋体" w:eastAsia="宋体" w:cs="宋体"/>
                <w:color w:val="auto"/>
                <w:kern w:val="2"/>
                <w:sz w:val="24"/>
                <w:szCs w:val="24"/>
                <w:highlight w:val="none"/>
              </w:rPr>
            </w:pPr>
            <w:r>
              <w:rPr>
                <w:rFonts w:hint="eastAsia" w:ascii="宋体" w:hAnsi="宋体" w:eastAsia="宋体" w:cs="Calibri"/>
                <w:color w:val="auto"/>
                <w:kern w:val="2"/>
                <w:sz w:val="24"/>
                <w:szCs w:val="24"/>
                <w:highlight w:val="none"/>
              </w:rPr>
              <w:t>供应商</w:t>
            </w:r>
            <w:r>
              <w:rPr>
                <w:rFonts w:hint="eastAsia" w:ascii="宋体" w:hAnsi="宋体" w:eastAsia="宋体" w:cs="宋体"/>
                <w:color w:val="auto"/>
                <w:kern w:val="2"/>
                <w:sz w:val="24"/>
                <w:szCs w:val="24"/>
                <w:highlight w:val="none"/>
              </w:rPr>
              <w:t>代表出席开标会</w:t>
            </w:r>
          </w:p>
        </w:tc>
        <w:tc>
          <w:tcPr>
            <w:tcW w:w="7626" w:type="dxa"/>
            <w:tcBorders>
              <w:top w:val="single" w:color="auto" w:sz="4" w:space="0"/>
              <w:left w:val="nil"/>
              <w:bottom w:val="single" w:color="auto" w:sz="4" w:space="0"/>
              <w:right w:val="single" w:color="auto" w:sz="4" w:space="0"/>
            </w:tcBorders>
            <w:noWrap w:val="0"/>
            <w:vAlign w:val="center"/>
          </w:tcPr>
          <w:p w14:paraId="49ED6132">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本项目采用电子化、无纸化进行</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，开标当日，供应商无需到</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现场参加</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会议，</w:t>
            </w:r>
            <w:r>
              <w:rPr>
                <w:rFonts w:hint="eastAsia" w:ascii="宋体" w:hAnsi="宋体" w:eastAsia="宋体" w:cs="仿宋"/>
                <w:color w:val="auto"/>
                <w:kern w:val="2"/>
                <w:sz w:val="24"/>
                <w:szCs w:val="24"/>
                <w:highlight w:val="none"/>
                <w:lang w:eastAsia="zh-CN"/>
              </w:rPr>
              <w:t>供应商</w:t>
            </w:r>
            <w:r>
              <w:rPr>
                <w:rFonts w:hint="eastAsia" w:ascii="宋体" w:hAnsi="宋体" w:eastAsia="宋体" w:cs="仿宋"/>
                <w:color w:val="auto"/>
                <w:kern w:val="2"/>
                <w:sz w:val="24"/>
                <w:szCs w:val="24"/>
                <w:highlight w:val="none"/>
              </w:rPr>
              <w:t>应当在</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截止时间前，登陆不见面开标大厅选择登陆三门峡市公共资源电子招投标系统进行登陆（网址为 http://120.194.249.36:10094/BidOpening/bidopeninghallaction/hall/login）,在线准时参加</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活动并进行</w:t>
            </w:r>
            <w:r>
              <w:rPr>
                <w:rFonts w:hint="eastAsia" w:ascii="宋体" w:hAnsi="宋体" w:eastAsia="宋体" w:cs="仿宋"/>
                <w:color w:val="auto"/>
                <w:kern w:val="2"/>
                <w:sz w:val="24"/>
                <w:szCs w:val="24"/>
                <w:highlight w:val="none"/>
                <w:lang w:val="en-US" w:eastAsia="zh-CN"/>
              </w:rPr>
              <w:t>响应</w:t>
            </w:r>
            <w:r>
              <w:rPr>
                <w:rFonts w:hint="eastAsia" w:ascii="宋体" w:hAnsi="宋体" w:eastAsia="宋体" w:cs="仿宋"/>
                <w:color w:val="auto"/>
                <w:kern w:val="2"/>
                <w:sz w:val="24"/>
                <w:szCs w:val="24"/>
                <w:highlight w:val="none"/>
              </w:rPr>
              <w:t>文件解密等</w:t>
            </w:r>
          </w:p>
        </w:tc>
      </w:tr>
      <w:tr w14:paraId="55D71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6541D6E5">
            <w:pPr>
              <w:widowControl/>
              <w:spacing w:before="0" w:beforeLines="0" w:beforeAutospacing="0" w:afterAutospacing="0"/>
              <w:ind w:left="0" w:right="0"/>
              <w:jc w:val="center"/>
              <w:textAlignment w:val="baseline"/>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55</w:t>
            </w:r>
          </w:p>
        </w:tc>
        <w:tc>
          <w:tcPr>
            <w:tcW w:w="1552" w:type="dxa"/>
            <w:tcBorders>
              <w:top w:val="single" w:color="auto" w:sz="4" w:space="0"/>
              <w:left w:val="nil"/>
              <w:bottom w:val="single" w:color="auto" w:sz="4" w:space="0"/>
              <w:right w:val="single" w:color="auto" w:sz="4" w:space="0"/>
            </w:tcBorders>
            <w:noWrap w:val="0"/>
            <w:vAlign w:val="center"/>
          </w:tcPr>
          <w:p w14:paraId="7AAFA285">
            <w:pPr>
              <w:widowControl/>
              <w:spacing w:before="0" w:beforeLines="0" w:beforeAutospacing="0" w:afterAutospacing="0"/>
              <w:ind w:left="0" w:right="0"/>
              <w:jc w:val="center"/>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知识产权</w:t>
            </w:r>
          </w:p>
        </w:tc>
        <w:tc>
          <w:tcPr>
            <w:tcW w:w="7626" w:type="dxa"/>
            <w:tcBorders>
              <w:top w:val="single" w:color="auto" w:sz="4" w:space="0"/>
              <w:left w:val="nil"/>
              <w:bottom w:val="single" w:color="auto" w:sz="4" w:space="0"/>
              <w:right w:val="single" w:color="auto" w:sz="4" w:space="0"/>
            </w:tcBorders>
            <w:noWrap w:val="0"/>
            <w:vAlign w:val="center"/>
          </w:tcPr>
          <w:p w14:paraId="02F97B36">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构成本</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文件各个组成部分的文件，未经采购人书面同意，</w:t>
            </w:r>
            <w:r>
              <w:rPr>
                <w:rFonts w:hint="eastAsia" w:ascii="宋体" w:hAnsi="宋体" w:eastAsia="宋体" w:cs="仿宋"/>
                <w:color w:val="auto"/>
                <w:kern w:val="2"/>
                <w:sz w:val="24"/>
                <w:szCs w:val="24"/>
                <w:highlight w:val="none"/>
                <w:lang w:eastAsia="zh-CN"/>
              </w:rPr>
              <w:t>供应商</w:t>
            </w:r>
            <w:r>
              <w:rPr>
                <w:rFonts w:hint="eastAsia" w:ascii="宋体" w:hAnsi="宋体" w:eastAsia="宋体" w:cs="仿宋"/>
                <w:color w:val="auto"/>
                <w:kern w:val="2"/>
                <w:sz w:val="24"/>
                <w:szCs w:val="24"/>
                <w:highlight w:val="none"/>
              </w:rPr>
              <w:t>不得擅自复印和用于非本</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项目所需的其他目的。采购人全部或者部分使用未</w:t>
            </w:r>
            <w:r>
              <w:rPr>
                <w:rFonts w:hint="eastAsia" w:ascii="宋体" w:hAnsi="宋体" w:eastAsia="宋体" w:cs="仿宋"/>
                <w:color w:val="auto"/>
                <w:kern w:val="2"/>
                <w:sz w:val="24"/>
                <w:szCs w:val="24"/>
                <w:highlight w:val="none"/>
                <w:lang w:val="en-US" w:eastAsia="zh-CN"/>
              </w:rPr>
              <w:t>成交供应商响应</w:t>
            </w:r>
            <w:r>
              <w:rPr>
                <w:rFonts w:hint="eastAsia" w:ascii="宋体" w:hAnsi="宋体" w:eastAsia="宋体" w:cs="仿宋"/>
                <w:color w:val="auto"/>
                <w:kern w:val="2"/>
                <w:sz w:val="24"/>
                <w:szCs w:val="24"/>
                <w:highlight w:val="none"/>
              </w:rPr>
              <w:t>文件中的技术成果或技术方案时，需征得其书面同意，并不得擅自复印或提供给第三人。</w:t>
            </w:r>
          </w:p>
        </w:tc>
      </w:tr>
      <w:tr w14:paraId="060D1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45A71C3A">
            <w:pPr>
              <w:widowControl/>
              <w:spacing w:before="0" w:beforeLines="0" w:beforeAutospacing="0" w:afterAutospacing="0"/>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56</w:t>
            </w:r>
          </w:p>
        </w:tc>
        <w:tc>
          <w:tcPr>
            <w:tcW w:w="1552" w:type="dxa"/>
            <w:tcBorders>
              <w:top w:val="single" w:color="auto" w:sz="4" w:space="0"/>
              <w:left w:val="nil"/>
              <w:bottom w:val="single" w:color="auto" w:sz="4" w:space="0"/>
              <w:right w:val="single" w:color="auto" w:sz="4" w:space="0"/>
            </w:tcBorders>
            <w:noWrap w:val="0"/>
            <w:vAlign w:val="center"/>
          </w:tcPr>
          <w:p w14:paraId="57DCE705">
            <w:pPr>
              <w:widowControl/>
              <w:spacing w:before="0" w:beforeLines="0" w:beforeAutospacing="0" w:afterAutospacing="0"/>
              <w:ind w:left="0" w:right="0"/>
              <w:jc w:val="center"/>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监  督</w:t>
            </w:r>
          </w:p>
        </w:tc>
        <w:tc>
          <w:tcPr>
            <w:tcW w:w="7626" w:type="dxa"/>
            <w:tcBorders>
              <w:top w:val="single" w:color="auto" w:sz="4" w:space="0"/>
              <w:left w:val="nil"/>
              <w:bottom w:val="single" w:color="auto" w:sz="4" w:space="0"/>
              <w:right w:val="single" w:color="auto" w:sz="4" w:space="0"/>
            </w:tcBorders>
            <w:noWrap w:val="0"/>
            <w:vAlign w:val="center"/>
          </w:tcPr>
          <w:p w14:paraId="606E8061">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本项目的采购活动及其相关当事人应当接受有管辖权的相关部门依法实施的监督</w:t>
            </w:r>
          </w:p>
        </w:tc>
      </w:tr>
      <w:tr w14:paraId="435C1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4FD07FA5">
            <w:pPr>
              <w:widowControl/>
              <w:spacing w:before="0" w:beforeLines="0" w:beforeAutospacing="0" w:afterAutospacing="0"/>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57</w:t>
            </w:r>
          </w:p>
        </w:tc>
        <w:tc>
          <w:tcPr>
            <w:tcW w:w="1552" w:type="dxa"/>
            <w:tcBorders>
              <w:top w:val="single" w:color="auto" w:sz="4" w:space="0"/>
              <w:left w:val="nil"/>
              <w:bottom w:val="single" w:color="auto" w:sz="4" w:space="0"/>
              <w:right w:val="single" w:color="auto" w:sz="4" w:space="0"/>
            </w:tcBorders>
            <w:noWrap w:val="0"/>
            <w:vAlign w:val="center"/>
          </w:tcPr>
          <w:p w14:paraId="17AD2635">
            <w:pPr>
              <w:widowControl/>
              <w:spacing w:before="0" w:beforeLines="0" w:beforeAutospacing="0" w:afterAutospacing="0"/>
              <w:ind w:left="0" w:right="0"/>
              <w:jc w:val="center"/>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解释权</w:t>
            </w:r>
          </w:p>
        </w:tc>
        <w:tc>
          <w:tcPr>
            <w:tcW w:w="7626" w:type="dxa"/>
            <w:tcBorders>
              <w:top w:val="single" w:color="auto" w:sz="4" w:space="0"/>
              <w:left w:val="nil"/>
              <w:bottom w:val="single" w:color="auto" w:sz="4" w:space="0"/>
              <w:right w:val="single" w:color="auto" w:sz="4" w:space="0"/>
            </w:tcBorders>
            <w:noWrap w:val="0"/>
            <w:vAlign w:val="center"/>
          </w:tcPr>
          <w:p w14:paraId="58397085">
            <w:pPr>
              <w:widowControl/>
              <w:spacing w:before="0" w:beforeLines="0" w:beforeAutospacing="0" w:after="0" w:afterLines="0" w:afterAutospacing="0" w:line="400" w:lineRule="exact"/>
              <w:ind w:left="0" w:right="0"/>
              <w:rPr>
                <w:rFonts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构成本</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文件的各个组成文件应互为解释，互为说明；如有不明确或不一致，构成合同文件组成内容的，以合同文件约定内容为准，且以专用合同条款约定的合同文件优先顺序解释；除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文件中有特别规定外，仅适用于</w:t>
            </w:r>
            <w:r>
              <w:rPr>
                <w:rFonts w:hint="eastAsia" w:ascii="宋体" w:hAnsi="宋体" w:eastAsia="宋体" w:cs="仿宋"/>
                <w:color w:val="auto"/>
                <w:kern w:val="2"/>
                <w:sz w:val="24"/>
                <w:szCs w:val="24"/>
                <w:highlight w:val="none"/>
                <w:lang w:val="en-US" w:eastAsia="zh-CN"/>
              </w:rPr>
              <w:t>采购</w:t>
            </w:r>
            <w:r>
              <w:rPr>
                <w:rFonts w:hint="eastAsia" w:ascii="宋体" w:hAnsi="宋体" w:eastAsia="宋体" w:cs="仿宋"/>
                <w:color w:val="auto"/>
                <w:kern w:val="2"/>
                <w:sz w:val="24"/>
                <w:szCs w:val="24"/>
                <w:highlight w:val="none"/>
              </w:rPr>
              <w:t>阶段的规定，按</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公告、评标办法、</w:t>
            </w:r>
            <w:r>
              <w:rPr>
                <w:rFonts w:hint="eastAsia" w:ascii="宋体" w:hAnsi="宋体" w:eastAsia="宋体" w:cs="仿宋"/>
                <w:color w:val="auto"/>
                <w:kern w:val="2"/>
                <w:sz w:val="24"/>
                <w:szCs w:val="24"/>
                <w:highlight w:val="none"/>
                <w:lang w:val="en-US" w:eastAsia="zh-CN"/>
              </w:rPr>
              <w:t>电子磋商</w:t>
            </w:r>
            <w:r>
              <w:rPr>
                <w:rFonts w:hint="eastAsia" w:ascii="宋体" w:hAnsi="宋体" w:eastAsia="宋体" w:cs="仿宋"/>
                <w:color w:val="auto"/>
                <w:kern w:val="2"/>
                <w:sz w:val="24"/>
                <w:szCs w:val="24"/>
                <w:highlight w:val="none"/>
              </w:rPr>
              <w:t>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50207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41D2D1B5">
            <w:pPr>
              <w:widowControl/>
              <w:spacing w:before="0" w:beforeLines="0" w:beforeAutospacing="0" w:afterAutospacing="0"/>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58</w:t>
            </w:r>
          </w:p>
        </w:tc>
        <w:tc>
          <w:tcPr>
            <w:tcW w:w="1552" w:type="dxa"/>
            <w:tcBorders>
              <w:top w:val="single" w:color="auto" w:sz="4" w:space="0"/>
              <w:left w:val="nil"/>
              <w:bottom w:val="single" w:color="auto" w:sz="4" w:space="0"/>
              <w:right w:val="single" w:color="auto" w:sz="4" w:space="0"/>
            </w:tcBorders>
            <w:noWrap w:val="0"/>
            <w:vAlign w:val="center"/>
          </w:tcPr>
          <w:p w14:paraId="60D396E6">
            <w:pPr>
              <w:widowControl/>
              <w:spacing w:before="0" w:beforeLines="0" w:beforeAutospacing="0" w:afterAutospacing="0" w:line="400" w:lineRule="auto"/>
              <w:ind w:left="0" w:right="0"/>
              <w:jc w:val="center"/>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代理服务费</w:t>
            </w:r>
          </w:p>
        </w:tc>
        <w:tc>
          <w:tcPr>
            <w:tcW w:w="7626" w:type="dxa"/>
            <w:tcBorders>
              <w:top w:val="single" w:color="auto" w:sz="4" w:space="0"/>
              <w:left w:val="nil"/>
              <w:bottom w:val="single" w:color="auto" w:sz="4" w:space="0"/>
              <w:right w:val="single" w:color="auto" w:sz="4" w:space="0"/>
            </w:tcBorders>
            <w:noWrap w:val="0"/>
            <w:vAlign w:val="center"/>
          </w:tcPr>
          <w:p w14:paraId="1BABD894">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采购代理服务收费参照豫招协[2023]002号河南省招标投标协会关于印发《河南省招标代理服务收费指导意见》规定的收费标准收取成交服务费</w:t>
            </w:r>
            <w:r>
              <w:rPr>
                <w:rFonts w:hint="eastAsia" w:ascii="宋体" w:hAnsi="宋体" w:eastAsia="宋体" w:cs="仿宋"/>
                <w:color w:val="auto"/>
                <w:kern w:val="2"/>
                <w:sz w:val="24"/>
                <w:szCs w:val="24"/>
                <w:highlight w:val="none"/>
              </w:rPr>
              <w:t>，</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代理服务费及其他所有费用由</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val="en-US" w:eastAsia="zh-CN"/>
              </w:rPr>
              <w:t>在领取成交通知书时，以现金或转账的方式一次性缴纳</w:t>
            </w:r>
            <w:r>
              <w:rPr>
                <w:rFonts w:hint="eastAsia" w:ascii="宋体" w:hAnsi="宋体" w:eastAsia="宋体" w:cs="仿宋"/>
                <w:color w:val="auto"/>
                <w:kern w:val="2"/>
                <w:sz w:val="24"/>
                <w:szCs w:val="24"/>
                <w:highlight w:val="none"/>
              </w:rPr>
              <w:t xml:space="preserve"> </w:t>
            </w:r>
          </w:p>
          <w:p w14:paraId="63555874">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val="en-US" w:eastAsia="zh-CN"/>
              </w:rPr>
            </w:pPr>
            <w:r>
              <w:rPr>
                <w:rFonts w:hint="eastAsia" w:ascii="宋体" w:hAnsi="宋体" w:eastAsia="宋体" w:cs="仿宋"/>
                <w:color w:val="auto"/>
                <w:kern w:val="2"/>
                <w:sz w:val="24"/>
                <w:szCs w:val="24"/>
                <w:highlight w:val="none"/>
                <w:lang w:val="en-US" w:eastAsia="zh-CN"/>
              </w:rPr>
              <w:t>账户:河南邦兴工程服务有限公司三门峡分公司</w:t>
            </w:r>
          </w:p>
          <w:p w14:paraId="008CD2C4">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val="en-US" w:eastAsia="zh-CN"/>
              </w:rPr>
            </w:pPr>
            <w:r>
              <w:rPr>
                <w:rFonts w:hint="eastAsia" w:ascii="宋体" w:hAnsi="宋体" w:eastAsia="宋体" w:cs="仿宋"/>
                <w:color w:val="auto"/>
                <w:kern w:val="2"/>
                <w:sz w:val="24"/>
                <w:szCs w:val="24"/>
                <w:highlight w:val="none"/>
                <w:lang w:val="en-US" w:eastAsia="zh-CN"/>
              </w:rPr>
              <w:t xml:space="preserve">账号：411211018000005883    </w:t>
            </w:r>
          </w:p>
          <w:p w14:paraId="42F299F6">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开户银行:中原银行股份有限公司三门峡建设路支行</w:t>
            </w:r>
          </w:p>
        </w:tc>
      </w:tr>
      <w:tr w14:paraId="74E3B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2A71E175">
            <w:pPr>
              <w:widowControl/>
              <w:spacing w:before="0" w:beforeLines="0" w:beforeAutospacing="0" w:afterAutospacing="0"/>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59</w:t>
            </w:r>
          </w:p>
        </w:tc>
        <w:tc>
          <w:tcPr>
            <w:tcW w:w="1552" w:type="dxa"/>
            <w:tcBorders>
              <w:top w:val="single" w:color="auto" w:sz="4" w:space="0"/>
              <w:left w:val="nil"/>
              <w:bottom w:val="single" w:color="auto" w:sz="4" w:space="0"/>
              <w:right w:val="single" w:color="auto" w:sz="4" w:space="0"/>
            </w:tcBorders>
            <w:noWrap w:val="0"/>
            <w:vAlign w:val="center"/>
          </w:tcPr>
          <w:p w14:paraId="7970905C">
            <w:pPr>
              <w:widowControl/>
              <w:spacing w:before="0" w:beforeLines="0" w:beforeAutospacing="0" w:afterAutospacing="0" w:line="400" w:lineRule="auto"/>
              <w:ind w:left="0" w:right="0"/>
              <w:jc w:val="center"/>
              <w:rPr>
                <w:rFonts w:hint="eastAsia" w:ascii="宋体" w:hAnsi="宋体" w:eastAsia="宋体" w:cs="宋体"/>
                <w:color w:val="auto"/>
                <w:kern w:val="2"/>
                <w:sz w:val="24"/>
                <w:szCs w:val="24"/>
                <w:highlight w:val="none"/>
              </w:rPr>
            </w:pPr>
            <w:r>
              <w:rPr>
                <w:rFonts w:hint="eastAsia" w:ascii="宋体" w:hAnsi="宋体" w:eastAsia="宋体" w:cs="仿宋"/>
                <w:color w:val="auto"/>
                <w:kern w:val="2"/>
                <w:sz w:val="24"/>
                <w:szCs w:val="24"/>
                <w:highlight w:val="none"/>
                <w:lang w:val="en-US" w:eastAsia="zh-CN"/>
              </w:rPr>
              <w:t>重新采购的其他情形</w:t>
            </w:r>
            <w:r>
              <w:rPr>
                <w:rFonts w:hint="eastAsia" w:ascii="宋体" w:hAnsi="宋体" w:eastAsia="宋体" w:cs="仿宋"/>
                <w:color w:val="auto"/>
                <w:kern w:val="2"/>
                <w:sz w:val="24"/>
                <w:szCs w:val="24"/>
                <w:highlight w:val="none"/>
                <w:lang w:val="en-US" w:eastAsia="zh-CN"/>
              </w:rPr>
              <w:tab/>
            </w:r>
          </w:p>
        </w:tc>
        <w:tc>
          <w:tcPr>
            <w:tcW w:w="7626" w:type="dxa"/>
            <w:tcBorders>
              <w:top w:val="single" w:color="auto" w:sz="4" w:space="0"/>
              <w:left w:val="nil"/>
              <w:bottom w:val="single" w:color="auto" w:sz="4" w:space="0"/>
              <w:right w:val="single" w:color="auto" w:sz="4" w:space="0"/>
            </w:tcBorders>
            <w:noWrap w:val="0"/>
            <w:vAlign w:val="center"/>
          </w:tcPr>
          <w:p w14:paraId="28AC58F7">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val="en-US" w:eastAsia="zh-CN"/>
              </w:rPr>
            </w:pPr>
            <w:r>
              <w:rPr>
                <w:rFonts w:hint="eastAsia" w:ascii="宋体" w:hAnsi="宋体" w:eastAsia="宋体" w:cs="仿宋"/>
                <w:color w:val="auto"/>
                <w:kern w:val="2"/>
                <w:sz w:val="24"/>
                <w:szCs w:val="24"/>
                <w:highlight w:val="none"/>
                <w:lang w:val="en-US" w:eastAsia="zh-CN"/>
              </w:rPr>
              <w:t>除供应商须知正文规定的情形外，除非已经产生成交候选人，在磋商有效期内同意延长磋商有效期的供应商少于三个的，采购人应当依法重新开展采购活动。</w:t>
            </w:r>
          </w:p>
        </w:tc>
      </w:tr>
      <w:tr w14:paraId="11C00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3F42FFE7">
            <w:pPr>
              <w:widowControl/>
              <w:spacing w:before="0" w:beforeLines="0" w:beforeAutospacing="0" w:afterAutospacing="0"/>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60</w:t>
            </w:r>
          </w:p>
        </w:tc>
        <w:tc>
          <w:tcPr>
            <w:tcW w:w="1552" w:type="dxa"/>
            <w:tcBorders>
              <w:top w:val="single" w:color="auto" w:sz="4" w:space="0"/>
              <w:left w:val="nil"/>
              <w:bottom w:val="single" w:color="auto" w:sz="4" w:space="0"/>
              <w:right w:val="single" w:color="auto" w:sz="4" w:space="0"/>
            </w:tcBorders>
            <w:noWrap w:val="0"/>
            <w:vAlign w:val="center"/>
          </w:tcPr>
          <w:p w14:paraId="37D65E3E">
            <w:pPr>
              <w:widowControl/>
              <w:spacing w:before="0" w:beforeLines="0" w:beforeAutospacing="0" w:afterAutospacing="0" w:line="400" w:lineRule="auto"/>
              <w:ind w:left="0" w:right="0"/>
              <w:jc w:val="center"/>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其他事项</w:t>
            </w:r>
          </w:p>
        </w:tc>
        <w:tc>
          <w:tcPr>
            <w:tcW w:w="7626" w:type="dxa"/>
            <w:tcBorders>
              <w:top w:val="single" w:color="auto" w:sz="4" w:space="0"/>
              <w:left w:val="nil"/>
              <w:bottom w:val="single" w:color="auto" w:sz="4" w:space="0"/>
              <w:right w:val="single" w:color="auto" w:sz="4" w:space="0"/>
            </w:tcBorders>
            <w:noWrap w:val="0"/>
            <w:vAlign w:val="center"/>
          </w:tcPr>
          <w:p w14:paraId="19863A7C">
            <w:pPr>
              <w:widowControl/>
              <w:numPr>
                <w:ilvl w:val="0"/>
                <w:numId w:val="1"/>
              </w:numPr>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eastAsia="zh-CN"/>
              </w:rPr>
            </w:pPr>
            <w:r>
              <w:rPr>
                <w:rFonts w:hint="eastAsia" w:ascii="宋体" w:hAnsi="宋体" w:eastAsia="宋体" w:cs="仿宋"/>
                <w:color w:val="auto"/>
                <w:kern w:val="2"/>
                <w:sz w:val="24"/>
                <w:szCs w:val="24"/>
                <w:highlight w:val="none"/>
              </w:rPr>
              <w:t>电子化</w:t>
            </w:r>
            <w:r>
              <w:rPr>
                <w:rFonts w:hint="eastAsia" w:ascii="宋体" w:hAnsi="宋体" w:eastAsia="宋体" w:cs="仿宋"/>
                <w:color w:val="auto"/>
                <w:kern w:val="2"/>
                <w:sz w:val="24"/>
                <w:szCs w:val="24"/>
                <w:highlight w:val="none"/>
                <w:lang w:val="en-US" w:eastAsia="zh-CN"/>
              </w:rPr>
              <w:t>响应</w:t>
            </w:r>
            <w:r>
              <w:rPr>
                <w:rFonts w:hint="eastAsia" w:ascii="宋体" w:hAnsi="宋体" w:eastAsia="宋体" w:cs="仿宋"/>
                <w:color w:val="auto"/>
                <w:kern w:val="2"/>
                <w:sz w:val="24"/>
                <w:szCs w:val="24"/>
                <w:highlight w:val="none"/>
              </w:rPr>
              <w:t>文件应在</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截止时间前成功上传至三门峡市公共资源电子化交易系统。至</w:t>
            </w:r>
            <w:r>
              <w:rPr>
                <w:rFonts w:hint="eastAsia" w:ascii="宋体" w:hAnsi="宋体" w:eastAsia="宋体" w:cs="仿宋"/>
                <w:color w:val="auto"/>
                <w:kern w:val="2"/>
                <w:sz w:val="24"/>
                <w:szCs w:val="24"/>
                <w:highlight w:val="none"/>
                <w:lang w:val="en-US" w:eastAsia="zh-CN"/>
              </w:rPr>
              <w:t>磋商</w:t>
            </w:r>
            <w:r>
              <w:rPr>
                <w:rFonts w:hint="eastAsia" w:ascii="宋体" w:hAnsi="宋体" w:eastAsia="宋体" w:cs="仿宋"/>
                <w:color w:val="auto"/>
                <w:kern w:val="2"/>
                <w:sz w:val="24"/>
                <w:szCs w:val="24"/>
                <w:highlight w:val="none"/>
              </w:rPr>
              <w:t>截止时间止，仍未上传成功的电子化</w:t>
            </w:r>
            <w:r>
              <w:rPr>
                <w:rFonts w:hint="eastAsia" w:ascii="宋体" w:hAnsi="宋体" w:eastAsia="宋体" w:cs="仿宋"/>
                <w:color w:val="auto"/>
                <w:kern w:val="2"/>
                <w:sz w:val="24"/>
                <w:szCs w:val="24"/>
                <w:highlight w:val="none"/>
                <w:lang w:val="en-US" w:eastAsia="zh-CN"/>
              </w:rPr>
              <w:t>响应</w:t>
            </w:r>
            <w:r>
              <w:rPr>
                <w:rFonts w:hint="eastAsia" w:ascii="宋体" w:hAnsi="宋体" w:eastAsia="宋体" w:cs="仿宋"/>
                <w:color w:val="auto"/>
                <w:kern w:val="2"/>
                <w:sz w:val="24"/>
                <w:szCs w:val="24"/>
                <w:highlight w:val="none"/>
              </w:rPr>
              <w:t>文件，将不予接受</w:t>
            </w:r>
            <w:r>
              <w:rPr>
                <w:rFonts w:hint="eastAsia" w:ascii="宋体" w:hAnsi="宋体" w:eastAsia="宋体" w:cs="仿宋"/>
                <w:color w:val="auto"/>
                <w:kern w:val="2"/>
                <w:sz w:val="24"/>
                <w:szCs w:val="24"/>
                <w:highlight w:val="none"/>
                <w:lang w:eastAsia="zh-CN"/>
              </w:rPr>
              <w:t>；</w:t>
            </w:r>
          </w:p>
          <w:p w14:paraId="67B566F3">
            <w:pPr>
              <w:widowControl/>
              <w:numPr>
                <w:ilvl w:val="0"/>
                <w:numId w:val="1"/>
              </w:numPr>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eastAsia="zh-CN"/>
              </w:rPr>
            </w:pPr>
            <w:r>
              <w:rPr>
                <w:rFonts w:hint="eastAsia" w:ascii="宋体" w:hAnsi="宋体" w:eastAsia="宋体" w:cs="仿宋"/>
                <w:color w:val="auto"/>
                <w:kern w:val="2"/>
                <w:sz w:val="24"/>
                <w:szCs w:val="24"/>
                <w:highlight w:val="none"/>
                <w:lang w:eastAsia="zh-CN"/>
              </w:rPr>
              <w:t xml:space="preserve">供应商成交后必须向采购人提供与所投相同的同质量、品质的服务。供应商必须在规定时间内对采购人进行服务，不得拖延。 </w:t>
            </w:r>
          </w:p>
        </w:tc>
      </w:tr>
      <w:tr w14:paraId="4075B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6B6F60BD">
            <w:pPr>
              <w:widowControl/>
              <w:spacing w:before="0" w:beforeLines="0" w:beforeAutospacing="0" w:afterAutospacing="0"/>
              <w:ind w:left="0" w:right="0"/>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61</w:t>
            </w:r>
          </w:p>
        </w:tc>
        <w:tc>
          <w:tcPr>
            <w:tcW w:w="1552" w:type="dxa"/>
            <w:tcBorders>
              <w:top w:val="single" w:color="auto" w:sz="4" w:space="0"/>
              <w:left w:val="nil"/>
              <w:bottom w:val="single" w:color="auto" w:sz="4" w:space="0"/>
              <w:right w:val="single" w:color="auto" w:sz="4" w:space="0"/>
            </w:tcBorders>
            <w:noWrap w:val="0"/>
            <w:vAlign w:val="center"/>
          </w:tcPr>
          <w:p w14:paraId="61FAF57B">
            <w:pPr>
              <w:widowControl/>
              <w:spacing w:before="0" w:beforeLines="0" w:beforeAutospacing="0" w:afterAutospacing="0" w:line="400" w:lineRule="auto"/>
              <w:ind w:left="0" w:right="0"/>
              <w:jc w:val="center"/>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电子化交易注意事项</w:t>
            </w:r>
          </w:p>
        </w:tc>
        <w:tc>
          <w:tcPr>
            <w:tcW w:w="7626" w:type="dxa"/>
            <w:tcBorders>
              <w:top w:val="single" w:color="auto" w:sz="4" w:space="0"/>
              <w:left w:val="nil"/>
              <w:bottom w:val="single" w:color="auto" w:sz="4" w:space="0"/>
              <w:right w:val="single" w:color="auto" w:sz="4" w:space="0"/>
            </w:tcBorders>
            <w:noWrap w:val="0"/>
            <w:vAlign w:val="center"/>
          </w:tcPr>
          <w:p w14:paraId="1EB87188">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具体要求：本项目为电子化、无纸化交易项目，响应文件是供应商通过中心响应文件制作系统制作，并经过签章和加密后生成的电子版响应文件。</w:t>
            </w:r>
          </w:p>
          <w:p w14:paraId="5E030FDC">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电子化响应文件具体制作文件请点击</w:t>
            </w:r>
            <w:r>
              <w:rPr>
                <w:rFonts w:hint="eastAsia" w:ascii="宋体" w:hAnsi="宋体" w:eastAsia="宋体" w:cs="仿宋"/>
                <w:color w:val="auto"/>
                <w:kern w:val="2"/>
                <w:sz w:val="24"/>
                <w:szCs w:val="24"/>
                <w:highlight w:val="none"/>
              </w:rPr>
              <w:fldChar w:fldCharType="begin"/>
            </w:r>
            <w:r>
              <w:rPr>
                <w:rFonts w:hint="eastAsia" w:ascii="宋体" w:hAnsi="宋体" w:eastAsia="宋体" w:cs="仿宋"/>
                <w:color w:val="auto"/>
                <w:kern w:val="2"/>
                <w:sz w:val="24"/>
                <w:szCs w:val="24"/>
                <w:highlight w:val="none"/>
              </w:rPr>
              <w:instrText xml:space="preserve"> HYPERLINK "http://t.cn/A6ZvtVob" </w:instrText>
            </w:r>
            <w:r>
              <w:rPr>
                <w:rFonts w:hint="eastAsia" w:ascii="宋体" w:hAnsi="宋体" w:eastAsia="宋体" w:cs="仿宋"/>
                <w:color w:val="auto"/>
                <w:kern w:val="2"/>
                <w:sz w:val="24"/>
                <w:szCs w:val="24"/>
                <w:highlight w:val="none"/>
              </w:rPr>
              <w:fldChar w:fldCharType="separate"/>
            </w:r>
            <w:r>
              <w:rPr>
                <w:rFonts w:hint="eastAsia" w:ascii="宋体" w:hAnsi="宋体" w:eastAsia="宋体" w:cs="仿宋"/>
                <w:color w:val="auto"/>
                <w:kern w:val="2"/>
                <w:sz w:val="24"/>
                <w:szCs w:val="24"/>
                <w:highlight w:val="none"/>
              </w:rPr>
              <w:t>https://download.bqpoint.com/download/downloaddetail.html?SourceFrom=Ztb&amp;ZtbSoftXiaQuCode=1506&amp;ZtbSoftType=tballinclusive</w:t>
            </w:r>
            <w:r>
              <w:rPr>
                <w:rFonts w:hint="eastAsia" w:ascii="宋体" w:hAnsi="宋体" w:eastAsia="宋体" w:cs="仿宋"/>
                <w:color w:val="auto"/>
                <w:kern w:val="2"/>
                <w:sz w:val="24"/>
                <w:szCs w:val="24"/>
                <w:highlight w:val="none"/>
              </w:rPr>
              <w:fldChar w:fldCharType="end"/>
            </w:r>
            <w:r>
              <w:rPr>
                <w:rFonts w:hint="eastAsia" w:ascii="宋体" w:hAnsi="宋体" w:eastAsia="宋体" w:cs="仿宋"/>
                <w:color w:val="auto"/>
                <w:kern w:val="2"/>
                <w:sz w:val="24"/>
                <w:szCs w:val="24"/>
                <w:highlight w:val="none"/>
              </w:rPr>
              <w:t>进行下载。</w:t>
            </w:r>
          </w:p>
          <w:p w14:paraId="7BA556ED">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温馨提示：本项目为电子化、无纸化交易项目，为保证您能</w:t>
            </w:r>
            <w:r>
              <w:rPr>
                <w:rFonts w:hint="eastAsia" w:ascii="宋体" w:hAnsi="宋体" w:eastAsia="宋体" w:cs="仿宋"/>
                <w:color w:val="auto"/>
                <w:kern w:val="2"/>
                <w:sz w:val="24"/>
                <w:szCs w:val="24"/>
                <w:highlight w:val="none"/>
                <w:lang w:eastAsia="zh-CN"/>
              </w:rPr>
              <w:t>磋商</w:t>
            </w:r>
            <w:r>
              <w:rPr>
                <w:rFonts w:hint="eastAsia" w:ascii="宋体" w:hAnsi="宋体" w:eastAsia="宋体" w:cs="仿宋"/>
                <w:color w:val="auto"/>
                <w:kern w:val="2"/>
                <w:sz w:val="24"/>
                <w:szCs w:val="24"/>
                <w:highlight w:val="none"/>
              </w:rPr>
              <w:t>成功，请需仔细阅读以下条款。</w:t>
            </w:r>
          </w:p>
          <w:p w14:paraId="2D2EFF6A">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eastAsia="zh-CN"/>
              </w:rPr>
            </w:pPr>
            <w:r>
              <w:rPr>
                <w:rFonts w:hint="eastAsia" w:ascii="宋体" w:hAnsi="宋体" w:eastAsia="宋体" w:cs="仿宋"/>
                <w:color w:val="auto"/>
                <w:kern w:val="2"/>
                <w:sz w:val="24"/>
                <w:szCs w:val="24"/>
                <w:highlight w:val="none"/>
              </w:rPr>
              <w:t>一、电子化</w:t>
            </w:r>
            <w:r>
              <w:rPr>
                <w:rFonts w:hint="eastAsia" w:ascii="宋体" w:hAnsi="宋体" w:eastAsia="宋体" w:cs="仿宋"/>
                <w:color w:val="auto"/>
                <w:kern w:val="2"/>
                <w:sz w:val="24"/>
                <w:szCs w:val="24"/>
                <w:highlight w:val="none"/>
                <w:lang w:val="en-US" w:eastAsia="zh-CN"/>
              </w:rPr>
              <w:t>投标</w:t>
            </w:r>
          </w:p>
          <w:p w14:paraId="11B14CDC">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（一）网上磋商保证金的缴纳</w:t>
            </w:r>
          </w:p>
          <w:p w14:paraId="38D8AB8D">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按照《河南省财政厅关于优化政府采购营商环境有关问题的通知》（豫财购[2019]4号文）的要求本项目不再收取磋商保证金。</w:t>
            </w:r>
          </w:p>
          <w:p w14:paraId="0484E9BA">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（二）电子化响应文件的签章</w:t>
            </w:r>
          </w:p>
          <w:p w14:paraId="1E4C25C8">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1、供应商在生成电子化响应文件后，应对电子化响应文件进行签章，未进行签章的视为无效</w:t>
            </w:r>
            <w:r>
              <w:rPr>
                <w:rFonts w:hint="eastAsia" w:ascii="宋体" w:hAnsi="宋体" w:eastAsia="宋体" w:cs="仿宋"/>
                <w:color w:val="auto"/>
                <w:kern w:val="2"/>
                <w:sz w:val="24"/>
                <w:szCs w:val="24"/>
                <w:highlight w:val="none"/>
                <w:lang w:eastAsia="zh-CN"/>
              </w:rPr>
              <w:t>磋商</w:t>
            </w:r>
            <w:r>
              <w:rPr>
                <w:rFonts w:hint="eastAsia" w:ascii="宋体" w:hAnsi="宋体" w:eastAsia="宋体" w:cs="仿宋"/>
                <w:color w:val="auto"/>
                <w:kern w:val="2"/>
                <w:sz w:val="24"/>
                <w:szCs w:val="24"/>
                <w:highlight w:val="none"/>
              </w:rPr>
              <w:t>。</w:t>
            </w:r>
          </w:p>
          <w:p w14:paraId="50ACDE0D">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2、供应商在进行电子化响应文件签章时，竞争性磋商文件中要求供应商盖章的，以签盖单位章为准；要求法定代表人或委托代理人签章的，以签盖法定代表人签章为准。</w:t>
            </w:r>
          </w:p>
          <w:p w14:paraId="25723C23">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eastAsia="zh-CN"/>
              </w:rPr>
            </w:pPr>
            <w:r>
              <w:rPr>
                <w:rFonts w:hint="eastAsia" w:ascii="宋体" w:hAnsi="宋体" w:eastAsia="宋体" w:cs="仿宋"/>
                <w:color w:val="auto"/>
                <w:kern w:val="2"/>
                <w:sz w:val="24"/>
                <w:szCs w:val="24"/>
                <w:highlight w:val="none"/>
              </w:rPr>
              <w:t>（三）电子化响应文件的格式及上传</w:t>
            </w:r>
            <w:r>
              <w:rPr>
                <w:rFonts w:hint="eastAsia" w:ascii="宋体" w:hAnsi="宋体" w:eastAsia="宋体" w:cs="仿宋"/>
                <w:color w:val="auto"/>
                <w:kern w:val="2"/>
                <w:sz w:val="24"/>
                <w:szCs w:val="24"/>
                <w:highlight w:val="none"/>
                <w:lang w:eastAsia="zh-CN"/>
              </w:rPr>
              <w:t>磋商</w:t>
            </w:r>
          </w:p>
          <w:p w14:paraId="627C43CA">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1、供应商所上传的电子化响应文件，应是通过中心响应文件制作系统制作的（响应文件制作工具下载地址：https://download.bqpoint.com/download/downloaddetail.html?SourceFrom=Ztb&amp;ZtbSoftXiaQuCode=1506&amp;ZtbSoftType=tballinclusive），经过签章和加密后生成的电子版响应文件。其中包含用于响应文件上传的主文件（后缀为.smxtf）和用于应急补救的响应文件备份文件（后缀为.nsmxtf）。</w:t>
            </w:r>
          </w:p>
          <w:p w14:paraId="29A9304A">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2、电子化响应文件应在</w:t>
            </w:r>
            <w:r>
              <w:rPr>
                <w:rFonts w:hint="eastAsia" w:ascii="宋体" w:hAnsi="宋体" w:eastAsia="宋体" w:cs="仿宋"/>
                <w:color w:val="auto"/>
                <w:kern w:val="2"/>
                <w:sz w:val="24"/>
                <w:szCs w:val="24"/>
                <w:highlight w:val="none"/>
                <w:lang w:eastAsia="zh-CN"/>
              </w:rPr>
              <w:t>磋商</w:t>
            </w:r>
            <w:r>
              <w:rPr>
                <w:rFonts w:hint="eastAsia" w:ascii="宋体" w:hAnsi="宋体" w:eastAsia="宋体" w:cs="仿宋"/>
                <w:color w:val="auto"/>
                <w:kern w:val="2"/>
                <w:sz w:val="24"/>
                <w:szCs w:val="24"/>
                <w:highlight w:val="none"/>
              </w:rPr>
              <w:t>截止时间前成功上传至三门峡市公共资源电子化交易系统。至</w:t>
            </w:r>
            <w:r>
              <w:rPr>
                <w:rFonts w:hint="eastAsia" w:ascii="宋体" w:hAnsi="宋体" w:eastAsia="宋体" w:cs="仿宋"/>
                <w:color w:val="auto"/>
                <w:kern w:val="2"/>
                <w:sz w:val="24"/>
                <w:szCs w:val="24"/>
                <w:highlight w:val="none"/>
                <w:lang w:eastAsia="zh-CN"/>
              </w:rPr>
              <w:t>磋商</w:t>
            </w:r>
            <w:r>
              <w:rPr>
                <w:rFonts w:hint="eastAsia" w:ascii="宋体" w:hAnsi="宋体" w:eastAsia="宋体" w:cs="仿宋"/>
                <w:color w:val="auto"/>
                <w:kern w:val="2"/>
                <w:sz w:val="24"/>
                <w:szCs w:val="24"/>
                <w:highlight w:val="none"/>
              </w:rPr>
              <w:t>截止时间止，仍未上传成功的电子化响应文件将不予接收。</w:t>
            </w:r>
          </w:p>
          <w:p w14:paraId="5BF677E2">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注：如按照电子化投标操作教材制作完成的电子化响应文件无法上传的，供应商应在</w:t>
            </w:r>
            <w:r>
              <w:rPr>
                <w:rFonts w:hint="eastAsia" w:ascii="宋体" w:hAnsi="宋体" w:eastAsia="宋体" w:cs="仿宋"/>
                <w:color w:val="auto"/>
                <w:kern w:val="2"/>
                <w:sz w:val="24"/>
                <w:szCs w:val="24"/>
                <w:highlight w:val="none"/>
                <w:lang w:eastAsia="zh-CN"/>
              </w:rPr>
              <w:t>磋商</w:t>
            </w:r>
            <w:r>
              <w:rPr>
                <w:rFonts w:hint="eastAsia" w:ascii="宋体" w:hAnsi="宋体" w:eastAsia="宋体" w:cs="仿宋"/>
                <w:color w:val="auto"/>
                <w:kern w:val="2"/>
                <w:sz w:val="24"/>
                <w:szCs w:val="24"/>
                <w:highlight w:val="none"/>
              </w:rPr>
              <w:t>截止时间前尽早的联系中心技术人员，以便有充分的时间进行处理。供应商应充分考虑到处理技术问题和上传数据等工作所需的时间问题，响应文件未在</w:t>
            </w:r>
            <w:r>
              <w:rPr>
                <w:rFonts w:hint="eastAsia" w:ascii="宋体" w:hAnsi="宋体" w:eastAsia="宋体" w:cs="仿宋"/>
                <w:color w:val="auto"/>
                <w:kern w:val="2"/>
                <w:sz w:val="24"/>
                <w:szCs w:val="24"/>
                <w:highlight w:val="none"/>
                <w:lang w:eastAsia="zh-CN"/>
              </w:rPr>
              <w:t>磋商</w:t>
            </w:r>
            <w:r>
              <w:rPr>
                <w:rFonts w:hint="eastAsia" w:ascii="宋体" w:hAnsi="宋体" w:eastAsia="宋体" w:cs="仿宋"/>
                <w:color w:val="auto"/>
                <w:kern w:val="2"/>
                <w:sz w:val="24"/>
                <w:szCs w:val="24"/>
                <w:highlight w:val="none"/>
              </w:rPr>
              <w:t>截止时间前成功上传的，其响应文件不予接收。</w:t>
            </w:r>
          </w:p>
          <w:p w14:paraId="6F25D859">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技术联系电话：0398-3117871</w:t>
            </w:r>
          </w:p>
          <w:p w14:paraId="5AE11186">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新点客服电话：4009980000</w:t>
            </w:r>
          </w:p>
          <w:p w14:paraId="6BC0955F">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（四）电子化项目开标、解密、唱标、评标</w:t>
            </w:r>
          </w:p>
          <w:p w14:paraId="42D450AA">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1、本项目采用电子化、无纸化进行</w:t>
            </w:r>
            <w:r>
              <w:rPr>
                <w:rFonts w:hint="eastAsia" w:ascii="宋体" w:hAnsi="宋体" w:eastAsia="宋体" w:cs="仿宋"/>
                <w:color w:val="auto"/>
                <w:kern w:val="2"/>
                <w:sz w:val="24"/>
                <w:szCs w:val="24"/>
                <w:highlight w:val="none"/>
                <w:lang w:eastAsia="zh-CN"/>
              </w:rPr>
              <w:t>磋商</w:t>
            </w:r>
            <w:r>
              <w:rPr>
                <w:rFonts w:hint="eastAsia" w:ascii="宋体" w:hAnsi="宋体" w:eastAsia="宋体" w:cs="仿宋"/>
                <w:color w:val="auto"/>
                <w:kern w:val="2"/>
                <w:sz w:val="24"/>
                <w:szCs w:val="24"/>
                <w:highlight w:val="none"/>
              </w:rPr>
              <w:t>，开标当日，供应商无需到开标现场参加开标会议，供应商应当在</w:t>
            </w:r>
            <w:r>
              <w:rPr>
                <w:rFonts w:hint="eastAsia" w:ascii="宋体" w:hAnsi="宋体" w:eastAsia="宋体" w:cs="仿宋"/>
                <w:color w:val="auto"/>
                <w:kern w:val="2"/>
                <w:sz w:val="24"/>
                <w:szCs w:val="24"/>
                <w:highlight w:val="none"/>
                <w:lang w:eastAsia="zh-CN"/>
              </w:rPr>
              <w:t>磋商</w:t>
            </w:r>
            <w:r>
              <w:rPr>
                <w:rFonts w:hint="eastAsia" w:ascii="宋体" w:hAnsi="宋体" w:eastAsia="宋体" w:cs="仿宋"/>
                <w:color w:val="auto"/>
                <w:kern w:val="2"/>
                <w:sz w:val="24"/>
                <w:szCs w:val="24"/>
                <w:highlight w:val="none"/>
              </w:rPr>
              <w:t>截止时间前，登陆不见面开标大厅选择登陆三门峡市公共资源电子招投标系统进行登陆（网址为http://120.194.249.36:10094/BidOpening/bidopeninghallaction/hall/login）,在线准时参加开标活动并进行响应文件解密等</w:t>
            </w:r>
          </w:p>
          <w:p w14:paraId="6C99B3AC">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2、电子化响应文件采用一次加密方式。开标时，由供应商使用CA 证书，在规定时间内对其电子化响应文件进行解密。每位供应商的解密时间为开标时间起30 分钟内，如在规定时间内未完成解密的，其响应文件不予开标、唱标。</w:t>
            </w:r>
          </w:p>
          <w:p w14:paraId="2B4F690D">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3、电子化响应文件解密异常的处理</w:t>
            </w:r>
          </w:p>
          <w:p w14:paraId="4DB8B45C">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如出现供应商的电子响应文件无法解密等异常情况，供应商应及时致电中介服务机构说明。响应文件异常，按以下步骤进行处理：</w:t>
            </w:r>
          </w:p>
          <w:p w14:paraId="47BA2404">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（1）首先由技术人员进行问题排查。</w:t>
            </w:r>
          </w:p>
          <w:p w14:paraId="18EEE31D">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（2）经技术人员排查后，是供应商文件自身问题导致响应文件无法解密的，该响应文件将不予接收、解密和唱标。开标会议继续进行。</w:t>
            </w:r>
          </w:p>
          <w:p w14:paraId="235FED8A">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604C0226">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4、待所有供应商响应文件解密完成后，由中介服务机构操作，对所有已解密响应文件进行唱标。</w:t>
            </w:r>
          </w:p>
          <w:p w14:paraId="4CFE2ADB">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供应商应保证在开标期间电话、电脑、网络能够正常工作，供应商因停电、电脑病毒、网络堵塞等原因，未在规定的解密时间内对响应文件进行解密的，其响应文件不予接收、唱标。</w:t>
            </w:r>
          </w:p>
          <w:p w14:paraId="39FB266D">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eastAsia="zh-CN"/>
              </w:rPr>
            </w:pPr>
            <w:r>
              <w:rPr>
                <w:rFonts w:hint="eastAsia" w:ascii="宋体" w:hAnsi="宋体" w:eastAsia="宋体" w:cs="仿宋"/>
                <w:color w:val="auto"/>
                <w:kern w:val="2"/>
                <w:sz w:val="24"/>
                <w:szCs w:val="24"/>
                <w:highlight w:val="none"/>
              </w:rPr>
              <w:t>5、开标时</w:t>
            </w:r>
            <w:r>
              <w:rPr>
                <w:rFonts w:hint="eastAsia" w:ascii="宋体" w:hAnsi="宋体" w:eastAsia="宋体" w:cs="仿宋"/>
                <w:color w:val="auto"/>
                <w:kern w:val="2"/>
                <w:sz w:val="24"/>
                <w:szCs w:val="24"/>
                <w:highlight w:val="none"/>
                <w:lang w:eastAsia="zh-CN"/>
              </w:rPr>
              <w:t>供应商</w:t>
            </w:r>
            <w:r>
              <w:rPr>
                <w:rFonts w:hint="eastAsia" w:ascii="宋体" w:hAnsi="宋体" w:eastAsia="宋体" w:cs="仿宋"/>
                <w:color w:val="auto"/>
                <w:kern w:val="2"/>
                <w:sz w:val="24"/>
                <w:szCs w:val="24"/>
                <w:highlight w:val="none"/>
              </w:rPr>
              <w:t>可登录到交易系统中在开标大厅中点击开标一览表查看自己的报价。如对自己的唱标内容有异议的，应在唱标内容显示后10分钟内向中服务机构通过开标大厅对话框提出质疑。中介服务机构做好书面记录。</w:t>
            </w:r>
            <w:r>
              <w:rPr>
                <w:rFonts w:hint="eastAsia" w:ascii="宋体" w:hAnsi="宋体" w:eastAsia="宋体" w:cs="仿宋"/>
                <w:color w:val="auto"/>
                <w:kern w:val="2"/>
                <w:sz w:val="24"/>
                <w:szCs w:val="24"/>
                <w:highlight w:val="none"/>
                <w:lang w:eastAsia="zh-CN"/>
              </w:rPr>
              <w:t>供应商</w:t>
            </w:r>
            <w:r>
              <w:rPr>
                <w:rFonts w:hint="eastAsia" w:ascii="宋体" w:hAnsi="宋体" w:eastAsia="宋体" w:cs="仿宋"/>
                <w:color w:val="auto"/>
                <w:kern w:val="2"/>
                <w:sz w:val="24"/>
                <w:szCs w:val="24"/>
                <w:highlight w:val="none"/>
              </w:rPr>
              <w:t>未在规定时间内提出质疑的，视为认可</w:t>
            </w:r>
            <w:r>
              <w:rPr>
                <w:rFonts w:hint="eastAsia" w:ascii="宋体" w:hAnsi="宋体" w:eastAsia="宋体" w:cs="仿宋"/>
                <w:color w:val="auto"/>
                <w:kern w:val="2"/>
                <w:sz w:val="24"/>
                <w:szCs w:val="24"/>
                <w:highlight w:val="none"/>
                <w:lang w:eastAsia="zh-CN"/>
              </w:rPr>
              <w:t>唱标内容。</w:t>
            </w:r>
          </w:p>
          <w:p w14:paraId="3CE03789">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eastAsia="zh-CN"/>
              </w:rPr>
            </w:pPr>
            <w:r>
              <w:rPr>
                <w:rFonts w:hint="eastAsia" w:ascii="宋体" w:hAnsi="宋体" w:eastAsia="宋体" w:cs="仿宋"/>
                <w:color w:val="auto"/>
                <w:kern w:val="2"/>
                <w:sz w:val="24"/>
                <w:szCs w:val="24"/>
                <w:highlight w:val="none"/>
                <w:lang w:eastAsia="zh-CN"/>
              </w:rPr>
              <w:t>6、评标时，磋商小组对电子化响应文件有质疑的，将通过电子化交易系统对供应商发起质疑，供应商的回复文件必须以经过供应商和其法定代表人签章的PDF 格式文件为准，并通过电子化交易系统提交至磋商小组。</w:t>
            </w:r>
          </w:p>
          <w:p w14:paraId="2B4EBC64">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eastAsia="zh-CN"/>
              </w:rPr>
              <w:t>7、如评标委员会对需要回</w:t>
            </w:r>
            <w:r>
              <w:rPr>
                <w:rFonts w:hint="eastAsia" w:ascii="宋体" w:hAnsi="宋体" w:eastAsia="宋体" w:cs="仿宋"/>
                <w:color w:val="auto"/>
                <w:kern w:val="2"/>
                <w:sz w:val="24"/>
                <w:szCs w:val="24"/>
                <w:highlight w:val="none"/>
              </w:rPr>
              <w:t>复的</w:t>
            </w:r>
            <w:r>
              <w:rPr>
                <w:rFonts w:hint="eastAsia" w:ascii="宋体" w:hAnsi="宋体" w:eastAsia="宋体" w:cs="仿宋"/>
                <w:color w:val="auto"/>
                <w:kern w:val="2"/>
                <w:sz w:val="24"/>
                <w:szCs w:val="24"/>
                <w:highlight w:val="none"/>
                <w:lang w:eastAsia="zh-CN"/>
              </w:rPr>
              <w:t>供应商</w:t>
            </w:r>
            <w:r>
              <w:rPr>
                <w:rFonts w:hint="eastAsia" w:ascii="宋体" w:hAnsi="宋体" w:eastAsia="宋体" w:cs="仿宋"/>
                <w:color w:val="auto"/>
                <w:kern w:val="2"/>
                <w:sz w:val="24"/>
                <w:szCs w:val="24"/>
                <w:highlight w:val="none"/>
              </w:rPr>
              <w:t>在规定时间内通过电子化交易系统未收到回复的，视为</w:t>
            </w:r>
            <w:r>
              <w:rPr>
                <w:rFonts w:hint="eastAsia" w:ascii="宋体" w:hAnsi="宋体" w:eastAsia="宋体" w:cs="仿宋"/>
                <w:color w:val="auto"/>
                <w:kern w:val="2"/>
                <w:sz w:val="24"/>
                <w:szCs w:val="24"/>
                <w:highlight w:val="none"/>
                <w:lang w:eastAsia="zh-CN"/>
              </w:rPr>
              <w:t>供应商</w:t>
            </w:r>
            <w:r>
              <w:rPr>
                <w:rFonts w:hint="eastAsia" w:ascii="宋体" w:hAnsi="宋体" w:eastAsia="宋体" w:cs="仿宋"/>
                <w:color w:val="auto"/>
                <w:kern w:val="2"/>
                <w:sz w:val="24"/>
                <w:szCs w:val="24"/>
                <w:highlight w:val="none"/>
              </w:rPr>
              <w:t>放弃回复，评标委员会将自行对需要回复的内容进行认定。</w:t>
            </w:r>
          </w:p>
          <w:p w14:paraId="1B6E01B5">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rPr>
              <w:t>二、相关证书原件的提交</w:t>
            </w:r>
          </w:p>
          <w:p w14:paraId="25BAB179">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val="en-US" w:eastAsia="zh-CN"/>
              </w:rPr>
            </w:pPr>
            <w:r>
              <w:rPr>
                <w:rFonts w:hint="eastAsia" w:ascii="宋体" w:hAnsi="宋体" w:eastAsia="宋体" w:cs="仿宋"/>
                <w:color w:val="auto"/>
                <w:kern w:val="2"/>
                <w:sz w:val="24"/>
                <w:szCs w:val="24"/>
                <w:highlight w:val="none"/>
                <w:lang w:val="en-US" w:eastAsia="zh-CN"/>
              </w:rPr>
              <w:t>本项目实行资格后审，磋商文件中要求供应商提交资质、业绩、荣誉及单位人员等相关资料原件的，供应商需将原件扫描件制作到电子响应文件中，其上传资料真实性由供应商自行承担，同时，供应商要完善主体库。磋商小组对原件的核验工作按以下条款进行：</w:t>
            </w:r>
          </w:p>
          <w:p w14:paraId="3113BDD7">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val="en-US" w:eastAsia="zh-CN"/>
              </w:rPr>
            </w:pPr>
            <w:r>
              <w:rPr>
                <w:rFonts w:hint="eastAsia" w:ascii="宋体" w:hAnsi="宋体" w:eastAsia="宋体" w:cs="仿宋"/>
                <w:color w:val="auto"/>
                <w:kern w:val="2"/>
                <w:sz w:val="24"/>
                <w:szCs w:val="24"/>
                <w:highlight w:val="none"/>
                <w:lang w:val="en-US" w:eastAsia="zh-CN"/>
              </w:rPr>
              <w:t>（一）评标时，评委先查阅响应文件中是否具有该资料的原件扫描件，其上传资料真实性由供应商自行承担，同时，供应商需要完善主体库信息。本项目需要提交的原件扫描件以响应截止时间前在以供应商自行上传到响应文件中的相应内容为准。规定时间外上传或更改的信息不作为评标依据。评标时不接受供应商所提交的任何原件。</w:t>
            </w:r>
          </w:p>
          <w:p w14:paraId="67D418E0">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lang w:val="en-US" w:eastAsia="zh-CN"/>
              </w:rPr>
            </w:pPr>
            <w:r>
              <w:rPr>
                <w:rFonts w:hint="eastAsia" w:ascii="宋体" w:hAnsi="宋体" w:eastAsia="宋体" w:cs="仿宋"/>
                <w:color w:val="auto"/>
                <w:kern w:val="2"/>
                <w:sz w:val="24"/>
                <w:szCs w:val="24"/>
                <w:highlight w:val="none"/>
                <w:lang w:val="en-US" w:eastAsia="zh-CN"/>
              </w:rPr>
              <w:t>(二）供应商需应仔细阅读操作手册，保证上传内容齐全，真实有效，原件扫描件清晰可辨。因供应商上传原因导致应得分项而未得分或资格审查不合格等情况的，由供应商自行承担责任。</w:t>
            </w:r>
          </w:p>
          <w:p w14:paraId="5A0C0FA0">
            <w:pPr>
              <w:widowControl/>
              <w:spacing w:before="0" w:beforeLines="0" w:beforeAutospacing="0" w:after="0" w:afterLines="0" w:afterAutospacing="0" w:line="400" w:lineRule="exact"/>
              <w:ind w:left="0" w:right="0"/>
              <w:rPr>
                <w:rFonts w:hint="eastAsia" w:ascii="宋体" w:hAnsi="宋体" w:eastAsia="宋体" w:cs="仿宋"/>
                <w:color w:val="auto"/>
                <w:kern w:val="2"/>
                <w:sz w:val="24"/>
                <w:szCs w:val="24"/>
                <w:highlight w:val="none"/>
              </w:rPr>
            </w:pPr>
            <w:r>
              <w:rPr>
                <w:rFonts w:hint="eastAsia" w:ascii="宋体" w:hAnsi="宋体" w:eastAsia="宋体" w:cs="仿宋"/>
                <w:color w:val="auto"/>
                <w:kern w:val="2"/>
                <w:sz w:val="24"/>
                <w:szCs w:val="24"/>
                <w:highlight w:val="none"/>
                <w:lang w:val="en-US" w:eastAsia="zh-CN"/>
              </w:rPr>
              <w:t>提示：本项目为电子化、无纸化交易项目，开标时不再接受任何纸质资料，为保证您能开标成功，请需仔细阅读以上条款。</w:t>
            </w:r>
          </w:p>
        </w:tc>
      </w:tr>
    </w:tbl>
    <w:p w14:paraId="4A5D8190">
      <w:pPr>
        <w:spacing w:line="360" w:lineRule="auto"/>
        <w:ind w:firstLine="3855" w:firstLineChars="1200"/>
        <w:jc w:val="both"/>
        <w:outlineLvl w:val="0"/>
        <w:rPr>
          <w:rFonts w:hint="eastAsia" w:ascii="宋体" w:hAnsi="宋体"/>
          <w:b/>
          <w:bCs/>
          <w:color w:val="auto"/>
          <w:sz w:val="32"/>
          <w:highlight w:val="none"/>
        </w:rPr>
      </w:pPr>
      <w:bookmarkStart w:id="63" w:name="_Toc25796"/>
      <w:bookmarkStart w:id="64" w:name="_Toc18330"/>
      <w:bookmarkStart w:id="65" w:name="_Toc7842"/>
      <w:bookmarkStart w:id="66" w:name="_Toc19045"/>
      <w:bookmarkStart w:id="67" w:name="_Toc30925"/>
      <w:bookmarkStart w:id="68" w:name="_Toc3544"/>
      <w:bookmarkStart w:id="69" w:name="_Toc5135"/>
    </w:p>
    <w:p w14:paraId="7AAF1C62">
      <w:pPr>
        <w:spacing w:line="360" w:lineRule="auto"/>
        <w:ind w:firstLine="3855" w:firstLineChars="1200"/>
        <w:jc w:val="both"/>
        <w:outlineLvl w:val="0"/>
        <w:rPr>
          <w:rFonts w:hint="eastAsia" w:ascii="宋体" w:hAnsi="宋体"/>
          <w:b/>
          <w:bCs/>
          <w:color w:val="auto"/>
          <w:sz w:val="32"/>
          <w:highlight w:val="none"/>
        </w:rPr>
      </w:pPr>
    </w:p>
    <w:p w14:paraId="56EDD0A3">
      <w:pPr>
        <w:spacing w:line="360" w:lineRule="auto"/>
        <w:ind w:firstLine="3855" w:firstLineChars="1200"/>
        <w:jc w:val="both"/>
        <w:outlineLvl w:val="0"/>
        <w:rPr>
          <w:rFonts w:hint="eastAsia" w:ascii="宋体" w:hAnsi="宋体"/>
          <w:b/>
          <w:bCs/>
          <w:color w:val="auto"/>
          <w:sz w:val="32"/>
          <w:highlight w:val="none"/>
        </w:rPr>
      </w:pPr>
    </w:p>
    <w:p w14:paraId="24A67E67">
      <w:pPr>
        <w:spacing w:line="360" w:lineRule="auto"/>
        <w:ind w:firstLine="3855" w:firstLineChars="1200"/>
        <w:jc w:val="both"/>
        <w:outlineLvl w:val="0"/>
        <w:rPr>
          <w:rFonts w:hint="eastAsia" w:ascii="宋体" w:hAnsi="宋体"/>
          <w:b/>
          <w:bCs/>
          <w:color w:val="auto"/>
          <w:sz w:val="32"/>
          <w:highlight w:val="none"/>
        </w:rPr>
      </w:pPr>
    </w:p>
    <w:p w14:paraId="32D4441D">
      <w:pPr>
        <w:spacing w:line="360" w:lineRule="auto"/>
        <w:ind w:firstLine="3855" w:firstLineChars="1200"/>
        <w:jc w:val="both"/>
        <w:outlineLvl w:val="0"/>
        <w:rPr>
          <w:rFonts w:ascii="宋体" w:hAnsi="宋体"/>
          <w:b/>
          <w:bCs/>
          <w:color w:val="auto"/>
          <w:sz w:val="32"/>
          <w:highlight w:val="none"/>
        </w:rPr>
      </w:pPr>
      <w:r>
        <w:rPr>
          <w:rFonts w:hint="eastAsia" w:ascii="宋体" w:hAnsi="宋体"/>
          <w:b/>
          <w:bCs/>
          <w:color w:val="auto"/>
          <w:sz w:val="32"/>
          <w:highlight w:val="none"/>
        </w:rPr>
        <w:t>总  则</w:t>
      </w:r>
      <w:bookmarkEnd w:id="63"/>
      <w:bookmarkEnd w:id="64"/>
      <w:bookmarkEnd w:id="65"/>
      <w:bookmarkEnd w:id="66"/>
      <w:bookmarkEnd w:id="67"/>
      <w:bookmarkEnd w:id="68"/>
      <w:bookmarkEnd w:id="69"/>
    </w:p>
    <w:p w14:paraId="600E782C">
      <w:pPr>
        <w:spacing w:line="440" w:lineRule="exact"/>
        <w:ind w:firstLine="482" w:firstLineChars="200"/>
        <w:rPr>
          <w:rFonts w:ascii="宋体" w:hAnsi="宋体" w:eastAsia="宋体" w:cs="宋体"/>
          <w:b/>
          <w:bCs/>
          <w:color w:val="auto"/>
          <w:kern w:val="0"/>
          <w:sz w:val="24"/>
          <w:szCs w:val="24"/>
          <w:highlight w:val="none"/>
        </w:rPr>
      </w:pPr>
      <w:bookmarkStart w:id="70" w:name="_Toc479"/>
      <w:r>
        <w:rPr>
          <w:rFonts w:hint="eastAsia" w:ascii="宋体" w:hAnsi="宋体" w:eastAsia="宋体" w:cs="宋体"/>
          <w:b/>
          <w:bCs/>
          <w:color w:val="auto"/>
          <w:kern w:val="0"/>
          <w:sz w:val="24"/>
          <w:szCs w:val="24"/>
          <w:highlight w:val="none"/>
        </w:rPr>
        <w:t>1</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rPr>
        <w:t>项目概况</w:t>
      </w:r>
    </w:p>
    <w:p w14:paraId="55A7B6A0">
      <w:pPr>
        <w:autoSpaceDE w:val="0"/>
        <w:autoSpaceDN w:val="0"/>
        <w:adjustRightIn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1.1</w:t>
      </w:r>
      <w:r>
        <w:rPr>
          <w:rFonts w:hint="eastAsia" w:ascii="宋体" w:hAnsi="宋体" w:eastAsia="宋体" w:cs="Times New Roman"/>
          <w:sz w:val="24"/>
          <w:szCs w:val="24"/>
          <w:lang w:val="en-US" w:eastAsia="zh-CN"/>
        </w:rPr>
        <w:t xml:space="preserve"> </w:t>
      </w:r>
      <w:r>
        <w:rPr>
          <w:rFonts w:hint="eastAsia" w:ascii="宋体" w:hAnsi="宋体" w:cs="宋体"/>
          <w:sz w:val="24"/>
          <w:szCs w:val="24"/>
          <w:lang w:val="en-US" w:eastAsia="zh-CN"/>
        </w:rPr>
        <w:t>项目概况</w:t>
      </w:r>
      <w:r>
        <w:rPr>
          <w:rFonts w:hint="eastAsia" w:ascii="宋体" w:hAnsi="宋体" w:eastAsia="宋体" w:cs="Times New Roman"/>
          <w:sz w:val="24"/>
          <w:szCs w:val="24"/>
        </w:rPr>
        <w:t>：详见</w:t>
      </w:r>
      <w:r>
        <w:rPr>
          <w:rFonts w:hint="eastAsia" w:ascii="宋体" w:hAnsi="宋体" w:eastAsia="宋体" w:cs="Times New Roman"/>
          <w:sz w:val="24"/>
          <w:szCs w:val="24"/>
          <w:lang w:val="en-US" w:eastAsia="zh-CN"/>
        </w:rPr>
        <w:t>供应商</w:t>
      </w:r>
      <w:r>
        <w:rPr>
          <w:rFonts w:hint="eastAsia" w:ascii="宋体" w:hAnsi="宋体" w:eastAsia="宋体" w:cs="Times New Roman"/>
          <w:sz w:val="24"/>
          <w:szCs w:val="24"/>
        </w:rPr>
        <w:t>须知前附表。</w:t>
      </w:r>
    </w:p>
    <w:p w14:paraId="4DB295D7">
      <w:pPr>
        <w:autoSpaceDE w:val="0"/>
        <w:autoSpaceDN w:val="0"/>
        <w:adjustRightIn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1.2</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资金来源：详见</w:t>
      </w:r>
      <w:r>
        <w:rPr>
          <w:rFonts w:hint="eastAsia" w:ascii="宋体" w:hAnsi="宋体" w:eastAsia="宋体" w:cs="Times New Roman"/>
          <w:sz w:val="24"/>
          <w:szCs w:val="24"/>
          <w:lang w:val="en-US" w:eastAsia="zh-CN"/>
        </w:rPr>
        <w:t>供应商</w:t>
      </w:r>
      <w:r>
        <w:rPr>
          <w:rFonts w:hint="eastAsia" w:ascii="宋体" w:hAnsi="宋体" w:eastAsia="宋体" w:cs="Times New Roman"/>
          <w:sz w:val="24"/>
          <w:szCs w:val="24"/>
        </w:rPr>
        <w:t>须知前附表。</w:t>
      </w:r>
    </w:p>
    <w:p w14:paraId="6AD6E1EA">
      <w:pPr>
        <w:autoSpaceDE w:val="0"/>
        <w:autoSpaceDN w:val="0"/>
        <w:adjustRightIn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1.3</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质量要求：详见</w:t>
      </w:r>
      <w:r>
        <w:rPr>
          <w:rFonts w:hint="eastAsia" w:ascii="宋体" w:hAnsi="宋体" w:eastAsia="宋体" w:cs="Times New Roman"/>
          <w:sz w:val="24"/>
          <w:szCs w:val="24"/>
          <w:lang w:val="en-US" w:eastAsia="zh-CN"/>
        </w:rPr>
        <w:t>供应商</w:t>
      </w:r>
      <w:r>
        <w:rPr>
          <w:rFonts w:hint="eastAsia" w:ascii="宋体" w:hAnsi="宋体" w:eastAsia="宋体" w:cs="Times New Roman"/>
          <w:sz w:val="24"/>
          <w:szCs w:val="24"/>
        </w:rPr>
        <w:t>须知前附表。</w:t>
      </w:r>
    </w:p>
    <w:p w14:paraId="3108D931">
      <w:pPr>
        <w:autoSpaceDE w:val="0"/>
        <w:autoSpaceDN w:val="0"/>
        <w:adjustRightIn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1.4</w:t>
      </w:r>
      <w:r>
        <w:rPr>
          <w:rFonts w:hint="eastAsia" w:ascii="宋体" w:hAnsi="宋体" w:eastAsia="宋体" w:cs="Times New Roman"/>
          <w:sz w:val="24"/>
          <w:szCs w:val="24"/>
          <w:lang w:val="en-US" w:eastAsia="zh-CN"/>
        </w:rPr>
        <w:t xml:space="preserve"> 计划工</w:t>
      </w:r>
      <w:r>
        <w:rPr>
          <w:rFonts w:hint="eastAsia" w:ascii="宋体" w:hAnsi="宋体" w:eastAsia="宋体" w:cs="Times New Roman"/>
          <w:sz w:val="24"/>
          <w:szCs w:val="24"/>
        </w:rPr>
        <w:t>期：详见</w:t>
      </w:r>
      <w:r>
        <w:rPr>
          <w:rFonts w:hint="eastAsia" w:ascii="宋体" w:hAnsi="宋体" w:eastAsia="宋体" w:cs="Times New Roman"/>
          <w:sz w:val="24"/>
          <w:szCs w:val="24"/>
          <w:lang w:val="en-US" w:eastAsia="zh-CN"/>
        </w:rPr>
        <w:t>供应商</w:t>
      </w:r>
      <w:r>
        <w:rPr>
          <w:rFonts w:hint="eastAsia" w:ascii="宋体" w:hAnsi="宋体" w:eastAsia="宋体" w:cs="Times New Roman"/>
          <w:sz w:val="24"/>
          <w:szCs w:val="24"/>
        </w:rPr>
        <w:t>须知前附表。</w:t>
      </w:r>
    </w:p>
    <w:p w14:paraId="631A684B">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Times New Roman"/>
          <w:sz w:val="24"/>
          <w:szCs w:val="24"/>
        </w:rPr>
        <w:t>1.5</w:t>
      </w:r>
      <w:r>
        <w:rPr>
          <w:rFonts w:hint="eastAsia" w:ascii="宋体" w:hAnsi="宋体" w:eastAsia="宋体" w:cs="Times New Roman"/>
          <w:sz w:val="24"/>
          <w:szCs w:val="24"/>
          <w:lang w:val="en-US" w:eastAsia="zh-CN"/>
        </w:rPr>
        <w:t xml:space="preserve"> </w:t>
      </w:r>
      <w:r>
        <w:rPr>
          <w:rFonts w:hint="eastAsia" w:ascii="宋体" w:hAnsi="宋体" w:cs="宋体"/>
          <w:sz w:val="24"/>
          <w:szCs w:val="24"/>
          <w:lang w:val="en-US" w:eastAsia="zh-CN"/>
        </w:rPr>
        <w:t>项目地点</w:t>
      </w:r>
      <w:r>
        <w:rPr>
          <w:rFonts w:hint="eastAsia" w:ascii="宋体" w:hAnsi="宋体" w:eastAsia="宋体" w:cs="Times New Roman"/>
          <w:sz w:val="24"/>
          <w:szCs w:val="24"/>
        </w:rPr>
        <w:t>：详见</w:t>
      </w:r>
      <w:r>
        <w:rPr>
          <w:rFonts w:hint="eastAsia" w:ascii="宋体" w:hAnsi="宋体" w:eastAsia="宋体" w:cs="Times New Roman"/>
          <w:sz w:val="24"/>
          <w:szCs w:val="24"/>
          <w:lang w:val="en-US" w:eastAsia="zh-CN"/>
        </w:rPr>
        <w:t>供应商</w:t>
      </w:r>
      <w:r>
        <w:rPr>
          <w:rFonts w:hint="eastAsia" w:ascii="宋体" w:hAnsi="宋体" w:eastAsia="宋体" w:cs="Times New Roman"/>
          <w:sz w:val="24"/>
          <w:szCs w:val="24"/>
        </w:rPr>
        <w:t>须知前附表。</w:t>
      </w:r>
    </w:p>
    <w:p w14:paraId="7B7A49B9">
      <w:pPr>
        <w:spacing w:line="360" w:lineRule="auto"/>
        <w:ind w:firstLine="424" w:firstLineChars="176"/>
        <w:rPr>
          <w:rFonts w:hint="eastAsia" w:ascii="宋体" w:hAnsi="宋体" w:eastAsiaTheme="minorEastAsia"/>
          <w:b/>
          <w:bCs/>
          <w:sz w:val="24"/>
          <w:szCs w:val="24"/>
          <w:lang w:eastAsia="zh-CN"/>
        </w:rPr>
      </w:pPr>
      <w:r>
        <w:rPr>
          <w:rFonts w:ascii="宋体" w:hAnsi="宋体"/>
          <w:b/>
          <w:bCs/>
          <w:sz w:val="24"/>
          <w:szCs w:val="24"/>
        </w:rPr>
        <w:t>2</w:t>
      </w:r>
      <w:r>
        <w:rPr>
          <w:rFonts w:hint="eastAsia" w:ascii="宋体" w:hAnsi="宋体"/>
          <w:b/>
          <w:bCs/>
          <w:sz w:val="24"/>
          <w:szCs w:val="24"/>
        </w:rPr>
        <w:t>、合格的</w:t>
      </w:r>
      <w:r>
        <w:rPr>
          <w:rFonts w:hint="eastAsia" w:ascii="宋体" w:hAnsi="宋体"/>
          <w:b/>
          <w:bCs/>
          <w:sz w:val="24"/>
          <w:szCs w:val="24"/>
          <w:lang w:val="en-US" w:eastAsia="zh-CN"/>
        </w:rPr>
        <w:t>供应商</w:t>
      </w:r>
      <w:r>
        <w:rPr>
          <w:rFonts w:hint="eastAsia" w:ascii="宋体" w:hAnsi="宋体"/>
          <w:b/>
          <w:bCs/>
          <w:sz w:val="24"/>
          <w:szCs w:val="24"/>
          <w:lang w:eastAsia="zh-CN"/>
        </w:rPr>
        <w:t>（具体详见</w:t>
      </w:r>
      <w:r>
        <w:rPr>
          <w:rFonts w:hint="eastAsia" w:ascii="宋体" w:hAnsi="宋体"/>
          <w:b/>
          <w:bCs/>
          <w:sz w:val="24"/>
          <w:szCs w:val="24"/>
          <w:lang w:val="en-US" w:eastAsia="zh-CN"/>
        </w:rPr>
        <w:t>供应商</w:t>
      </w:r>
      <w:r>
        <w:rPr>
          <w:rFonts w:hint="eastAsia" w:ascii="宋体" w:hAnsi="宋体"/>
          <w:b/>
          <w:bCs/>
          <w:sz w:val="24"/>
          <w:szCs w:val="24"/>
          <w:lang w:eastAsia="zh-CN"/>
        </w:rPr>
        <w:t>须知前附表）</w:t>
      </w:r>
    </w:p>
    <w:p w14:paraId="68E3D2B1">
      <w:pPr>
        <w:spacing w:line="360" w:lineRule="auto"/>
        <w:ind w:firstLine="422" w:firstLineChars="176"/>
        <w:rPr>
          <w:rFonts w:hint="eastAsia" w:ascii="宋体" w:hAnsi="宋体"/>
          <w:kern w:val="0"/>
          <w:sz w:val="24"/>
          <w:szCs w:val="24"/>
        </w:rPr>
      </w:pPr>
      <w:r>
        <w:rPr>
          <w:rFonts w:hint="eastAsia" w:ascii="宋体" w:hAnsi="宋体"/>
          <w:sz w:val="24"/>
          <w:szCs w:val="24"/>
        </w:rPr>
        <w:t>详见</w:t>
      </w:r>
      <w:r>
        <w:rPr>
          <w:rFonts w:hint="eastAsia" w:ascii="宋体" w:hAnsi="宋体"/>
          <w:b w:val="0"/>
          <w:bCs w:val="0"/>
          <w:sz w:val="24"/>
          <w:szCs w:val="24"/>
          <w:lang w:val="en-US" w:eastAsia="zh-CN"/>
        </w:rPr>
        <w:t>供应商</w:t>
      </w:r>
      <w:r>
        <w:rPr>
          <w:rFonts w:hint="eastAsia" w:ascii="宋体" w:hAnsi="宋体"/>
          <w:kern w:val="0"/>
          <w:sz w:val="24"/>
          <w:szCs w:val="24"/>
        </w:rPr>
        <w:t>须知前附表。</w:t>
      </w:r>
    </w:p>
    <w:p w14:paraId="012C8463">
      <w:pPr>
        <w:spacing w:line="360" w:lineRule="auto"/>
        <w:ind w:firstLine="422" w:firstLineChars="176"/>
        <w:rPr>
          <w:rFonts w:hint="eastAsia" w:ascii="宋体" w:hAnsi="宋体"/>
          <w:kern w:val="0"/>
          <w:sz w:val="24"/>
          <w:szCs w:val="24"/>
        </w:rPr>
      </w:pPr>
      <w:r>
        <w:rPr>
          <w:rFonts w:hint="eastAsia" w:ascii="宋体" w:hAnsi="宋体"/>
          <w:kern w:val="0"/>
          <w:sz w:val="24"/>
          <w:szCs w:val="24"/>
          <w:lang w:val="en-US" w:eastAsia="zh-CN"/>
        </w:rPr>
        <w:t xml:space="preserve">2.1 </w:t>
      </w:r>
      <w:r>
        <w:rPr>
          <w:rFonts w:hint="eastAsia" w:ascii="宋体" w:hAnsi="宋体"/>
          <w:kern w:val="0"/>
          <w:sz w:val="24"/>
          <w:szCs w:val="24"/>
        </w:rPr>
        <w:t>磋商范围</w:t>
      </w:r>
      <w:r>
        <w:rPr>
          <w:rFonts w:hint="eastAsia" w:ascii="宋体" w:hAnsi="宋体"/>
          <w:kern w:val="0"/>
          <w:sz w:val="24"/>
          <w:szCs w:val="24"/>
          <w:lang w:eastAsia="zh-CN"/>
        </w:rPr>
        <w:t>：</w:t>
      </w:r>
      <w:r>
        <w:rPr>
          <w:rFonts w:hint="eastAsia" w:ascii="宋体" w:hAnsi="宋体"/>
          <w:kern w:val="0"/>
          <w:sz w:val="24"/>
          <w:szCs w:val="24"/>
        </w:rPr>
        <w:t>见</w:t>
      </w:r>
      <w:r>
        <w:rPr>
          <w:rFonts w:hint="eastAsia" w:ascii="宋体" w:hAnsi="宋体"/>
          <w:b w:val="0"/>
          <w:bCs w:val="0"/>
          <w:sz w:val="24"/>
          <w:szCs w:val="24"/>
          <w:lang w:val="en-US" w:eastAsia="zh-CN"/>
        </w:rPr>
        <w:t>供应商</w:t>
      </w:r>
      <w:r>
        <w:rPr>
          <w:rFonts w:hint="eastAsia" w:ascii="宋体" w:hAnsi="宋体"/>
          <w:kern w:val="0"/>
          <w:sz w:val="24"/>
          <w:szCs w:val="24"/>
        </w:rPr>
        <w:t>须知前附表。</w:t>
      </w:r>
    </w:p>
    <w:p w14:paraId="731C919E">
      <w:pPr>
        <w:spacing w:line="360" w:lineRule="auto"/>
        <w:ind w:firstLine="422" w:firstLineChars="176"/>
        <w:rPr>
          <w:rFonts w:hint="eastAsia" w:ascii="宋体" w:hAnsi="宋体"/>
          <w:kern w:val="0"/>
          <w:sz w:val="24"/>
          <w:szCs w:val="24"/>
        </w:rPr>
      </w:pPr>
      <w:r>
        <w:rPr>
          <w:rFonts w:hint="eastAsia" w:ascii="宋体" w:hAnsi="宋体"/>
          <w:kern w:val="0"/>
          <w:sz w:val="24"/>
          <w:szCs w:val="24"/>
          <w:lang w:val="en-US" w:eastAsia="zh-CN"/>
        </w:rPr>
        <w:t>2</w:t>
      </w:r>
      <w:r>
        <w:rPr>
          <w:rFonts w:hint="eastAsia" w:ascii="宋体" w:hAnsi="宋体"/>
          <w:kern w:val="0"/>
          <w:sz w:val="24"/>
          <w:szCs w:val="24"/>
        </w:rPr>
        <w:t xml:space="preserve">.2 </w:t>
      </w:r>
      <w:r>
        <w:rPr>
          <w:rFonts w:hint="eastAsia" w:ascii="宋体" w:hAnsi="宋体"/>
          <w:kern w:val="0"/>
          <w:sz w:val="24"/>
          <w:szCs w:val="24"/>
          <w:lang w:val="en-US" w:eastAsia="zh-CN"/>
        </w:rPr>
        <w:t>供应商</w:t>
      </w:r>
      <w:r>
        <w:rPr>
          <w:rFonts w:hint="eastAsia" w:ascii="宋体" w:hAnsi="宋体"/>
          <w:kern w:val="0"/>
          <w:sz w:val="24"/>
          <w:szCs w:val="24"/>
        </w:rPr>
        <w:t>资格要求：见</w:t>
      </w:r>
      <w:r>
        <w:rPr>
          <w:rFonts w:hint="eastAsia" w:ascii="宋体" w:hAnsi="宋体"/>
          <w:b w:val="0"/>
          <w:bCs w:val="0"/>
          <w:sz w:val="24"/>
          <w:szCs w:val="24"/>
          <w:lang w:val="en-US" w:eastAsia="zh-CN"/>
        </w:rPr>
        <w:t>供应商</w:t>
      </w:r>
      <w:r>
        <w:rPr>
          <w:rFonts w:hint="eastAsia" w:ascii="宋体" w:hAnsi="宋体"/>
          <w:kern w:val="0"/>
          <w:sz w:val="24"/>
          <w:szCs w:val="24"/>
        </w:rPr>
        <w:t>须知前附表。</w:t>
      </w:r>
    </w:p>
    <w:p w14:paraId="2D13E1A8">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不得存在下列情形之一：</w:t>
      </w:r>
    </w:p>
    <w:p w14:paraId="208FEBA1">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(l）为采购人不具有独立法人资格的附属机构（单位）；</w:t>
      </w:r>
    </w:p>
    <w:p w14:paraId="6A376B31">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(2）为本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项目前期准备提供设计或咨询服务，但设计施工总承包的除外；</w:t>
      </w:r>
    </w:p>
    <w:p w14:paraId="44B57B64">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(3）为本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项目的监理人；</w:t>
      </w:r>
    </w:p>
    <w:p w14:paraId="337EEA9B">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(4）为本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项目的代建人；</w:t>
      </w:r>
    </w:p>
    <w:p w14:paraId="1431B1CD">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(5）为本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项目提供采购代理服务的；</w:t>
      </w:r>
    </w:p>
    <w:p w14:paraId="2D3EBE43">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(6）与本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项目的监理人或代建人或采购代理机构同为一个法定代表人的；</w:t>
      </w:r>
    </w:p>
    <w:p w14:paraId="66BD5F9F">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(7）与本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项目的监理人或代建人或采购代理机构相互控股或参股的；</w:t>
      </w:r>
    </w:p>
    <w:p w14:paraId="04BDA7C5">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(8）与本</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项目的监理人或代建人或采购代理机构相互任职或工作的；</w:t>
      </w:r>
    </w:p>
    <w:p w14:paraId="6C7E66E5">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(9）被责令停业的；</w:t>
      </w:r>
    </w:p>
    <w:p w14:paraId="036AB9E3">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(10）被暂停或取消</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资格的；</w:t>
      </w:r>
    </w:p>
    <w:p w14:paraId="5FD94876">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(11）财产被接管或冻结的；</w:t>
      </w:r>
    </w:p>
    <w:p w14:paraId="654834B9">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(12）在最近三年内有骗取成交或严重违约或重大质量问题的。</w:t>
      </w:r>
    </w:p>
    <w:p w14:paraId="7C587185">
      <w:pPr>
        <w:spacing w:line="360" w:lineRule="auto"/>
        <w:ind w:firstLine="422" w:firstLineChars="176"/>
        <w:rPr>
          <w:rFonts w:hint="eastAsia" w:ascii="宋体" w:hAnsi="宋体"/>
          <w:kern w:val="0"/>
          <w:sz w:val="24"/>
          <w:szCs w:val="24"/>
        </w:rPr>
      </w:pPr>
      <w:r>
        <w:rPr>
          <w:rFonts w:hint="eastAsia" w:ascii="宋体" w:hAnsi="宋体"/>
          <w:kern w:val="0"/>
          <w:sz w:val="24"/>
          <w:szCs w:val="24"/>
          <w:lang w:val="en-US" w:eastAsia="zh-CN"/>
        </w:rPr>
        <w:t>2</w:t>
      </w:r>
      <w:r>
        <w:rPr>
          <w:rFonts w:hint="eastAsia" w:ascii="宋体" w:hAnsi="宋体"/>
          <w:kern w:val="0"/>
          <w:sz w:val="24"/>
          <w:szCs w:val="24"/>
        </w:rPr>
        <w:t>.3</w:t>
      </w:r>
      <w:r>
        <w:rPr>
          <w:rFonts w:hint="eastAsia" w:ascii="宋体" w:hAnsi="宋体"/>
          <w:kern w:val="0"/>
          <w:sz w:val="24"/>
          <w:szCs w:val="24"/>
          <w:lang w:val="en-US" w:eastAsia="zh-CN"/>
        </w:rPr>
        <w:t xml:space="preserve"> 供应商</w:t>
      </w:r>
      <w:r>
        <w:rPr>
          <w:rFonts w:hint="eastAsia" w:ascii="宋体" w:hAnsi="宋体"/>
          <w:kern w:val="0"/>
          <w:sz w:val="24"/>
          <w:szCs w:val="24"/>
        </w:rPr>
        <w:t>应遵守中华人民共和国法律、法规。</w:t>
      </w:r>
    </w:p>
    <w:p w14:paraId="021C2042">
      <w:pPr>
        <w:spacing w:line="360" w:lineRule="auto"/>
        <w:ind w:firstLine="422" w:firstLineChars="176"/>
        <w:rPr>
          <w:rFonts w:hint="eastAsia" w:ascii="宋体" w:hAnsi="宋体"/>
          <w:kern w:val="0"/>
          <w:sz w:val="24"/>
          <w:szCs w:val="24"/>
        </w:rPr>
      </w:pPr>
      <w:r>
        <w:rPr>
          <w:rFonts w:hint="eastAsia" w:ascii="宋体" w:hAnsi="宋体"/>
          <w:kern w:val="0"/>
          <w:sz w:val="24"/>
          <w:szCs w:val="24"/>
          <w:lang w:val="en-US" w:eastAsia="zh-CN"/>
        </w:rPr>
        <w:t>2</w:t>
      </w:r>
      <w:r>
        <w:rPr>
          <w:rFonts w:hint="eastAsia" w:ascii="宋体" w:hAnsi="宋体"/>
          <w:kern w:val="0"/>
          <w:sz w:val="24"/>
          <w:szCs w:val="24"/>
        </w:rPr>
        <w:t>.4</w:t>
      </w:r>
      <w:r>
        <w:rPr>
          <w:rFonts w:hint="eastAsia" w:ascii="宋体" w:hAnsi="宋体"/>
          <w:kern w:val="0"/>
          <w:sz w:val="24"/>
          <w:szCs w:val="24"/>
          <w:lang w:val="en-US" w:eastAsia="zh-CN"/>
        </w:rPr>
        <w:t xml:space="preserve"> 供应商</w:t>
      </w:r>
      <w:r>
        <w:rPr>
          <w:rFonts w:hint="eastAsia" w:ascii="宋体" w:hAnsi="宋体"/>
          <w:kern w:val="0"/>
          <w:sz w:val="24"/>
          <w:szCs w:val="24"/>
        </w:rPr>
        <w:t>必须满足磋商文件要求的根据采购项目特点而规定的特定资格条件。</w:t>
      </w:r>
    </w:p>
    <w:p w14:paraId="2A0C201E">
      <w:pPr>
        <w:spacing w:line="360" w:lineRule="auto"/>
        <w:ind w:firstLine="422" w:firstLineChars="176"/>
        <w:rPr>
          <w:rFonts w:hint="eastAsia" w:ascii="宋体" w:hAnsi="宋体"/>
          <w:kern w:val="0"/>
          <w:sz w:val="24"/>
          <w:szCs w:val="24"/>
        </w:rPr>
      </w:pPr>
      <w:r>
        <w:rPr>
          <w:rFonts w:hint="eastAsia" w:ascii="宋体" w:hAnsi="宋体"/>
          <w:kern w:val="0"/>
          <w:sz w:val="24"/>
          <w:szCs w:val="24"/>
          <w:lang w:val="en-US" w:eastAsia="zh-CN"/>
        </w:rPr>
        <w:t>2</w:t>
      </w:r>
      <w:r>
        <w:rPr>
          <w:rFonts w:hint="eastAsia" w:ascii="宋体" w:hAnsi="宋体"/>
          <w:kern w:val="0"/>
          <w:sz w:val="24"/>
          <w:szCs w:val="24"/>
        </w:rPr>
        <w:t>.5</w:t>
      </w:r>
      <w:r>
        <w:rPr>
          <w:rFonts w:hint="eastAsia" w:ascii="宋体" w:hAnsi="宋体"/>
          <w:kern w:val="0"/>
          <w:sz w:val="24"/>
          <w:szCs w:val="24"/>
          <w:lang w:val="en-US" w:eastAsia="zh-CN"/>
        </w:rPr>
        <w:t xml:space="preserve"> </w:t>
      </w:r>
      <w:r>
        <w:rPr>
          <w:rFonts w:hint="eastAsia" w:ascii="宋体" w:hAnsi="宋体"/>
          <w:kern w:val="0"/>
          <w:sz w:val="24"/>
          <w:szCs w:val="24"/>
        </w:rPr>
        <w:t>除联合体外，法定代表人或单位负责人为同一人或者存在直接控股、管理关系的不同</w:t>
      </w:r>
      <w:r>
        <w:rPr>
          <w:rFonts w:hint="eastAsia" w:ascii="宋体" w:hAnsi="宋体"/>
          <w:kern w:val="0"/>
          <w:sz w:val="24"/>
          <w:szCs w:val="24"/>
          <w:lang w:eastAsia="zh-CN"/>
        </w:rPr>
        <w:t>供应商</w:t>
      </w:r>
      <w:r>
        <w:rPr>
          <w:rFonts w:hint="eastAsia" w:ascii="宋体" w:hAnsi="宋体"/>
          <w:kern w:val="0"/>
          <w:sz w:val="24"/>
          <w:szCs w:val="24"/>
        </w:rPr>
        <w:t>，不得参加同一合同（标段）项下的政府采购活动。</w:t>
      </w:r>
    </w:p>
    <w:p w14:paraId="5F32B28F">
      <w:pPr>
        <w:spacing w:line="360" w:lineRule="auto"/>
        <w:ind w:firstLine="422" w:firstLineChars="176"/>
        <w:rPr>
          <w:rFonts w:hint="eastAsia" w:ascii="宋体" w:hAnsi="宋体"/>
          <w:kern w:val="0"/>
          <w:sz w:val="24"/>
          <w:szCs w:val="24"/>
        </w:rPr>
      </w:pPr>
      <w:r>
        <w:rPr>
          <w:rFonts w:hint="eastAsia" w:ascii="宋体" w:hAnsi="宋体"/>
          <w:kern w:val="0"/>
          <w:sz w:val="24"/>
          <w:szCs w:val="24"/>
          <w:lang w:val="en-US" w:eastAsia="zh-CN"/>
        </w:rPr>
        <w:t>2</w:t>
      </w:r>
      <w:r>
        <w:rPr>
          <w:rFonts w:hint="eastAsia" w:ascii="宋体" w:hAnsi="宋体"/>
          <w:kern w:val="0"/>
          <w:sz w:val="24"/>
          <w:szCs w:val="24"/>
        </w:rPr>
        <w:t>.6</w:t>
      </w:r>
      <w:r>
        <w:rPr>
          <w:rFonts w:hint="eastAsia" w:ascii="宋体" w:hAnsi="宋体"/>
          <w:kern w:val="0"/>
          <w:sz w:val="24"/>
          <w:szCs w:val="24"/>
          <w:lang w:val="en-US" w:eastAsia="zh-CN"/>
        </w:rPr>
        <w:t xml:space="preserve"> </w:t>
      </w:r>
      <w:r>
        <w:rPr>
          <w:rFonts w:hint="eastAsia" w:ascii="宋体" w:hAnsi="宋体"/>
          <w:kern w:val="0"/>
          <w:sz w:val="24"/>
          <w:szCs w:val="24"/>
        </w:rPr>
        <w:t>为采购项目提供整体设计、规范编制或者项目管理、监理、检测等服务的</w:t>
      </w:r>
      <w:r>
        <w:rPr>
          <w:rFonts w:hint="eastAsia" w:ascii="宋体" w:hAnsi="宋体"/>
          <w:kern w:val="0"/>
          <w:sz w:val="24"/>
          <w:szCs w:val="24"/>
          <w:lang w:eastAsia="zh-CN"/>
        </w:rPr>
        <w:t>供应商</w:t>
      </w:r>
      <w:r>
        <w:rPr>
          <w:rFonts w:hint="eastAsia" w:ascii="宋体" w:hAnsi="宋体"/>
          <w:kern w:val="0"/>
          <w:sz w:val="24"/>
          <w:szCs w:val="24"/>
        </w:rPr>
        <w:t>，不得再参加该采购项目的其他采购活动。</w:t>
      </w:r>
    </w:p>
    <w:p w14:paraId="08A29FB3">
      <w:pPr>
        <w:spacing w:line="360" w:lineRule="auto"/>
        <w:ind w:firstLine="424" w:firstLineChars="176"/>
        <w:rPr>
          <w:rFonts w:hint="eastAsia" w:ascii="宋体" w:hAnsi="宋体"/>
          <w:kern w:val="0"/>
          <w:sz w:val="24"/>
          <w:szCs w:val="24"/>
        </w:rPr>
      </w:pPr>
      <w:r>
        <w:rPr>
          <w:rFonts w:hint="eastAsia" w:ascii="宋体" w:hAnsi="宋体"/>
          <w:b/>
          <w:bCs/>
          <w:kern w:val="0"/>
          <w:sz w:val="24"/>
          <w:szCs w:val="24"/>
          <w:lang w:val="en-US" w:eastAsia="zh-CN"/>
        </w:rPr>
        <w:t>3</w:t>
      </w:r>
      <w:r>
        <w:rPr>
          <w:rFonts w:hint="eastAsia" w:ascii="宋体" w:hAnsi="宋体"/>
          <w:b/>
          <w:bCs/>
          <w:kern w:val="0"/>
          <w:sz w:val="24"/>
          <w:szCs w:val="24"/>
        </w:rPr>
        <w:t>、联合体</w:t>
      </w:r>
    </w:p>
    <w:p w14:paraId="54423DAC">
      <w:pPr>
        <w:spacing w:line="360" w:lineRule="auto"/>
        <w:ind w:firstLine="422" w:firstLineChars="176"/>
        <w:rPr>
          <w:rFonts w:hint="eastAsia" w:ascii="宋体" w:hAnsi="宋体"/>
          <w:kern w:val="0"/>
          <w:sz w:val="24"/>
          <w:szCs w:val="24"/>
        </w:rPr>
      </w:pPr>
      <w:r>
        <w:rPr>
          <w:rFonts w:hint="eastAsia" w:ascii="宋体" w:hAnsi="宋体"/>
          <w:kern w:val="0"/>
          <w:sz w:val="24"/>
          <w:szCs w:val="24"/>
        </w:rPr>
        <w:t>本项目不接受联合体。</w:t>
      </w:r>
    </w:p>
    <w:p w14:paraId="3CBD56C0">
      <w:pPr>
        <w:spacing w:line="360" w:lineRule="auto"/>
        <w:ind w:firstLine="424" w:firstLineChars="176"/>
        <w:rPr>
          <w:rFonts w:ascii="宋体" w:hAnsi="宋体"/>
          <w:b/>
          <w:bCs/>
          <w:sz w:val="24"/>
          <w:szCs w:val="24"/>
        </w:rPr>
      </w:pPr>
      <w:r>
        <w:rPr>
          <w:rFonts w:hint="eastAsia" w:ascii="宋体" w:hAnsi="宋体"/>
          <w:b/>
          <w:bCs/>
          <w:sz w:val="24"/>
          <w:szCs w:val="24"/>
          <w:lang w:val="en-US" w:eastAsia="zh-CN"/>
        </w:rPr>
        <w:t>4</w:t>
      </w:r>
      <w:r>
        <w:rPr>
          <w:rFonts w:hint="eastAsia" w:ascii="宋体" w:hAnsi="宋体"/>
          <w:b/>
          <w:bCs/>
          <w:sz w:val="24"/>
          <w:szCs w:val="24"/>
        </w:rPr>
        <w:t>、</w:t>
      </w:r>
      <w:r>
        <w:rPr>
          <w:rFonts w:hint="eastAsia" w:ascii="宋体" w:hAnsi="宋体"/>
          <w:b/>
          <w:bCs/>
          <w:sz w:val="24"/>
          <w:szCs w:val="24"/>
          <w:lang w:val="en-US" w:eastAsia="zh-CN"/>
        </w:rPr>
        <w:t>磋商</w:t>
      </w:r>
      <w:r>
        <w:rPr>
          <w:rFonts w:hint="eastAsia" w:ascii="宋体" w:hAnsi="宋体"/>
          <w:b/>
          <w:bCs/>
          <w:sz w:val="24"/>
          <w:szCs w:val="24"/>
        </w:rPr>
        <w:t>费用</w:t>
      </w:r>
    </w:p>
    <w:p w14:paraId="462FEDA6">
      <w:pPr>
        <w:keepNext/>
        <w:keepLines/>
        <w:spacing w:line="440" w:lineRule="exact"/>
        <w:ind w:firstLine="472" w:firstLineChars="200"/>
        <w:outlineLvl w:val="3"/>
        <w:rPr>
          <w:rFonts w:hint="eastAsia" w:ascii="宋体" w:hAnsi="宋体" w:cs="宋体"/>
          <w:color w:val="auto"/>
          <w:sz w:val="24"/>
          <w:highlight w:val="none"/>
          <w:lang w:val="zh-CN" w:bidi="ar"/>
        </w:rPr>
      </w:pPr>
      <w:r>
        <w:rPr>
          <w:rFonts w:hint="eastAsia" w:ascii="宋体" w:hAnsi="宋体" w:cs="宋体"/>
          <w:color w:val="auto"/>
          <w:spacing w:val="-2"/>
          <w:sz w:val="24"/>
          <w:highlight w:val="none"/>
          <w:lang w:val="en-US" w:eastAsia="zh-CN" w:bidi="ar"/>
        </w:rPr>
        <w:t xml:space="preserve">4.1 </w:t>
      </w:r>
      <w:r>
        <w:rPr>
          <w:rFonts w:hint="eastAsia" w:ascii="宋体" w:hAnsi="宋体" w:cs="宋体"/>
          <w:color w:val="auto"/>
          <w:spacing w:val="-2"/>
          <w:sz w:val="24"/>
          <w:highlight w:val="none"/>
          <w:lang w:val="zh-CN" w:bidi="ar"/>
        </w:rPr>
        <w:t>供应商</w:t>
      </w:r>
      <w:r>
        <w:rPr>
          <w:rFonts w:hint="eastAsia" w:ascii="宋体" w:hAnsi="宋体" w:cs="宋体"/>
          <w:color w:val="auto"/>
          <w:spacing w:val="-2"/>
          <w:sz w:val="24"/>
          <w:highlight w:val="none"/>
          <w:lang w:val="en-US" w:eastAsia="zh-CN" w:bidi="ar"/>
        </w:rPr>
        <w:t>应承担</w:t>
      </w:r>
      <w:r>
        <w:rPr>
          <w:rFonts w:hint="eastAsia" w:ascii="宋体" w:hAnsi="宋体" w:cs="宋体"/>
          <w:color w:val="auto"/>
          <w:sz w:val="24"/>
          <w:highlight w:val="none"/>
          <w:lang w:val="zh-CN" w:bidi="ar"/>
        </w:rPr>
        <w:t>准备和参加</w:t>
      </w:r>
      <w:r>
        <w:rPr>
          <w:rFonts w:hint="eastAsia" w:ascii="宋体" w:hAnsi="宋体" w:cs="宋体"/>
          <w:color w:val="auto"/>
          <w:sz w:val="24"/>
          <w:highlight w:val="none"/>
          <w:lang w:val="en-US" w:eastAsia="zh-CN" w:bidi="ar"/>
        </w:rPr>
        <w:t>磋商</w:t>
      </w:r>
      <w:r>
        <w:rPr>
          <w:rFonts w:hint="eastAsia" w:ascii="宋体" w:hAnsi="宋体" w:cs="宋体"/>
          <w:color w:val="auto"/>
          <w:sz w:val="24"/>
          <w:highlight w:val="none"/>
          <w:lang w:val="zh-CN" w:bidi="ar"/>
        </w:rPr>
        <w:t>有关的费用，无论</w:t>
      </w:r>
      <w:r>
        <w:rPr>
          <w:rFonts w:hint="eastAsia" w:ascii="宋体" w:hAnsi="宋体" w:cs="宋体"/>
          <w:color w:val="auto"/>
          <w:sz w:val="24"/>
          <w:highlight w:val="none"/>
          <w:lang w:val="en-US" w:eastAsia="zh-CN" w:bidi="ar"/>
        </w:rPr>
        <w:t>磋商</w:t>
      </w:r>
      <w:r>
        <w:rPr>
          <w:rFonts w:hint="eastAsia" w:ascii="宋体" w:hAnsi="宋体" w:cs="宋体"/>
          <w:color w:val="auto"/>
          <w:sz w:val="24"/>
          <w:highlight w:val="none"/>
          <w:lang w:val="zh-CN" w:bidi="ar"/>
        </w:rPr>
        <w:t>结果如何，采购代理机构和采购人在任何情况下均无义务和责任承担这些费用。</w:t>
      </w:r>
    </w:p>
    <w:p w14:paraId="2AC07CD5">
      <w:pPr>
        <w:keepNext/>
        <w:keepLines/>
        <w:spacing w:line="440" w:lineRule="exact"/>
        <w:ind w:firstLine="482" w:firstLineChars="200"/>
        <w:outlineLvl w:val="3"/>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保密</w:t>
      </w:r>
    </w:p>
    <w:p w14:paraId="04D99643">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参与</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活动的各方应对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文件和</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文件中的商业和技术等秘密保密，违者应对由此造成的后果承担法律责任。</w:t>
      </w:r>
    </w:p>
    <w:p w14:paraId="1E056BE4">
      <w:pPr>
        <w:keepNext/>
        <w:keepLines/>
        <w:spacing w:line="440" w:lineRule="exact"/>
        <w:ind w:firstLine="482" w:firstLineChars="200"/>
        <w:outlineLvl w:val="3"/>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语言文字</w:t>
      </w:r>
    </w:p>
    <w:p w14:paraId="03027CB6">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除专用术语外，与采购有关的语言均使用中文。必要时专用术语应附有中文注释。</w:t>
      </w:r>
    </w:p>
    <w:p w14:paraId="7663BF87">
      <w:pPr>
        <w:keepNext/>
        <w:keepLines/>
        <w:spacing w:line="440" w:lineRule="exact"/>
        <w:ind w:firstLine="482" w:firstLineChars="200"/>
        <w:outlineLvl w:val="3"/>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计量单位</w:t>
      </w:r>
    </w:p>
    <w:p w14:paraId="7EF4AF6E">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所有计量均采用中华人民共和国法定计量单位。</w:t>
      </w:r>
    </w:p>
    <w:p w14:paraId="09E0B9C3">
      <w:pPr>
        <w:keepNext/>
        <w:keepLines/>
        <w:spacing w:line="440" w:lineRule="exact"/>
        <w:ind w:firstLine="482" w:firstLineChars="200"/>
        <w:outlineLvl w:val="3"/>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踏勘现场</w:t>
      </w:r>
    </w:p>
    <w:p w14:paraId="312594D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本次竞争性磋商不组织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踏勘项目现场。</w:t>
      </w:r>
    </w:p>
    <w:p w14:paraId="5BB2F87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如需踏勘现场，所发生的费用自理。</w:t>
      </w:r>
    </w:p>
    <w:p w14:paraId="4FDAD1C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除采购人的原因外，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自行负责在踏勘现场中所发生的人员伤亡和财产损失。</w:t>
      </w:r>
    </w:p>
    <w:p w14:paraId="094E8D21">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.4 采购人在踏勘现场中介绍的工程场地和相关的周边环境情况，</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在编制响应文件时参考，采购人不对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据此作出的判断和决策负责。</w:t>
      </w:r>
    </w:p>
    <w:p w14:paraId="0B800952">
      <w:pPr>
        <w:keepNext/>
        <w:keepLines/>
        <w:spacing w:line="440" w:lineRule="exact"/>
        <w:ind w:firstLine="482" w:firstLineChars="200"/>
        <w:outlineLvl w:val="3"/>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9、磋商</w:t>
      </w:r>
      <w:r>
        <w:rPr>
          <w:rFonts w:hint="eastAsia" w:ascii="宋体" w:hAnsi="宋体" w:eastAsia="宋体" w:cs="宋体"/>
          <w:b/>
          <w:bCs/>
          <w:color w:val="auto"/>
          <w:sz w:val="24"/>
          <w:szCs w:val="24"/>
          <w:highlight w:val="none"/>
        </w:rPr>
        <w:t>预备会</w:t>
      </w:r>
    </w:p>
    <w:p w14:paraId="0728A27C">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w:t>
      </w:r>
    </w:p>
    <w:p w14:paraId="349689B8">
      <w:pPr>
        <w:keepNext/>
        <w:keepLines/>
        <w:spacing w:line="440" w:lineRule="exact"/>
        <w:ind w:firstLine="482" w:firstLineChars="200"/>
        <w:outlineLvl w:val="3"/>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分包</w:t>
      </w:r>
    </w:p>
    <w:p w14:paraId="52227FB1">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不允许分包。</w:t>
      </w:r>
    </w:p>
    <w:p w14:paraId="473F2B0D">
      <w:pPr>
        <w:keepNext/>
        <w:keepLines/>
        <w:spacing w:line="440" w:lineRule="exact"/>
        <w:ind w:firstLine="482" w:firstLineChars="200"/>
        <w:outlineLvl w:val="3"/>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rPr>
        <w:t>偏离</w:t>
      </w:r>
    </w:p>
    <w:p w14:paraId="681913ED">
      <w:pPr>
        <w:keepNext/>
        <w:keepLines/>
        <w:spacing w:line="440" w:lineRule="exact"/>
        <w:ind w:left="851" w:hanging="284"/>
        <w:outlineLvl w:val="0"/>
        <w:rPr>
          <w:rFonts w:hint="eastAsia" w:ascii="宋体" w:hAnsi="宋体" w:eastAsia="宋体" w:cs="仿宋"/>
          <w:color w:val="auto"/>
          <w:kern w:val="2"/>
          <w:sz w:val="24"/>
          <w:szCs w:val="24"/>
          <w:highlight w:val="none"/>
          <w:lang w:eastAsia="zh-CN"/>
        </w:rPr>
      </w:pPr>
      <w:bookmarkStart w:id="71" w:name="_Toc466566784"/>
      <w:bookmarkEnd w:id="71"/>
      <w:bookmarkStart w:id="72" w:name="_Toc184635072"/>
      <w:bookmarkEnd w:id="72"/>
      <w:bookmarkStart w:id="73" w:name="_Toc1106"/>
      <w:bookmarkStart w:id="74" w:name="_Toc23924"/>
      <w:bookmarkStart w:id="75" w:name="_Toc20725"/>
      <w:bookmarkStart w:id="76" w:name="_Toc3921"/>
      <w:bookmarkStart w:id="77" w:name="_Toc25592"/>
      <w:bookmarkStart w:id="78" w:name="_Toc26910"/>
      <w:bookmarkStart w:id="79" w:name="_Toc23678"/>
      <w:bookmarkStart w:id="80" w:name="_Toc17517"/>
      <w:bookmarkStart w:id="81" w:name="_Toc466566695"/>
      <w:bookmarkStart w:id="82" w:name="_Toc17642"/>
      <w:r>
        <w:rPr>
          <w:rFonts w:hint="eastAsia" w:ascii="宋体" w:hAnsi="宋体" w:eastAsia="宋体" w:cs="仿宋"/>
          <w:color w:val="auto"/>
          <w:kern w:val="2"/>
          <w:sz w:val="24"/>
          <w:szCs w:val="24"/>
          <w:highlight w:val="none"/>
          <w:lang w:val="en-US" w:eastAsia="zh-CN"/>
        </w:rPr>
        <w:t>不</w:t>
      </w:r>
      <w:r>
        <w:rPr>
          <w:rFonts w:hint="eastAsia" w:ascii="宋体" w:hAnsi="宋体" w:eastAsia="宋体" w:cs="仿宋"/>
          <w:color w:val="auto"/>
          <w:kern w:val="2"/>
          <w:sz w:val="24"/>
          <w:szCs w:val="24"/>
          <w:highlight w:val="none"/>
        </w:rPr>
        <w:t>允许</w:t>
      </w:r>
      <w:bookmarkEnd w:id="73"/>
      <w:bookmarkEnd w:id="74"/>
    </w:p>
    <w:bookmarkEnd w:id="75"/>
    <w:bookmarkEnd w:id="76"/>
    <w:bookmarkEnd w:id="77"/>
    <w:bookmarkEnd w:id="78"/>
    <w:bookmarkEnd w:id="79"/>
    <w:bookmarkEnd w:id="80"/>
    <w:bookmarkEnd w:id="81"/>
    <w:bookmarkEnd w:id="82"/>
    <w:p w14:paraId="38D88EA2">
      <w:pPr>
        <w:keepNext w:val="0"/>
        <w:keepLines w:val="0"/>
        <w:pageBreakBefore w:val="0"/>
        <w:kinsoku/>
        <w:wordWrap/>
        <w:overflowPunct/>
        <w:topLinePunct w:val="0"/>
        <w:autoSpaceDE/>
        <w:autoSpaceDN/>
        <w:bidi w:val="0"/>
        <w:adjustRightInd/>
        <w:snapToGrid/>
        <w:spacing w:line="360" w:lineRule="auto"/>
        <w:ind w:firstLine="424" w:firstLineChars="176"/>
        <w:textAlignment w:val="auto"/>
        <w:rPr>
          <w:rFonts w:ascii="宋体" w:hAnsi="宋体"/>
          <w:b/>
          <w:bCs/>
          <w:sz w:val="24"/>
          <w:szCs w:val="24"/>
        </w:rPr>
      </w:pPr>
      <w:r>
        <w:rPr>
          <w:rFonts w:hint="eastAsia" w:ascii="宋体" w:hAnsi="宋体"/>
          <w:b/>
          <w:bCs/>
          <w:sz w:val="24"/>
          <w:szCs w:val="24"/>
          <w:lang w:val="en-US" w:eastAsia="zh-CN"/>
        </w:rPr>
        <w:t>12、</w:t>
      </w:r>
      <w:r>
        <w:rPr>
          <w:rFonts w:hint="eastAsia" w:ascii="宋体" w:hAnsi="宋体"/>
          <w:b/>
          <w:bCs/>
          <w:sz w:val="24"/>
          <w:szCs w:val="24"/>
        </w:rPr>
        <w:t>竞争性磋商文件的构成</w:t>
      </w:r>
    </w:p>
    <w:p w14:paraId="5731902A">
      <w:pPr>
        <w:spacing w:line="360" w:lineRule="auto"/>
        <w:ind w:firstLine="422" w:firstLineChars="176"/>
        <w:rPr>
          <w:rFonts w:ascii="宋体" w:hAnsi="宋体"/>
          <w:sz w:val="24"/>
          <w:szCs w:val="24"/>
        </w:rPr>
      </w:pPr>
      <w:r>
        <w:rPr>
          <w:rFonts w:hint="eastAsia" w:ascii="宋体" w:hAnsi="宋体"/>
          <w:sz w:val="24"/>
          <w:szCs w:val="24"/>
        </w:rPr>
        <w:t>第一章 竞争性磋商公告</w:t>
      </w:r>
    </w:p>
    <w:p w14:paraId="40BBE59D">
      <w:pPr>
        <w:spacing w:line="360" w:lineRule="auto"/>
        <w:ind w:firstLine="422" w:firstLineChars="176"/>
        <w:rPr>
          <w:rFonts w:ascii="宋体" w:hAnsi="宋体"/>
          <w:sz w:val="24"/>
          <w:szCs w:val="24"/>
        </w:rPr>
      </w:pPr>
      <w:r>
        <w:rPr>
          <w:rFonts w:hint="eastAsia" w:ascii="宋体" w:hAnsi="宋体"/>
          <w:sz w:val="24"/>
          <w:szCs w:val="24"/>
        </w:rPr>
        <w:t xml:space="preserve">第二章 </w:t>
      </w:r>
      <w:r>
        <w:rPr>
          <w:rFonts w:hint="eastAsia" w:ascii="宋体" w:hAnsi="宋体"/>
          <w:sz w:val="24"/>
          <w:szCs w:val="24"/>
          <w:lang w:val="en-US" w:eastAsia="zh-CN"/>
        </w:rPr>
        <w:t>供应商</w:t>
      </w:r>
      <w:r>
        <w:rPr>
          <w:rFonts w:hint="eastAsia" w:ascii="宋体" w:hAnsi="宋体"/>
          <w:sz w:val="24"/>
          <w:szCs w:val="24"/>
        </w:rPr>
        <w:t>须知</w:t>
      </w:r>
    </w:p>
    <w:p w14:paraId="332F70DB">
      <w:pPr>
        <w:spacing w:line="360" w:lineRule="auto"/>
        <w:ind w:firstLine="422" w:firstLineChars="176"/>
        <w:rPr>
          <w:rFonts w:ascii="宋体" w:hAnsi="宋体"/>
          <w:sz w:val="24"/>
          <w:szCs w:val="24"/>
        </w:rPr>
      </w:pPr>
      <w:r>
        <w:rPr>
          <w:rFonts w:hint="eastAsia" w:ascii="宋体" w:hAnsi="宋体"/>
          <w:sz w:val="24"/>
          <w:szCs w:val="24"/>
        </w:rPr>
        <w:t xml:space="preserve">第三章 </w:t>
      </w:r>
      <w:r>
        <w:rPr>
          <w:rFonts w:hint="eastAsia" w:ascii="宋体" w:hAnsi="宋体" w:cs="宋体"/>
          <w:bCs/>
          <w:sz w:val="24"/>
          <w:highlight w:val="none"/>
          <w:lang w:val="en-US" w:eastAsia="zh-CN"/>
        </w:rPr>
        <w:t>工程量清单</w:t>
      </w:r>
    </w:p>
    <w:p w14:paraId="62041FA6">
      <w:pPr>
        <w:spacing w:line="360" w:lineRule="auto"/>
        <w:ind w:firstLine="422" w:firstLineChars="176"/>
        <w:rPr>
          <w:rFonts w:hint="eastAsia" w:ascii="宋体" w:hAnsi="宋体" w:cs="宋体"/>
          <w:bCs/>
          <w:sz w:val="24"/>
          <w:highlight w:val="none"/>
          <w:lang w:val="en-US" w:eastAsia="zh-CN"/>
        </w:rPr>
      </w:pPr>
      <w:r>
        <w:rPr>
          <w:rFonts w:hint="eastAsia" w:ascii="宋体" w:hAnsi="宋体"/>
          <w:sz w:val="24"/>
          <w:szCs w:val="24"/>
          <w:highlight w:val="none"/>
        </w:rPr>
        <w:t xml:space="preserve">第四章 </w:t>
      </w:r>
      <w:r>
        <w:rPr>
          <w:rFonts w:hint="eastAsia" w:ascii="宋体" w:hAnsi="宋体"/>
          <w:sz w:val="24"/>
          <w:szCs w:val="24"/>
        </w:rPr>
        <w:t>评</w:t>
      </w:r>
      <w:r>
        <w:rPr>
          <w:rFonts w:hint="eastAsia" w:ascii="宋体" w:hAnsi="宋体"/>
          <w:sz w:val="24"/>
          <w:szCs w:val="24"/>
          <w:lang w:val="en-US" w:eastAsia="zh-CN"/>
        </w:rPr>
        <w:t>审</w:t>
      </w:r>
      <w:r>
        <w:rPr>
          <w:rFonts w:hint="eastAsia" w:ascii="宋体" w:hAnsi="宋体"/>
          <w:sz w:val="24"/>
          <w:szCs w:val="24"/>
        </w:rPr>
        <w:t>办法（综合评分法）</w:t>
      </w:r>
    </w:p>
    <w:p w14:paraId="3B448883">
      <w:pPr>
        <w:spacing w:line="360" w:lineRule="auto"/>
        <w:ind w:firstLine="422" w:firstLineChars="176"/>
        <w:rPr>
          <w:rFonts w:hint="default" w:ascii="宋体" w:hAnsi="宋体" w:cs="宋体"/>
          <w:bCs/>
          <w:sz w:val="24"/>
          <w:highlight w:val="none"/>
          <w:lang w:val="en-US" w:eastAsia="zh-CN"/>
        </w:rPr>
      </w:pPr>
      <w:r>
        <w:rPr>
          <w:rFonts w:hint="eastAsia" w:ascii="宋体" w:hAnsi="宋体" w:cs="宋体"/>
          <w:bCs/>
          <w:sz w:val="24"/>
          <w:highlight w:val="none"/>
          <w:lang w:val="en-US" w:eastAsia="zh-CN"/>
        </w:rPr>
        <w:t>第五章 技术标准及要求</w:t>
      </w:r>
    </w:p>
    <w:p w14:paraId="5A67F6CF">
      <w:pPr>
        <w:spacing w:line="360" w:lineRule="auto"/>
        <w:ind w:firstLine="422" w:firstLineChars="176"/>
        <w:rPr>
          <w:rFonts w:ascii="宋体" w:hAnsi="宋体"/>
          <w:sz w:val="24"/>
          <w:szCs w:val="24"/>
          <w:highlight w:val="none"/>
        </w:rPr>
      </w:pPr>
      <w:r>
        <w:rPr>
          <w:rFonts w:hint="eastAsia" w:ascii="宋体" w:hAnsi="宋体"/>
          <w:sz w:val="24"/>
          <w:szCs w:val="24"/>
          <w:highlight w:val="none"/>
        </w:rPr>
        <w:t>第</w:t>
      </w:r>
      <w:r>
        <w:rPr>
          <w:rFonts w:hint="eastAsia" w:ascii="宋体" w:hAnsi="宋体"/>
          <w:sz w:val="24"/>
          <w:szCs w:val="24"/>
          <w:highlight w:val="none"/>
          <w:lang w:val="en-US" w:eastAsia="zh-CN"/>
        </w:rPr>
        <w:t>六</w:t>
      </w:r>
      <w:r>
        <w:rPr>
          <w:rFonts w:hint="eastAsia" w:ascii="宋体" w:hAnsi="宋体"/>
          <w:sz w:val="24"/>
          <w:szCs w:val="24"/>
          <w:highlight w:val="none"/>
        </w:rPr>
        <w:t>章 合同条款及格式</w:t>
      </w:r>
    </w:p>
    <w:p w14:paraId="1C2D01C4">
      <w:pPr>
        <w:spacing w:line="360" w:lineRule="auto"/>
        <w:ind w:firstLine="422" w:firstLineChars="176"/>
        <w:rPr>
          <w:rFonts w:ascii="宋体" w:hAnsi="宋体" w:eastAsia="宋体" w:cs="宋体"/>
          <w:color w:val="auto"/>
          <w:sz w:val="24"/>
          <w:szCs w:val="24"/>
          <w:highlight w:val="none"/>
        </w:rPr>
      </w:pPr>
      <w:r>
        <w:rPr>
          <w:rFonts w:hint="eastAsia" w:ascii="宋体" w:hAnsi="宋体"/>
          <w:sz w:val="24"/>
          <w:szCs w:val="24"/>
        </w:rPr>
        <w:t>第</w:t>
      </w:r>
      <w:r>
        <w:rPr>
          <w:rFonts w:hint="eastAsia" w:ascii="宋体" w:hAnsi="宋体"/>
          <w:sz w:val="24"/>
          <w:szCs w:val="24"/>
          <w:lang w:val="en-US" w:eastAsia="zh-CN"/>
        </w:rPr>
        <w:t>七</w:t>
      </w:r>
      <w:r>
        <w:rPr>
          <w:rFonts w:hint="eastAsia" w:ascii="宋体" w:hAnsi="宋体"/>
          <w:sz w:val="24"/>
          <w:szCs w:val="24"/>
        </w:rPr>
        <w:t xml:space="preserve">章 </w:t>
      </w:r>
      <w:r>
        <w:rPr>
          <w:rFonts w:hint="eastAsia" w:ascii="宋体" w:hAnsi="宋体"/>
          <w:sz w:val="24"/>
          <w:szCs w:val="24"/>
          <w:lang w:val="en-US" w:eastAsia="zh-CN"/>
        </w:rPr>
        <w:t>电子</w:t>
      </w:r>
      <w:r>
        <w:rPr>
          <w:rFonts w:hint="eastAsia" w:ascii="宋体" w:hAnsi="宋体"/>
          <w:sz w:val="24"/>
          <w:szCs w:val="24"/>
        </w:rPr>
        <w:t>响应文件格式</w:t>
      </w:r>
    </w:p>
    <w:p w14:paraId="751900FF">
      <w:pPr>
        <w:spacing w:line="360" w:lineRule="auto"/>
        <w:ind w:firstLine="424" w:firstLineChars="176"/>
        <w:rPr>
          <w:rFonts w:ascii="宋体" w:hAnsi="宋体"/>
          <w:b/>
          <w:bCs/>
          <w:sz w:val="24"/>
          <w:szCs w:val="24"/>
        </w:rPr>
      </w:pPr>
      <w:bookmarkStart w:id="83" w:name="_Toc19970"/>
      <w:bookmarkStart w:id="84" w:name="_Toc1460"/>
      <w:bookmarkStart w:id="85" w:name="_Toc16369"/>
      <w:bookmarkStart w:id="86" w:name="_Toc15930"/>
      <w:r>
        <w:rPr>
          <w:rFonts w:hint="eastAsia" w:ascii="宋体" w:hAnsi="宋体"/>
          <w:b/>
          <w:bCs/>
          <w:sz w:val="24"/>
          <w:szCs w:val="24"/>
          <w:lang w:val="en-US" w:eastAsia="zh-CN"/>
        </w:rPr>
        <w:t>13</w:t>
      </w:r>
      <w:r>
        <w:rPr>
          <w:rFonts w:hint="eastAsia" w:ascii="宋体" w:hAnsi="宋体"/>
          <w:b/>
          <w:bCs/>
          <w:sz w:val="24"/>
          <w:szCs w:val="24"/>
        </w:rPr>
        <w:t>、竞争性磋商文件的澄清</w:t>
      </w:r>
    </w:p>
    <w:p w14:paraId="7B10A831">
      <w:pPr>
        <w:spacing w:line="360" w:lineRule="auto"/>
        <w:ind w:firstLine="422" w:firstLineChars="176"/>
        <w:rPr>
          <w:rFonts w:ascii="宋体" w:hAnsi="宋体"/>
          <w:kern w:val="0"/>
          <w:sz w:val="24"/>
        </w:rPr>
      </w:pPr>
      <w:r>
        <w:rPr>
          <w:rFonts w:hint="eastAsia" w:ascii="宋体" w:hAnsi="宋体"/>
          <w:sz w:val="24"/>
          <w:szCs w:val="24"/>
          <w:lang w:val="en-US" w:eastAsia="zh-CN"/>
        </w:rPr>
        <w:t>13</w:t>
      </w:r>
      <w:r>
        <w:rPr>
          <w:rFonts w:ascii="宋体" w:hAnsi="宋体"/>
          <w:sz w:val="24"/>
          <w:szCs w:val="24"/>
        </w:rPr>
        <w:t>.1</w:t>
      </w:r>
      <w:r>
        <w:rPr>
          <w:rFonts w:hint="eastAsia" w:ascii="宋体" w:hAnsi="宋体"/>
          <w:sz w:val="24"/>
          <w:szCs w:val="24"/>
          <w:lang w:val="en-US" w:eastAsia="zh-CN"/>
        </w:rPr>
        <w:t xml:space="preserve"> </w:t>
      </w:r>
      <w:r>
        <w:rPr>
          <w:rFonts w:hint="eastAsia" w:ascii="宋体" w:hAnsi="宋体"/>
          <w:sz w:val="24"/>
          <w:szCs w:val="24"/>
        </w:rPr>
        <w:t>要求澄清磋商文件的</w:t>
      </w:r>
      <w:r>
        <w:rPr>
          <w:rFonts w:hint="eastAsia" w:ascii="宋体" w:hAnsi="宋体"/>
          <w:sz w:val="24"/>
          <w:szCs w:val="24"/>
          <w:lang w:val="en-US" w:eastAsia="zh-CN"/>
        </w:rPr>
        <w:t>供应商</w:t>
      </w:r>
      <w:r>
        <w:rPr>
          <w:rFonts w:hint="eastAsia" w:ascii="宋体" w:hAnsi="宋体"/>
          <w:sz w:val="24"/>
          <w:szCs w:val="24"/>
        </w:rPr>
        <w:t>应在响应文件递交截止3日前将需要澄清及答疑的内容以书面形式并加盖</w:t>
      </w:r>
      <w:r>
        <w:rPr>
          <w:rFonts w:hint="eastAsia" w:ascii="宋体" w:hAnsi="宋体"/>
          <w:sz w:val="24"/>
          <w:szCs w:val="24"/>
          <w:lang w:val="en-US" w:eastAsia="zh-CN"/>
        </w:rPr>
        <w:t>供应商</w:t>
      </w:r>
      <w:r>
        <w:rPr>
          <w:rFonts w:hint="eastAsia" w:ascii="宋体" w:hAnsi="宋体"/>
          <w:sz w:val="24"/>
          <w:szCs w:val="24"/>
        </w:rPr>
        <w:t>公章，按</w:t>
      </w:r>
      <w:r>
        <w:rPr>
          <w:rFonts w:hint="eastAsia" w:ascii="宋体" w:hAnsi="宋体"/>
          <w:sz w:val="24"/>
          <w:szCs w:val="24"/>
          <w:lang w:val="en-US" w:eastAsia="zh-CN"/>
        </w:rPr>
        <w:t>供应商</w:t>
      </w:r>
      <w:r>
        <w:rPr>
          <w:rFonts w:hint="eastAsia" w:ascii="宋体" w:hAnsi="宋体"/>
          <w:sz w:val="24"/>
          <w:szCs w:val="24"/>
        </w:rPr>
        <w:t>须知前附表中的地址提交到代理机构处。代理机构将对收到的要求澄清的问题予以答复。代理机构将答复发给所有磋商文件收受人( 包括对要求澄清问题的说明，但不指明问题的来源)。</w:t>
      </w:r>
    </w:p>
    <w:p w14:paraId="75C4EE6B">
      <w:pPr>
        <w:keepNext w:val="0"/>
        <w:keepLines w:val="0"/>
        <w:pageBreakBefore w:val="0"/>
        <w:kinsoku/>
        <w:wordWrap/>
        <w:overflowPunct/>
        <w:topLinePunct w:val="0"/>
        <w:autoSpaceDE/>
        <w:autoSpaceDN/>
        <w:bidi w:val="0"/>
        <w:adjustRightInd/>
        <w:snapToGrid/>
        <w:spacing w:line="360" w:lineRule="auto"/>
        <w:ind w:firstLine="424" w:firstLineChars="176"/>
        <w:textAlignment w:val="auto"/>
        <w:rPr>
          <w:rFonts w:ascii="宋体" w:hAnsi="宋体"/>
          <w:b/>
          <w:bCs/>
          <w:sz w:val="24"/>
          <w:szCs w:val="24"/>
        </w:rPr>
      </w:pPr>
      <w:r>
        <w:rPr>
          <w:rFonts w:hint="eastAsia" w:ascii="宋体" w:hAnsi="宋体"/>
          <w:b/>
          <w:bCs/>
          <w:sz w:val="24"/>
          <w:szCs w:val="24"/>
          <w:lang w:val="en-US" w:eastAsia="zh-CN"/>
        </w:rPr>
        <w:t>14</w:t>
      </w:r>
      <w:r>
        <w:rPr>
          <w:rFonts w:hint="eastAsia" w:ascii="宋体" w:hAnsi="宋体"/>
          <w:b/>
          <w:bCs/>
          <w:sz w:val="24"/>
          <w:szCs w:val="24"/>
        </w:rPr>
        <w:t>、竞争性磋商文件的修改</w:t>
      </w:r>
    </w:p>
    <w:p w14:paraId="63043B5E">
      <w:pPr>
        <w:spacing w:line="360" w:lineRule="auto"/>
        <w:ind w:firstLine="422" w:firstLineChars="176"/>
        <w:rPr>
          <w:rFonts w:hint="eastAsia" w:ascii="宋体" w:hAnsi="宋体" w:eastAsiaTheme="minorEastAsia"/>
          <w:sz w:val="24"/>
          <w:szCs w:val="24"/>
          <w:lang w:eastAsia="zh-CN"/>
        </w:rPr>
      </w:pPr>
      <w:r>
        <w:rPr>
          <w:rFonts w:hint="eastAsia" w:ascii="宋体" w:hAnsi="宋体"/>
          <w:sz w:val="24"/>
          <w:szCs w:val="24"/>
          <w:lang w:val="en-US" w:eastAsia="zh-CN"/>
        </w:rPr>
        <w:t>14</w:t>
      </w:r>
      <w:r>
        <w:rPr>
          <w:rFonts w:ascii="宋体" w:hAnsi="宋体"/>
          <w:sz w:val="24"/>
          <w:szCs w:val="24"/>
        </w:rPr>
        <w:t>.1</w:t>
      </w:r>
      <w:r>
        <w:rPr>
          <w:rFonts w:hint="eastAsia" w:ascii="宋体" w:hAnsi="宋体"/>
          <w:sz w:val="24"/>
          <w:szCs w:val="24"/>
          <w:lang w:val="en-US" w:eastAsia="zh-CN"/>
        </w:rPr>
        <w:t xml:space="preserve"> </w:t>
      </w:r>
      <w:r>
        <w:rPr>
          <w:rFonts w:hint="eastAsia" w:ascii="宋体" w:hAnsi="宋体"/>
          <w:sz w:val="24"/>
          <w:szCs w:val="24"/>
        </w:rPr>
        <w:t>在递交响应文件截止时间之前的任何时间，无论出于何种原因，代理机构可以用补充文件的方式修正磋商文件。该补充文件将是构成磋商文件的一部分</w:t>
      </w:r>
      <w:r>
        <w:rPr>
          <w:rFonts w:hint="eastAsia" w:ascii="宋体" w:hAnsi="宋体"/>
          <w:sz w:val="24"/>
          <w:szCs w:val="24"/>
          <w:lang w:eastAsia="zh-CN"/>
        </w:rPr>
        <w:t>。</w:t>
      </w:r>
    </w:p>
    <w:p w14:paraId="44DC2878">
      <w:pPr>
        <w:spacing w:line="360" w:lineRule="auto"/>
        <w:ind w:firstLine="422" w:firstLineChars="176"/>
        <w:rPr>
          <w:rFonts w:hint="eastAsia" w:ascii="宋体" w:hAnsi="宋体" w:eastAsiaTheme="minorEastAsia"/>
          <w:sz w:val="24"/>
          <w:szCs w:val="24"/>
          <w:lang w:eastAsia="zh-CN"/>
        </w:rPr>
      </w:pPr>
      <w:r>
        <w:rPr>
          <w:rFonts w:hint="eastAsia" w:ascii="宋体" w:hAnsi="宋体"/>
          <w:sz w:val="24"/>
          <w:szCs w:val="24"/>
          <w:lang w:val="en-US" w:eastAsia="zh-CN"/>
        </w:rPr>
        <w:t>14</w:t>
      </w:r>
      <w:r>
        <w:rPr>
          <w:rFonts w:hint="eastAsia" w:ascii="宋体" w:hAnsi="宋体"/>
          <w:sz w:val="24"/>
          <w:szCs w:val="24"/>
        </w:rPr>
        <w:t>.2 补充文件将以书面方式发给所有磋商文件收受人，磋商文件收受人应以书面形式回复代理机构，确认收到每一份补充文件</w:t>
      </w:r>
      <w:r>
        <w:rPr>
          <w:rFonts w:hint="eastAsia" w:ascii="宋体" w:hAnsi="宋体"/>
          <w:sz w:val="24"/>
          <w:szCs w:val="24"/>
          <w:lang w:eastAsia="zh-CN"/>
        </w:rPr>
        <w:t>。</w:t>
      </w:r>
    </w:p>
    <w:p w14:paraId="1982B748">
      <w:pPr>
        <w:spacing w:line="360" w:lineRule="auto"/>
        <w:ind w:firstLine="422" w:firstLineChars="176"/>
        <w:rPr>
          <w:rFonts w:hint="eastAsia" w:ascii="宋体" w:hAnsi="宋体" w:eastAsiaTheme="minorEastAsia"/>
          <w:sz w:val="24"/>
          <w:szCs w:val="24"/>
          <w:lang w:eastAsia="zh-CN"/>
        </w:rPr>
      </w:pPr>
      <w:r>
        <w:rPr>
          <w:rFonts w:hint="eastAsia" w:ascii="宋体" w:hAnsi="宋体"/>
          <w:sz w:val="24"/>
          <w:szCs w:val="24"/>
          <w:lang w:val="en-US" w:eastAsia="zh-CN"/>
        </w:rPr>
        <w:t>14</w:t>
      </w:r>
      <w:r>
        <w:rPr>
          <w:rFonts w:hint="eastAsia" w:ascii="宋体" w:hAnsi="宋体"/>
          <w:sz w:val="24"/>
          <w:szCs w:val="24"/>
        </w:rPr>
        <w:t>.3 为使</w:t>
      </w:r>
      <w:r>
        <w:rPr>
          <w:rFonts w:hint="eastAsia" w:ascii="宋体" w:hAnsi="宋体"/>
          <w:sz w:val="24"/>
          <w:szCs w:val="24"/>
          <w:lang w:eastAsia="zh-CN"/>
        </w:rPr>
        <w:t>供应商</w:t>
      </w:r>
      <w:r>
        <w:rPr>
          <w:rFonts w:hint="eastAsia" w:ascii="宋体" w:hAnsi="宋体"/>
          <w:sz w:val="24"/>
          <w:szCs w:val="24"/>
        </w:rPr>
        <w:t>有足够的时间按修正的磋商文件准备响应文件，采购人可以酌情推迟递交响应文件截止时间，并将此变更通知所有磋商文件收受人</w:t>
      </w:r>
      <w:r>
        <w:rPr>
          <w:rFonts w:hint="eastAsia" w:ascii="宋体" w:hAnsi="宋体"/>
          <w:sz w:val="24"/>
          <w:szCs w:val="24"/>
          <w:lang w:eastAsia="zh-CN"/>
        </w:rPr>
        <w:t>。</w:t>
      </w:r>
    </w:p>
    <w:p w14:paraId="0688404F">
      <w:pPr>
        <w:spacing w:line="360" w:lineRule="auto"/>
        <w:ind w:firstLine="422" w:firstLineChars="176"/>
        <w:rPr>
          <w:rFonts w:hint="eastAsia" w:ascii="宋体" w:hAnsi="宋体"/>
          <w:sz w:val="24"/>
          <w:szCs w:val="24"/>
        </w:rPr>
      </w:pPr>
      <w:r>
        <w:rPr>
          <w:rFonts w:hint="eastAsia" w:ascii="宋体" w:hAnsi="宋体"/>
          <w:sz w:val="24"/>
          <w:szCs w:val="24"/>
          <w:lang w:val="en-US" w:eastAsia="zh-CN"/>
        </w:rPr>
        <w:t>14</w:t>
      </w:r>
      <w:r>
        <w:rPr>
          <w:rFonts w:hint="eastAsia" w:ascii="宋体" w:hAnsi="宋体"/>
          <w:sz w:val="24"/>
          <w:szCs w:val="24"/>
        </w:rPr>
        <w:t>.4 采购人可以视采购具体情况，延长响应文件递交截止时间和磋商时间，但至少应当在磋商文件要求提交响应文件的截止时间5日前通知所有磋商文件收受人。</w:t>
      </w:r>
    </w:p>
    <w:bookmarkEnd w:id="83"/>
    <w:bookmarkEnd w:id="84"/>
    <w:bookmarkEnd w:id="85"/>
    <w:bookmarkEnd w:id="86"/>
    <w:p w14:paraId="00EA6797">
      <w:pPr>
        <w:spacing w:line="360" w:lineRule="auto"/>
        <w:ind w:firstLine="424" w:firstLineChars="176"/>
        <w:rPr>
          <w:rFonts w:hint="eastAsia" w:ascii="宋体" w:hAnsi="宋体"/>
          <w:b/>
          <w:bCs/>
          <w:sz w:val="24"/>
          <w:szCs w:val="24"/>
          <w:lang w:val="en-US" w:eastAsia="zh-CN"/>
        </w:rPr>
      </w:pPr>
      <w:r>
        <w:rPr>
          <w:rFonts w:hint="eastAsia" w:ascii="宋体" w:hAnsi="宋体"/>
          <w:b/>
          <w:bCs/>
          <w:sz w:val="24"/>
          <w:szCs w:val="24"/>
          <w:lang w:val="en-US" w:eastAsia="zh-CN"/>
        </w:rPr>
        <w:t>15、报价说明</w:t>
      </w:r>
    </w:p>
    <w:p w14:paraId="3B327779">
      <w:pPr>
        <w:spacing w:line="360" w:lineRule="auto"/>
        <w:ind w:firstLine="422" w:firstLineChars="176"/>
        <w:rPr>
          <w:rFonts w:hint="eastAsia" w:ascii="宋体" w:hAnsi="宋体"/>
          <w:sz w:val="24"/>
          <w:szCs w:val="24"/>
          <w:lang w:val="en-US" w:eastAsia="zh-CN"/>
        </w:rPr>
      </w:pPr>
      <w:r>
        <w:rPr>
          <w:rFonts w:hint="eastAsia" w:ascii="宋体" w:hAnsi="宋体"/>
          <w:sz w:val="24"/>
          <w:szCs w:val="24"/>
          <w:lang w:val="en-US" w:eastAsia="zh-CN"/>
        </w:rPr>
        <w:t>15.1 本次磋商采用二轮（最终）报价法，供应商递交的响应文件中的报价为第一轮报价。</w:t>
      </w:r>
    </w:p>
    <w:p w14:paraId="2FF12C11">
      <w:pPr>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15.2 不接受任何选择报价，只允许有一个报价，任何有选择性的报价将不予接受。</w:t>
      </w:r>
    </w:p>
    <w:p w14:paraId="457DC88D">
      <w:pPr>
        <w:spacing w:line="360" w:lineRule="auto"/>
        <w:ind w:firstLine="424" w:firstLineChars="176"/>
        <w:rPr>
          <w:rFonts w:ascii="宋体" w:hAnsi="宋体"/>
          <w:b/>
          <w:bCs/>
          <w:sz w:val="24"/>
          <w:szCs w:val="24"/>
        </w:rPr>
      </w:pPr>
      <w:r>
        <w:rPr>
          <w:rFonts w:hint="eastAsia" w:ascii="宋体" w:hAnsi="宋体"/>
          <w:b/>
          <w:bCs/>
          <w:sz w:val="24"/>
          <w:szCs w:val="24"/>
          <w:lang w:val="en-US" w:eastAsia="zh-CN"/>
        </w:rPr>
        <w:t>16</w:t>
      </w:r>
      <w:r>
        <w:rPr>
          <w:rFonts w:hint="eastAsia" w:ascii="宋体" w:hAnsi="宋体"/>
          <w:b/>
          <w:bCs/>
          <w:sz w:val="24"/>
          <w:szCs w:val="24"/>
        </w:rPr>
        <w:t>、要求</w:t>
      </w:r>
    </w:p>
    <w:p w14:paraId="2DAB6C80">
      <w:pPr>
        <w:spacing w:line="360" w:lineRule="auto"/>
        <w:ind w:firstLine="422" w:firstLineChars="176"/>
        <w:rPr>
          <w:rFonts w:ascii="宋体" w:hAnsi="宋体"/>
          <w:sz w:val="24"/>
          <w:szCs w:val="24"/>
        </w:rPr>
      </w:pPr>
      <w:r>
        <w:rPr>
          <w:rFonts w:hint="eastAsia" w:ascii="宋体" w:hAnsi="宋体"/>
          <w:sz w:val="24"/>
          <w:szCs w:val="24"/>
          <w:lang w:val="en-US" w:eastAsia="zh-CN"/>
        </w:rPr>
        <w:t>16</w:t>
      </w:r>
      <w:r>
        <w:rPr>
          <w:rFonts w:ascii="宋体" w:hAnsi="宋体"/>
          <w:sz w:val="24"/>
          <w:szCs w:val="24"/>
        </w:rPr>
        <w:t>.1</w:t>
      </w:r>
      <w:r>
        <w:rPr>
          <w:rFonts w:hint="eastAsia" w:ascii="宋体" w:hAnsi="宋体"/>
          <w:sz w:val="24"/>
          <w:szCs w:val="24"/>
          <w:lang w:val="en-US" w:eastAsia="zh-CN"/>
        </w:rPr>
        <w:t xml:space="preserve"> </w:t>
      </w:r>
      <w:r>
        <w:rPr>
          <w:rFonts w:hint="eastAsia" w:ascii="宋体" w:hAnsi="宋体"/>
          <w:sz w:val="24"/>
          <w:szCs w:val="24"/>
          <w:lang w:eastAsia="zh-CN"/>
        </w:rPr>
        <w:t>供应商</w:t>
      </w:r>
      <w:r>
        <w:rPr>
          <w:rFonts w:hint="eastAsia" w:ascii="宋体" w:hAnsi="宋体"/>
          <w:sz w:val="24"/>
          <w:szCs w:val="24"/>
        </w:rPr>
        <w:t>应仔细阅读竞争性磋商文件的所有内容，按竞争性磋商文件的要求提供响应文件，并保证所提供资料的真实性，以使其响应文件对竞争性磋商文件作出实质性响应，否则，其响应文件不予接受。</w:t>
      </w:r>
    </w:p>
    <w:p w14:paraId="5A0C110D">
      <w:pPr>
        <w:spacing w:line="360" w:lineRule="auto"/>
        <w:ind w:firstLine="424" w:firstLineChars="176"/>
        <w:rPr>
          <w:rFonts w:ascii="宋体" w:hAnsi="宋体"/>
          <w:b/>
          <w:bCs/>
          <w:sz w:val="24"/>
          <w:szCs w:val="24"/>
        </w:rPr>
      </w:pPr>
      <w:r>
        <w:rPr>
          <w:rFonts w:hint="eastAsia" w:ascii="宋体" w:hAnsi="宋体"/>
          <w:b/>
          <w:bCs/>
          <w:sz w:val="24"/>
          <w:szCs w:val="24"/>
          <w:lang w:val="en-US" w:eastAsia="zh-CN"/>
        </w:rPr>
        <w:t>17</w:t>
      </w:r>
      <w:r>
        <w:rPr>
          <w:rFonts w:hint="eastAsia" w:ascii="宋体" w:hAnsi="宋体"/>
          <w:b/>
          <w:bCs/>
          <w:sz w:val="24"/>
          <w:szCs w:val="24"/>
        </w:rPr>
        <w:t>、响应文件的组成</w:t>
      </w:r>
    </w:p>
    <w:p w14:paraId="3808B9AE">
      <w:pPr>
        <w:adjustRightInd w:val="0"/>
        <w:snapToGrid w:val="0"/>
        <w:spacing w:line="360" w:lineRule="auto"/>
        <w:ind w:firstLine="480" w:firstLineChars="200"/>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一、磋商函及磋商函附录</w:t>
      </w:r>
    </w:p>
    <w:p w14:paraId="2B2DD1FE">
      <w:pPr>
        <w:adjustRightInd w:val="0"/>
        <w:snapToGrid w:val="0"/>
        <w:spacing w:line="360" w:lineRule="auto"/>
        <w:ind w:firstLine="480" w:firstLineChars="200"/>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二、法定代表人身份证明</w:t>
      </w:r>
    </w:p>
    <w:p w14:paraId="46037866">
      <w:pPr>
        <w:adjustRightInd w:val="0"/>
        <w:snapToGrid w:val="0"/>
        <w:spacing w:line="360" w:lineRule="auto"/>
        <w:ind w:firstLine="480" w:firstLineChars="200"/>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三、法定代表人授权委托书</w:t>
      </w:r>
    </w:p>
    <w:p w14:paraId="5CFA6BD3">
      <w:pPr>
        <w:adjustRightInd w:val="0"/>
        <w:snapToGrid w:val="0"/>
        <w:spacing w:line="360" w:lineRule="auto"/>
        <w:ind w:firstLine="480" w:firstLineChars="20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四</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承诺函</w:t>
      </w:r>
    </w:p>
    <w:p w14:paraId="55925BDC">
      <w:pPr>
        <w:adjustRightInd w:val="0"/>
        <w:snapToGrid w:val="0"/>
        <w:spacing w:line="360" w:lineRule="auto"/>
        <w:ind w:firstLine="480" w:firstLineChars="200"/>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五、已标价工程量清单</w:t>
      </w:r>
    </w:p>
    <w:p w14:paraId="0C73002F">
      <w:pPr>
        <w:adjustRightInd w:val="0"/>
        <w:snapToGrid w:val="0"/>
        <w:spacing w:line="360" w:lineRule="auto"/>
        <w:ind w:firstLine="480" w:firstLineChars="200"/>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六、施工组织设计</w:t>
      </w:r>
    </w:p>
    <w:p w14:paraId="70B22171">
      <w:pPr>
        <w:adjustRightInd w:val="0"/>
        <w:snapToGrid w:val="0"/>
        <w:spacing w:line="360" w:lineRule="auto"/>
        <w:ind w:firstLine="480" w:firstLineChars="200"/>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七、项目管理机构</w:t>
      </w:r>
    </w:p>
    <w:p w14:paraId="716A6480">
      <w:pPr>
        <w:adjustRightInd w:val="0"/>
        <w:snapToGrid w:val="0"/>
        <w:spacing w:line="360" w:lineRule="auto"/>
        <w:ind w:firstLine="480" w:firstLineChars="200"/>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八、</w:t>
      </w:r>
      <w:r>
        <w:rPr>
          <w:rFonts w:hint="eastAsia" w:ascii="宋体" w:hAnsi="宋体" w:eastAsia="宋体" w:cs="宋体"/>
          <w:b w:val="0"/>
          <w:bCs w:val="0"/>
          <w:color w:val="auto"/>
          <w:sz w:val="24"/>
          <w:szCs w:val="24"/>
          <w:highlight w:val="none"/>
        </w:rPr>
        <w:t>供应商基本情况表</w:t>
      </w:r>
    </w:p>
    <w:p w14:paraId="54AE7C94">
      <w:pPr>
        <w:spacing w:line="360" w:lineRule="auto"/>
        <w:ind w:firstLine="480" w:firstLineChars="200"/>
        <w:jc w:val="both"/>
        <w:outlineLvl w:val="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九</w:t>
      </w:r>
      <w:r>
        <w:rPr>
          <w:rFonts w:hint="eastAsia" w:ascii="宋体" w:hAnsi="宋体" w:eastAsia="宋体" w:cs="宋体"/>
          <w:b w:val="0"/>
          <w:bCs w:val="0"/>
          <w:color w:val="auto"/>
          <w:sz w:val="24"/>
          <w:szCs w:val="24"/>
          <w:highlight w:val="none"/>
        </w:rPr>
        <w:t>、其他</w:t>
      </w:r>
      <w:r>
        <w:rPr>
          <w:rFonts w:hint="eastAsia" w:ascii="宋体" w:hAnsi="宋体" w:eastAsia="宋体" w:cs="宋体"/>
          <w:b w:val="0"/>
          <w:bCs w:val="0"/>
          <w:color w:val="auto"/>
          <w:sz w:val="24"/>
          <w:szCs w:val="24"/>
          <w:highlight w:val="none"/>
          <w:lang w:eastAsia="zh-CN"/>
        </w:rPr>
        <w:t>资</w:t>
      </w:r>
      <w:r>
        <w:rPr>
          <w:rFonts w:hint="eastAsia" w:ascii="宋体" w:hAnsi="宋体" w:eastAsia="宋体" w:cs="宋体"/>
          <w:b w:val="0"/>
          <w:bCs w:val="0"/>
          <w:color w:val="auto"/>
          <w:sz w:val="24"/>
          <w:szCs w:val="24"/>
          <w:highlight w:val="none"/>
        </w:rPr>
        <w:t>料</w:t>
      </w:r>
    </w:p>
    <w:p w14:paraId="7FB2B7C0">
      <w:pPr>
        <w:spacing w:line="440" w:lineRule="exact"/>
        <w:ind w:firstLine="466" w:firstLineChars="200"/>
        <w:rPr>
          <w:rFonts w:hint="eastAsia" w:ascii="宋体" w:hAnsi="宋体" w:eastAsia="宋体" w:cs="宋体"/>
          <w:color w:val="auto"/>
          <w:sz w:val="24"/>
          <w:szCs w:val="24"/>
          <w:highlight w:val="none"/>
        </w:rPr>
      </w:pPr>
      <w:r>
        <w:rPr>
          <w:rFonts w:hint="eastAsia" w:ascii="宋体" w:hAnsi="宋体" w:cs="宋体"/>
          <w:b/>
          <w:bCs/>
          <w:spacing w:val="-4"/>
          <w:sz w:val="24"/>
          <w:szCs w:val="24"/>
          <w:lang w:val="en-US" w:eastAsia="zh-CN"/>
        </w:rPr>
        <w:t>18、</w:t>
      </w:r>
      <w:r>
        <w:rPr>
          <w:rFonts w:hint="eastAsia" w:ascii="宋体" w:hAnsi="宋体" w:cs="宋体"/>
          <w:b/>
          <w:bCs/>
          <w:spacing w:val="-4"/>
          <w:sz w:val="24"/>
          <w:szCs w:val="24"/>
          <w:lang w:val="zh-CN" w:eastAsia="zh-TW"/>
        </w:rPr>
        <w:t>供应商的资格审查资料</w:t>
      </w:r>
    </w:p>
    <w:p w14:paraId="3F7416FB">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文件中要求</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按照</w:t>
      </w:r>
      <w:r>
        <w:rPr>
          <w:rFonts w:hint="eastAsia" w:ascii="宋体" w:hAnsi="宋体" w:eastAsia="宋体" w:cs="宋体"/>
          <w:color w:val="auto"/>
          <w:sz w:val="24"/>
          <w:szCs w:val="24"/>
          <w:highlight w:val="none"/>
          <w:lang w:val="en-US" w:eastAsia="zh-CN"/>
        </w:rPr>
        <w:t>电子磋商</w:t>
      </w:r>
      <w:r>
        <w:rPr>
          <w:rFonts w:hint="eastAsia" w:ascii="宋体" w:hAnsi="宋体" w:eastAsia="宋体" w:cs="宋体"/>
          <w:color w:val="auto"/>
          <w:sz w:val="24"/>
          <w:szCs w:val="24"/>
          <w:highlight w:val="none"/>
        </w:rPr>
        <w:t>文件格式进行</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文件编制，在文件编制时，应明确将</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单位企业基本情况、人员情况、财务情况、业绩情况编入</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文件，便于进行资格审查及</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打分。</w:t>
      </w:r>
    </w:p>
    <w:p w14:paraId="59821628">
      <w:pPr>
        <w:wordWrap w:val="0"/>
        <w:autoSpaceDE w:val="0"/>
        <w:autoSpaceDN w:val="0"/>
        <w:adjustRightInd w:val="0"/>
        <w:spacing w:line="360" w:lineRule="auto"/>
        <w:ind w:firstLine="466" w:firstLineChars="200"/>
        <w:rPr>
          <w:rFonts w:ascii="宋体" w:hAnsi="宋体" w:cs="宋体"/>
          <w:b/>
          <w:bCs/>
          <w:spacing w:val="-4"/>
          <w:sz w:val="24"/>
          <w:szCs w:val="24"/>
        </w:rPr>
      </w:pPr>
      <w:r>
        <w:rPr>
          <w:rFonts w:hint="eastAsia" w:ascii="宋体" w:hAnsi="宋体" w:cs="宋体"/>
          <w:b/>
          <w:bCs/>
          <w:spacing w:val="-4"/>
          <w:sz w:val="24"/>
          <w:szCs w:val="24"/>
        </w:rPr>
        <w:t>1</w:t>
      </w:r>
      <w:r>
        <w:rPr>
          <w:rFonts w:hint="eastAsia" w:ascii="宋体" w:hAnsi="宋体" w:cs="宋体"/>
          <w:b/>
          <w:bCs/>
          <w:spacing w:val="-4"/>
          <w:sz w:val="24"/>
          <w:szCs w:val="24"/>
          <w:lang w:val="en-US" w:eastAsia="zh-CN"/>
        </w:rPr>
        <w:t>9</w:t>
      </w:r>
      <w:r>
        <w:rPr>
          <w:rFonts w:hint="eastAsia" w:ascii="宋体" w:hAnsi="宋体" w:cs="宋体"/>
          <w:b/>
          <w:bCs/>
          <w:spacing w:val="-4"/>
          <w:sz w:val="24"/>
          <w:szCs w:val="24"/>
        </w:rPr>
        <w:t>、磋商报价</w:t>
      </w:r>
    </w:p>
    <w:p w14:paraId="423C4EB0">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1</w:t>
      </w:r>
      <w:r>
        <w:rPr>
          <w:rFonts w:hint="eastAsia" w:ascii="宋体" w:hAnsi="宋体" w:cs="宋体"/>
          <w:spacing w:val="-4"/>
          <w:sz w:val="24"/>
          <w:szCs w:val="24"/>
          <w:lang w:val="en-US" w:eastAsia="zh-CN"/>
        </w:rPr>
        <w:t>9</w:t>
      </w:r>
      <w:r>
        <w:rPr>
          <w:rFonts w:hint="eastAsia" w:ascii="宋体" w:hAnsi="宋体" w:cs="宋体"/>
          <w:spacing w:val="-4"/>
          <w:sz w:val="24"/>
          <w:szCs w:val="24"/>
        </w:rPr>
        <w:t>.1 根据竞争性磋商文件规定的工程内容，</w:t>
      </w:r>
      <w:r>
        <w:rPr>
          <w:rFonts w:hint="eastAsia" w:ascii="宋体" w:hAnsi="宋体" w:cs="宋体"/>
          <w:spacing w:val="-4"/>
          <w:sz w:val="24"/>
          <w:szCs w:val="24"/>
          <w:lang w:eastAsia="zh-CN"/>
        </w:rPr>
        <w:t>供应商</w:t>
      </w:r>
      <w:r>
        <w:rPr>
          <w:rFonts w:hint="eastAsia" w:ascii="宋体" w:hAnsi="宋体" w:cs="宋体"/>
          <w:spacing w:val="-4"/>
          <w:sz w:val="24"/>
          <w:szCs w:val="24"/>
        </w:rPr>
        <w:t>应对本次磋商工程的全部工作内容进行磋商报价。磋商报价应是竞争性磋商文件所确定的磋商范围内的全部工作内容的价格体现。</w:t>
      </w:r>
    </w:p>
    <w:p w14:paraId="125E3352">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1</w:t>
      </w:r>
      <w:r>
        <w:rPr>
          <w:rFonts w:hint="eastAsia" w:ascii="宋体" w:hAnsi="宋体" w:cs="宋体"/>
          <w:spacing w:val="-4"/>
          <w:sz w:val="24"/>
          <w:szCs w:val="24"/>
          <w:lang w:val="en-US" w:eastAsia="zh-CN"/>
        </w:rPr>
        <w:t>9</w:t>
      </w:r>
      <w:r>
        <w:rPr>
          <w:rFonts w:hint="eastAsia" w:ascii="宋体" w:hAnsi="宋体" w:cs="宋体"/>
          <w:spacing w:val="-4"/>
          <w:sz w:val="24"/>
          <w:szCs w:val="24"/>
        </w:rPr>
        <w:t>.2</w:t>
      </w:r>
      <w:r>
        <w:rPr>
          <w:rFonts w:hint="eastAsia" w:ascii="宋体" w:hAnsi="宋体" w:cs="宋体"/>
          <w:spacing w:val="-4"/>
          <w:sz w:val="24"/>
          <w:szCs w:val="24"/>
          <w:lang w:val="en-US" w:eastAsia="zh-CN"/>
        </w:rPr>
        <w:t xml:space="preserve"> </w:t>
      </w:r>
      <w:r>
        <w:rPr>
          <w:rFonts w:hint="eastAsia" w:ascii="宋体" w:hAnsi="宋体" w:cs="宋体"/>
          <w:spacing w:val="-4"/>
          <w:sz w:val="24"/>
          <w:szCs w:val="24"/>
        </w:rPr>
        <w:t>磋商报价应包括竞争性磋商文件及技术规范、</w:t>
      </w:r>
      <w:r>
        <w:rPr>
          <w:rFonts w:hint="eastAsia" w:ascii="宋体" w:hAnsi="宋体" w:cs="宋体"/>
          <w:spacing w:val="-4"/>
          <w:sz w:val="24"/>
          <w:szCs w:val="24"/>
          <w:lang w:val="en-US" w:eastAsia="zh-CN"/>
        </w:rPr>
        <w:t>工程量清单</w:t>
      </w:r>
      <w:r>
        <w:rPr>
          <w:rFonts w:hint="eastAsia" w:ascii="宋体" w:hAnsi="宋体" w:cs="宋体"/>
          <w:spacing w:val="-4"/>
          <w:sz w:val="24"/>
          <w:szCs w:val="24"/>
        </w:rPr>
        <w:t>等规定的，实施和完成磋商工程直至竣工验收合格，及达到质量和工期目标、安全文明、环境保护等要求,正式交付采购人使用前所需的全部费用。</w:t>
      </w:r>
    </w:p>
    <w:p w14:paraId="4E5E3B69">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highlight w:val="none"/>
        </w:rPr>
        <w:t>1</w:t>
      </w:r>
      <w:r>
        <w:rPr>
          <w:rFonts w:hint="eastAsia" w:ascii="宋体" w:hAnsi="宋体" w:cs="宋体"/>
          <w:spacing w:val="-4"/>
          <w:sz w:val="24"/>
          <w:szCs w:val="24"/>
          <w:highlight w:val="none"/>
          <w:lang w:val="en-US" w:eastAsia="zh-CN"/>
        </w:rPr>
        <w:t>9</w:t>
      </w:r>
      <w:r>
        <w:rPr>
          <w:rFonts w:hint="eastAsia" w:ascii="宋体" w:hAnsi="宋体" w:cs="宋体"/>
          <w:spacing w:val="-4"/>
          <w:sz w:val="24"/>
          <w:szCs w:val="24"/>
          <w:highlight w:val="none"/>
        </w:rPr>
        <w:t>.3 本工程采用</w:t>
      </w:r>
      <w:r>
        <w:rPr>
          <w:rFonts w:hint="eastAsia" w:ascii="宋体" w:hAnsi="宋体" w:cs="宋体"/>
          <w:spacing w:val="-4"/>
          <w:sz w:val="24"/>
          <w:szCs w:val="24"/>
          <w:highlight w:val="none"/>
          <w:lang w:val="en-US" w:eastAsia="zh-CN"/>
        </w:rPr>
        <w:t>单价合同</w:t>
      </w:r>
      <w:r>
        <w:rPr>
          <w:rFonts w:hint="eastAsia" w:ascii="宋体" w:hAnsi="宋体" w:cs="宋体"/>
          <w:spacing w:val="-4"/>
          <w:sz w:val="24"/>
          <w:szCs w:val="24"/>
          <w:highlight w:val="none"/>
        </w:rPr>
        <w:t>方式，</w:t>
      </w:r>
      <w:r>
        <w:rPr>
          <w:rFonts w:hint="eastAsia" w:ascii="宋体" w:hAnsi="宋体" w:cs="宋体"/>
          <w:spacing w:val="-4"/>
          <w:sz w:val="24"/>
          <w:szCs w:val="24"/>
          <w:lang w:eastAsia="zh-CN"/>
        </w:rPr>
        <w:t>供应商</w:t>
      </w:r>
      <w:r>
        <w:rPr>
          <w:rFonts w:hint="eastAsia" w:ascii="宋体" w:hAnsi="宋体" w:cs="宋体"/>
          <w:spacing w:val="-4"/>
          <w:sz w:val="24"/>
          <w:szCs w:val="24"/>
        </w:rPr>
        <w:t>的磋商报价根据竞争性磋商文件、</w:t>
      </w:r>
      <w:r>
        <w:rPr>
          <w:rFonts w:hint="eastAsia" w:ascii="宋体" w:hAnsi="宋体" w:cs="宋体"/>
          <w:spacing w:val="-4"/>
          <w:sz w:val="24"/>
          <w:szCs w:val="24"/>
          <w:lang w:val="en-US" w:eastAsia="zh-CN"/>
        </w:rPr>
        <w:t>工程量清单</w:t>
      </w:r>
      <w:r>
        <w:rPr>
          <w:rFonts w:hint="eastAsia" w:ascii="宋体" w:hAnsi="宋体" w:cs="宋体"/>
          <w:spacing w:val="-4"/>
          <w:sz w:val="24"/>
          <w:szCs w:val="24"/>
        </w:rPr>
        <w:t>等，充分考虑市场价格、风险因素，在合理范围内自主报价，但不得低于企业实际成本。</w:t>
      </w:r>
    </w:p>
    <w:p w14:paraId="5E9E7766">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1</w:t>
      </w:r>
      <w:r>
        <w:rPr>
          <w:rFonts w:hint="eastAsia" w:ascii="宋体" w:hAnsi="宋体" w:cs="宋体"/>
          <w:spacing w:val="-4"/>
          <w:sz w:val="24"/>
          <w:szCs w:val="24"/>
          <w:lang w:val="en-US" w:eastAsia="zh-CN"/>
        </w:rPr>
        <w:t>9</w:t>
      </w:r>
      <w:r>
        <w:rPr>
          <w:rFonts w:hint="eastAsia" w:ascii="宋体" w:hAnsi="宋体" w:cs="宋体"/>
          <w:spacing w:val="-4"/>
          <w:sz w:val="24"/>
          <w:szCs w:val="24"/>
        </w:rPr>
        <w:t>.4</w:t>
      </w:r>
      <w:r>
        <w:rPr>
          <w:rFonts w:hint="eastAsia" w:ascii="宋体" w:hAnsi="宋体" w:cs="宋体"/>
          <w:spacing w:val="-4"/>
          <w:sz w:val="24"/>
          <w:szCs w:val="24"/>
          <w:lang w:val="en-US" w:eastAsia="zh-CN"/>
        </w:rPr>
        <w:t xml:space="preserve"> </w:t>
      </w:r>
      <w:r>
        <w:rPr>
          <w:rFonts w:hint="eastAsia" w:ascii="宋体" w:hAnsi="宋体" w:cs="宋体"/>
          <w:spacing w:val="-4"/>
          <w:sz w:val="24"/>
          <w:szCs w:val="24"/>
          <w:lang w:eastAsia="zh-CN"/>
        </w:rPr>
        <w:t>供应商</w:t>
      </w:r>
      <w:r>
        <w:rPr>
          <w:rFonts w:hint="eastAsia" w:ascii="宋体" w:hAnsi="宋体" w:cs="宋体"/>
          <w:spacing w:val="-4"/>
          <w:sz w:val="24"/>
          <w:szCs w:val="24"/>
        </w:rPr>
        <w:t>应结合自身条件，并充分考虑本工程施工难度、工期的要求、质量要求以及市场因素、现场环境因素、社会因素、市场价格调整因素等各方面原因合理报价。磋商报价将被认为已综合考虑了在施工全过程中可能发生的全部不可预见费用。成交人无权再以任何理由提出延长工期、增加价款或索赔等要求。</w:t>
      </w:r>
    </w:p>
    <w:p w14:paraId="7F708F41">
      <w:pPr>
        <w:wordWrap w:val="0"/>
        <w:autoSpaceDE w:val="0"/>
        <w:autoSpaceDN w:val="0"/>
        <w:adjustRightInd w:val="0"/>
        <w:spacing w:line="360" w:lineRule="auto"/>
        <w:ind w:firstLine="464" w:firstLineChars="200"/>
        <w:rPr>
          <w:rFonts w:hint="eastAsia" w:ascii="宋体" w:hAnsi="宋体" w:cs="宋体"/>
          <w:spacing w:val="-4"/>
          <w:sz w:val="24"/>
          <w:szCs w:val="24"/>
        </w:rPr>
      </w:pPr>
      <w:r>
        <w:rPr>
          <w:rFonts w:hint="eastAsia" w:ascii="宋体" w:hAnsi="宋体" w:cs="宋体"/>
          <w:spacing w:val="-4"/>
          <w:sz w:val="24"/>
          <w:szCs w:val="24"/>
        </w:rPr>
        <w:t>1</w:t>
      </w:r>
      <w:r>
        <w:rPr>
          <w:rFonts w:hint="eastAsia" w:ascii="宋体" w:hAnsi="宋体" w:cs="宋体"/>
          <w:spacing w:val="-4"/>
          <w:sz w:val="24"/>
          <w:szCs w:val="24"/>
          <w:lang w:val="en-US" w:eastAsia="zh-CN"/>
        </w:rPr>
        <w:t>9</w:t>
      </w:r>
      <w:r>
        <w:rPr>
          <w:rFonts w:hint="eastAsia" w:ascii="宋体" w:hAnsi="宋体" w:cs="宋体"/>
          <w:spacing w:val="-4"/>
          <w:sz w:val="24"/>
          <w:szCs w:val="24"/>
        </w:rPr>
        <w:t>.5</w:t>
      </w:r>
      <w:r>
        <w:rPr>
          <w:rFonts w:hint="eastAsia" w:ascii="宋体" w:hAnsi="宋体" w:cs="宋体"/>
          <w:spacing w:val="-4"/>
          <w:sz w:val="24"/>
          <w:szCs w:val="24"/>
          <w:lang w:val="en-US" w:eastAsia="zh-CN"/>
        </w:rPr>
        <w:t xml:space="preserve"> </w:t>
      </w:r>
      <w:r>
        <w:rPr>
          <w:rFonts w:hint="eastAsia" w:ascii="宋体" w:hAnsi="宋体" w:cs="宋体"/>
          <w:spacing w:val="-4"/>
          <w:sz w:val="24"/>
          <w:szCs w:val="24"/>
          <w:lang w:eastAsia="zh-CN"/>
        </w:rPr>
        <w:t>供应商</w:t>
      </w:r>
      <w:r>
        <w:rPr>
          <w:rFonts w:hint="eastAsia" w:ascii="宋体" w:hAnsi="宋体" w:cs="宋体"/>
          <w:spacing w:val="-4"/>
          <w:sz w:val="24"/>
          <w:szCs w:val="24"/>
        </w:rPr>
        <w:t>在磋商报价前可以自行踏勘施工现场，充分考虑了工地现状条件可能影响到工程正常施工的所有风险因素。无论</w:t>
      </w:r>
      <w:r>
        <w:rPr>
          <w:rFonts w:hint="eastAsia" w:ascii="宋体" w:hAnsi="宋体" w:cs="宋体"/>
          <w:spacing w:val="-4"/>
          <w:sz w:val="24"/>
          <w:szCs w:val="24"/>
          <w:lang w:eastAsia="zh-CN"/>
        </w:rPr>
        <w:t>供应商</w:t>
      </w:r>
      <w:r>
        <w:rPr>
          <w:rFonts w:hint="eastAsia" w:ascii="宋体" w:hAnsi="宋体" w:cs="宋体"/>
          <w:spacing w:val="-4"/>
          <w:sz w:val="24"/>
          <w:szCs w:val="24"/>
        </w:rPr>
        <w:t>是否进行了上述现场踏勘工作，其磋商报价中均将被认为已包含有工地现状在施工作业期间发生的全部不可预见的风险费用，</w:t>
      </w:r>
      <w:r>
        <w:rPr>
          <w:rFonts w:hint="eastAsia" w:ascii="宋体" w:hAnsi="宋体" w:cs="宋体"/>
          <w:spacing w:val="-4"/>
          <w:sz w:val="24"/>
          <w:szCs w:val="24"/>
          <w:lang w:eastAsia="zh-CN"/>
        </w:rPr>
        <w:t>供应商</w:t>
      </w:r>
      <w:r>
        <w:rPr>
          <w:rFonts w:hint="eastAsia" w:ascii="宋体" w:hAnsi="宋体" w:cs="宋体"/>
          <w:spacing w:val="-4"/>
          <w:sz w:val="24"/>
          <w:szCs w:val="24"/>
        </w:rPr>
        <w:t>中标后则无权因此要求任何工期或费用上的索赔。</w:t>
      </w:r>
    </w:p>
    <w:p w14:paraId="357F549A">
      <w:pPr>
        <w:wordWrap w:val="0"/>
        <w:spacing w:line="360" w:lineRule="auto"/>
        <w:ind w:firstLine="480" w:firstLineChars="200"/>
        <w:rPr>
          <w:sz w:val="24"/>
        </w:rPr>
      </w:pPr>
      <w:r>
        <w:rPr>
          <w:rFonts w:hint="eastAsia" w:ascii="宋体" w:hAnsi="宋体"/>
          <w:sz w:val="24"/>
          <w:szCs w:val="24"/>
          <w:lang w:val="en-US" w:eastAsia="zh-CN"/>
        </w:rPr>
        <w:t>19.6</w:t>
      </w:r>
      <w:r>
        <w:rPr>
          <w:rFonts w:hint="eastAsia"/>
          <w:sz w:val="24"/>
        </w:rPr>
        <w:t>供应商根据市场行情自主报价。</w:t>
      </w:r>
      <w:r>
        <w:rPr>
          <w:rFonts w:hint="eastAsia" w:ascii="宋体" w:hAnsi="宋体"/>
          <w:sz w:val="24"/>
          <w:szCs w:val="24"/>
        </w:rPr>
        <w:t>供应商的</w:t>
      </w:r>
      <w:r>
        <w:rPr>
          <w:rFonts w:hint="eastAsia" w:ascii="宋体" w:hAnsi="宋体"/>
          <w:sz w:val="24"/>
          <w:szCs w:val="24"/>
          <w:lang w:eastAsia="zh-CN"/>
        </w:rPr>
        <w:t>磋商</w:t>
      </w:r>
      <w:r>
        <w:rPr>
          <w:rFonts w:hint="eastAsia" w:ascii="宋体" w:hAnsi="宋体"/>
          <w:sz w:val="24"/>
          <w:szCs w:val="24"/>
        </w:rPr>
        <w:t>报价包括完成该项目的成本、利润、税金、风险等所有伴随的其他费用。</w:t>
      </w:r>
      <w:r>
        <w:rPr>
          <w:rFonts w:hint="eastAsia"/>
          <w:sz w:val="24"/>
        </w:rPr>
        <w:t>采购人不另外支付其他任何费用。</w:t>
      </w:r>
    </w:p>
    <w:p w14:paraId="165E4E20">
      <w:pPr>
        <w:spacing w:line="360" w:lineRule="auto"/>
        <w:ind w:firstLine="480" w:firstLineChars="200"/>
        <w:rPr>
          <w:rFonts w:ascii="宋体" w:hAnsi="宋体"/>
          <w:sz w:val="24"/>
          <w:szCs w:val="24"/>
          <w:highlight w:val="none"/>
        </w:rPr>
      </w:pPr>
      <w:r>
        <w:rPr>
          <w:rFonts w:hint="eastAsia" w:ascii="宋体" w:hAnsi="宋体"/>
          <w:sz w:val="24"/>
          <w:szCs w:val="24"/>
          <w:highlight w:val="none"/>
          <w:lang w:val="en-US" w:eastAsia="zh-CN"/>
        </w:rPr>
        <w:t>19.7</w:t>
      </w:r>
      <w:r>
        <w:rPr>
          <w:rFonts w:hint="eastAsia" w:ascii="宋体" w:hAnsi="宋体"/>
          <w:sz w:val="24"/>
          <w:szCs w:val="24"/>
          <w:highlight w:val="none"/>
        </w:rPr>
        <w:t>供应商应充分考虑市场风险和国家政策性风险系数，根据企业具体情况在合理的范围内自主报价，但不得低于企业实际成本。</w:t>
      </w:r>
    </w:p>
    <w:p w14:paraId="552ED742">
      <w:pPr>
        <w:spacing w:line="360" w:lineRule="auto"/>
        <w:ind w:firstLine="480" w:firstLineChars="200"/>
        <w:rPr>
          <w:rFonts w:ascii="宋体" w:hAnsi="宋体"/>
          <w:sz w:val="24"/>
          <w:szCs w:val="24"/>
          <w:highlight w:val="none"/>
        </w:rPr>
      </w:pPr>
      <w:r>
        <w:rPr>
          <w:rFonts w:hint="eastAsia" w:ascii="宋体" w:hAnsi="宋体"/>
          <w:sz w:val="24"/>
          <w:szCs w:val="24"/>
          <w:highlight w:val="none"/>
          <w:lang w:val="en-US" w:eastAsia="zh-CN"/>
        </w:rPr>
        <w:t>19.8</w:t>
      </w:r>
      <w:r>
        <w:rPr>
          <w:rFonts w:hint="eastAsia" w:ascii="宋体" w:hAnsi="宋体"/>
          <w:sz w:val="24"/>
          <w:szCs w:val="24"/>
          <w:highlight w:val="none"/>
        </w:rPr>
        <w:t>供应商只能提出一个报价，采购人不接受任何有选择的报价，最后报价不得超过项目磋商控制价。</w:t>
      </w:r>
    </w:p>
    <w:p w14:paraId="776EA3FE">
      <w:pPr>
        <w:wordWrap w:val="0"/>
        <w:autoSpaceDE w:val="0"/>
        <w:autoSpaceDN w:val="0"/>
        <w:adjustRightInd w:val="0"/>
        <w:spacing w:line="360" w:lineRule="auto"/>
        <w:ind w:firstLine="480" w:firstLineChars="200"/>
        <w:rPr>
          <w:rFonts w:hint="eastAsia" w:ascii="宋体" w:hAnsi="宋体"/>
          <w:sz w:val="24"/>
          <w:szCs w:val="24"/>
        </w:rPr>
      </w:pPr>
      <w:r>
        <w:rPr>
          <w:rFonts w:hint="eastAsia" w:ascii="宋体" w:hAnsi="宋体"/>
          <w:sz w:val="24"/>
          <w:szCs w:val="24"/>
          <w:lang w:val="en-US" w:eastAsia="zh-CN"/>
        </w:rPr>
        <w:t>19.9</w:t>
      </w:r>
      <w:r>
        <w:rPr>
          <w:rFonts w:hint="eastAsia" w:ascii="宋体" w:hAnsi="宋体"/>
          <w:sz w:val="24"/>
          <w:szCs w:val="24"/>
        </w:rPr>
        <w:t>本次采购为竞争性磋商采购，允许二次报价。</w:t>
      </w:r>
    </w:p>
    <w:p w14:paraId="4A4A1BDB">
      <w:pPr>
        <w:spacing w:line="440" w:lineRule="exact"/>
        <w:ind w:firstLine="480" w:firstLineChars="200"/>
        <w:rPr>
          <w:rFonts w:ascii="宋体" w:hAnsi="宋体" w:cs="宋体"/>
          <w:sz w:val="24"/>
          <w:szCs w:val="24"/>
        </w:rPr>
      </w:pPr>
      <w:r>
        <w:rPr>
          <w:rFonts w:hint="eastAsia" w:ascii="宋体" w:hAnsi="宋体" w:cs="宋体"/>
          <w:b w:val="0"/>
          <w:bCs w:val="0"/>
          <w:sz w:val="24"/>
          <w:szCs w:val="24"/>
          <w:lang w:val="en-US" w:eastAsia="zh-CN"/>
        </w:rPr>
        <w:t>19.10</w:t>
      </w:r>
      <w:r>
        <w:rPr>
          <w:rFonts w:hint="eastAsia" w:ascii="宋体" w:hAnsi="宋体" w:cs="宋体"/>
          <w:sz w:val="24"/>
          <w:szCs w:val="24"/>
        </w:rPr>
        <w:t>全部报价均应以人民币为计量币种，并以人民币进行结算。</w:t>
      </w:r>
    </w:p>
    <w:p w14:paraId="6CB71B97">
      <w:pPr>
        <w:spacing w:line="440" w:lineRule="exact"/>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19.11</w:t>
      </w:r>
      <w:r>
        <w:rPr>
          <w:rFonts w:hint="eastAsia" w:ascii="宋体" w:hAnsi="宋体" w:cs="宋体"/>
          <w:b w:val="0"/>
          <w:bCs w:val="0"/>
          <w:sz w:val="24"/>
          <w:szCs w:val="24"/>
          <w:highlight w:val="none"/>
        </w:rPr>
        <w:t>根据财政部《关于推动解决政府采购异常低价问题的通知》（财库〔2026〕2号），评审中出现下列情形之一的，评审委员会应当启动异常低价投标（响应）审查程序：</w:t>
      </w:r>
    </w:p>
    <w:p w14:paraId="02AF547A">
      <w:pPr>
        <w:spacing w:line="440" w:lineRule="exact"/>
        <w:ind w:firstLine="549" w:firstLineChars="229"/>
        <w:rPr>
          <w:rFonts w:hint="eastAsia" w:ascii="宋体" w:hAnsi="宋体" w:cs="宋体"/>
          <w:b w:val="0"/>
          <w:bCs w:val="0"/>
          <w:sz w:val="24"/>
          <w:szCs w:val="24"/>
          <w:highlight w:val="none"/>
        </w:rPr>
      </w:pP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1</w:t>
      </w: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rPr>
        <w:t>投标（响应）报价低于全部通过符合性审查供应商投标（响应）报价平均值50%的，即投标（响应）报价&lt;全部通过符合性审查供应商投标（响应）报价平均值×50%；</w:t>
      </w:r>
    </w:p>
    <w:p w14:paraId="2344EC91">
      <w:pPr>
        <w:spacing w:line="440" w:lineRule="exact"/>
        <w:ind w:firstLine="549" w:firstLineChars="229"/>
        <w:rPr>
          <w:rFonts w:hint="eastAsia" w:ascii="宋体" w:hAnsi="宋体" w:cs="宋体"/>
          <w:b w:val="0"/>
          <w:bCs w:val="0"/>
          <w:sz w:val="24"/>
          <w:szCs w:val="24"/>
          <w:highlight w:val="none"/>
        </w:rPr>
      </w:pP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2</w:t>
      </w: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rPr>
        <w:t>投标（响应）报价低于通过符合性审查的次低报价供应商投标（响应）报价50%的，即投标（响应）报价&lt;通过符合性审查的次低报价供应商投标（响应）报价×50%；</w:t>
      </w:r>
    </w:p>
    <w:p w14:paraId="2EB98402">
      <w:pPr>
        <w:spacing w:line="440" w:lineRule="exact"/>
        <w:ind w:firstLine="549" w:firstLineChars="229"/>
        <w:rPr>
          <w:rFonts w:hint="eastAsia" w:ascii="宋体" w:hAnsi="宋体" w:cs="宋体"/>
          <w:b w:val="0"/>
          <w:bCs w:val="0"/>
          <w:sz w:val="24"/>
          <w:szCs w:val="24"/>
          <w:highlight w:val="none"/>
        </w:rPr>
      </w:pP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rPr>
        <w:t>投标（响应）报价低于采购项目最高限价45%的，即投标（响应）报价&lt;采购项目最高限价×45%；</w:t>
      </w:r>
    </w:p>
    <w:p w14:paraId="0BC4DA2A">
      <w:pPr>
        <w:spacing w:line="440" w:lineRule="exact"/>
        <w:ind w:firstLine="549" w:firstLineChars="229"/>
        <w:rPr>
          <w:rFonts w:ascii="宋体" w:hAnsi="宋体" w:cs="宋体"/>
          <w:b w:val="0"/>
          <w:bCs w:val="0"/>
          <w:sz w:val="24"/>
          <w:szCs w:val="24"/>
          <w:highlight w:val="none"/>
        </w:rPr>
      </w:pP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4</w:t>
      </w: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rPr>
        <w:t>评审委员会基于专业判断，认为供应商报价过低，有可能影响产品质量或者不能诚信履约的其他情形。</w:t>
      </w:r>
    </w:p>
    <w:p w14:paraId="68A06041">
      <w:pPr>
        <w:spacing w:line="440" w:lineRule="exact"/>
        <w:ind w:firstLine="549" w:firstLineChars="229"/>
        <w:rPr>
          <w:rFonts w:hint="eastAsia" w:ascii="宋体" w:hAnsi="宋体" w:cs="宋体"/>
          <w:b w:val="0"/>
          <w:bCs w:val="0"/>
          <w:sz w:val="24"/>
          <w:szCs w:val="24"/>
          <w:highlight w:val="none"/>
        </w:rPr>
      </w:pPr>
      <w:r>
        <w:rPr>
          <w:rFonts w:hint="eastAsia" w:ascii="宋体" w:hAnsi="宋体" w:cs="宋体"/>
          <w:b w:val="0"/>
          <w:bCs w:val="0"/>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018E573">
      <w:pPr>
        <w:spacing w:line="440" w:lineRule="exact"/>
        <w:ind w:firstLine="549" w:firstLineChars="229"/>
        <w:rPr>
          <w:rFonts w:hint="eastAsia" w:ascii="宋体" w:hAnsi="宋体" w:cs="宋体"/>
          <w:b w:val="0"/>
          <w:bCs w:val="0"/>
          <w:sz w:val="24"/>
          <w:szCs w:val="24"/>
          <w:highlight w:val="none"/>
        </w:rPr>
      </w:pPr>
      <w:r>
        <w:rPr>
          <w:rFonts w:hint="eastAsia" w:ascii="宋体" w:hAnsi="宋体" w:cs="宋体"/>
          <w:b w:val="0"/>
          <w:bCs w:val="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93D0F2">
      <w:pPr>
        <w:keepNext/>
        <w:keepLines/>
        <w:spacing w:line="440" w:lineRule="exact"/>
        <w:ind w:firstLine="482" w:firstLineChars="200"/>
        <w:outlineLvl w:val="3"/>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20、磋商</w:t>
      </w:r>
      <w:r>
        <w:rPr>
          <w:rFonts w:hint="eastAsia" w:ascii="宋体" w:hAnsi="宋体" w:eastAsia="宋体" w:cs="宋体"/>
          <w:b/>
          <w:bCs/>
          <w:color w:val="auto"/>
          <w:sz w:val="24"/>
          <w:szCs w:val="24"/>
          <w:highlight w:val="none"/>
        </w:rPr>
        <w:t>有效期</w:t>
      </w:r>
    </w:p>
    <w:p w14:paraId="15DAA12F">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.1 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须知前附表规定的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有效期内，</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不得要求撤销或修改其</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p>
    <w:p w14:paraId="38299FC8">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.2 出现特殊情况需要延长</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有效期的，采购人以书面形式通知所有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延长</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有效期。</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同意延长的，不得要求或被允许修改或撤销其</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拒绝延长的，其</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失效。</w:t>
      </w:r>
    </w:p>
    <w:p w14:paraId="331444F3">
      <w:pPr>
        <w:spacing w:line="440" w:lineRule="exact"/>
        <w:ind w:firstLine="482" w:firstLineChars="200"/>
        <w:jc w:val="left"/>
        <w:rPr>
          <w:rFonts w:ascii="宋体" w:hAnsi="宋体" w:eastAsia="宋体" w:cs="宋体"/>
          <w:color w:val="auto"/>
          <w:kern w:val="0"/>
          <w:sz w:val="24"/>
          <w:szCs w:val="24"/>
          <w:highlight w:val="none"/>
        </w:rPr>
      </w:pPr>
      <w:r>
        <w:rPr>
          <w:rFonts w:hint="eastAsia" w:ascii="宋体" w:hAnsi="宋体" w:eastAsia="宋体" w:cs="宋体"/>
          <w:b/>
          <w:color w:val="auto"/>
          <w:sz w:val="24"/>
          <w:szCs w:val="24"/>
          <w:highlight w:val="none"/>
          <w:lang w:val="en-US" w:eastAsia="zh-CN"/>
        </w:rPr>
        <w:t>21.磋商</w:t>
      </w:r>
      <w:r>
        <w:rPr>
          <w:rFonts w:hint="eastAsia" w:ascii="宋体" w:hAnsi="宋体" w:eastAsia="宋体" w:cs="宋体"/>
          <w:b/>
          <w:color w:val="auto"/>
          <w:sz w:val="24"/>
          <w:szCs w:val="24"/>
          <w:highlight w:val="none"/>
        </w:rPr>
        <w:t>保证金：</w:t>
      </w:r>
      <w:r>
        <w:rPr>
          <w:rFonts w:hint="eastAsia" w:ascii="宋体" w:hAnsi="宋体" w:eastAsia="宋体" w:cs="宋体"/>
          <w:color w:val="auto"/>
          <w:sz w:val="24"/>
          <w:szCs w:val="24"/>
          <w:highlight w:val="none"/>
        </w:rPr>
        <w:t>按照《河南省财政厅关于优化政府采购营商环境有关问题的通知》（豫财购[2019]4号文）的要求本项目不再收取</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w:t>
      </w:r>
    </w:p>
    <w:p w14:paraId="47598B5C">
      <w:pPr>
        <w:spacing w:line="440" w:lineRule="exact"/>
        <w:ind w:firstLine="482" w:firstLineChars="20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22、</w:t>
      </w:r>
      <w:r>
        <w:rPr>
          <w:rFonts w:hint="eastAsia" w:ascii="宋体" w:hAnsi="宋体" w:eastAsia="宋体" w:cs="宋体"/>
          <w:b/>
          <w:bCs/>
          <w:color w:val="auto"/>
          <w:sz w:val="24"/>
          <w:szCs w:val="24"/>
          <w:highlight w:val="none"/>
        </w:rPr>
        <w:t>资格审查资料</w:t>
      </w:r>
    </w:p>
    <w:p w14:paraId="55C2E966">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详见供应商前附表</w:t>
      </w:r>
      <w:r>
        <w:rPr>
          <w:rFonts w:hint="eastAsia" w:ascii="宋体" w:hAnsi="宋体" w:eastAsia="宋体" w:cs="宋体"/>
          <w:color w:val="auto"/>
          <w:sz w:val="24"/>
          <w:szCs w:val="24"/>
          <w:highlight w:val="none"/>
          <w:lang w:eastAsia="zh-CN"/>
        </w:rPr>
        <w:t>。</w:t>
      </w:r>
    </w:p>
    <w:p w14:paraId="62BECC86">
      <w:pPr>
        <w:keepNext/>
        <w:keepLines/>
        <w:spacing w:line="440" w:lineRule="exact"/>
        <w:ind w:firstLine="482" w:firstLineChars="200"/>
        <w:outlineLvl w:val="3"/>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23、响应</w:t>
      </w:r>
      <w:r>
        <w:rPr>
          <w:rFonts w:hint="eastAsia" w:ascii="宋体" w:hAnsi="宋体" w:eastAsia="宋体" w:cs="宋体"/>
          <w:b/>
          <w:bCs/>
          <w:color w:val="auto"/>
          <w:sz w:val="24"/>
          <w:szCs w:val="24"/>
          <w:highlight w:val="none"/>
        </w:rPr>
        <w:t>文件的编制</w:t>
      </w:r>
    </w:p>
    <w:p w14:paraId="2C6AB262">
      <w:pPr>
        <w:wordWrap w:val="0"/>
        <w:autoSpaceDE w:val="0"/>
        <w:autoSpaceDN w:val="0"/>
        <w:adjustRightInd w:val="0"/>
        <w:spacing w:line="360" w:lineRule="auto"/>
        <w:ind w:firstLine="464" w:firstLineChars="200"/>
        <w:rPr>
          <w:rFonts w:ascii="宋体" w:hAnsi="宋体" w:cs="宋体"/>
          <w:spacing w:val="-4"/>
          <w:sz w:val="24"/>
          <w:szCs w:val="24"/>
          <w:highlight w:val="yellow"/>
        </w:rPr>
      </w:pPr>
      <w:r>
        <w:rPr>
          <w:rFonts w:hint="eastAsia" w:ascii="宋体" w:hAnsi="宋体" w:cs="宋体"/>
          <w:spacing w:val="-4"/>
          <w:sz w:val="24"/>
          <w:szCs w:val="24"/>
          <w:lang w:val="en-US" w:eastAsia="zh-CN"/>
        </w:rPr>
        <w:t>23</w:t>
      </w:r>
      <w:r>
        <w:rPr>
          <w:rFonts w:hint="eastAsia" w:ascii="宋体" w:hAnsi="宋体" w:cs="宋体"/>
          <w:spacing w:val="-4"/>
          <w:sz w:val="24"/>
          <w:szCs w:val="24"/>
        </w:rPr>
        <w:t>.1 响应文件应按“响应文件格式”进行编写，如有必要，可以增加附页，作为响应文件的</w:t>
      </w:r>
      <w:r>
        <w:rPr>
          <w:rFonts w:hint="eastAsia" w:ascii="宋体" w:hAnsi="宋体" w:cs="宋体"/>
          <w:spacing w:val="-4"/>
          <w:sz w:val="24"/>
          <w:szCs w:val="24"/>
          <w:highlight w:val="none"/>
        </w:rPr>
        <w:t>组成部分。</w:t>
      </w:r>
    </w:p>
    <w:p w14:paraId="59D1474E">
      <w:pPr>
        <w:wordWrap w:val="0"/>
        <w:autoSpaceDE w:val="0"/>
        <w:autoSpaceDN w:val="0"/>
        <w:adjustRightInd w:val="0"/>
        <w:spacing w:line="360" w:lineRule="auto"/>
        <w:ind w:firstLine="464" w:firstLineChars="200"/>
        <w:rPr>
          <w:rFonts w:ascii="宋体" w:hAnsi="宋体" w:cs="宋体"/>
          <w:spacing w:val="-4"/>
          <w:sz w:val="24"/>
          <w:szCs w:val="24"/>
          <w:highlight w:val="none"/>
        </w:rPr>
      </w:pPr>
      <w:r>
        <w:rPr>
          <w:rFonts w:hint="eastAsia" w:ascii="宋体" w:hAnsi="宋体" w:cs="宋体"/>
          <w:spacing w:val="-4"/>
          <w:sz w:val="24"/>
          <w:szCs w:val="24"/>
          <w:highlight w:val="none"/>
          <w:lang w:val="en-US" w:eastAsia="zh-CN"/>
        </w:rPr>
        <w:t>23</w:t>
      </w:r>
      <w:r>
        <w:rPr>
          <w:rFonts w:hint="eastAsia" w:ascii="宋体" w:hAnsi="宋体" w:cs="宋体"/>
          <w:spacing w:val="-4"/>
          <w:sz w:val="24"/>
          <w:szCs w:val="24"/>
          <w:highlight w:val="none"/>
        </w:rPr>
        <w:t>.2</w:t>
      </w:r>
      <w:r>
        <w:rPr>
          <w:rFonts w:hint="eastAsia" w:ascii="宋体" w:hAnsi="宋体" w:cs="宋体"/>
          <w:spacing w:val="-4"/>
          <w:sz w:val="24"/>
          <w:szCs w:val="24"/>
          <w:highlight w:val="none"/>
          <w:lang w:val="en-US" w:eastAsia="zh-CN"/>
        </w:rPr>
        <w:t xml:space="preserve"> </w:t>
      </w:r>
      <w:r>
        <w:rPr>
          <w:rFonts w:hint="eastAsia" w:ascii="宋体" w:hAnsi="宋体" w:cs="宋体"/>
          <w:spacing w:val="-4"/>
          <w:sz w:val="24"/>
          <w:szCs w:val="24"/>
          <w:highlight w:val="none"/>
        </w:rPr>
        <w:t>响应文件应当对磋商文件有关工期、质量标准等实质性内容作出响应。</w:t>
      </w:r>
    </w:p>
    <w:p w14:paraId="02BEB665">
      <w:pPr>
        <w:wordWrap w:val="0"/>
        <w:autoSpaceDE w:val="0"/>
        <w:autoSpaceDN w:val="0"/>
        <w:adjustRightInd w:val="0"/>
        <w:spacing w:line="360" w:lineRule="auto"/>
        <w:ind w:firstLine="464" w:firstLineChars="200"/>
        <w:rPr>
          <w:rFonts w:ascii="宋体" w:hAnsi="宋体" w:cs="宋体"/>
          <w:spacing w:val="-4"/>
          <w:sz w:val="24"/>
          <w:szCs w:val="24"/>
          <w:highlight w:val="none"/>
        </w:rPr>
      </w:pPr>
      <w:r>
        <w:rPr>
          <w:rFonts w:hint="eastAsia" w:ascii="宋体" w:hAnsi="宋体" w:cs="宋体"/>
          <w:spacing w:val="-4"/>
          <w:sz w:val="24"/>
          <w:szCs w:val="24"/>
          <w:highlight w:val="none"/>
          <w:lang w:val="en-US" w:eastAsia="zh-CN"/>
        </w:rPr>
        <w:t>23</w:t>
      </w:r>
      <w:r>
        <w:rPr>
          <w:rFonts w:hint="eastAsia" w:ascii="宋体" w:hAnsi="宋体" w:cs="宋体"/>
          <w:spacing w:val="-4"/>
          <w:sz w:val="24"/>
          <w:szCs w:val="24"/>
          <w:highlight w:val="none"/>
        </w:rPr>
        <w:t xml:space="preserve">.3 </w:t>
      </w:r>
      <w:r>
        <w:rPr>
          <w:rFonts w:hint="eastAsia" w:ascii="宋体" w:hAnsi="宋体" w:eastAsia="宋体" w:cs="宋体"/>
          <w:sz w:val="24"/>
          <w:szCs w:val="24"/>
        </w:rPr>
        <w:t>供应商在生成电子化响应文件后，应对电子化响应文件进行签章，未进行签章的视为无效响应</w:t>
      </w:r>
      <w:r>
        <w:rPr>
          <w:rFonts w:hint="eastAsia" w:ascii="宋体" w:hAnsi="宋体" w:cs="宋体"/>
          <w:spacing w:val="-4"/>
          <w:sz w:val="24"/>
          <w:szCs w:val="24"/>
          <w:highlight w:val="none"/>
        </w:rPr>
        <w:t>。</w:t>
      </w:r>
    </w:p>
    <w:p w14:paraId="6745AB09">
      <w:pPr>
        <w:wordWrap w:val="0"/>
        <w:autoSpaceDE w:val="0"/>
        <w:autoSpaceDN w:val="0"/>
        <w:adjustRightInd w:val="0"/>
        <w:spacing w:line="360" w:lineRule="auto"/>
        <w:ind w:firstLine="464" w:firstLineChars="200"/>
        <w:rPr>
          <w:rFonts w:hint="eastAsia" w:ascii="宋体" w:hAnsi="宋体" w:eastAsia="宋体" w:cs="宋体"/>
          <w:sz w:val="24"/>
          <w:szCs w:val="24"/>
          <w:lang w:eastAsia="zh-CN"/>
        </w:rPr>
      </w:pPr>
      <w:r>
        <w:rPr>
          <w:rFonts w:hint="eastAsia" w:ascii="宋体" w:hAnsi="宋体" w:cs="宋体"/>
          <w:spacing w:val="-4"/>
          <w:sz w:val="24"/>
          <w:szCs w:val="24"/>
          <w:highlight w:val="none"/>
          <w:lang w:val="en-US" w:eastAsia="zh-CN"/>
        </w:rPr>
        <w:t>23</w:t>
      </w:r>
      <w:r>
        <w:rPr>
          <w:rFonts w:hint="eastAsia" w:ascii="宋体" w:hAnsi="宋体" w:cs="宋体"/>
          <w:spacing w:val="-4"/>
          <w:sz w:val="24"/>
          <w:szCs w:val="24"/>
          <w:highlight w:val="none"/>
        </w:rPr>
        <w:t xml:space="preserve">.4 </w:t>
      </w:r>
      <w:r>
        <w:rPr>
          <w:rFonts w:hint="eastAsia" w:ascii="宋体" w:hAnsi="宋体" w:eastAsia="宋体" w:cs="宋体"/>
          <w:spacing w:val="2"/>
          <w:kern w:val="0"/>
          <w:sz w:val="24"/>
          <w:szCs w:val="24"/>
        </w:rPr>
        <w:t>磋商文件中要求签章的，供应商在进行电子化响应文件签章时，以单位和法定代表人电子签章为准。电子化响应文件具体制作教材请供应商通过CA证书登录三门峡市公共资源电子化交易系统在右上角“帮助中心”中查看</w:t>
      </w:r>
      <w:r>
        <w:rPr>
          <w:rFonts w:hint="eastAsia" w:ascii="宋体" w:hAnsi="宋体" w:eastAsia="宋体" w:cs="宋体"/>
          <w:sz w:val="24"/>
          <w:szCs w:val="24"/>
          <w:lang w:eastAsia="zh-CN"/>
        </w:rPr>
        <w:t>。</w:t>
      </w:r>
    </w:p>
    <w:p w14:paraId="33E9F047">
      <w:pPr>
        <w:wordWrap w:val="0"/>
        <w:autoSpaceDE w:val="0"/>
        <w:autoSpaceDN w:val="0"/>
        <w:adjustRightInd w:val="0"/>
        <w:spacing w:line="360" w:lineRule="auto"/>
        <w:ind w:firstLine="464" w:firstLineChars="200"/>
        <w:rPr>
          <w:rFonts w:hint="eastAsia" w:ascii="宋体" w:hAnsi="宋体" w:eastAsia="宋体" w:cs="宋体"/>
          <w:sz w:val="24"/>
          <w:szCs w:val="24"/>
        </w:rPr>
      </w:pPr>
      <w:r>
        <w:rPr>
          <w:rFonts w:hint="eastAsia" w:ascii="宋体" w:hAnsi="宋体" w:cs="宋体"/>
          <w:spacing w:val="-4"/>
          <w:sz w:val="24"/>
          <w:szCs w:val="24"/>
          <w:lang w:val="en-US" w:eastAsia="zh-CN"/>
        </w:rPr>
        <w:t>23</w:t>
      </w:r>
      <w:r>
        <w:rPr>
          <w:rFonts w:hint="eastAsia" w:ascii="宋体" w:hAnsi="宋体" w:cs="宋体"/>
          <w:spacing w:val="-4"/>
          <w:sz w:val="24"/>
          <w:szCs w:val="24"/>
        </w:rPr>
        <w:t xml:space="preserve">.5 </w:t>
      </w:r>
      <w:r>
        <w:rPr>
          <w:rFonts w:hint="eastAsia" w:ascii="宋体" w:hAnsi="宋体" w:eastAsia="宋体" w:cs="宋体"/>
          <w:sz w:val="24"/>
          <w:szCs w:val="24"/>
        </w:rPr>
        <w:t>相关证书原件的提交：本项目实行资格后审，磋商文件中要求供应商提交资质、业绩、荣誉及单位人员等相关资料原件的，供应商需将原件扫描件制作到电子响应文件中。</w:t>
      </w:r>
    </w:p>
    <w:p w14:paraId="54F85D55">
      <w:pPr>
        <w:wordWrap w:val="0"/>
        <w:autoSpaceDE w:val="0"/>
        <w:autoSpaceDN w:val="0"/>
        <w:adjustRightInd w:val="0"/>
        <w:spacing w:line="360" w:lineRule="auto"/>
        <w:ind w:firstLine="480" w:firstLineChars="200"/>
        <w:rPr>
          <w:rFonts w:ascii="宋体" w:hAnsi="宋体" w:cs="宋体"/>
          <w:spacing w:val="-4"/>
          <w:sz w:val="24"/>
          <w:szCs w:val="24"/>
          <w:highlight w:val="yellow"/>
        </w:rPr>
      </w:pPr>
      <w:r>
        <w:rPr>
          <w:rFonts w:hint="eastAsia" w:ascii="宋体" w:hAnsi="宋体" w:eastAsia="宋体" w:cs="宋体"/>
          <w:sz w:val="24"/>
          <w:szCs w:val="24"/>
          <w:lang w:val="en-US" w:eastAsia="zh-CN"/>
        </w:rPr>
        <w:t>23.6</w:t>
      </w:r>
      <w:r>
        <w:rPr>
          <w:rFonts w:hint="eastAsia" w:ascii="宋体" w:hAnsi="宋体" w:eastAsia="宋体" w:cs="宋体"/>
          <w:sz w:val="24"/>
          <w:szCs w:val="24"/>
        </w:rPr>
        <w:t>采购人设有磋商控制价的，供应商的磋商报价不得超过磋商</w:t>
      </w:r>
      <w:r>
        <w:rPr>
          <w:rFonts w:hint="eastAsia" w:ascii="宋体" w:hAnsi="宋体" w:eastAsia="宋体" w:cs="宋体"/>
          <w:sz w:val="24"/>
          <w:szCs w:val="24"/>
          <w:highlight w:val="none"/>
        </w:rPr>
        <w:t>控制价</w:t>
      </w:r>
      <w:r>
        <w:rPr>
          <w:rFonts w:hint="eastAsia" w:ascii="宋体" w:hAnsi="宋体" w:cs="宋体"/>
          <w:spacing w:val="-4"/>
          <w:sz w:val="24"/>
          <w:szCs w:val="24"/>
          <w:highlight w:val="none"/>
        </w:rPr>
        <w:t>。</w:t>
      </w:r>
    </w:p>
    <w:p w14:paraId="44FC4C6C">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lang w:val="en-US" w:eastAsia="zh-CN"/>
        </w:rPr>
        <w:t>23</w:t>
      </w:r>
      <w:r>
        <w:rPr>
          <w:rFonts w:hint="eastAsia" w:ascii="宋体" w:hAnsi="宋体" w:cs="宋体"/>
          <w:spacing w:val="-4"/>
          <w:sz w:val="24"/>
          <w:szCs w:val="24"/>
        </w:rPr>
        <w:t>.</w:t>
      </w:r>
      <w:r>
        <w:rPr>
          <w:rFonts w:hint="eastAsia" w:ascii="宋体" w:hAnsi="宋体" w:cs="宋体"/>
          <w:spacing w:val="-4"/>
          <w:sz w:val="24"/>
          <w:szCs w:val="24"/>
          <w:lang w:val="en-US" w:eastAsia="zh-CN"/>
        </w:rPr>
        <w:t>7</w:t>
      </w:r>
      <w:r>
        <w:rPr>
          <w:rFonts w:hint="eastAsia" w:ascii="宋体" w:hAnsi="宋体" w:cs="宋体"/>
          <w:spacing w:val="-4"/>
          <w:sz w:val="24"/>
          <w:szCs w:val="24"/>
        </w:rPr>
        <w:t>响应文件中如果用数字表示的数额与文字表示的数额不一致时，以文字表示的数额为准。</w:t>
      </w:r>
    </w:p>
    <w:p w14:paraId="762C2576">
      <w:pPr>
        <w:wordWrap w:val="0"/>
        <w:autoSpaceDE w:val="0"/>
        <w:autoSpaceDN w:val="0"/>
        <w:adjustRightInd w:val="0"/>
        <w:spacing w:line="360" w:lineRule="auto"/>
        <w:ind w:firstLine="464" w:firstLineChars="200"/>
        <w:rPr>
          <w:rFonts w:hint="eastAsia" w:ascii="宋体" w:hAnsi="宋体" w:cs="宋体"/>
          <w:spacing w:val="-4"/>
          <w:sz w:val="24"/>
          <w:szCs w:val="24"/>
        </w:rPr>
      </w:pPr>
      <w:r>
        <w:rPr>
          <w:rFonts w:hint="eastAsia" w:ascii="宋体" w:hAnsi="宋体" w:cs="宋体"/>
          <w:spacing w:val="-4"/>
          <w:sz w:val="24"/>
          <w:szCs w:val="24"/>
          <w:lang w:val="en-US" w:eastAsia="zh-CN"/>
        </w:rPr>
        <w:t>23</w:t>
      </w:r>
      <w:r>
        <w:rPr>
          <w:rFonts w:hint="eastAsia" w:ascii="宋体" w:hAnsi="宋体" w:cs="宋体"/>
          <w:spacing w:val="-4"/>
          <w:sz w:val="24"/>
          <w:szCs w:val="24"/>
        </w:rPr>
        <w:t>.</w:t>
      </w:r>
      <w:r>
        <w:rPr>
          <w:rFonts w:hint="eastAsia" w:ascii="宋体" w:hAnsi="宋体" w:cs="宋体"/>
          <w:spacing w:val="-4"/>
          <w:sz w:val="24"/>
          <w:szCs w:val="24"/>
          <w:lang w:val="en-US" w:eastAsia="zh-CN"/>
        </w:rPr>
        <w:t>8</w:t>
      </w:r>
      <w:r>
        <w:rPr>
          <w:rFonts w:hint="eastAsia" w:ascii="宋体" w:hAnsi="宋体" w:cs="宋体"/>
          <w:spacing w:val="-4"/>
          <w:sz w:val="24"/>
          <w:szCs w:val="24"/>
        </w:rPr>
        <w:t>响应文件中如果小写与大写表示的数额不一致时，以大写表示的数额为准。</w:t>
      </w:r>
    </w:p>
    <w:p w14:paraId="2A63C4C9">
      <w:pPr>
        <w:wordWrap w:val="0"/>
        <w:autoSpaceDE w:val="0"/>
        <w:autoSpaceDN w:val="0"/>
        <w:adjustRightInd w:val="0"/>
        <w:spacing w:line="360" w:lineRule="auto"/>
        <w:ind w:firstLine="466" w:firstLineChars="200"/>
        <w:rPr>
          <w:rFonts w:hint="eastAsia" w:ascii="宋体" w:hAnsi="宋体" w:cs="宋体"/>
          <w:b/>
          <w:bCs/>
          <w:spacing w:val="-4"/>
          <w:sz w:val="24"/>
          <w:szCs w:val="24"/>
          <w:lang w:val="en-US" w:eastAsia="zh-CN"/>
        </w:rPr>
      </w:pPr>
      <w:r>
        <w:rPr>
          <w:rFonts w:hint="eastAsia" w:ascii="宋体" w:hAnsi="宋体" w:cs="宋体"/>
          <w:b/>
          <w:bCs/>
          <w:spacing w:val="-4"/>
          <w:sz w:val="24"/>
          <w:szCs w:val="24"/>
          <w:lang w:val="en-US" w:eastAsia="zh-CN"/>
        </w:rPr>
        <w:t>24、响应文件的递交</w:t>
      </w:r>
    </w:p>
    <w:p w14:paraId="12C5ECD9">
      <w:pPr>
        <w:wordWrap w:val="0"/>
        <w:autoSpaceDE w:val="0"/>
        <w:autoSpaceDN w:val="0"/>
        <w:adjustRightInd w:val="0"/>
        <w:spacing w:line="360" w:lineRule="auto"/>
        <w:ind w:firstLine="480" w:firstLineChars="200"/>
        <w:rPr>
          <w:rFonts w:hint="default" w:ascii="宋体" w:hAnsi="宋体" w:cs="宋体"/>
          <w:spacing w:val="-4"/>
          <w:sz w:val="24"/>
          <w:szCs w:val="24"/>
          <w:lang w:val="en-US" w:eastAsia="zh-CN"/>
        </w:rPr>
      </w:pPr>
      <w:r>
        <w:rPr>
          <w:rFonts w:hint="eastAsia" w:ascii="宋体" w:hAnsi="宋体" w:eastAsia="宋体" w:cs="宋体"/>
          <w:color w:val="auto"/>
          <w:sz w:val="24"/>
          <w:szCs w:val="24"/>
          <w:highlight w:val="none"/>
        </w:rPr>
        <w:t>详见</w:t>
      </w:r>
      <w:r>
        <w:rPr>
          <w:rFonts w:hint="eastAsia" w:ascii="宋体" w:hAnsi="宋体" w:eastAsia="宋体" w:cs="宋体"/>
          <w:color w:val="auto"/>
          <w:sz w:val="24"/>
          <w:szCs w:val="24"/>
          <w:highlight w:val="none"/>
          <w:lang w:val="en-US" w:eastAsia="zh-CN"/>
        </w:rPr>
        <w:t>竞争性磋商公告部分</w:t>
      </w:r>
      <w:r>
        <w:rPr>
          <w:rFonts w:hint="eastAsia" w:ascii="宋体" w:hAnsi="宋体" w:eastAsia="宋体" w:cs="宋体"/>
          <w:color w:val="auto"/>
          <w:sz w:val="24"/>
          <w:szCs w:val="24"/>
          <w:highlight w:val="none"/>
          <w:lang w:eastAsia="zh-CN"/>
        </w:rPr>
        <w:t>。</w:t>
      </w:r>
    </w:p>
    <w:p w14:paraId="50CCEEC3">
      <w:pPr>
        <w:spacing w:line="440" w:lineRule="exact"/>
        <w:ind w:firstLine="482" w:firstLineChars="20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25、响应</w:t>
      </w:r>
      <w:r>
        <w:rPr>
          <w:rFonts w:hint="eastAsia" w:ascii="宋体" w:hAnsi="宋体" w:eastAsia="宋体" w:cs="宋体"/>
          <w:b/>
          <w:bCs/>
          <w:color w:val="auto"/>
          <w:sz w:val="24"/>
          <w:szCs w:val="24"/>
          <w:highlight w:val="none"/>
        </w:rPr>
        <w:t>文件的签署</w:t>
      </w:r>
    </w:p>
    <w:p w14:paraId="34C5FCC5">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1电子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文件必须上传电子评标系统</w:t>
      </w:r>
      <w:r>
        <w:rPr>
          <w:rFonts w:hint="eastAsia" w:ascii="宋体" w:hAnsi="宋体" w:eastAsia="宋体" w:cs="宋体"/>
          <w:b/>
          <w:bCs/>
          <w:color w:val="auto"/>
          <w:sz w:val="24"/>
          <w:szCs w:val="24"/>
          <w:highlight w:val="none"/>
        </w:rPr>
        <w:t>。</w:t>
      </w:r>
    </w:p>
    <w:p w14:paraId="372A4CD7">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.2电子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的法定代表人签字或盖章。</w:t>
      </w:r>
      <w:bookmarkStart w:id="87" w:name="_Toc184635074"/>
      <w:bookmarkEnd w:id="87"/>
    </w:p>
    <w:p w14:paraId="59E6A755">
      <w:pPr>
        <w:wordWrap w:val="0"/>
        <w:autoSpaceDE w:val="0"/>
        <w:autoSpaceDN w:val="0"/>
        <w:adjustRightInd w:val="0"/>
        <w:spacing w:line="360" w:lineRule="auto"/>
        <w:ind w:firstLine="482" w:firstLineChars="200"/>
        <w:rPr>
          <w:rFonts w:ascii="宋体" w:hAnsi="宋体" w:cs="宋体"/>
          <w:b/>
          <w:bCs/>
          <w:spacing w:val="-4"/>
          <w:sz w:val="24"/>
          <w:szCs w:val="24"/>
          <w:lang w:val="zh-CN" w:eastAsia="zh-TW"/>
        </w:rPr>
      </w:pPr>
      <w:bookmarkStart w:id="88" w:name="_Toc27005"/>
      <w:r>
        <w:rPr>
          <w:rFonts w:hint="eastAsia" w:ascii="宋体" w:hAnsi="宋体" w:eastAsia="宋体" w:cs="宋体"/>
          <w:b/>
          <w:bCs/>
          <w:color w:val="auto"/>
          <w:kern w:val="28"/>
          <w:sz w:val="24"/>
          <w:szCs w:val="24"/>
          <w:highlight w:val="none"/>
          <w:lang w:val="en-US" w:eastAsia="zh-CN"/>
        </w:rPr>
        <w:t>26、</w:t>
      </w:r>
      <w:bookmarkEnd w:id="88"/>
      <w:r>
        <w:rPr>
          <w:rFonts w:hint="eastAsia" w:ascii="宋体" w:hAnsi="宋体" w:cs="宋体"/>
          <w:b/>
          <w:bCs/>
          <w:spacing w:val="-4"/>
          <w:sz w:val="24"/>
          <w:szCs w:val="24"/>
          <w:lang w:val="zh-CN" w:eastAsia="zh-TW"/>
        </w:rPr>
        <w:t>磋商小组的组成及要求</w:t>
      </w:r>
    </w:p>
    <w:p w14:paraId="6E27D8C3">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评标工作由采购人依法组建的磋商小组负责，对所有供应商的响应文件进行评审，并按评审办法规定的方式推荐出供应商须知前附表中载明数量的成交候选人。磋商小组由采购人代表和评审专家共3人以上单数组成，其中评审专家人数不得少于磋商小组成员总数的2/3。</w:t>
      </w:r>
    </w:p>
    <w:p w14:paraId="0931697C">
      <w:pPr>
        <w:spacing w:line="500" w:lineRule="exact"/>
        <w:ind w:firstLine="480" w:firstLineChars="200"/>
        <w:rPr>
          <w:rFonts w:ascii="宋体" w:hAnsi="宋体" w:eastAsia="宋体" w:cs="宋体"/>
          <w:sz w:val="24"/>
          <w:szCs w:val="24"/>
        </w:rPr>
      </w:pPr>
      <w:r>
        <w:rPr>
          <w:rFonts w:hint="eastAsia" w:ascii="宋体" w:hAnsi="宋体" w:eastAsia="宋体" w:cs="宋体"/>
          <w:sz w:val="24"/>
          <w:szCs w:val="24"/>
        </w:rPr>
        <w:t>磋商小组对本单位的采购项目只能作为采购人代表参与评标，对技术复杂、专</w:t>
      </w:r>
      <w:r>
        <w:rPr>
          <w:rFonts w:ascii="宋体" w:hAnsi="宋体" w:eastAsia="宋体" w:cs="宋体"/>
          <w:sz w:val="24"/>
          <w:szCs w:val="24"/>
        </w:rPr>
        <w:t>评审</w:t>
      </w:r>
      <w:r>
        <w:rPr>
          <w:rFonts w:hint="eastAsia" w:ascii="宋体" w:hAnsi="宋体" w:eastAsia="宋体" w:cs="宋体"/>
          <w:sz w:val="24"/>
          <w:szCs w:val="24"/>
        </w:rPr>
        <w:t>强的采购项目，通过随机方式难以确定合适评审专家的情形除外。</w:t>
      </w:r>
    </w:p>
    <w:p w14:paraId="6D0E7373">
      <w:pPr>
        <w:spacing w:line="500" w:lineRule="exact"/>
        <w:ind w:left="420"/>
        <w:rPr>
          <w:rFonts w:ascii="宋体" w:hAnsi="宋体" w:eastAsia="宋体" w:cs="宋体"/>
          <w:sz w:val="24"/>
          <w:szCs w:val="24"/>
        </w:rPr>
      </w:pPr>
      <w:r>
        <w:rPr>
          <w:rFonts w:hint="eastAsia" w:ascii="宋体" w:hAnsi="宋体" w:eastAsia="宋体" w:cs="宋体"/>
          <w:sz w:val="24"/>
          <w:szCs w:val="24"/>
        </w:rPr>
        <w:t>采购代理机构工作人员不得参加由本机构代理的政府采购项目的评标。</w:t>
      </w:r>
    </w:p>
    <w:p w14:paraId="4465BA46">
      <w:pPr>
        <w:spacing w:line="500" w:lineRule="exact"/>
        <w:ind w:left="420"/>
        <w:rPr>
          <w:rFonts w:ascii="宋体" w:hAnsi="宋体" w:eastAsia="宋体" w:cs="宋体"/>
          <w:sz w:val="24"/>
          <w:szCs w:val="24"/>
        </w:rPr>
      </w:pPr>
      <w:r>
        <w:rPr>
          <w:rFonts w:hint="eastAsia" w:ascii="宋体" w:hAnsi="宋体" w:eastAsia="宋体" w:cs="宋体"/>
          <w:sz w:val="24"/>
          <w:szCs w:val="24"/>
        </w:rPr>
        <w:t>磋商小组成员名单在磋商结果公告前应当保密。</w:t>
      </w:r>
    </w:p>
    <w:p w14:paraId="64AC9672">
      <w:pPr>
        <w:spacing w:line="440" w:lineRule="exact"/>
        <w:ind w:firstLine="482" w:firstLineChars="200"/>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27、磋商</w:t>
      </w:r>
      <w:r>
        <w:rPr>
          <w:rFonts w:hint="eastAsia" w:ascii="宋体" w:hAnsi="宋体" w:eastAsia="宋体" w:cs="宋体"/>
          <w:b/>
          <w:bCs/>
          <w:color w:val="auto"/>
          <w:sz w:val="24"/>
          <w:szCs w:val="24"/>
          <w:highlight w:val="none"/>
        </w:rPr>
        <w:t>程序</w:t>
      </w:r>
    </w:p>
    <w:p w14:paraId="70EB8D44">
      <w:pPr>
        <w:wordWrap w:val="0"/>
        <w:autoSpaceDE w:val="0"/>
        <w:autoSpaceDN w:val="0"/>
        <w:adjustRightInd w:val="0"/>
        <w:spacing w:line="360" w:lineRule="auto"/>
        <w:ind w:firstLine="464" w:firstLineChars="200"/>
        <w:rPr>
          <w:rFonts w:ascii="宋体" w:hAnsi="宋体" w:cs="宋体"/>
          <w:spacing w:val="-4"/>
          <w:sz w:val="24"/>
          <w:szCs w:val="24"/>
        </w:rPr>
      </w:pPr>
      <w:bookmarkStart w:id="89" w:name="_Toc9104"/>
      <w:bookmarkStart w:id="90" w:name="_Toc2977"/>
      <w:bookmarkStart w:id="91" w:name="_Toc18474"/>
      <w:bookmarkStart w:id="92" w:name="_Toc31324"/>
      <w:bookmarkStart w:id="93" w:name="_Toc12301"/>
      <w:bookmarkStart w:id="94" w:name="_Toc4669"/>
      <w:r>
        <w:rPr>
          <w:rFonts w:hint="eastAsia" w:ascii="宋体" w:hAnsi="宋体" w:cs="宋体"/>
          <w:spacing w:val="-4"/>
          <w:sz w:val="24"/>
          <w:szCs w:val="24"/>
        </w:rPr>
        <w:t>2</w:t>
      </w:r>
      <w:r>
        <w:rPr>
          <w:rFonts w:hint="eastAsia" w:ascii="宋体" w:hAnsi="宋体" w:cs="宋体"/>
          <w:spacing w:val="-4"/>
          <w:sz w:val="24"/>
          <w:szCs w:val="24"/>
          <w:lang w:val="en-US" w:eastAsia="zh-CN"/>
        </w:rPr>
        <w:t>7</w:t>
      </w:r>
      <w:r>
        <w:rPr>
          <w:rFonts w:hint="eastAsia" w:ascii="宋体" w:hAnsi="宋体" w:cs="宋体"/>
          <w:spacing w:val="-4"/>
          <w:sz w:val="24"/>
          <w:szCs w:val="24"/>
        </w:rPr>
        <w:t>.1 磋商小组仅对被确定为实质上响应磋商文件要求的响应文件的</w:t>
      </w:r>
      <w:r>
        <w:rPr>
          <w:rFonts w:hint="eastAsia" w:ascii="宋体" w:hAnsi="宋体" w:cs="宋体"/>
          <w:spacing w:val="-4"/>
          <w:sz w:val="24"/>
          <w:szCs w:val="24"/>
          <w:lang w:eastAsia="zh-CN"/>
        </w:rPr>
        <w:t>供应商</w:t>
      </w:r>
      <w:r>
        <w:rPr>
          <w:rFonts w:hint="eastAsia" w:ascii="宋体" w:hAnsi="宋体" w:cs="宋体"/>
          <w:spacing w:val="-4"/>
          <w:sz w:val="24"/>
          <w:szCs w:val="24"/>
        </w:rPr>
        <w:t>进行磋商。</w:t>
      </w:r>
    </w:p>
    <w:p w14:paraId="736A3F34">
      <w:pPr>
        <w:wordWrap w:val="0"/>
        <w:autoSpaceDE w:val="0"/>
        <w:autoSpaceDN w:val="0"/>
        <w:adjustRightInd w:val="0"/>
        <w:spacing w:line="360" w:lineRule="auto"/>
        <w:ind w:firstLine="464" w:firstLineChars="200"/>
        <w:rPr>
          <w:rFonts w:hint="eastAsia" w:ascii="宋体" w:hAnsi="宋体" w:cs="宋体"/>
          <w:spacing w:val="-4"/>
          <w:sz w:val="24"/>
          <w:szCs w:val="24"/>
          <w:highlight w:val="none"/>
        </w:rPr>
      </w:pPr>
      <w:r>
        <w:rPr>
          <w:rFonts w:hint="eastAsia" w:ascii="宋体" w:hAnsi="宋体" w:cs="宋体"/>
          <w:spacing w:val="-4"/>
          <w:sz w:val="24"/>
          <w:szCs w:val="24"/>
        </w:rPr>
        <w:t>2</w:t>
      </w:r>
      <w:r>
        <w:rPr>
          <w:rFonts w:hint="eastAsia" w:ascii="宋体" w:hAnsi="宋体" w:cs="宋体"/>
          <w:spacing w:val="-4"/>
          <w:sz w:val="24"/>
          <w:szCs w:val="24"/>
          <w:lang w:val="en-US" w:eastAsia="zh-CN"/>
        </w:rPr>
        <w:t>7</w:t>
      </w:r>
      <w:r>
        <w:rPr>
          <w:rFonts w:hint="eastAsia" w:ascii="宋体" w:hAnsi="宋体" w:cs="宋体"/>
          <w:spacing w:val="-4"/>
          <w:sz w:val="24"/>
          <w:szCs w:val="24"/>
        </w:rPr>
        <w:t xml:space="preserve">.2 </w:t>
      </w:r>
      <w:r>
        <w:rPr>
          <w:rFonts w:hint="eastAsia" w:ascii="宋体" w:hAnsi="宋体" w:cs="宋体"/>
          <w:spacing w:val="-4"/>
          <w:sz w:val="24"/>
          <w:szCs w:val="24"/>
          <w:highlight w:val="none"/>
        </w:rPr>
        <w:t>磋商小组及其成员不得有下列行为：</w:t>
      </w:r>
    </w:p>
    <w:p w14:paraId="683A9BB7">
      <w:pPr>
        <w:wordWrap w:val="0"/>
        <w:autoSpaceDE w:val="0"/>
        <w:autoSpaceDN w:val="0"/>
        <w:adjustRightInd w:val="0"/>
        <w:spacing w:line="360" w:lineRule="auto"/>
        <w:ind w:firstLine="464" w:firstLineChars="200"/>
        <w:rPr>
          <w:rFonts w:hint="eastAsia" w:ascii="宋体" w:hAnsi="宋体" w:cs="宋体"/>
          <w:spacing w:val="-4"/>
          <w:sz w:val="24"/>
          <w:szCs w:val="24"/>
          <w:highlight w:val="none"/>
        </w:rPr>
      </w:pPr>
      <w:r>
        <w:rPr>
          <w:rFonts w:hint="eastAsia" w:ascii="宋体" w:hAnsi="宋体" w:cs="宋体"/>
          <w:spacing w:val="-4"/>
          <w:sz w:val="24"/>
          <w:szCs w:val="24"/>
          <w:highlight w:val="none"/>
        </w:rPr>
        <w:t>（1）确定参与磋商至磋商结束前私自接触供应商；</w:t>
      </w:r>
    </w:p>
    <w:p w14:paraId="4FA25FD3">
      <w:pPr>
        <w:wordWrap w:val="0"/>
        <w:autoSpaceDE w:val="0"/>
        <w:autoSpaceDN w:val="0"/>
        <w:adjustRightInd w:val="0"/>
        <w:spacing w:line="360" w:lineRule="auto"/>
        <w:ind w:firstLine="464" w:firstLineChars="200"/>
        <w:rPr>
          <w:rFonts w:hint="eastAsia" w:ascii="宋体" w:hAnsi="宋体" w:cs="宋体"/>
          <w:spacing w:val="-4"/>
          <w:sz w:val="24"/>
          <w:szCs w:val="24"/>
          <w:highlight w:val="none"/>
        </w:rPr>
      </w:pPr>
      <w:r>
        <w:rPr>
          <w:rFonts w:hint="eastAsia" w:ascii="宋体" w:hAnsi="宋体" w:cs="宋体"/>
          <w:spacing w:val="-4"/>
          <w:sz w:val="24"/>
          <w:szCs w:val="24"/>
          <w:highlight w:val="none"/>
        </w:rPr>
        <w:t>（2）接受供应商提出的与响应文件不一致的澄清或者说明（对于响应文件中含义不明确、同类问题表述不一致或者有明显文字和计算错误的内容，磋商小组以书面形式要求供应商作出必要的澄清、说明或者补正的除外）；</w:t>
      </w:r>
    </w:p>
    <w:p w14:paraId="0ECACB6D">
      <w:pPr>
        <w:wordWrap w:val="0"/>
        <w:autoSpaceDE w:val="0"/>
        <w:autoSpaceDN w:val="0"/>
        <w:adjustRightInd w:val="0"/>
        <w:spacing w:line="360" w:lineRule="auto"/>
        <w:ind w:firstLine="464" w:firstLineChars="200"/>
        <w:rPr>
          <w:rFonts w:hint="eastAsia" w:ascii="宋体" w:hAnsi="宋体" w:cs="宋体"/>
          <w:spacing w:val="-4"/>
          <w:sz w:val="24"/>
          <w:szCs w:val="24"/>
          <w:highlight w:val="none"/>
        </w:rPr>
      </w:pPr>
      <w:r>
        <w:rPr>
          <w:rFonts w:hint="eastAsia" w:ascii="宋体" w:hAnsi="宋体" w:cs="宋体"/>
          <w:spacing w:val="-4"/>
          <w:sz w:val="24"/>
          <w:szCs w:val="24"/>
          <w:highlight w:val="none"/>
        </w:rPr>
        <w:t>（3）违反评标纪律发表倾向性意见或者征询采购人的倾向性意见；</w:t>
      </w:r>
    </w:p>
    <w:p w14:paraId="0F204DDA">
      <w:pPr>
        <w:wordWrap w:val="0"/>
        <w:autoSpaceDE w:val="0"/>
        <w:autoSpaceDN w:val="0"/>
        <w:adjustRightInd w:val="0"/>
        <w:spacing w:line="360" w:lineRule="auto"/>
        <w:ind w:firstLine="464" w:firstLineChars="200"/>
        <w:rPr>
          <w:rFonts w:hint="eastAsia" w:ascii="宋体" w:hAnsi="宋体" w:cs="宋体"/>
          <w:spacing w:val="-4"/>
          <w:sz w:val="24"/>
          <w:szCs w:val="24"/>
          <w:highlight w:val="none"/>
        </w:rPr>
      </w:pPr>
      <w:r>
        <w:rPr>
          <w:rFonts w:hint="eastAsia" w:ascii="宋体" w:hAnsi="宋体" w:cs="宋体"/>
          <w:spacing w:val="-4"/>
          <w:sz w:val="24"/>
          <w:szCs w:val="24"/>
          <w:highlight w:val="none"/>
        </w:rPr>
        <w:t>（4）对需要专业判断的主观评审因素协商评分；</w:t>
      </w:r>
    </w:p>
    <w:p w14:paraId="54B715F5">
      <w:pPr>
        <w:wordWrap w:val="0"/>
        <w:autoSpaceDE w:val="0"/>
        <w:autoSpaceDN w:val="0"/>
        <w:adjustRightInd w:val="0"/>
        <w:spacing w:line="360" w:lineRule="auto"/>
        <w:ind w:firstLine="464" w:firstLineChars="200"/>
        <w:rPr>
          <w:rFonts w:hint="eastAsia" w:ascii="宋体" w:hAnsi="宋体" w:cs="宋体"/>
          <w:spacing w:val="-4"/>
          <w:sz w:val="24"/>
          <w:szCs w:val="24"/>
          <w:highlight w:val="none"/>
        </w:rPr>
      </w:pPr>
      <w:r>
        <w:rPr>
          <w:rFonts w:hint="eastAsia" w:ascii="宋体" w:hAnsi="宋体" w:cs="宋体"/>
          <w:spacing w:val="-4"/>
          <w:sz w:val="24"/>
          <w:szCs w:val="24"/>
          <w:highlight w:val="none"/>
        </w:rPr>
        <w:t>（5）在磋商过程中擅离职守，影响磋商程序正常进行的；</w:t>
      </w:r>
    </w:p>
    <w:p w14:paraId="0AABF865">
      <w:pPr>
        <w:wordWrap w:val="0"/>
        <w:autoSpaceDE w:val="0"/>
        <w:autoSpaceDN w:val="0"/>
        <w:adjustRightInd w:val="0"/>
        <w:spacing w:line="360" w:lineRule="auto"/>
        <w:ind w:firstLine="464" w:firstLineChars="200"/>
        <w:rPr>
          <w:rFonts w:hint="eastAsia" w:ascii="宋体" w:hAnsi="宋体" w:cs="宋体"/>
          <w:spacing w:val="-4"/>
          <w:sz w:val="24"/>
          <w:szCs w:val="24"/>
          <w:highlight w:val="none"/>
        </w:rPr>
      </w:pPr>
      <w:r>
        <w:rPr>
          <w:rFonts w:hint="eastAsia" w:ascii="宋体" w:hAnsi="宋体" w:cs="宋体"/>
          <w:spacing w:val="-4"/>
          <w:sz w:val="24"/>
          <w:szCs w:val="24"/>
          <w:highlight w:val="none"/>
        </w:rPr>
        <w:t>（6）记录、复制或者带走任何磋商资料；</w:t>
      </w:r>
    </w:p>
    <w:p w14:paraId="4DC8E7F8">
      <w:pPr>
        <w:wordWrap w:val="0"/>
        <w:autoSpaceDE w:val="0"/>
        <w:autoSpaceDN w:val="0"/>
        <w:adjustRightInd w:val="0"/>
        <w:spacing w:line="360" w:lineRule="auto"/>
        <w:ind w:firstLine="464" w:firstLineChars="200"/>
        <w:rPr>
          <w:rFonts w:hint="eastAsia" w:ascii="宋体" w:hAnsi="宋体" w:cs="宋体"/>
          <w:spacing w:val="-4"/>
          <w:sz w:val="24"/>
          <w:szCs w:val="24"/>
          <w:highlight w:val="none"/>
        </w:rPr>
      </w:pPr>
      <w:r>
        <w:rPr>
          <w:rFonts w:hint="eastAsia" w:ascii="宋体" w:hAnsi="宋体" w:cs="宋体"/>
          <w:spacing w:val="-4"/>
          <w:sz w:val="24"/>
          <w:szCs w:val="24"/>
          <w:highlight w:val="none"/>
        </w:rPr>
        <w:t>（7）其他不遵守磋商纪律的行为。</w:t>
      </w:r>
    </w:p>
    <w:p w14:paraId="4F9F8D28">
      <w:pPr>
        <w:wordWrap w:val="0"/>
        <w:autoSpaceDE w:val="0"/>
        <w:autoSpaceDN w:val="0"/>
        <w:adjustRightInd w:val="0"/>
        <w:spacing w:line="360" w:lineRule="auto"/>
        <w:ind w:firstLine="464" w:firstLineChars="200"/>
        <w:rPr>
          <w:rFonts w:hint="eastAsia" w:ascii="宋体" w:hAnsi="宋体" w:cs="宋体"/>
          <w:spacing w:val="-4"/>
          <w:sz w:val="24"/>
          <w:szCs w:val="24"/>
          <w:highlight w:val="none"/>
        </w:rPr>
      </w:pPr>
      <w:r>
        <w:rPr>
          <w:rFonts w:hint="eastAsia" w:ascii="宋体" w:hAnsi="宋体" w:cs="宋体"/>
          <w:spacing w:val="-4"/>
          <w:sz w:val="24"/>
          <w:szCs w:val="24"/>
          <w:highlight w:val="none"/>
          <w:lang w:eastAsia="zh-CN"/>
        </w:rPr>
        <w:t>（</w:t>
      </w:r>
      <w:r>
        <w:rPr>
          <w:rFonts w:hint="eastAsia" w:ascii="宋体" w:hAnsi="宋体" w:cs="宋体"/>
          <w:spacing w:val="-4"/>
          <w:sz w:val="24"/>
          <w:szCs w:val="24"/>
          <w:highlight w:val="none"/>
          <w:lang w:val="en-US" w:eastAsia="zh-CN"/>
        </w:rPr>
        <w:t>8</w:t>
      </w:r>
      <w:r>
        <w:rPr>
          <w:rFonts w:hint="eastAsia" w:ascii="宋体" w:hAnsi="宋体" w:cs="宋体"/>
          <w:spacing w:val="-4"/>
          <w:sz w:val="24"/>
          <w:szCs w:val="24"/>
          <w:highlight w:val="none"/>
          <w:lang w:eastAsia="zh-CN"/>
        </w:rPr>
        <w:t>）</w:t>
      </w:r>
      <w:r>
        <w:rPr>
          <w:rFonts w:hint="eastAsia" w:ascii="宋体" w:hAnsi="宋体" w:cs="宋体"/>
          <w:spacing w:val="-4"/>
          <w:sz w:val="24"/>
          <w:szCs w:val="24"/>
          <w:highlight w:val="none"/>
        </w:rPr>
        <w:t>磋商小组成员有本章第</w:t>
      </w:r>
      <w:r>
        <w:rPr>
          <w:rFonts w:hint="eastAsia" w:ascii="宋体" w:hAnsi="宋体" w:cs="宋体"/>
          <w:spacing w:val="-4"/>
          <w:sz w:val="24"/>
          <w:szCs w:val="24"/>
          <w:highlight w:val="none"/>
          <w:lang w:val="en-US" w:eastAsia="zh-CN"/>
        </w:rPr>
        <w:t>27.2</w:t>
      </w:r>
      <w:r>
        <w:rPr>
          <w:rFonts w:hint="eastAsia" w:ascii="宋体" w:hAnsi="宋体" w:cs="宋体"/>
          <w:spacing w:val="-4"/>
          <w:sz w:val="24"/>
          <w:szCs w:val="24"/>
          <w:highlight w:val="none"/>
        </w:rPr>
        <w:t>项第（1）至（5）目行为之一的，其评审意见无效，并不得获取评审劳务报酬和报销异地评审差旅费。</w:t>
      </w:r>
    </w:p>
    <w:p w14:paraId="7BAD6DC9">
      <w:pPr>
        <w:wordWrap w:val="0"/>
        <w:autoSpaceDE w:val="0"/>
        <w:autoSpaceDN w:val="0"/>
        <w:adjustRightInd w:val="0"/>
        <w:spacing w:line="360" w:lineRule="auto"/>
        <w:ind w:firstLine="464" w:firstLineChars="200"/>
        <w:rPr>
          <w:rFonts w:hint="eastAsia" w:ascii="宋体" w:hAnsi="宋体" w:cs="宋体"/>
          <w:spacing w:val="-4"/>
          <w:sz w:val="24"/>
          <w:szCs w:val="24"/>
          <w:highlight w:val="none"/>
        </w:rPr>
      </w:pPr>
      <w:r>
        <w:rPr>
          <w:rFonts w:hint="eastAsia" w:ascii="宋体" w:hAnsi="宋体" w:cs="宋体"/>
          <w:spacing w:val="-4"/>
          <w:sz w:val="24"/>
          <w:szCs w:val="24"/>
          <w:highlight w:val="none"/>
          <w:lang w:eastAsia="zh-CN"/>
        </w:rPr>
        <w:t>（</w:t>
      </w:r>
      <w:r>
        <w:rPr>
          <w:rFonts w:hint="eastAsia" w:ascii="宋体" w:hAnsi="宋体" w:cs="宋体"/>
          <w:spacing w:val="-4"/>
          <w:sz w:val="24"/>
          <w:szCs w:val="24"/>
          <w:highlight w:val="none"/>
          <w:lang w:val="en-US" w:eastAsia="zh-CN"/>
        </w:rPr>
        <w:t>9</w:t>
      </w:r>
      <w:r>
        <w:rPr>
          <w:rFonts w:hint="eastAsia" w:ascii="宋体" w:hAnsi="宋体" w:cs="宋体"/>
          <w:spacing w:val="-4"/>
          <w:sz w:val="24"/>
          <w:szCs w:val="24"/>
          <w:highlight w:val="none"/>
          <w:lang w:eastAsia="zh-CN"/>
        </w:rPr>
        <w:t>）</w:t>
      </w:r>
      <w:r>
        <w:rPr>
          <w:rFonts w:hint="eastAsia" w:ascii="宋体" w:hAnsi="宋体" w:cs="宋体"/>
          <w:spacing w:val="-4"/>
          <w:sz w:val="24"/>
          <w:szCs w:val="24"/>
          <w:highlight w:val="none"/>
        </w:rPr>
        <w:t>磋商小组成员对需要共同认定的事项存在争议的，应当按照少数服从多数的原则作出结论。持不同意见的磋商小组成员应当在评标报告上签署不同意见及理由，否则视为同意评标报告。</w:t>
      </w:r>
    </w:p>
    <w:p w14:paraId="18388D1F">
      <w:pPr>
        <w:wordWrap w:val="0"/>
        <w:autoSpaceDE w:val="0"/>
        <w:autoSpaceDN w:val="0"/>
        <w:adjustRightInd w:val="0"/>
        <w:spacing w:line="360" w:lineRule="auto"/>
        <w:ind w:firstLine="464" w:firstLineChars="200"/>
        <w:rPr>
          <w:rFonts w:hint="eastAsia" w:ascii="宋体" w:hAnsi="宋体" w:eastAsia="宋体" w:cs="宋体"/>
          <w:b w:val="0"/>
          <w:bCs w:val="0"/>
          <w:color w:val="auto"/>
          <w:sz w:val="24"/>
          <w:szCs w:val="24"/>
          <w:highlight w:val="none"/>
        </w:rPr>
      </w:pPr>
      <w:r>
        <w:rPr>
          <w:rFonts w:hint="eastAsia" w:ascii="宋体" w:hAnsi="宋体" w:cs="宋体"/>
          <w:spacing w:val="-4"/>
          <w:sz w:val="24"/>
          <w:szCs w:val="24"/>
          <w:highlight w:val="none"/>
        </w:rPr>
        <w:t>（</w:t>
      </w:r>
      <w:r>
        <w:rPr>
          <w:rFonts w:hint="eastAsia" w:ascii="宋体" w:hAnsi="宋体" w:cs="宋体"/>
          <w:spacing w:val="-4"/>
          <w:sz w:val="24"/>
          <w:szCs w:val="24"/>
          <w:highlight w:val="none"/>
          <w:lang w:val="en-US" w:eastAsia="zh-CN"/>
        </w:rPr>
        <w:t>10</w:t>
      </w:r>
      <w:r>
        <w:rPr>
          <w:rFonts w:hint="eastAsia" w:ascii="宋体" w:hAnsi="宋体" w:cs="宋体"/>
          <w:spacing w:val="-4"/>
          <w:sz w:val="24"/>
          <w:szCs w:val="24"/>
          <w:highlight w:val="none"/>
        </w:rPr>
        <w:t>）</w:t>
      </w:r>
      <w:r>
        <w:rPr>
          <w:rFonts w:hint="eastAsia" w:ascii="宋体" w:hAnsi="宋体" w:cs="宋体"/>
          <w:spacing w:val="-4"/>
          <w:sz w:val="24"/>
          <w:szCs w:val="24"/>
          <w:highlight w:val="none"/>
          <w:lang w:val="zh-CN"/>
        </w:rPr>
        <w:t>由磋商小组</w:t>
      </w:r>
      <w:r>
        <w:rPr>
          <w:rFonts w:hint="eastAsia" w:ascii="宋体" w:hAnsi="宋体" w:cs="宋体"/>
          <w:spacing w:val="-4"/>
          <w:sz w:val="24"/>
          <w:szCs w:val="24"/>
          <w:highlight w:val="none"/>
        </w:rPr>
        <w:t>按照磋商文件“ 评标办法（综合评分法）”</w:t>
      </w:r>
      <w:r>
        <w:rPr>
          <w:rFonts w:hint="eastAsia" w:ascii="宋体" w:hAnsi="宋体" w:cs="宋体"/>
          <w:spacing w:val="-4"/>
          <w:sz w:val="24"/>
          <w:szCs w:val="24"/>
          <w:highlight w:val="none"/>
          <w:lang w:val="zh-CN"/>
        </w:rPr>
        <w:t>对提交最终报价的供应商的响应文件和最终报价进行综合评分，磋商</w:t>
      </w:r>
      <w:r>
        <w:rPr>
          <w:rFonts w:hint="eastAsia" w:ascii="宋体" w:hAnsi="宋体" w:cs="宋体"/>
          <w:spacing w:val="-4"/>
          <w:sz w:val="24"/>
          <w:szCs w:val="24"/>
          <w:highlight w:val="none"/>
        </w:rPr>
        <w:t>小组将按得分由高到低的顺序向采购人推荐3名成交候选人。</w:t>
      </w:r>
    </w:p>
    <w:p w14:paraId="4F75F0FC">
      <w:pPr>
        <w:wordWrap w:val="0"/>
        <w:autoSpaceDE w:val="0"/>
        <w:autoSpaceDN w:val="0"/>
        <w:adjustRightInd w:val="0"/>
        <w:spacing w:line="360" w:lineRule="auto"/>
        <w:ind w:firstLine="482" w:firstLineChars="200"/>
        <w:rPr>
          <w:rFonts w:ascii="宋体" w:hAnsi="宋体" w:cs="宋体"/>
          <w:b/>
          <w:bCs/>
          <w:spacing w:val="-4"/>
          <w:sz w:val="24"/>
          <w:szCs w:val="24"/>
        </w:rPr>
      </w:pPr>
      <w:r>
        <w:rPr>
          <w:rFonts w:hint="eastAsia" w:ascii="宋体" w:hAnsi="宋体" w:eastAsia="宋体" w:cs="宋体"/>
          <w:b/>
          <w:bCs/>
          <w:color w:val="auto"/>
          <w:sz w:val="24"/>
          <w:szCs w:val="24"/>
          <w:highlight w:val="none"/>
          <w:lang w:val="en-US" w:eastAsia="zh-CN"/>
        </w:rPr>
        <w:t>28、</w:t>
      </w:r>
      <w:r>
        <w:rPr>
          <w:rFonts w:hint="eastAsia" w:ascii="宋体" w:hAnsi="宋体" w:cs="宋体"/>
          <w:b/>
          <w:bCs/>
          <w:spacing w:val="-4"/>
          <w:sz w:val="24"/>
          <w:szCs w:val="24"/>
        </w:rPr>
        <w:t>响应文件的审查</w:t>
      </w:r>
    </w:p>
    <w:p w14:paraId="0D5052D7">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2</w:t>
      </w:r>
      <w:r>
        <w:rPr>
          <w:rFonts w:hint="eastAsia" w:ascii="宋体" w:hAnsi="宋体" w:cs="宋体"/>
          <w:spacing w:val="-4"/>
          <w:sz w:val="24"/>
          <w:szCs w:val="24"/>
          <w:lang w:val="en-US" w:eastAsia="zh-CN"/>
        </w:rPr>
        <w:t>8</w:t>
      </w:r>
      <w:r>
        <w:rPr>
          <w:rFonts w:hint="eastAsia" w:ascii="宋体" w:hAnsi="宋体" w:cs="宋体"/>
          <w:spacing w:val="-4"/>
          <w:sz w:val="24"/>
          <w:szCs w:val="24"/>
        </w:rPr>
        <w:t>.1 资格性审查。由磋商小组依据法律法规和磋商文件的规定，对响应文件中的资格证明材料等进行审查，以确定</w:t>
      </w:r>
      <w:r>
        <w:rPr>
          <w:rFonts w:hint="eastAsia" w:ascii="宋体" w:hAnsi="宋体" w:cs="宋体"/>
          <w:spacing w:val="-4"/>
          <w:sz w:val="24"/>
          <w:szCs w:val="24"/>
          <w:lang w:eastAsia="zh-CN"/>
        </w:rPr>
        <w:t>供应商</w:t>
      </w:r>
      <w:r>
        <w:rPr>
          <w:rFonts w:hint="eastAsia" w:ascii="宋体" w:hAnsi="宋体" w:cs="宋体"/>
          <w:spacing w:val="-4"/>
          <w:sz w:val="24"/>
          <w:szCs w:val="24"/>
        </w:rPr>
        <w:t>是否具备磋商资格。如果确定</w:t>
      </w:r>
      <w:r>
        <w:rPr>
          <w:rFonts w:hint="eastAsia" w:ascii="宋体" w:hAnsi="宋体" w:cs="宋体"/>
          <w:spacing w:val="-4"/>
          <w:sz w:val="24"/>
          <w:szCs w:val="24"/>
          <w:lang w:eastAsia="zh-CN"/>
        </w:rPr>
        <w:t>供应商</w:t>
      </w:r>
      <w:r>
        <w:rPr>
          <w:rFonts w:hint="eastAsia" w:ascii="宋体" w:hAnsi="宋体" w:cs="宋体"/>
          <w:spacing w:val="-4"/>
          <w:sz w:val="24"/>
          <w:szCs w:val="24"/>
        </w:rPr>
        <w:t>不符合磋商文件对资格的要求，其磋商资格将被否决。</w:t>
      </w:r>
    </w:p>
    <w:p w14:paraId="2710E600">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2</w:t>
      </w:r>
      <w:r>
        <w:rPr>
          <w:rFonts w:hint="eastAsia" w:ascii="宋体" w:hAnsi="宋体" w:cs="宋体"/>
          <w:spacing w:val="-4"/>
          <w:sz w:val="24"/>
          <w:szCs w:val="24"/>
          <w:lang w:val="en-US" w:eastAsia="zh-CN"/>
        </w:rPr>
        <w:t>8</w:t>
      </w:r>
      <w:r>
        <w:rPr>
          <w:rFonts w:hint="eastAsia" w:ascii="宋体" w:hAnsi="宋体" w:cs="宋体"/>
          <w:spacing w:val="-4"/>
          <w:sz w:val="24"/>
          <w:szCs w:val="24"/>
        </w:rPr>
        <w:t>.2 符合性检查。依据磋商文件的规定，磋商小组还会将从响应文件的有效性、完整性和对磋商文件的响应程度进行审查，以确定响应文件是否实质性响应。</w:t>
      </w:r>
    </w:p>
    <w:p w14:paraId="4DA2FA49">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2</w:t>
      </w:r>
      <w:r>
        <w:rPr>
          <w:rFonts w:hint="eastAsia" w:ascii="宋体" w:hAnsi="宋体" w:cs="宋体"/>
          <w:spacing w:val="-4"/>
          <w:sz w:val="24"/>
          <w:szCs w:val="24"/>
          <w:lang w:val="en-US" w:eastAsia="zh-CN"/>
        </w:rPr>
        <w:t>8</w:t>
      </w:r>
      <w:r>
        <w:rPr>
          <w:rFonts w:hint="eastAsia" w:ascii="宋体" w:hAnsi="宋体" w:cs="宋体"/>
          <w:spacing w:val="-4"/>
          <w:sz w:val="24"/>
          <w:szCs w:val="24"/>
        </w:rPr>
        <w:t xml:space="preserve">.3 </w:t>
      </w:r>
      <w:r>
        <w:rPr>
          <w:rFonts w:hint="eastAsia" w:ascii="宋体" w:hAnsi="宋体" w:cs="宋体"/>
          <w:spacing w:val="-4"/>
          <w:sz w:val="24"/>
          <w:szCs w:val="24"/>
          <w:lang w:eastAsia="zh-CN"/>
        </w:rPr>
        <w:t>供应商</w:t>
      </w:r>
      <w:r>
        <w:rPr>
          <w:rFonts w:hint="eastAsia" w:ascii="宋体" w:hAnsi="宋体" w:cs="宋体"/>
          <w:spacing w:val="-4"/>
          <w:sz w:val="24"/>
          <w:szCs w:val="24"/>
        </w:rPr>
        <w:t>凡有下列情形之一者，响应无效，将被拒绝或否决：</w:t>
      </w:r>
    </w:p>
    <w:p w14:paraId="34AF4696">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（1）未按磋商文件规定要求</w:t>
      </w:r>
      <w:r>
        <w:rPr>
          <w:rFonts w:hint="eastAsia" w:ascii="宋体" w:hAnsi="宋体" w:cs="宋体"/>
          <w:spacing w:val="-4"/>
          <w:sz w:val="24"/>
          <w:szCs w:val="24"/>
          <w:lang w:val="en-US" w:eastAsia="zh-CN"/>
        </w:rPr>
        <w:t>签字</w:t>
      </w:r>
      <w:r>
        <w:rPr>
          <w:rFonts w:hint="eastAsia" w:ascii="宋体" w:hAnsi="宋体" w:cs="宋体"/>
          <w:spacing w:val="-4"/>
          <w:sz w:val="24"/>
          <w:szCs w:val="24"/>
        </w:rPr>
        <w:t>、盖章的；</w:t>
      </w:r>
    </w:p>
    <w:p w14:paraId="22989793">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w:t>
      </w:r>
      <w:r>
        <w:rPr>
          <w:rFonts w:hint="eastAsia" w:ascii="宋体" w:hAnsi="宋体" w:cs="宋体"/>
          <w:spacing w:val="-4"/>
          <w:sz w:val="24"/>
          <w:szCs w:val="24"/>
          <w:lang w:val="en-US" w:eastAsia="zh-CN"/>
        </w:rPr>
        <w:t>2</w:t>
      </w:r>
      <w:r>
        <w:rPr>
          <w:rFonts w:hint="eastAsia" w:ascii="宋体" w:hAnsi="宋体" w:cs="宋体"/>
          <w:spacing w:val="-4"/>
          <w:sz w:val="24"/>
          <w:szCs w:val="24"/>
        </w:rPr>
        <w:t>）响应文件组成明显不符合磋商文件规定要求的；</w:t>
      </w:r>
    </w:p>
    <w:p w14:paraId="4646D0AD">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w:t>
      </w:r>
      <w:r>
        <w:rPr>
          <w:rFonts w:hint="eastAsia" w:ascii="宋体" w:hAnsi="宋体" w:cs="宋体"/>
          <w:spacing w:val="-4"/>
          <w:sz w:val="24"/>
          <w:szCs w:val="24"/>
          <w:lang w:val="en-US" w:eastAsia="zh-CN"/>
        </w:rPr>
        <w:t>3</w:t>
      </w:r>
      <w:r>
        <w:rPr>
          <w:rFonts w:hint="eastAsia" w:ascii="宋体" w:hAnsi="宋体" w:cs="宋体"/>
          <w:spacing w:val="-4"/>
          <w:sz w:val="24"/>
          <w:szCs w:val="24"/>
        </w:rPr>
        <w:t>）不具备磋商文件中规定的资格要求的（资格证明不全或者不具备磋商文件规定的</w:t>
      </w:r>
      <w:r>
        <w:rPr>
          <w:rFonts w:hint="eastAsia" w:ascii="宋体" w:hAnsi="宋体" w:cs="宋体"/>
          <w:spacing w:val="-4"/>
          <w:sz w:val="24"/>
          <w:szCs w:val="24"/>
          <w:lang w:eastAsia="zh-CN"/>
        </w:rPr>
        <w:t>供应商</w:t>
      </w:r>
      <w:r>
        <w:rPr>
          <w:rFonts w:hint="eastAsia" w:ascii="宋体" w:hAnsi="宋体" w:cs="宋体"/>
          <w:spacing w:val="-4"/>
          <w:sz w:val="24"/>
          <w:szCs w:val="24"/>
        </w:rPr>
        <w:t>资格要求的）；</w:t>
      </w:r>
    </w:p>
    <w:p w14:paraId="7FE4FF65">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w:t>
      </w:r>
      <w:r>
        <w:rPr>
          <w:rFonts w:hint="eastAsia" w:ascii="宋体" w:hAnsi="宋体" w:cs="宋体"/>
          <w:spacing w:val="-4"/>
          <w:sz w:val="24"/>
          <w:szCs w:val="24"/>
          <w:lang w:val="en-US" w:eastAsia="zh-CN"/>
        </w:rPr>
        <w:t>4</w:t>
      </w:r>
      <w:r>
        <w:rPr>
          <w:rFonts w:hint="eastAsia" w:ascii="宋体" w:hAnsi="宋体" w:cs="宋体"/>
          <w:spacing w:val="-4"/>
          <w:sz w:val="24"/>
          <w:szCs w:val="24"/>
        </w:rPr>
        <w:t>）报价超过磋商文件规定的磋商控制</w:t>
      </w:r>
      <w:r>
        <w:rPr>
          <w:rFonts w:hint="eastAsia" w:ascii="宋体" w:hAnsi="宋体" w:cs="宋体"/>
          <w:spacing w:val="-4"/>
          <w:sz w:val="24"/>
          <w:szCs w:val="24"/>
          <w:lang w:val="en-US" w:eastAsia="zh-CN"/>
        </w:rPr>
        <w:t>价</w:t>
      </w:r>
      <w:r>
        <w:rPr>
          <w:rFonts w:hint="eastAsia" w:ascii="宋体" w:hAnsi="宋体" w:cs="宋体"/>
          <w:spacing w:val="-4"/>
          <w:sz w:val="24"/>
          <w:szCs w:val="24"/>
        </w:rPr>
        <w:t>的；</w:t>
      </w:r>
    </w:p>
    <w:p w14:paraId="0F52EBF9">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w:t>
      </w:r>
      <w:r>
        <w:rPr>
          <w:rFonts w:hint="eastAsia" w:ascii="宋体" w:hAnsi="宋体" w:cs="宋体"/>
          <w:spacing w:val="-4"/>
          <w:sz w:val="24"/>
          <w:szCs w:val="24"/>
          <w:lang w:val="en-US" w:eastAsia="zh-CN"/>
        </w:rPr>
        <w:t>5</w:t>
      </w:r>
      <w:r>
        <w:rPr>
          <w:rFonts w:hint="eastAsia" w:ascii="宋体" w:hAnsi="宋体" w:cs="宋体"/>
          <w:spacing w:val="-4"/>
          <w:sz w:val="24"/>
          <w:szCs w:val="24"/>
        </w:rPr>
        <w:t>）磋商内容与采购内容、采购项目要求有实质性偏离，或者偏离的项数超过磋商文件规定的；</w:t>
      </w:r>
    </w:p>
    <w:p w14:paraId="39A229F6">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w:t>
      </w:r>
      <w:r>
        <w:rPr>
          <w:rFonts w:hint="eastAsia" w:ascii="宋体" w:hAnsi="宋体" w:cs="宋体"/>
          <w:spacing w:val="-4"/>
          <w:sz w:val="24"/>
          <w:szCs w:val="24"/>
          <w:lang w:val="en-US" w:eastAsia="zh-CN"/>
        </w:rPr>
        <w:t>6</w:t>
      </w:r>
      <w:r>
        <w:rPr>
          <w:rFonts w:hint="eastAsia" w:ascii="宋体" w:hAnsi="宋体" w:cs="宋体"/>
          <w:spacing w:val="-4"/>
          <w:sz w:val="24"/>
          <w:szCs w:val="24"/>
        </w:rPr>
        <w:t>）工期、磋商有效期不满足磋商文件要求的；</w:t>
      </w:r>
    </w:p>
    <w:p w14:paraId="414B8E1D">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w:t>
      </w:r>
      <w:r>
        <w:rPr>
          <w:rFonts w:hint="eastAsia" w:ascii="宋体" w:hAnsi="宋体" w:cs="宋体"/>
          <w:spacing w:val="-4"/>
          <w:sz w:val="24"/>
          <w:szCs w:val="24"/>
          <w:lang w:val="en-US" w:eastAsia="zh-CN"/>
        </w:rPr>
        <w:t>7</w:t>
      </w:r>
      <w:r>
        <w:rPr>
          <w:rFonts w:hint="eastAsia" w:ascii="宋体" w:hAnsi="宋体" w:cs="宋体"/>
          <w:spacing w:val="-4"/>
          <w:sz w:val="24"/>
          <w:szCs w:val="24"/>
        </w:rPr>
        <w:t>）损害采购人或者其他</w:t>
      </w:r>
      <w:r>
        <w:rPr>
          <w:rFonts w:hint="eastAsia" w:ascii="宋体" w:hAnsi="宋体" w:cs="宋体"/>
          <w:spacing w:val="-4"/>
          <w:sz w:val="24"/>
          <w:szCs w:val="24"/>
          <w:lang w:eastAsia="zh-CN"/>
        </w:rPr>
        <w:t>供应商</w:t>
      </w:r>
      <w:r>
        <w:rPr>
          <w:rFonts w:hint="eastAsia" w:ascii="宋体" w:hAnsi="宋体" w:cs="宋体"/>
          <w:spacing w:val="-4"/>
          <w:sz w:val="24"/>
          <w:szCs w:val="24"/>
        </w:rPr>
        <w:t>的合法权益的；</w:t>
      </w:r>
    </w:p>
    <w:p w14:paraId="495E9DEF">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w:t>
      </w:r>
      <w:r>
        <w:rPr>
          <w:rFonts w:hint="eastAsia" w:ascii="宋体" w:hAnsi="宋体" w:cs="宋体"/>
          <w:spacing w:val="-4"/>
          <w:sz w:val="24"/>
          <w:szCs w:val="24"/>
          <w:lang w:val="en-US" w:eastAsia="zh-CN"/>
        </w:rPr>
        <w:t>8</w:t>
      </w:r>
      <w:r>
        <w:rPr>
          <w:rFonts w:hint="eastAsia" w:ascii="宋体" w:hAnsi="宋体" w:cs="宋体"/>
          <w:spacing w:val="-4"/>
          <w:sz w:val="24"/>
          <w:szCs w:val="24"/>
        </w:rPr>
        <w:t>）响应文件含有采购人不能接受的附加条件的；</w:t>
      </w:r>
    </w:p>
    <w:p w14:paraId="37665EFA">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w:t>
      </w:r>
      <w:r>
        <w:rPr>
          <w:rFonts w:hint="eastAsia" w:ascii="宋体" w:hAnsi="宋体" w:cs="宋体"/>
          <w:spacing w:val="-4"/>
          <w:sz w:val="24"/>
          <w:szCs w:val="24"/>
          <w:lang w:val="en-US" w:eastAsia="zh-CN"/>
        </w:rPr>
        <w:t>9</w:t>
      </w:r>
      <w:r>
        <w:rPr>
          <w:rFonts w:hint="eastAsia" w:ascii="宋体" w:hAnsi="宋体" w:cs="宋体"/>
          <w:spacing w:val="-4"/>
          <w:sz w:val="24"/>
          <w:szCs w:val="24"/>
        </w:rPr>
        <w:t>）有弄虚作假、串通、行贿等违法行为的；</w:t>
      </w:r>
    </w:p>
    <w:p w14:paraId="0F0818C9">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（1</w:t>
      </w:r>
      <w:r>
        <w:rPr>
          <w:rFonts w:hint="eastAsia" w:ascii="宋体" w:hAnsi="宋体" w:cs="宋体"/>
          <w:spacing w:val="-4"/>
          <w:sz w:val="24"/>
          <w:szCs w:val="24"/>
          <w:lang w:val="en-US" w:eastAsia="zh-CN"/>
        </w:rPr>
        <w:t>0</w:t>
      </w:r>
      <w:r>
        <w:rPr>
          <w:rFonts w:hint="eastAsia" w:ascii="宋体" w:hAnsi="宋体" w:cs="宋体"/>
          <w:spacing w:val="-4"/>
          <w:sz w:val="24"/>
          <w:szCs w:val="24"/>
        </w:rPr>
        <w:t>）与采购人或采购代理机构存在利害关系且可能影响竞争性磋商公正性的;</w:t>
      </w:r>
    </w:p>
    <w:p w14:paraId="7B2D216F">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（1</w:t>
      </w:r>
      <w:r>
        <w:rPr>
          <w:rFonts w:hint="eastAsia" w:ascii="宋体" w:hAnsi="宋体" w:cs="宋体"/>
          <w:spacing w:val="-4"/>
          <w:sz w:val="24"/>
          <w:szCs w:val="24"/>
          <w:lang w:val="en-US" w:eastAsia="zh-CN"/>
        </w:rPr>
        <w:t>1</w:t>
      </w:r>
      <w:r>
        <w:rPr>
          <w:rFonts w:hint="eastAsia" w:ascii="宋体" w:hAnsi="宋体" w:cs="宋体"/>
          <w:spacing w:val="-4"/>
          <w:sz w:val="24"/>
          <w:szCs w:val="24"/>
        </w:rPr>
        <w:t>）不符合法律、法规和磋商文件中规定的其他实质性要求和无效情形的。</w:t>
      </w:r>
    </w:p>
    <w:p w14:paraId="05E01D48">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2</w:t>
      </w:r>
      <w:r>
        <w:rPr>
          <w:rFonts w:hint="eastAsia" w:ascii="宋体" w:hAnsi="宋体" w:cs="宋体"/>
          <w:spacing w:val="-4"/>
          <w:sz w:val="24"/>
          <w:szCs w:val="24"/>
          <w:lang w:val="en-US" w:eastAsia="zh-CN"/>
        </w:rPr>
        <w:t>8</w:t>
      </w:r>
      <w:r>
        <w:rPr>
          <w:rFonts w:hint="eastAsia" w:ascii="宋体" w:hAnsi="宋体" w:cs="宋体"/>
          <w:spacing w:val="-4"/>
          <w:sz w:val="24"/>
          <w:szCs w:val="24"/>
        </w:rPr>
        <w:t>.4 磋商小组判断响应文件的响应性仅基于响应文件本身内容而不靠外部证据。</w:t>
      </w:r>
    </w:p>
    <w:p w14:paraId="78D415F6">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2</w:t>
      </w:r>
      <w:r>
        <w:rPr>
          <w:rFonts w:hint="eastAsia" w:ascii="宋体" w:hAnsi="宋体" w:cs="宋体"/>
          <w:spacing w:val="-4"/>
          <w:sz w:val="24"/>
          <w:szCs w:val="24"/>
          <w:lang w:val="en-US" w:eastAsia="zh-CN"/>
        </w:rPr>
        <w:t>8</w:t>
      </w:r>
      <w:r>
        <w:rPr>
          <w:rFonts w:hint="eastAsia" w:ascii="宋体" w:hAnsi="宋体" w:cs="宋体"/>
          <w:spacing w:val="-4"/>
          <w:sz w:val="24"/>
          <w:szCs w:val="24"/>
        </w:rPr>
        <w:t>.5 若</w:t>
      </w:r>
      <w:r>
        <w:rPr>
          <w:rFonts w:hint="eastAsia" w:ascii="宋体" w:hAnsi="宋体" w:cs="宋体"/>
          <w:spacing w:val="-4"/>
          <w:sz w:val="24"/>
          <w:szCs w:val="24"/>
          <w:lang w:eastAsia="zh-CN"/>
        </w:rPr>
        <w:t>供应商</w:t>
      </w:r>
      <w:r>
        <w:rPr>
          <w:rFonts w:hint="eastAsia" w:ascii="宋体" w:hAnsi="宋体" w:cs="宋体"/>
          <w:spacing w:val="-4"/>
          <w:sz w:val="24"/>
          <w:szCs w:val="24"/>
        </w:rPr>
        <w:t>的报价明显低于其他</w:t>
      </w:r>
      <w:r>
        <w:rPr>
          <w:rFonts w:hint="eastAsia" w:ascii="宋体" w:hAnsi="宋体" w:cs="宋体"/>
          <w:spacing w:val="-4"/>
          <w:sz w:val="24"/>
          <w:szCs w:val="24"/>
          <w:lang w:eastAsia="zh-CN"/>
        </w:rPr>
        <w:t>供应商</w:t>
      </w:r>
      <w:r>
        <w:rPr>
          <w:rFonts w:hint="eastAsia" w:ascii="宋体" w:hAnsi="宋体" w:cs="宋体"/>
          <w:spacing w:val="-4"/>
          <w:sz w:val="24"/>
          <w:szCs w:val="24"/>
        </w:rPr>
        <w:t>报价，使得其报价可能低于其个别成本，有可能影响产品质量或不能诚信履约的，磋商小组可要求</w:t>
      </w:r>
      <w:r>
        <w:rPr>
          <w:rFonts w:hint="eastAsia" w:ascii="宋体" w:hAnsi="宋体" w:cs="宋体"/>
          <w:spacing w:val="-4"/>
          <w:sz w:val="24"/>
          <w:szCs w:val="24"/>
          <w:lang w:eastAsia="zh-CN"/>
        </w:rPr>
        <w:t>供应商</w:t>
      </w:r>
      <w:r>
        <w:rPr>
          <w:rFonts w:hint="eastAsia" w:ascii="宋体" w:hAnsi="宋体" w:cs="宋体"/>
          <w:spacing w:val="-4"/>
          <w:sz w:val="24"/>
          <w:szCs w:val="24"/>
        </w:rPr>
        <w:t xml:space="preserve">作出书面说明并提供相关证明材料，不能合理说明或不能提供相关证明材料的，其响应文件将被否决。 </w:t>
      </w:r>
    </w:p>
    <w:p w14:paraId="1AA36D98">
      <w:pPr>
        <w:wordWrap w:val="0"/>
        <w:autoSpaceDE w:val="0"/>
        <w:autoSpaceDN w:val="0"/>
        <w:adjustRightInd w:val="0"/>
        <w:spacing w:line="360" w:lineRule="auto"/>
        <w:ind w:firstLine="464" w:firstLineChars="200"/>
        <w:rPr>
          <w:rFonts w:hint="eastAsia" w:ascii="宋体" w:hAnsi="宋体" w:cs="宋体" w:eastAsiaTheme="minorEastAsia"/>
          <w:b w:val="0"/>
          <w:bCs w:val="0"/>
          <w:color w:val="auto"/>
          <w:sz w:val="24"/>
          <w:szCs w:val="24"/>
          <w:highlight w:val="none"/>
          <w:lang w:eastAsia="zh-CN"/>
        </w:rPr>
      </w:pPr>
      <w:r>
        <w:rPr>
          <w:rFonts w:hint="eastAsia" w:ascii="宋体" w:hAnsi="宋体" w:cs="宋体"/>
          <w:spacing w:val="-4"/>
          <w:sz w:val="24"/>
          <w:szCs w:val="24"/>
        </w:rPr>
        <w:t>2</w:t>
      </w:r>
      <w:r>
        <w:rPr>
          <w:rFonts w:hint="eastAsia" w:ascii="宋体" w:hAnsi="宋体" w:cs="宋体"/>
          <w:spacing w:val="-4"/>
          <w:sz w:val="24"/>
          <w:szCs w:val="24"/>
          <w:lang w:val="en-US" w:eastAsia="zh-CN"/>
        </w:rPr>
        <w:t>8</w:t>
      </w:r>
      <w:r>
        <w:rPr>
          <w:rFonts w:hint="eastAsia" w:ascii="宋体" w:hAnsi="宋体" w:cs="宋体"/>
          <w:spacing w:val="-4"/>
          <w:sz w:val="24"/>
          <w:szCs w:val="24"/>
        </w:rPr>
        <w:t>.6 磋商小组将否决被确定为非实质性响应的响应文件，</w:t>
      </w:r>
      <w:r>
        <w:rPr>
          <w:rFonts w:hint="eastAsia" w:ascii="宋体" w:hAnsi="宋体" w:cs="宋体"/>
          <w:spacing w:val="-4"/>
          <w:sz w:val="24"/>
          <w:szCs w:val="24"/>
          <w:lang w:eastAsia="zh-CN"/>
        </w:rPr>
        <w:t>供应商</w:t>
      </w:r>
      <w:r>
        <w:rPr>
          <w:rFonts w:hint="eastAsia" w:ascii="宋体" w:hAnsi="宋体" w:cs="宋体"/>
          <w:spacing w:val="-4"/>
          <w:sz w:val="24"/>
          <w:szCs w:val="24"/>
        </w:rPr>
        <w:t>不得通过修正使其满足实质性要求</w:t>
      </w:r>
      <w:r>
        <w:rPr>
          <w:rFonts w:hint="eastAsia" w:ascii="宋体" w:hAnsi="宋体" w:cs="宋体"/>
          <w:spacing w:val="-4"/>
          <w:sz w:val="24"/>
          <w:szCs w:val="24"/>
          <w:lang w:eastAsia="zh-CN"/>
        </w:rPr>
        <w:t>。</w:t>
      </w:r>
    </w:p>
    <w:p w14:paraId="1D463803">
      <w:pPr>
        <w:wordWrap w:val="0"/>
        <w:autoSpaceDE w:val="0"/>
        <w:autoSpaceDN w:val="0"/>
        <w:adjustRightInd w:val="0"/>
        <w:spacing w:line="360" w:lineRule="auto"/>
        <w:ind w:firstLine="482" w:firstLineChars="200"/>
        <w:rPr>
          <w:rFonts w:ascii="宋体" w:hAnsi="宋体" w:cs="宋体"/>
          <w:b/>
          <w:bCs/>
          <w:spacing w:val="-4"/>
          <w:sz w:val="24"/>
          <w:szCs w:val="24"/>
          <w:lang w:val="zh-CN" w:eastAsia="zh-TW"/>
        </w:rPr>
      </w:pPr>
      <w:bookmarkStart w:id="95" w:name="_Toc23840"/>
      <w:r>
        <w:rPr>
          <w:rFonts w:hint="eastAsia" w:ascii="宋体" w:hAnsi="宋体" w:eastAsia="宋体" w:cs="宋体"/>
          <w:b/>
          <w:bCs/>
          <w:color w:val="auto"/>
          <w:sz w:val="24"/>
          <w:szCs w:val="24"/>
          <w:highlight w:val="none"/>
          <w:lang w:val="en-US" w:eastAsia="zh-CN"/>
        </w:rPr>
        <w:t>29、</w:t>
      </w:r>
      <w:r>
        <w:rPr>
          <w:rFonts w:hint="eastAsia" w:ascii="宋体" w:hAnsi="宋体" w:cs="宋体"/>
          <w:b/>
          <w:bCs/>
          <w:spacing w:val="-4"/>
          <w:sz w:val="24"/>
          <w:szCs w:val="24"/>
          <w:lang w:val="zh-CN" w:eastAsia="zh-TW"/>
        </w:rPr>
        <w:t>响应文件的澄清</w:t>
      </w:r>
    </w:p>
    <w:p w14:paraId="2EEEBDE5">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2</w:t>
      </w:r>
      <w:r>
        <w:rPr>
          <w:rFonts w:hint="eastAsia" w:ascii="宋体" w:hAnsi="宋体" w:cs="宋体"/>
          <w:spacing w:val="-4"/>
          <w:sz w:val="24"/>
          <w:szCs w:val="24"/>
          <w:lang w:val="en-US" w:eastAsia="zh-CN"/>
        </w:rPr>
        <w:t>9</w:t>
      </w:r>
      <w:r>
        <w:rPr>
          <w:rFonts w:hint="eastAsia" w:ascii="宋体" w:hAnsi="宋体" w:cs="宋体"/>
          <w:spacing w:val="-4"/>
          <w:sz w:val="24"/>
          <w:szCs w:val="24"/>
        </w:rPr>
        <w:t>.1 为了有助于对响应文件进行审查、评审和比较，磋商小组有权向</w:t>
      </w:r>
      <w:r>
        <w:rPr>
          <w:rFonts w:hint="eastAsia" w:ascii="宋体" w:hAnsi="宋体" w:cs="宋体"/>
          <w:spacing w:val="-4"/>
          <w:sz w:val="24"/>
          <w:szCs w:val="24"/>
          <w:lang w:eastAsia="zh-CN"/>
        </w:rPr>
        <w:t>供应商</w:t>
      </w:r>
      <w:r>
        <w:rPr>
          <w:rFonts w:hint="eastAsia" w:ascii="宋体" w:hAnsi="宋体" w:cs="宋体"/>
          <w:spacing w:val="-4"/>
          <w:sz w:val="24"/>
          <w:szCs w:val="24"/>
        </w:rPr>
        <w:t>质疑，请</w:t>
      </w:r>
      <w:r>
        <w:rPr>
          <w:rFonts w:hint="eastAsia" w:ascii="宋体" w:hAnsi="宋体" w:cs="宋体"/>
          <w:spacing w:val="-4"/>
          <w:sz w:val="24"/>
          <w:szCs w:val="24"/>
          <w:lang w:eastAsia="zh-CN"/>
        </w:rPr>
        <w:t>供应商</w:t>
      </w:r>
      <w:r>
        <w:rPr>
          <w:rFonts w:hint="eastAsia" w:ascii="宋体" w:hAnsi="宋体" w:cs="宋体"/>
          <w:spacing w:val="-4"/>
          <w:sz w:val="24"/>
          <w:szCs w:val="24"/>
        </w:rPr>
        <w:t>澄清其磋商内容。</w:t>
      </w:r>
      <w:r>
        <w:rPr>
          <w:rFonts w:hint="eastAsia" w:ascii="宋体" w:hAnsi="宋体" w:cs="宋体"/>
          <w:spacing w:val="-4"/>
          <w:sz w:val="24"/>
          <w:szCs w:val="24"/>
          <w:lang w:eastAsia="zh-CN"/>
        </w:rPr>
        <w:t>供应商</w:t>
      </w:r>
      <w:r>
        <w:rPr>
          <w:rFonts w:hint="eastAsia" w:ascii="宋体" w:hAnsi="宋体" w:cs="宋体"/>
          <w:spacing w:val="-4"/>
          <w:sz w:val="24"/>
          <w:szCs w:val="24"/>
        </w:rPr>
        <w:t>有责任按照磋商小组通知的时间、地点、方式指派委托代理人进行答疑和澄清。</w:t>
      </w:r>
    </w:p>
    <w:p w14:paraId="08FD5977">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2</w:t>
      </w:r>
      <w:r>
        <w:rPr>
          <w:rFonts w:hint="eastAsia" w:ascii="宋体" w:hAnsi="宋体" w:cs="宋体"/>
          <w:spacing w:val="-4"/>
          <w:sz w:val="24"/>
          <w:szCs w:val="24"/>
          <w:lang w:val="en-US" w:eastAsia="zh-CN"/>
        </w:rPr>
        <w:t>9</w:t>
      </w:r>
      <w:r>
        <w:rPr>
          <w:rFonts w:hint="eastAsia" w:ascii="宋体" w:hAnsi="宋体" w:cs="宋体"/>
          <w:spacing w:val="-4"/>
          <w:sz w:val="24"/>
          <w:szCs w:val="24"/>
        </w:rPr>
        <w:t xml:space="preserve">.2 重要澄清的答复应是书面的，并由法定代表人或其委托代理人签字。 </w:t>
      </w:r>
    </w:p>
    <w:p w14:paraId="666D22CC">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2</w:t>
      </w:r>
      <w:r>
        <w:rPr>
          <w:rFonts w:hint="eastAsia" w:ascii="宋体" w:hAnsi="宋体" w:cs="宋体"/>
          <w:spacing w:val="-4"/>
          <w:sz w:val="24"/>
          <w:szCs w:val="24"/>
          <w:lang w:val="en-US" w:eastAsia="zh-CN"/>
        </w:rPr>
        <w:t>9</w:t>
      </w:r>
      <w:r>
        <w:rPr>
          <w:rFonts w:hint="eastAsia" w:ascii="宋体" w:hAnsi="宋体" w:cs="宋体"/>
          <w:spacing w:val="-4"/>
          <w:sz w:val="24"/>
          <w:szCs w:val="24"/>
        </w:rPr>
        <w:t xml:space="preserve">.3 </w:t>
      </w:r>
      <w:r>
        <w:rPr>
          <w:rFonts w:hint="eastAsia" w:ascii="宋体" w:hAnsi="宋体" w:cs="宋体"/>
          <w:spacing w:val="-4"/>
          <w:sz w:val="24"/>
          <w:szCs w:val="24"/>
          <w:lang w:eastAsia="zh-CN"/>
        </w:rPr>
        <w:t>供应商</w:t>
      </w:r>
      <w:r>
        <w:rPr>
          <w:rFonts w:hint="eastAsia" w:ascii="宋体" w:hAnsi="宋体" w:cs="宋体"/>
          <w:spacing w:val="-4"/>
          <w:sz w:val="24"/>
          <w:szCs w:val="24"/>
        </w:rPr>
        <w:t xml:space="preserve">的澄清文件是响应文件的组成部分，并取代响应文件中被澄清的部分。 </w:t>
      </w:r>
    </w:p>
    <w:p w14:paraId="343B5287">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2</w:t>
      </w:r>
      <w:r>
        <w:rPr>
          <w:rFonts w:hint="eastAsia" w:ascii="宋体" w:hAnsi="宋体" w:cs="宋体"/>
          <w:spacing w:val="-4"/>
          <w:sz w:val="24"/>
          <w:szCs w:val="24"/>
          <w:lang w:val="en-US" w:eastAsia="zh-CN"/>
        </w:rPr>
        <w:t>9</w:t>
      </w:r>
      <w:r>
        <w:rPr>
          <w:rFonts w:hint="eastAsia" w:ascii="宋体" w:hAnsi="宋体" w:cs="宋体"/>
          <w:spacing w:val="-4"/>
          <w:sz w:val="24"/>
          <w:szCs w:val="24"/>
        </w:rPr>
        <w:t>.4 响应文件的澄清不得对磋商内容进行实质性修改。</w:t>
      </w:r>
    </w:p>
    <w:p w14:paraId="11131E1B">
      <w:pPr>
        <w:spacing w:line="440" w:lineRule="exact"/>
        <w:ind w:firstLine="482" w:firstLineChars="200"/>
        <w:outlineLvl w:val="0"/>
        <w:rPr>
          <w:rFonts w:hint="eastAsia" w:ascii="宋体" w:hAnsi="宋体" w:eastAsia="宋体" w:cs="宋体"/>
          <w:b/>
          <w:bCs/>
          <w:color w:val="auto"/>
          <w:sz w:val="24"/>
          <w:szCs w:val="24"/>
          <w:highlight w:val="none"/>
        </w:rPr>
      </w:pPr>
      <w:bookmarkStart w:id="96" w:name="_Toc6265"/>
      <w:bookmarkStart w:id="97" w:name="_Toc28733"/>
      <w:r>
        <w:rPr>
          <w:rFonts w:hint="eastAsia" w:ascii="宋体" w:hAnsi="宋体" w:eastAsia="宋体" w:cs="宋体"/>
          <w:b/>
          <w:bCs/>
          <w:color w:val="auto"/>
          <w:sz w:val="24"/>
          <w:szCs w:val="24"/>
          <w:highlight w:val="none"/>
          <w:lang w:val="en-US" w:eastAsia="zh-CN"/>
        </w:rPr>
        <w:t>30、</w:t>
      </w:r>
      <w:bookmarkEnd w:id="95"/>
      <w:r>
        <w:rPr>
          <w:rFonts w:hint="eastAsia" w:ascii="宋体" w:hAnsi="宋体" w:cs="宋体"/>
          <w:b/>
          <w:bCs/>
          <w:spacing w:val="-4"/>
          <w:sz w:val="24"/>
          <w:szCs w:val="24"/>
        </w:rPr>
        <w:t>评审办法和评审</w:t>
      </w:r>
      <w:r>
        <w:rPr>
          <w:rFonts w:hint="eastAsia" w:ascii="宋体" w:hAnsi="宋体" w:cs="宋体"/>
          <w:b/>
          <w:bCs/>
          <w:spacing w:val="-4"/>
          <w:sz w:val="24"/>
          <w:szCs w:val="24"/>
          <w:lang w:val="zh-CN" w:eastAsia="zh-TW"/>
        </w:rPr>
        <w:t>原则</w:t>
      </w:r>
      <w:bookmarkEnd w:id="96"/>
      <w:bookmarkEnd w:id="97"/>
    </w:p>
    <w:p w14:paraId="2A8318C8">
      <w:pPr>
        <w:spacing w:line="440" w:lineRule="exact"/>
        <w:ind w:firstLine="480" w:firstLineChars="200"/>
        <w:outlineLvl w:val="0"/>
        <w:rPr>
          <w:rFonts w:hint="eastAsia" w:ascii="宋体" w:hAnsi="宋体" w:eastAsia="宋体" w:cs="宋体"/>
          <w:b w:val="0"/>
          <w:bCs w:val="0"/>
          <w:color w:val="auto"/>
          <w:sz w:val="24"/>
          <w:szCs w:val="24"/>
          <w:highlight w:val="none"/>
        </w:rPr>
      </w:pPr>
      <w:bookmarkStart w:id="98" w:name="_Toc6094"/>
      <w:bookmarkStart w:id="99" w:name="_Toc15205"/>
      <w:bookmarkStart w:id="100" w:name="_Toc20836"/>
      <w:r>
        <w:rPr>
          <w:rFonts w:hint="eastAsia" w:ascii="宋体" w:hAnsi="宋体" w:eastAsia="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评</w:t>
      </w:r>
      <w:r>
        <w:rPr>
          <w:rFonts w:hint="eastAsia" w:ascii="宋体" w:hAnsi="宋体" w:eastAsia="宋体" w:cs="宋体"/>
          <w:b w:val="0"/>
          <w:bCs w:val="0"/>
          <w:color w:val="auto"/>
          <w:sz w:val="24"/>
          <w:szCs w:val="24"/>
          <w:highlight w:val="none"/>
          <w:lang w:val="en-US" w:eastAsia="zh-CN"/>
        </w:rPr>
        <w:t>审</w:t>
      </w:r>
      <w:r>
        <w:rPr>
          <w:rFonts w:hint="eastAsia" w:ascii="宋体" w:hAnsi="宋体" w:eastAsia="宋体" w:cs="宋体"/>
          <w:b w:val="0"/>
          <w:bCs w:val="0"/>
          <w:color w:val="auto"/>
          <w:sz w:val="24"/>
          <w:szCs w:val="24"/>
          <w:highlight w:val="none"/>
        </w:rPr>
        <w:t>原则:</w:t>
      </w:r>
      <w:r>
        <w:rPr>
          <w:rFonts w:hint="eastAsia" w:ascii="宋体" w:hAnsi="宋体" w:eastAsia="宋体" w:cs="宋体"/>
          <w:b w:val="0"/>
          <w:bCs w:val="0"/>
          <w:color w:val="auto"/>
          <w:sz w:val="24"/>
          <w:szCs w:val="24"/>
          <w:highlight w:val="none"/>
          <w:lang w:val="en-US" w:eastAsia="zh-CN"/>
        </w:rPr>
        <w:t>磋商小组</w:t>
      </w:r>
      <w:r>
        <w:rPr>
          <w:rFonts w:hint="eastAsia" w:ascii="宋体" w:hAnsi="宋体" w:eastAsia="宋体" w:cs="宋体"/>
          <w:b w:val="0"/>
          <w:bCs w:val="0"/>
          <w:color w:val="auto"/>
          <w:sz w:val="24"/>
          <w:szCs w:val="24"/>
          <w:highlight w:val="none"/>
        </w:rPr>
        <w:t>必须公平、公正，不带任何倾向性和启发性；不得向外界透露任何与评</w:t>
      </w:r>
      <w:r>
        <w:rPr>
          <w:rFonts w:hint="eastAsia" w:ascii="宋体" w:hAnsi="宋体" w:eastAsia="宋体" w:cs="宋体"/>
          <w:b w:val="0"/>
          <w:bCs w:val="0"/>
          <w:color w:val="auto"/>
          <w:sz w:val="24"/>
          <w:szCs w:val="24"/>
          <w:highlight w:val="none"/>
          <w:lang w:val="en-US" w:eastAsia="zh-CN"/>
        </w:rPr>
        <w:t>审</w:t>
      </w:r>
      <w:r>
        <w:rPr>
          <w:rFonts w:hint="eastAsia" w:ascii="宋体" w:hAnsi="宋体" w:eastAsia="宋体" w:cs="宋体"/>
          <w:b w:val="0"/>
          <w:bCs w:val="0"/>
          <w:color w:val="auto"/>
          <w:sz w:val="24"/>
          <w:szCs w:val="24"/>
          <w:highlight w:val="none"/>
        </w:rPr>
        <w:t>有关的内容；任何单位和个人不得干扰、影响评</w:t>
      </w:r>
      <w:r>
        <w:rPr>
          <w:rFonts w:hint="eastAsia" w:ascii="宋体" w:hAnsi="宋体" w:eastAsia="宋体" w:cs="宋体"/>
          <w:b w:val="0"/>
          <w:bCs w:val="0"/>
          <w:color w:val="auto"/>
          <w:sz w:val="24"/>
          <w:szCs w:val="24"/>
          <w:highlight w:val="none"/>
          <w:lang w:val="en-US" w:eastAsia="zh-CN"/>
        </w:rPr>
        <w:t>审工作的</w:t>
      </w:r>
      <w:r>
        <w:rPr>
          <w:rFonts w:hint="eastAsia" w:ascii="宋体" w:hAnsi="宋体" w:eastAsia="宋体" w:cs="宋体"/>
          <w:b w:val="0"/>
          <w:bCs w:val="0"/>
          <w:color w:val="auto"/>
          <w:sz w:val="24"/>
          <w:szCs w:val="24"/>
          <w:highlight w:val="none"/>
        </w:rPr>
        <w:t>正常进行；</w:t>
      </w:r>
      <w:r>
        <w:rPr>
          <w:rFonts w:hint="eastAsia" w:ascii="宋体" w:hAnsi="宋体" w:eastAsia="宋体" w:cs="宋体"/>
          <w:b w:val="0"/>
          <w:bCs w:val="0"/>
          <w:color w:val="auto"/>
          <w:sz w:val="24"/>
          <w:szCs w:val="24"/>
          <w:highlight w:val="none"/>
          <w:lang w:val="en-US" w:eastAsia="zh-CN"/>
        </w:rPr>
        <w:t>磋商小组</w:t>
      </w:r>
      <w:r>
        <w:rPr>
          <w:rFonts w:hint="eastAsia" w:ascii="宋体" w:hAnsi="宋体" w:eastAsia="宋体" w:cs="宋体"/>
          <w:b w:val="0"/>
          <w:bCs w:val="0"/>
          <w:color w:val="auto"/>
          <w:sz w:val="24"/>
          <w:szCs w:val="24"/>
          <w:highlight w:val="none"/>
        </w:rPr>
        <w:t>及有关工作人员不得私下与供应商接触。</w:t>
      </w:r>
      <w:bookmarkEnd w:id="98"/>
      <w:bookmarkEnd w:id="99"/>
      <w:bookmarkEnd w:id="100"/>
    </w:p>
    <w:p w14:paraId="53F192D1">
      <w:pPr>
        <w:spacing w:line="440" w:lineRule="exact"/>
        <w:ind w:firstLine="480" w:firstLineChars="200"/>
        <w:outlineLvl w:val="0"/>
        <w:rPr>
          <w:rFonts w:hint="eastAsia" w:ascii="宋体" w:hAnsi="宋体" w:eastAsia="宋体" w:cs="宋体"/>
          <w:b w:val="0"/>
          <w:bCs w:val="0"/>
          <w:color w:val="auto"/>
          <w:sz w:val="24"/>
          <w:szCs w:val="24"/>
          <w:highlight w:val="none"/>
        </w:rPr>
      </w:pPr>
      <w:bookmarkStart w:id="101" w:name="_Toc1695"/>
      <w:bookmarkStart w:id="102" w:name="_Toc7698"/>
      <w:bookmarkStart w:id="103" w:name="_Toc25456"/>
      <w:r>
        <w:rPr>
          <w:rFonts w:hint="eastAsia" w:ascii="宋体" w:hAnsi="宋体" w:eastAsia="宋体" w:cs="宋体"/>
          <w:b w:val="0"/>
          <w:bCs w:val="0"/>
          <w:color w:val="auto"/>
          <w:sz w:val="24"/>
          <w:szCs w:val="24"/>
          <w:highlight w:val="none"/>
          <w:lang w:val="en-US" w:eastAsia="zh-CN"/>
        </w:rPr>
        <w:t xml:space="preserve">30.2 </w:t>
      </w:r>
      <w:r>
        <w:rPr>
          <w:rFonts w:hint="eastAsia" w:ascii="宋体" w:hAnsi="宋体" w:eastAsia="宋体" w:cs="宋体"/>
          <w:b w:val="0"/>
          <w:bCs w:val="0"/>
          <w:color w:val="auto"/>
          <w:sz w:val="24"/>
          <w:szCs w:val="24"/>
          <w:highlight w:val="none"/>
        </w:rPr>
        <w:t>评</w:t>
      </w:r>
      <w:r>
        <w:rPr>
          <w:rFonts w:hint="eastAsia" w:ascii="宋体" w:hAnsi="宋体" w:eastAsia="宋体" w:cs="宋体"/>
          <w:b w:val="0"/>
          <w:bCs w:val="0"/>
          <w:color w:val="auto"/>
          <w:sz w:val="24"/>
          <w:szCs w:val="24"/>
          <w:highlight w:val="none"/>
          <w:lang w:val="en-US" w:eastAsia="zh-CN"/>
        </w:rPr>
        <w:t>审</w:t>
      </w:r>
      <w:r>
        <w:rPr>
          <w:rFonts w:hint="eastAsia" w:ascii="宋体" w:hAnsi="宋体" w:eastAsia="宋体" w:cs="宋体"/>
          <w:b w:val="0"/>
          <w:bCs w:val="0"/>
          <w:color w:val="auto"/>
          <w:sz w:val="24"/>
          <w:szCs w:val="24"/>
          <w:highlight w:val="none"/>
        </w:rPr>
        <w:t>办法:本项目评</w:t>
      </w:r>
      <w:r>
        <w:rPr>
          <w:rFonts w:hint="eastAsia" w:ascii="宋体" w:hAnsi="宋体" w:eastAsia="宋体" w:cs="宋体"/>
          <w:b w:val="0"/>
          <w:bCs w:val="0"/>
          <w:color w:val="auto"/>
          <w:sz w:val="24"/>
          <w:szCs w:val="24"/>
          <w:highlight w:val="none"/>
          <w:lang w:val="en-US" w:eastAsia="zh-CN"/>
        </w:rPr>
        <w:t>审</w:t>
      </w:r>
      <w:r>
        <w:rPr>
          <w:rFonts w:hint="eastAsia" w:ascii="宋体" w:hAnsi="宋体" w:eastAsia="宋体" w:cs="宋体"/>
          <w:b w:val="0"/>
          <w:bCs w:val="0"/>
          <w:color w:val="auto"/>
          <w:sz w:val="24"/>
          <w:szCs w:val="24"/>
          <w:highlight w:val="none"/>
        </w:rPr>
        <w:t>办法是综合评分法，具体评</w:t>
      </w:r>
      <w:r>
        <w:rPr>
          <w:rFonts w:hint="eastAsia" w:ascii="宋体" w:hAnsi="宋体" w:eastAsia="宋体" w:cs="宋体"/>
          <w:b w:val="0"/>
          <w:bCs w:val="0"/>
          <w:color w:val="auto"/>
          <w:sz w:val="24"/>
          <w:szCs w:val="24"/>
          <w:highlight w:val="none"/>
          <w:lang w:val="en-US" w:eastAsia="zh-CN"/>
        </w:rPr>
        <w:t>审</w:t>
      </w:r>
      <w:r>
        <w:rPr>
          <w:rFonts w:hint="eastAsia" w:ascii="宋体" w:hAnsi="宋体" w:eastAsia="宋体" w:cs="宋体"/>
          <w:b w:val="0"/>
          <w:bCs w:val="0"/>
          <w:color w:val="auto"/>
          <w:sz w:val="24"/>
          <w:szCs w:val="24"/>
          <w:highlight w:val="none"/>
        </w:rPr>
        <w:t>内容及评分标准等详见</w:t>
      </w:r>
      <w:r>
        <w:rPr>
          <w:rFonts w:hint="eastAsia" w:ascii="宋体" w:hAnsi="宋体" w:eastAsia="宋体" w:cs="宋体"/>
          <w:b w:val="0"/>
          <w:bCs w:val="0"/>
          <w:color w:val="auto"/>
          <w:sz w:val="24"/>
          <w:szCs w:val="24"/>
          <w:highlight w:val="none"/>
          <w:lang w:val="en-US" w:eastAsia="zh-CN"/>
        </w:rPr>
        <w:t>磋商文件</w:t>
      </w:r>
      <w:r>
        <w:rPr>
          <w:rFonts w:hint="eastAsia" w:ascii="宋体" w:hAnsi="宋体" w:eastAsia="宋体" w:cs="宋体"/>
          <w:b w:val="0"/>
          <w:bCs w:val="0"/>
          <w:color w:val="auto"/>
          <w:sz w:val="24"/>
          <w:szCs w:val="24"/>
          <w:highlight w:val="none"/>
        </w:rPr>
        <w:t>：评</w:t>
      </w:r>
      <w:r>
        <w:rPr>
          <w:rFonts w:hint="eastAsia" w:ascii="宋体" w:hAnsi="宋体" w:eastAsia="宋体" w:cs="宋体"/>
          <w:b w:val="0"/>
          <w:bCs w:val="0"/>
          <w:color w:val="auto"/>
          <w:sz w:val="24"/>
          <w:szCs w:val="24"/>
          <w:highlight w:val="none"/>
          <w:lang w:val="en-US" w:eastAsia="zh-CN"/>
        </w:rPr>
        <w:t>审</w:t>
      </w:r>
      <w:r>
        <w:rPr>
          <w:rFonts w:hint="eastAsia" w:ascii="宋体" w:hAnsi="宋体" w:eastAsia="宋体" w:cs="宋体"/>
          <w:b w:val="0"/>
          <w:bCs w:val="0"/>
          <w:color w:val="auto"/>
          <w:sz w:val="24"/>
          <w:szCs w:val="24"/>
          <w:highlight w:val="none"/>
        </w:rPr>
        <w:t>办法及评分标准。</w:t>
      </w:r>
      <w:bookmarkEnd w:id="101"/>
      <w:bookmarkEnd w:id="102"/>
      <w:bookmarkEnd w:id="103"/>
    </w:p>
    <w:bookmarkEnd w:id="89"/>
    <w:bookmarkEnd w:id="90"/>
    <w:bookmarkEnd w:id="91"/>
    <w:bookmarkEnd w:id="92"/>
    <w:bookmarkEnd w:id="93"/>
    <w:bookmarkEnd w:id="94"/>
    <w:p w14:paraId="38D4AD75">
      <w:pPr>
        <w:wordWrap w:val="0"/>
        <w:autoSpaceDE w:val="0"/>
        <w:autoSpaceDN w:val="0"/>
        <w:adjustRightInd w:val="0"/>
        <w:spacing w:line="360" w:lineRule="auto"/>
        <w:ind w:firstLine="466" w:firstLineChars="200"/>
        <w:rPr>
          <w:rFonts w:ascii="宋体" w:hAnsi="宋体" w:cs="宋体"/>
          <w:b/>
          <w:bCs/>
          <w:spacing w:val="-4"/>
          <w:sz w:val="24"/>
          <w:szCs w:val="24"/>
          <w:lang w:val="zh-CN" w:eastAsia="zh-TW"/>
        </w:rPr>
      </w:pPr>
      <w:r>
        <w:rPr>
          <w:rFonts w:hint="eastAsia" w:ascii="宋体" w:hAnsi="宋体" w:cs="宋体"/>
          <w:b/>
          <w:bCs/>
          <w:spacing w:val="-4"/>
          <w:sz w:val="24"/>
          <w:szCs w:val="24"/>
          <w:lang w:val="en-US" w:eastAsia="zh-CN"/>
        </w:rPr>
        <w:t>31</w:t>
      </w:r>
      <w:r>
        <w:rPr>
          <w:rFonts w:hint="eastAsia" w:ascii="宋体" w:hAnsi="宋体" w:cs="宋体"/>
          <w:b/>
          <w:bCs/>
          <w:spacing w:val="-4"/>
          <w:sz w:val="24"/>
          <w:szCs w:val="24"/>
          <w:lang w:val="zh-CN" w:eastAsia="zh-TW"/>
        </w:rPr>
        <w:t>、</w:t>
      </w:r>
      <w:r>
        <w:rPr>
          <w:rFonts w:hint="eastAsia" w:ascii="宋体" w:hAnsi="宋体" w:cs="宋体"/>
          <w:b/>
          <w:bCs/>
          <w:spacing w:val="-4"/>
          <w:sz w:val="24"/>
          <w:szCs w:val="24"/>
        </w:rPr>
        <w:t>评审</w:t>
      </w:r>
      <w:r>
        <w:rPr>
          <w:rFonts w:hint="eastAsia" w:ascii="宋体" w:hAnsi="宋体" w:cs="宋体"/>
          <w:b/>
          <w:bCs/>
          <w:spacing w:val="-4"/>
          <w:sz w:val="24"/>
          <w:szCs w:val="24"/>
          <w:lang w:val="zh-CN" w:eastAsia="zh-TW"/>
        </w:rPr>
        <w:t>纪律</w:t>
      </w:r>
    </w:p>
    <w:p w14:paraId="3A13A83D">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lang w:val="en-US" w:eastAsia="zh-CN"/>
        </w:rPr>
        <w:t>31</w:t>
      </w:r>
      <w:r>
        <w:rPr>
          <w:rFonts w:hint="eastAsia" w:ascii="宋体" w:hAnsi="宋体" w:cs="宋体"/>
          <w:spacing w:val="-4"/>
          <w:sz w:val="24"/>
          <w:szCs w:val="24"/>
        </w:rPr>
        <w:t>.1 磋商小组成员和参与磋商工作的有关人员不得透露对响应文件的评审和比较、成交候选人的推荐情况以及与磋商有关的其它情况。</w:t>
      </w:r>
    </w:p>
    <w:p w14:paraId="0B1F0936">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lang w:val="en-US" w:eastAsia="zh-CN"/>
        </w:rPr>
        <w:t>31</w:t>
      </w:r>
      <w:r>
        <w:rPr>
          <w:rFonts w:hint="eastAsia" w:ascii="宋体" w:hAnsi="宋体" w:cs="宋体"/>
          <w:spacing w:val="-4"/>
          <w:sz w:val="24"/>
          <w:szCs w:val="24"/>
        </w:rPr>
        <w:t>.2 如果</w:t>
      </w:r>
      <w:r>
        <w:rPr>
          <w:rFonts w:hint="eastAsia" w:ascii="宋体" w:hAnsi="宋体" w:cs="宋体"/>
          <w:spacing w:val="-4"/>
          <w:sz w:val="24"/>
          <w:szCs w:val="24"/>
          <w:lang w:eastAsia="zh-CN"/>
        </w:rPr>
        <w:t>供应商</w:t>
      </w:r>
      <w:r>
        <w:rPr>
          <w:rFonts w:hint="eastAsia" w:ascii="宋体" w:hAnsi="宋体" w:cs="宋体"/>
          <w:spacing w:val="-4"/>
          <w:sz w:val="24"/>
          <w:szCs w:val="24"/>
        </w:rPr>
        <w:t>试图对磋商小组的评审施加影响，则将导致该</w:t>
      </w:r>
      <w:r>
        <w:rPr>
          <w:rFonts w:hint="eastAsia" w:ascii="宋体" w:hAnsi="宋体" w:cs="宋体"/>
          <w:spacing w:val="-4"/>
          <w:sz w:val="24"/>
          <w:szCs w:val="24"/>
          <w:lang w:eastAsia="zh-CN"/>
        </w:rPr>
        <w:t>供应商</w:t>
      </w:r>
      <w:r>
        <w:rPr>
          <w:rFonts w:hint="eastAsia" w:ascii="宋体" w:hAnsi="宋体" w:cs="宋体"/>
          <w:spacing w:val="-4"/>
          <w:sz w:val="24"/>
          <w:szCs w:val="24"/>
        </w:rPr>
        <w:t>的响应文件被拒绝。</w:t>
      </w:r>
    </w:p>
    <w:p w14:paraId="325F156E">
      <w:pPr>
        <w:spacing w:line="440" w:lineRule="exact"/>
        <w:ind w:firstLine="482" w:firstLineChars="20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32、保密</w:t>
      </w:r>
    </w:p>
    <w:p w14:paraId="48475F63">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响应</w:t>
      </w:r>
      <w:r>
        <w:rPr>
          <w:rFonts w:hint="eastAsia" w:ascii="宋体" w:hAnsi="宋体" w:eastAsia="宋体" w:cs="宋体"/>
          <w:color w:val="auto"/>
          <w:sz w:val="24"/>
          <w:szCs w:val="24"/>
          <w:highlight w:val="none"/>
        </w:rPr>
        <w:t>文件的审查、澄清、评价和比较的有关资料以及成交候选人的推荐情况，与</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有关的其他任何情况均应严格保密。</w:t>
      </w:r>
    </w:p>
    <w:p w14:paraId="566AF25D">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文件的评审和比较、成交候选人推荐以及授予合同的过程中，</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向采购人和</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小组施加影响的任何行为，都将会导致其</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被拒绝。</w:t>
      </w:r>
    </w:p>
    <w:p w14:paraId="6562DE4E">
      <w:pPr>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采购人不对未成交人就</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过程以及未能成交原因作出任何解释。未成交人不得向</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小组成员和其他有关人员索问</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过程的情况和资料。</w:t>
      </w:r>
    </w:p>
    <w:p w14:paraId="0A9BB6EB">
      <w:pPr>
        <w:wordWrap w:val="0"/>
        <w:autoSpaceDE w:val="0"/>
        <w:autoSpaceDN w:val="0"/>
        <w:adjustRightInd w:val="0"/>
        <w:spacing w:line="360" w:lineRule="auto"/>
        <w:ind w:firstLine="466" w:firstLineChars="200"/>
        <w:rPr>
          <w:rFonts w:ascii="宋体" w:hAnsi="宋体" w:cs="宋体"/>
          <w:b/>
          <w:bCs/>
          <w:spacing w:val="-4"/>
          <w:sz w:val="24"/>
          <w:szCs w:val="24"/>
          <w:lang w:val="zh-CN"/>
        </w:rPr>
      </w:pPr>
      <w:r>
        <w:rPr>
          <w:rFonts w:hint="eastAsia" w:ascii="宋体" w:hAnsi="宋体" w:cs="宋体"/>
          <w:b/>
          <w:bCs/>
          <w:spacing w:val="-4"/>
          <w:sz w:val="24"/>
          <w:szCs w:val="24"/>
          <w:lang w:val="en-US" w:eastAsia="zh-CN"/>
        </w:rPr>
        <w:t>33</w:t>
      </w:r>
      <w:r>
        <w:rPr>
          <w:rFonts w:hint="eastAsia" w:ascii="宋体" w:hAnsi="宋体" w:cs="宋体"/>
          <w:b/>
          <w:bCs/>
          <w:spacing w:val="-4"/>
          <w:sz w:val="24"/>
          <w:szCs w:val="24"/>
        </w:rPr>
        <w:t>、</w:t>
      </w:r>
      <w:r>
        <w:rPr>
          <w:rFonts w:hint="eastAsia" w:ascii="宋体" w:hAnsi="宋体" w:cs="宋体"/>
          <w:b/>
          <w:bCs/>
          <w:spacing w:val="-4"/>
          <w:sz w:val="24"/>
          <w:szCs w:val="24"/>
          <w:lang w:val="zh-CN" w:eastAsia="zh-TW"/>
        </w:rPr>
        <w:t>磋商结果的</w:t>
      </w:r>
      <w:r>
        <w:rPr>
          <w:rFonts w:hint="eastAsia" w:ascii="宋体" w:hAnsi="宋体" w:cs="宋体"/>
          <w:b/>
          <w:bCs/>
          <w:spacing w:val="-4"/>
          <w:sz w:val="24"/>
          <w:szCs w:val="24"/>
          <w:lang w:val="zh-CN"/>
        </w:rPr>
        <w:t>确认</w:t>
      </w:r>
    </w:p>
    <w:p w14:paraId="7393E0CA">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按照</w:t>
      </w:r>
      <w:r>
        <w:rPr>
          <w:rFonts w:hint="eastAsia" w:ascii="宋体" w:hAnsi="宋体" w:cs="宋体"/>
          <w:spacing w:val="-4"/>
          <w:sz w:val="24"/>
          <w:szCs w:val="24"/>
          <w:lang w:eastAsia="zh-CN"/>
        </w:rPr>
        <w:t>供应商</w:t>
      </w:r>
      <w:r>
        <w:rPr>
          <w:rFonts w:hint="eastAsia" w:ascii="宋体" w:hAnsi="宋体" w:cs="宋体"/>
          <w:spacing w:val="-4"/>
          <w:sz w:val="24"/>
          <w:szCs w:val="24"/>
        </w:rPr>
        <w:t>须知前附表的规定，采购人或采购人授权的磋商小组依法推荐成交候选人。</w:t>
      </w:r>
    </w:p>
    <w:p w14:paraId="6499130D">
      <w:pPr>
        <w:wordWrap w:val="0"/>
        <w:autoSpaceDE w:val="0"/>
        <w:autoSpaceDN w:val="0"/>
        <w:adjustRightInd w:val="0"/>
        <w:spacing w:line="360" w:lineRule="auto"/>
        <w:ind w:firstLine="466" w:firstLineChars="200"/>
        <w:rPr>
          <w:rFonts w:ascii="宋体" w:hAnsi="宋体" w:cs="宋体"/>
          <w:b/>
          <w:bCs/>
          <w:spacing w:val="-4"/>
          <w:sz w:val="24"/>
          <w:szCs w:val="24"/>
        </w:rPr>
      </w:pPr>
      <w:r>
        <w:rPr>
          <w:rFonts w:hint="eastAsia" w:ascii="宋体" w:hAnsi="宋体" w:cs="宋体"/>
          <w:b/>
          <w:bCs/>
          <w:spacing w:val="-4"/>
          <w:sz w:val="24"/>
          <w:szCs w:val="24"/>
          <w:lang w:val="en-US" w:eastAsia="zh-CN"/>
        </w:rPr>
        <w:t>34</w:t>
      </w:r>
      <w:r>
        <w:rPr>
          <w:rFonts w:hint="eastAsia" w:ascii="宋体" w:hAnsi="宋体" w:cs="宋体"/>
          <w:b/>
          <w:bCs/>
          <w:spacing w:val="-4"/>
          <w:sz w:val="24"/>
          <w:szCs w:val="24"/>
        </w:rPr>
        <w:t>、</w:t>
      </w:r>
      <w:r>
        <w:rPr>
          <w:rFonts w:hint="eastAsia" w:ascii="宋体" w:hAnsi="宋体" w:cs="宋体"/>
          <w:b/>
          <w:bCs/>
          <w:spacing w:val="-4"/>
          <w:sz w:val="24"/>
          <w:szCs w:val="24"/>
          <w:lang w:val="zh-CN"/>
        </w:rPr>
        <w:t>成交</w:t>
      </w:r>
      <w:r>
        <w:rPr>
          <w:rFonts w:hint="eastAsia" w:ascii="宋体" w:hAnsi="宋体" w:cs="宋体"/>
          <w:b/>
          <w:bCs/>
          <w:spacing w:val="-4"/>
          <w:sz w:val="24"/>
          <w:szCs w:val="24"/>
          <w:lang w:val="zh-CN" w:eastAsia="zh-TW"/>
        </w:rPr>
        <w:t>通知</w:t>
      </w:r>
      <w:r>
        <w:rPr>
          <w:rFonts w:hint="eastAsia" w:ascii="宋体" w:hAnsi="宋体" w:cs="宋体"/>
          <w:b/>
          <w:bCs/>
          <w:spacing w:val="-4"/>
          <w:sz w:val="24"/>
          <w:szCs w:val="24"/>
          <w:lang w:val="zh-CN"/>
        </w:rPr>
        <w:t>书</w:t>
      </w:r>
    </w:p>
    <w:p w14:paraId="6FB767A4">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成交人应在发布成交结果公告后领取《成交通知书》，《成交通知书》对采购人和成交人均具有法律效力。</w:t>
      </w:r>
    </w:p>
    <w:p w14:paraId="415CAD11">
      <w:pPr>
        <w:wordWrap w:val="0"/>
        <w:autoSpaceDE w:val="0"/>
        <w:autoSpaceDN w:val="0"/>
        <w:adjustRightInd w:val="0"/>
        <w:spacing w:line="360" w:lineRule="auto"/>
        <w:ind w:firstLine="466" w:firstLineChars="200"/>
        <w:rPr>
          <w:rFonts w:ascii="宋体" w:hAnsi="宋体" w:cs="宋体"/>
          <w:b/>
          <w:bCs/>
          <w:spacing w:val="-4"/>
          <w:sz w:val="24"/>
          <w:szCs w:val="24"/>
          <w:lang w:val="zh-CN" w:eastAsia="zh-TW"/>
        </w:rPr>
      </w:pPr>
      <w:r>
        <w:rPr>
          <w:rFonts w:hint="eastAsia" w:ascii="宋体" w:hAnsi="宋体" w:cs="宋体"/>
          <w:b/>
          <w:bCs/>
          <w:spacing w:val="-4"/>
          <w:sz w:val="24"/>
          <w:szCs w:val="24"/>
          <w:lang w:val="en-US" w:eastAsia="zh-CN"/>
        </w:rPr>
        <w:t>35</w:t>
      </w:r>
      <w:r>
        <w:rPr>
          <w:rFonts w:hint="eastAsia" w:ascii="宋体" w:hAnsi="宋体" w:cs="宋体"/>
          <w:b/>
          <w:bCs/>
          <w:spacing w:val="-4"/>
          <w:sz w:val="24"/>
          <w:szCs w:val="24"/>
        </w:rPr>
        <w:t>、</w:t>
      </w:r>
      <w:r>
        <w:rPr>
          <w:rFonts w:hint="eastAsia" w:ascii="宋体" w:hAnsi="宋体" w:cs="宋体"/>
          <w:b/>
          <w:bCs/>
          <w:spacing w:val="-4"/>
          <w:sz w:val="24"/>
          <w:szCs w:val="24"/>
          <w:lang w:val="zh-CN" w:eastAsia="zh-TW"/>
        </w:rPr>
        <w:t>合同授予</w:t>
      </w:r>
    </w:p>
    <w:p w14:paraId="261E9E3D">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采购人在授予合同时，保留对合同的范围和内容予以变更的权力。</w:t>
      </w:r>
    </w:p>
    <w:p w14:paraId="29A68186">
      <w:pPr>
        <w:wordWrap w:val="0"/>
        <w:autoSpaceDE w:val="0"/>
        <w:autoSpaceDN w:val="0"/>
        <w:adjustRightInd w:val="0"/>
        <w:spacing w:line="360" w:lineRule="auto"/>
        <w:ind w:firstLine="466" w:firstLineChars="200"/>
        <w:rPr>
          <w:rFonts w:ascii="宋体" w:hAnsi="宋体" w:cs="宋体"/>
          <w:b/>
          <w:bCs/>
          <w:spacing w:val="-4"/>
          <w:sz w:val="24"/>
          <w:szCs w:val="24"/>
          <w:highlight w:val="none"/>
          <w:lang w:val="zh-CN" w:eastAsia="zh-TW"/>
        </w:rPr>
      </w:pPr>
      <w:r>
        <w:rPr>
          <w:rFonts w:hint="eastAsia" w:ascii="宋体" w:hAnsi="宋体" w:cs="宋体"/>
          <w:b/>
          <w:bCs/>
          <w:spacing w:val="-4"/>
          <w:sz w:val="24"/>
          <w:szCs w:val="24"/>
          <w:highlight w:val="none"/>
          <w:lang w:val="en-US" w:eastAsia="zh-CN"/>
        </w:rPr>
        <w:t>36</w:t>
      </w:r>
      <w:r>
        <w:rPr>
          <w:rFonts w:hint="eastAsia" w:ascii="宋体" w:hAnsi="宋体" w:cs="宋体"/>
          <w:b/>
          <w:bCs/>
          <w:spacing w:val="-4"/>
          <w:sz w:val="24"/>
          <w:szCs w:val="24"/>
          <w:highlight w:val="none"/>
        </w:rPr>
        <w:t>、</w:t>
      </w:r>
      <w:r>
        <w:rPr>
          <w:rFonts w:hint="eastAsia" w:ascii="宋体" w:hAnsi="宋体" w:cs="宋体"/>
          <w:b/>
          <w:bCs/>
          <w:spacing w:val="-4"/>
          <w:sz w:val="24"/>
          <w:szCs w:val="24"/>
          <w:highlight w:val="none"/>
          <w:lang w:val="zh-CN" w:eastAsia="zh-TW"/>
        </w:rPr>
        <w:t>履约保证金</w:t>
      </w:r>
    </w:p>
    <w:p w14:paraId="27B94632">
      <w:pPr>
        <w:wordWrap w:val="0"/>
        <w:autoSpaceDE w:val="0"/>
        <w:autoSpaceDN w:val="0"/>
        <w:adjustRightInd w:val="0"/>
        <w:spacing w:line="360" w:lineRule="auto"/>
        <w:ind w:firstLine="464" w:firstLineChars="200"/>
        <w:rPr>
          <w:rFonts w:ascii="宋体" w:hAnsi="宋体" w:cs="宋体"/>
          <w:spacing w:val="-4"/>
          <w:sz w:val="24"/>
          <w:szCs w:val="24"/>
          <w:highlight w:val="none"/>
          <w:lang w:val="zh-CN" w:eastAsia="zh-TW"/>
        </w:rPr>
      </w:pPr>
      <w:r>
        <w:rPr>
          <w:rFonts w:hint="eastAsia" w:ascii="宋体" w:hAnsi="宋体" w:cs="宋体"/>
          <w:spacing w:val="-4"/>
          <w:sz w:val="24"/>
          <w:szCs w:val="24"/>
          <w:highlight w:val="none"/>
          <w:lang w:val="zh-CN" w:eastAsia="zh-TW"/>
        </w:rPr>
        <w:t>本项目不要求。</w:t>
      </w:r>
    </w:p>
    <w:p w14:paraId="08F46FEF">
      <w:pPr>
        <w:wordWrap w:val="0"/>
        <w:autoSpaceDE w:val="0"/>
        <w:autoSpaceDN w:val="0"/>
        <w:adjustRightInd w:val="0"/>
        <w:spacing w:line="360" w:lineRule="auto"/>
        <w:ind w:firstLine="466" w:firstLineChars="200"/>
        <w:rPr>
          <w:rFonts w:ascii="宋体" w:hAnsi="宋体" w:cs="宋体"/>
          <w:b/>
          <w:bCs/>
          <w:spacing w:val="-4"/>
          <w:sz w:val="24"/>
          <w:szCs w:val="24"/>
          <w:lang w:val="zh-CN" w:eastAsia="zh-TW"/>
        </w:rPr>
      </w:pPr>
      <w:r>
        <w:rPr>
          <w:rFonts w:hint="eastAsia" w:ascii="宋体" w:hAnsi="宋体" w:cs="宋体"/>
          <w:b/>
          <w:bCs/>
          <w:spacing w:val="-4"/>
          <w:sz w:val="24"/>
          <w:szCs w:val="24"/>
          <w:lang w:val="en-US" w:eastAsia="zh-CN"/>
        </w:rPr>
        <w:t>37</w:t>
      </w:r>
      <w:r>
        <w:rPr>
          <w:rFonts w:hint="eastAsia" w:ascii="宋体" w:hAnsi="宋体" w:cs="宋体"/>
          <w:b/>
          <w:bCs/>
          <w:spacing w:val="-4"/>
          <w:sz w:val="24"/>
          <w:szCs w:val="24"/>
        </w:rPr>
        <w:t>、</w:t>
      </w:r>
      <w:r>
        <w:rPr>
          <w:rFonts w:hint="eastAsia" w:ascii="宋体" w:hAnsi="宋体" w:cs="宋体"/>
          <w:b/>
          <w:bCs/>
          <w:spacing w:val="-4"/>
          <w:sz w:val="24"/>
          <w:szCs w:val="24"/>
          <w:lang w:val="zh-CN" w:eastAsia="zh-TW"/>
        </w:rPr>
        <w:t>签订合同</w:t>
      </w:r>
    </w:p>
    <w:p w14:paraId="3902E24A">
      <w:pPr>
        <w:wordWrap w:val="0"/>
        <w:autoSpaceDE w:val="0"/>
        <w:autoSpaceDN w:val="0"/>
        <w:adjustRightInd w:val="0"/>
        <w:spacing w:line="360" w:lineRule="auto"/>
        <w:ind w:firstLine="464" w:firstLineChars="200"/>
        <w:rPr>
          <w:rFonts w:ascii="宋体" w:hAnsi="宋体" w:cs="宋体"/>
          <w:spacing w:val="-4"/>
          <w:sz w:val="24"/>
          <w:szCs w:val="24"/>
        </w:rPr>
      </w:pPr>
      <w:r>
        <w:rPr>
          <w:rFonts w:hint="eastAsia" w:ascii="宋体" w:hAnsi="宋体" w:cs="宋体"/>
          <w:spacing w:val="-4"/>
          <w:sz w:val="24"/>
          <w:szCs w:val="24"/>
          <w:lang w:val="en-US" w:eastAsia="zh-CN"/>
        </w:rPr>
        <w:t>37</w:t>
      </w:r>
      <w:r>
        <w:rPr>
          <w:rFonts w:hint="eastAsia" w:ascii="宋体" w:hAnsi="宋体" w:cs="宋体"/>
          <w:spacing w:val="-4"/>
          <w:sz w:val="24"/>
          <w:szCs w:val="24"/>
        </w:rPr>
        <w:t>.1 成交人自《成交通知书》发出之日起</w:t>
      </w:r>
      <w:r>
        <w:rPr>
          <w:rFonts w:hint="eastAsia" w:ascii="宋体" w:hAnsi="宋体" w:cs="宋体"/>
          <w:spacing w:val="-4"/>
          <w:sz w:val="24"/>
          <w:szCs w:val="24"/>
          <w:lang w:val="en-US" w:eastAsia="zh-CN"/>
        </w:rPr>
        <w:t>30</w:t>
      </w:r>
      <w:r>
        <w:rPr>
          <w:rFonts w:hint="eastAsia" w:ascii="宋体" w:hAnsi="宋体" w:cs="宋体"/>
          <w:spacing w:val="-4"/>
          <w:sz w:val="24"/>
          <w:szCs w:val="24"/>
        </w:rPr>
        <w:t>日内与采购人签订合同，具体的合同条款待甲乙双方商定；</w:t>
      </w:r>
      <w:r>
        <w:rPr>
          <w:rFonts w:hint="eastAsia" w:ascii="宋体" w:hAnsi="宋体" w:eastAsia="宋体" w:cs="宋体"/>
          <w:b w:val="0"/>
          <w:bCs/>
          <w:color w:val="auto"/>
          <w:sz w:val="24"/>
          <w:szCs w:val="24"/>
          <w:highlight w:val="none"/>
        </w:rPr>
        <w:t>合同签订后</w:t>
      </w: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日内在河南省政府采购网上发布公告并完成合同备案。双方所签订的合同不得对</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文件和供应商</w:t>
      </w:r>
      <w:r>
        <w:rPr>
          <w:rFonts w:hint="eastAsia" w:ascii="宋体" w:hAnsi="宋体" w:eastAsia="宋体" w:cs="宋体"/>
          <w:b w:val="0"/>
          <w:bCs/>
          <w:color w:val="auto"/>
          <w:sz w:val="24"/>
          <w:szCs w:val="24"/>
          <w:highlight w:val="none"/>
          <w:lang w:val="en-US" w:eastAsia="zh-CN"/>
        </w:rPr>
        <w:t>响应</w:t>
      </w:r>
      <w:r>
        <w:rPr>
          <w:rFonts w:hint="eastAsia" w:ascii="宋体" w:hAnsi="宋体" w:eastAsia="宋体" w:cs="宋体"/>
          <w:b w:val="0"/>
          <w:bCs/>
          <w:color w:val="auto"/>
          <w:sz w:val="24"/>
          <w:szCs w:val="24"/>
          <w:highlight w:val="none"/>
        </w:rPr>
        <w:t>文件作实质性修改。逾期未签订合同，按照有关法律规定承担相应的法律责任；</w:t>
      </w:r>
    </w:p>
    <w:p w14:paraId="4E27ED91">
      <w:pPr>
        <w:wordWrap w:val="0"/>
        <w:autoSpaceDE w:val="0"/>
        <w:autoSpaceDN w:val="0"/>
        <w:adjustRightInd w:val="0"/>
        <w:spacing w:line="360" w:lineRule="auto"/>
        <w:ind w:firstLine="464" w:firstLineChars="200"/>
        <w:rPr>
          <w:rFonts w:hint="eastAsia" w:ascii="宋体" w:hAnsi="宋体" w:eastAsia="宋体" w:cs="宋体"/>
          <w:b w:val="0"/>
          <w:bCs/>
          <w:color w:val="auto"/>
          <w:sz w:val="24"/>
          <w:szCs w:val="24"/>
          <w:highlight w:val="none"/>
        </w:rPr>
      </w:pPr>
      <w:r>
        <w:rPr>
          <w:rFonts w:hint="eastAsia" w:ascii="宋体" w:hAnsi="宋体" w:cs="宋体"/>
          <w:spacing w:val="-4"/>
          <w:sz w:val="24"/>
          <w:szCs w:val="24"/>
          <w:lang w:val="en-US" w:eastAsia="zh-CN"/>
        </w:rPr>
        <w:t>37</w:t>
      </w:r>
      <w:r>
        <w:rPr>
          <w:rFonts w:hint="eastAsia" w:ascii="宋体" w:hAnsi="宋体" w:cs="宋体"/>
          <w:spacing w:val="-4"/>
          <w:sz w:val="24"/>
          <w:szCs w:val="24"/>
        </w:rPr>
        <w:t>.2 磋商文件、响应文件及磋商过程中产生的磋商记录及承诺等均作为合同的不可分割的组成部分；</w:t>
      </w:r>
      <w:r>
        <w:rPr>
          <w:rFonts w:hint="eastAsia" w:ascii="宋体" w:hAnsi="宋体" w:eastAsia="宋体" w:cs="宋体"/>
          <w:b w:val="0"/>
          <w:bCs/>
          <w:color w:val="auto"/>
          <w:sz w:val="24"/>
          <w:szCs w:val="24"/>
          <w:highlight w:val="none"/>
        </w:rPr>
        <w:t>均为双方签订《合同》的组成部分，并与《合同》一并作为本</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文件所列采购项目的互补性法律文件，与《合同》具有同等法律效力。</w:t>
      </w:r>
    </w:p>
    <w:p w14:paraId="78741E39">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37</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 xml:space="preserve">3 </w:t>
      </w:r>
      <w:r>
        <w:rPr>
          <w:rFonts w:hint="eastAsia" w:ascii="宋体" w:hAnsi="宋体" w:eastAsia="宋体" w:cs="宋体"/>
          <w:b w:val="0"/>
          <w:bCs/>
          <w:color w:val="auto"/>
          <w:sz w:val="24"/>
          <w:szCs w:val="24"/>
          <w:highlight w:val="none"/>
        </w:rPr>
        <w:t>付款方式变动，以双方</w:t>
      </w:r>
      <w:r>
        <w:rPr>
          <w:rFonts w:hint="eastAsia" w:ascii="宋体" w:hAnsi="宋体" w:eastAsia="宋体" w:cs="宋体"/>
          <w:b w:val="0"/>
          <w:bCs/>
          <w:color w:val="auto"/>
          <w:sz w:val="24"/>
          <w:szCs w:val="24"/>
          <w:highlight w:val="none"/>
          <w:lang w:val="en-US" w:eastAsia="zh-CN"/>
        </w:rPr>
        <w:t>最终</w:t>
      </w:r>
      <w:r>
        <w:rPr>
          <w:rFonts w:hint="eastAsia" w:ascii="宋体" w:hAnsi="宋体" w:eastAsia="宋体" w:cs="宋体"/>
          <w:b w:val="0"/>
          <w:bCs/>
          <w:color w:val="auto"/>
          <w:sz w:val="24"/>
          <w:szCs w:val="24"/>
          <w:highlight w:val="none"/>
        </w:rPr>
        <w:t>签订的合同条款为准</w:t>
      </w:r>
      <w:r>
        <w:rPr>
          <w:rFonts w:hint="eastAsia" w:ascii="宋体" w:hAnsi="宋体" w:eastAsia="宋体" w:cs="宋体"/>
          <w:b w:val="0"/>
          <w:bCs/>
          <w:color w:val="auto"/>
          <w:sz w:val="24"/>
          <w:szCs w:val="24"/>
          <w:highlight w:val="none"/>
          <w:lang w:eastAsia="zh-CN"/>
        </w:rPr>
        <w:t>。</w:t>
      </w:r>
    </w:p>
    <w:p w14:paraId="70816F00">
      <w:pPr>
        <w:keepNext/>
        <w:tabs>
          <w:tab w:val="left" w:pos="1233"/>
        </w:tabs>
        <w:spacing w:line="440" w:lineRule="exact"/>
        <w:ind w:firstLine="482" w:firstLineChars="200"/>
        <w:outlineLvl w:val="1"/>
        <w:rPr>
          <w:rFonts w:hint="eastAsia" w:ascii="宋体" w:hAnsi="宋体" w:eastAsia="宋体" w:cs="宋体"/>
          <w:b/>
          <w:bCs/>
          <w:color w:val="auto"/>
          <w:sz w:val="24"/>
          <w:szCs w:val="24"/>
          <w:highlight w:val="none"/>
          <w:lang w:eastAsia="zh-CN"/>
        </w:rPr>
      </w:pPr>
      <w:bookmarkStart w:id="104" w:name="_Toc18422"/>
      <w:r>
        <w:rPr>
          <w:rFonts w:hint="eastAsia" w:ascii="宋体" w:hAnsi="宋体" w:eastAsia="宋体" w:cs="宋体"/>
          <w:b/>
          <w:bCs/>
          <w:color w:val="auto"/>
          <w:sz w:val="24"/>
          <w:szCs w:val="24"/>
          <w:highlight w:val="none"/>
          <w:lang w:val="en-US" w:eastAsia="zh-CN"/>
        </w:rPr>
        <w:t>38、</w:t>
      </w:r>
      <w:r>
        <w:rPr>
          <w:rFonts w:hint="eastAsia" w:ascii="宋体" w:hAnsi="宋体" w:eastAsia="宋体" w:cs="宋体"/>
          <w:b/>
          <w:bCs/>
          <w:color w:val="auto"/>
          <w:sz w:val="24"/>
          <w:szCs w:val="24"/>
          <w:highlight w:val="none"/>
        </w:rPr>
        <w:t>重新</w:t>
      </w:r>
      <w:bookmarkEnd w:id="104"/>
      <w:r>
        <w:rPr>
          <w:rFonts w:hint="eastAsia" w:ascii="宋体" w:hAnsi="宋体" w:eastAsia="宋体" w:cs="宋体"/>
          <w:b/>
          <w:bCs/>
          <w:color w:val="auto"/>
          <w:sz w:val="24"/>
          <w:szCs w:val="24"/>
          <w:highlight w:val="none"/>
          <w:lang w:val="en-US" w:eastAsia="zh-CN"/>
        </w:rPr>
        <w:t>采购</w:t>
      </w:r>
    </w:p>
    <w:p w14:paraId="07550591">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38</w:t>
      </w:r>
      <w:r>
        <w:rPr>
          <w:rFonts w:hint="eastAsia" w:ascii="宋体" w:hAnsi="宋体" w:eastAsia="宋体" w:cs="宋体"/>
          <w:color w:val="auto"/>
          <w:sz w:val="24"/>
          <w:szCs w:val="24"/>
          <w:highlight w:val="none"/>
        </w:rPr>
        <w:t>.1出现下列情形之一的，将终止采购活动，发布项目终止公告并说明原因，重新开展采购活动：</w:t>
      </w:r>
    </w:p>
    <w:p w14:paraId="1B4A63BB">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不符合法律、法规和</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文件中规定的其他实质性要求的；</w:t>
      </w:r>
    </w:p>
    <w:p w14:paraId="53583207">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其他法律、法规及本</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文件规定的属响应无效的情形。终止采购活动的条款；</w:t>
      </w:r>
    </w:p>
    <w:p w14:paraId="2EE0461E">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因情况变化，不再符合规定的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采购方式适用情形的；出现影响采购公正的违法、违规行为的；</w:t>
      </w:r>
    </w:p>
    <w:p w14:paraId="7544CE07">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（4）磋商</w:t>
      </w:r>
      <w:r>
        <w:rPr>
          <w:rFonts w:hint="eastAsia" w:ascii="宋体" w:hAnsi="宋体" w:cs="宋体"/>
          <w:color w:val="auto"/>
          <w:sz w:val="24"/>
          <w:szCs w:val="24"/>
          <w:highlight w:val="none"/>
          <w:lang w:eastAsia="zh-CN"/>
        </w:rPr>
        <w:t>文件递交</w:t>
      </w:r>
      <w:r>
        <w:rPr>
          <w:rFonts w:hint="eastAsia" w:ascii="宋体" w:hAnsi="宋体" w:eastAsia="宋体" w:cs="宋体"/>
          <w:color w:val="auto"/>
          <w:sz w:val="24"/>
          <w:szCs w:val="24"/>
          <w:highlight w:val="none"/>
        </w:rPr>
        <w:t>截止时间结束后参加</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不足3家的，应重新组织采购。评审期间符合专业条件的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或者对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文件作出实质响应的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不足3家的。</w:t>
      </w:r>
    </w:p>
    <w:p w14:paraId="6EF4BD84">
      <w:pPr>
        <w:snapToGrid w:val="0"/>
        <w:spacing w:line="44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39</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质疑与投诉</w:t>
      </w:r>
    </w:p>
    <w:p w14:paraId="2A6F7BD3">
      <w:pPr>
        <w:snapToGrid w:val="0"/>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39.1 </w:t>
      </w:r>
      <w:r>
        <w:rPr>
          <w:rFonts w:hint="eastAsia" w:ascii="宋体" w:hAnsi="宋体" w:eastAsia="宋体" w:cs="宋体"/>
          <w:b w:val="0"/>
          <w:bCs/>
          <w:color w:val="auto"/>
          <w:sz w:val="24"/>
          <w:szCs w:val="24"/>
          <w:highlight w:val="none"/>
        </w:rPr>
        <w:t>供应商认为</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文件、采购过程、</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结果使自己的合法权益受到损害的，</w:t>
      </w:r>
      <w:r>
        <w:rPr>
          <w:rFonts w:ascii="宋体" w:hAnsi="宋体" w:eastAsia="宋体" w:cs="宋体"/>
          <w:color w:val="auto"/>
          <w:sz w:val="24"/>
          <w:szCs w:val="24"/>
          <w:highlight w:val="none"/>
        </w:rPr>
        <w:t>可以在知道或者应知其权益受到损害之日起7个工作日内，将质疑书原件送达采购人或采购代理机构。提出质疑期限的计算，依照下列规定办理</w:t>
      </w:r>
      <w:r>
        <w:rPr>
          <w:rFonts w:hint="eastAsia" w:ascii="宋体" w:hAnsi="宋体" w:eastAsia="宋体" w:cs="宋体"/>
          <w:color w:val="auto"/>
          <w:sz w:val="24"/>
          <w:szCs w:val="24"/>
          <w:highlight w:val="none"/>
          <w:lang w:eastAsia="zh-CN"/>
        </w:rPr>
        <w:t>。</w:t>
      </w:r>
    </w:p>
    <w:p w14:paraId="6276657F">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必须以书面形式提出质疑并陈述质疑的事实与理由</w:t>
      </w:r>
      <w:r>
        <w:rPr>
          <w:rFonts w:hint="eastAsia" w:ascii="宋体" w:hAnsi="宋体" w:eastAsia="宋体" w:cs="宋体"/>
          <w:b w:val="0"/>
          <w:bCs/>
          <w:color w:val="auto"/>
          <w:sz w:val="24"/>
          <w:szCs w:val="24"/>
          <w:highlight w:val="none"/>
          <w:lang w:eastAsia="zh-CN"/>
        </w:rPr>
        <w:t>。</w:t>
      </w:r>
    </w:p>
    <w:p w14:paraId="58D94BFE">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必须在规定时间内提出质疑</w:t>
      </w:r>
      <w:r>
        <w:rPr>
          <w:rFonts w:hint="eastAsia" w:ascii="宋体" w:hAnsi="宋体" w:eastAsia="宋体" w:cs="宋体"/>
          <w:b w:val="0"/>
          <w:bCs/>
          <w:color w:val="auto"/>
          <w:sz w:val="24"/>
          <w:szCs w:val="24"/>
          <w:highlight w:val="none"/>
          <w:lang w:eastAsia="zh-CN"/>
        </w:rPr>
        <w:t>。</w:t>
      </w:r>
    </w:p>
    <w:p w14:paraId="47E0CCDE">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对</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文件的质疑应在收到采购文件之日或者采购文件公告期限届满之日前提出，过期不再接受针对</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文件的质疑</w:t>
      </w:r>
      <w:r>
        <w:rPr>
          <w:rFonts w:hint="eastAsia" w:ascii="宋体" w:hAnsi="宋体" w:eastAsia="宋体" w:cs="宋体"/>
          <w:b w:val="0"/>
          <w:bCs/>
          <w:color w:val="auto"/>
          <w:sz w:val="24"/>
          <w:szCs w:val="24"/>
          <w:highlight w:val="none"/>
          <w:lang w:eastAsia="zh-CN"/>
        </w:rPr>
        <w:t>。</w:t>
      </w:r>
    </w:p>
    <w:p w14:paraId="3609FE63">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对采购过程的质疑，应自</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宣布</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候选人七个工作日内提出</w:t>
      </w:r>
      <w:r>
        <w:rPr>
          <w:rFonts w:hint="eastAsia" w:ascii="宋体" w:hAnsi="宋体" w:eastAsia="宋体" w:cs="宋体"/>
          <w:b w:val="0"/>
          <w:bCs/>
          <w:color w:val="auto"/>
          <w:sz w:val="24"/>
          <w:szCs w:val="24"/>
          <w:highlight w:val="none"/>
          <w:lang w:eastAsia="zh-CN"/>
        </w:rPr>
        <w:t>。</w:t>
      </w:r>
    </w:p>
    <w:p w14:paraId="614F976F">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对成交结果的质疑，应自</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书面或口头等形式通知中标结果之日起七个工作日内提出</w:t>
      </w:r>
      <w:r>
        <w:rPr>
          <w:rFonts w:hint="eastAsia" w:ascii="宋体" w:hAnsi="宋体" w:eastAsia="宋体" w:cs="宋体"/>
          <w:b w:val="0"/>
          <w:bCs/>
          <w:color w:val="auto"/>
          <w:sz w:val="24"/>
          <w:szCs w:val="24"/>
          <w:highlight w:val="none"/>
          <w:lang w:eastAsia="zh-CN"/>
        </w:rPr>
        <w:t>。</w:t>
      </w:r>
    </w:p>
    <w:p w14:paraId="0A98E664">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供应商对</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的质疑答复内容不满意，或者</w:t>
      </w:r>
      <w:r>
        <w:rPr>
          <w:rFonts w:hint="eastAsia" w:ascii="宋体" w:hAnsi="宋体" w:eastAsia="宋体" w:cs="宋体"/>
          <w:b w:val="0"/>
          <w:bCs/>
          <w:color w:val="auto"/>
          <w:sz w:val="24"/>
          <w:szCs w:val="24"/>
          <w:highlight w:val="none"/>
          <w:lang w:eastAsia="zh-CN"/>
        </w:rPr>
        <w:t>采购人</w:t>
      </w:r>
      <w:r>
        <w:rPr>
          <w:rFonts w:hint="eastAsia" w:ascii="宋体" w:hAnsi="宋体" w:eastAsia="宋体" w:cs="宋体"/>
          <w:b w:val="0"/>
          <w:bCs/>
          <w:color w:val="auto"/>
          <w:sz w:val="24"/>
          <w:szCs w:val="24"/>
          <w:highlight w:val="none"/>
        </w:rPr>
        <w:t>未在规定期限内作出答复的，供应商可在答复期满后十五个工作日内，按《政府采购供应商投诉处理办法》的规定进行投诉。</w:t>
      </w:r>
    </w:p>
    <w:p w14:paraId="075B964C">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质疑书应当包括下列主要内容，并按照“谁主张、谁举证”的原则，附上相关证明材料。否则，采购人不予受理：</w:t>
      </w:r>
    </w:p>
    <w:p w14:paraId="11463F0A">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39.3 </w:t>
      </w:r>
      <w:r>
        <w:rPr>
          <w:rFonts w:ascii="宋体" w:hAnsi="宋体" w:eastAsia="宋体" w:cs="宋体"/>
          <w:color w:val="auto"/>
          <w:sz w:val="24"/>
          <w:szCs w:val="24"/>
          <w:highlight w:val="none"/>
        </w:rPr>
        <w:t>提起质疑的日期</w:t>
      </w:r>
    </w:p>
    <w:p w14:paraId="0DE5DE96">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39.3.1 </w:t>
      </w:r>
      <w:r>
        <w:rPr>
          <w:rFonts w:ascii="宋体" w:hAnsi="宋体" w:eastAsia="宋体" w:cs="宋体"/>
          <w:color w:val="auto"/>
          <w:sz w:val="24"/>
          <w:szCs w:val="24"/>
          <w:highlight w:val="none"/>
        </w:rPr>
        <w:t>供应商质疑实行实名制并须在质疑书上署名。供应商不得进行虚假、恶意质疑，不得以质疑为手段获取不当得利、实现非法目的。供应商为自然人的，应当由本人签字；供应商为法人的，应当由法定代表人签字或盖章并加盖公章；供应商为其他组织的，应当由主要负责人签字或盖章并加盖公章。供应商其他工作人员或代理人员在质疑书上的署名不具有法律效力。</w:t>
      </w:r>
    </w:p>
    <w:p w14:paraId="40A9B763">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39.3.2 </w:t>
      </w:r>
      <w:r>
        <w:rPr>
          <w:rFonts w:ascii="宋体" w:hAnsi="宋体" w:eastAsia="宋体" w:cs="宋体"/>
          <w:color w:val="auto"/>
          <w:sz w:val="24"/>
          <w:szCs w:val="24"/>
          <w:highlight w:val="none"/>
        </w:rPr>
        <w:t>供应商委托代理人办理质疑事宜，应当提交授权委托书，并载明委托代理的具体权限和事项。授权委托书应当由委托人签字并加盖单位公章。</w:t>
      </w:r>
    </w:p>
    <w:p w14:paraId="2ABADA67">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39.3.3 </w:t>
      </w:r>
      <w:r>
        <w:rPr>
          <w:rFonts w:ascii="宋体" w:hAnsi="宋体" w:eastAsia="宋体" w:cs="宋体"/>
          <w:color w:val="auto"/>
          <w:sz w:val="24"/>
          <w:szCs w:val="24"/>
          <w:highlight w:val="none"/>
        </w:rPr>
        <w:t>质疑书提交方式。供应商或者其委托代理人应当当面提交质疑书及相关证明材料。供应商以电子邮件、传真等其他方式提交质疑书及相关证明材料的，或者不是供应商或者其委托代理人提交质疑书及相关证明材料的，采购人或采购机构可以拒收。</w:t>
      </w:r>
    </w:p>
    <w:p w14:paraId="5EBD4ED1">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39.3.4 </w:t>
      </w:r>
      <w:r>
        <w:rPr>
          <w:rFonts w:ascii="宋体" w:hAnsi="宋体" w:eastAsia="宋体" w:cs="宋体"/>
          <w:color w:val="auto"/>
          <w:sz w:val="24"/>
          <w:szCs w:val="24"/>
          <w:highlight w:val="none"/>
        </w:rPr>
        <w:t>供应商不得虚假质疑和恶意质疑，并对质疑内容的真实性承担责任。供应商或者其他利害关系人通过捏造事实、伪造证明材料等方式提出异议或投诉，阻碍</w:t>
      </w:r>
      <w:r>
        <w:rPr>
          <w:rFonts w:hint="eastAsia" w:ascii="宋体" w:hAnsi="宋体" w:eastAsia="宋体" w:cs="宋体"/>
          <w:color w:val="auto"/>
          <w:sz w:val="24"/>
          <w:szCs w:val="24"/>
          <w:highlight w:val="none"/>
          <w:lang w:val="en-US" w:eastAsia="zh-CN"/>
        </w:rPr>
        <w:t>采购</w:t>
      </w:r>
      <w:r>
        <w:rPr>
          <w:rFonts w:ascii="宋体" w:hAnsi="宋体" w:eastAsia="宋体" w:cs="宋体"/>
          <w:color w:val="auto"/>
          <w:sz w:val="24"/>
          <w:szCs w:val="24"/>
          <w:highlight w:val="none"/>
        </w:rPr>
        <w:t>活动正常进行的，属于严重不良行为，采购人将提请财政部门将其列入不良行为记录名单，并依法予以处罚。</w:t>
      </w:r>
    </w:p>
    <w:p w14:paraId="7AB1639A">
      <w:pPr>
        <w:snapToGrid w:val="0"/>
        <w:spacing w:line="44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39.3.5 </w:t>
      </w:r>
      <w:r>
        <w:rPr>
          <w:rFonts w:ascii="宋体" w:hAnsi="宋体" w:eastAsia="宋体" w:cs="宋体"/>
          <w:color w:val="auto"/>
          <w:sz w:val="24"/>
          <w:szCs w:val="24"/>
          <w:highlight w:val="none"/>
        </w:rPr>
        <w:t>采购人将在收到符合上述条件的书面质疑后7个工作日内审查质疑事项，作出答复或相关处理决定，并以书面形式通知质疑供应商和其他有关供应商，但答复的内容不涉及商业秘密。若质疑涉及</w:t>
      </w:r>
      <w:r>
        <w:rPr>
          <w:rFonts w:hint="eastAsia" w:ascii="宋体" w:hAnsi="宋体" w:eastAsia="宋体" w:cs="宋体"/>
          <w:color w:val="auto"/>
          <w:sz w:val="24"/>
          <w:szCs w:val="24"/>
          <w:highlight w:val="none"/>
          <w:lang w:val="en-US" w:eastAsia="zh-CN"/>
        </w:rPr>
        <w:t>采购</w:t>
      </w:r>
      <w:r>
        <w:rPr>
          <w:rFonts w:ascii="宋体" w:hAnsi="宋体" w:eastAsia="宋体" w:cs="宋体"/>
          <w:color w:val="auto"/>
          <w:sz w:val="24"/>
          <w:szCs w:val="24"/>
          <w:highlight w:val="none"/>
        </w:rPr>
        <w:t>制度或程序，将被转交政府采购的管理部门审查。采购人遵循“谁过错谁负担”的原则，有过错的一方承担调查论证费用。</w:t>
      </w:r>
    </w:p>
    <w:p w14:paraId="7E945340">
      <w:pPr>
        <w:snapToGrid w:val="0"/>
        <w:spacing w:line="440" w:lineRule="exact"/>
        <w:ind w:firstLine="480" w:firstLineChars="200"/>
        <w:rPr>
          <w:rFonts w:ascii="宋体" w:hAnsi="宋体" w:eastAsia="宋体"/>
          <w:b/>
          <w:color w:val="auto"/>
          <w:sz w:val="24"/>
          <w:szCs w:val="24"/>
          <w:highlight w:val="none"/>
        </w:rPr>
      </w:pPr>
      <w:r>
        <w:rPr>
          <w:rFonts w:hint="eastAsia" w:ascii="宋体" w:hAnsi="宋体" w:eastAsia="宋体" w:cs="宋体"/>
          <w:color w:val="auto"/>
          <w:sz w:val="24"/>
          <w:szCs w:val="24"/>
          <w:highlight w:val="none"/>
          <w:lang w:val="en-US" w:eastAsia="zh-CN"/>
        </w:rPr>
        <w:t xml:space="preserve">39.3.6 </w:t>
      </w:r>
      <w:r>
        <w:rPr>
          <w:rFonts w:ascii="宋体" w:hAnsi="宋体" w:eastAsia="宋体" w:cs="宋体"/>
          <w:color w:val="auto"/>
          <w:sz w:val="24"/>
          <w:szCs w:val="24"/>
          <w:highlight w:val="none"/>
        </w:rPr>
        <w:t>质疑供应商对采购人的答复不满意以及采购人未在规定的时间内做出答复的，可以在答复期满后15个工作日内向财政部门投诉。</w:t>
      </w:r>
    </w:p>
    <w:p w14:paraId="08C15C4A">
      <w:pPr>
        <w:numPr>
          <w:ilvl w:val="0"/>
          <w:numId w:val="0"/>
        </w:numPr>
        <w:snapToGrid w:val="0"/>
        <w:spacing w:line="44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40、</w:t>
      </w:r>
      <w:r>
        <w:rPr>
          <w:rFonts w:hint="eastAsia" w:ascii="宋体" w:hAnsi="宋体" w:eastAsia="宋体" w:cs="宋体"/>
          <w:b/>
          <w:bCs w:val="0"/>
          <w:color w:val="auto"/>
          <w:sz w:val="24"/>
          <w:szCs w:val="24"/>
          <w:highlight w:val="none"/>
        </w:rPr>
        <w:t>纪律和监督</w:t>
      </w:r>
    </w:p>
    <w:p w14:paraId="298EB815">
      <w:pPr>
        <w:snapToGrid w:val="0"/>
        <w:spacing w:line="440" w:lineRule="exact"/>
        <w:ind w:firstLine="480" w:firstLineChars="200"/>
        <w:rPr>
          <w:rFonts w:hint="eastAsia" w:ascii="宋体" w:hAnsi="宋体" w:eastAsia="宋体" w:cs="宋体"/>
          <w:b w:val="0"/>
          <w:bCs/>
          <w:color w:val="auto"/>
          <w:sz w:val="24"/>
          <w:szCs w:val="24"/>
          <w:highlight w:val="none"/>
        </w:rPr>
      </w:pPr>
      <w:bookmarkStart w:id="105" w:name="_bookmark68"/>
      <w:bookmarkEnd w:id="105"/>
      <w:r>
        <w:rPr>
          <w:rFonts w:hint="eastAsia" w:ascii="宋体" w:hAnsi="宋体" w:eastAsia="宋体" w:cs="宋体"/>
          <w:b w:val="0"/>
          <w:bCs/>
          <w:color w:val="auto"/>
          <w:sz w:val="24"/>
          <w:szCs w:val="24"/>
          <w:highlight w:val="none"/>
          <w:lang w:val="en-US" w:eastAsia="zh-CN"/>
        </w:rPr>
        <w:t>40</w:t>
      </w:r>
      <w:r>
        <w:rPr>
          <w:rFonts w:hint="eastAsia" w:ascii="宋体" w:hAnsi="宋体" w:eastAsia="宋体" w:cs="宋体"/>
          <w:b w:val="0"/>
          <w:bCs/>
          <w:color w:val="auto"/>
          <w:sz w:val="24"/>
          <w:szCs w:val="24"/>
          <w:highlight w:val="none"/>
        </w:rPr>
        <w:t>.1对采购人的纪律要求</w:t>
      </w:r>
    </w:p>
    <w:p w14:paraId="45802F87">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采购人不得泄露</w:t>
      </w:r>
      <w:r>
        <w:rPr>
          <w:rFonts w:hint="eastAsia" w:ascii="宋体" w:hAnsi="宋体" w:eastAsia="宋体" w:cs="宋体"/>
          <w:b w:val="0"/>
          <w:bCs/>
          <w:color w:val="auto"/>
          <w:sz w:val="24"/>
          <w:szCs w:val="24"/>
          <w:highlight w:val="none"/>
          <w:lang w:val="en-US" w:eastAsia="zh-CN"/>
        </w:rPr>
        <w:t>采购</w:t>
      </w:r>
      <w:r>
        <w:rPr>
          <w:rFonts w:hint="eastAsia" w:ascii="宋体" w:hAnsi="宋体" w:eastAsia="宋体" w:cs="宋体"/>
          <w:b w:val="0"/>
          <w:bCs/>
          <w:color w:val="auto"/>
          <w:sz w:val="24"/>
          <w:szCs w:val="24"/>
          <w:highlight w:val="none"/>
        </w:rPr>
        <w:t>活动中应当保密的情况和资料，不得与供应商串通损害国家利益、社会公共利益或者他人合法权益。</w:t>
      </w:r>
      <w:bookmarkStart w:id="106" w:name="_bookmark69"/>
      <w:bookmarkEnd w:id="106"/>
    </w:p>
    <w:p w14:paraId="638FA3A3">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40</w:t>
      </w:r>
      <w:r>
        <w:rPr>
          <w:rFonts w:hint="eastAsia" w:ascii="宋体" w:hAnsi="宋体" w:eastAsia="宋体" w:cs="宋体"/>
          <w:b w:val="0"/>
          <w:bCs/>
          <w:color w:val="auto"/>
          <w:sz w:val="24"/>
          <w:szCs w:val="24"/>
          <w:highlight w:val="none"/>
        </w:rPr>
        <w:t>.2 对供应商的纪律要求</w:t>
      </w:r>
    </w:p>
    <w:p w14:paraId="31E51FB2">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（1）供应商不得相互串通</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或者与采购人串通</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lang w:eastAsia="zh-CN"/>
        </w:rPr>
        <w:t>。</w:t>
      </w:r>
    </w:p>
    <w:p w14:paraId="46EC34EA">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（2）不得向采购人或者</w:t>
      </w:r>
      <w:r>
        <w:rPr>
          <w:rFonts w:hint="eastAsia" w:ascii="宋体" w:hAnsi="宋体" w:eastAsia="宋体" w:cs="宋体"/>
          <w:b w:val="0"/>
          <w:bCs/>
          <w:color w:val="auto"/>
          <w:sz w:val="24"/>
          <w:szCs w:val="24"/>
          <w:highlight w:val="none"/>
          <w:lang w:val="en-US" w:eastAsia="zh-CN"/>
        </w:rPr>
        <w:t>评审小组</w:t>
      </w:r>
      <w:r>
        <w:rPr>
          <w:rFonts w:hint="eastAsia" w:ascii="宋体" w:hAnsi="宋体" w:eastAsia="宋体" w:cs="宋体"/>
          <w:b w:val="0"/>
          <w:bCs/>
          <w:color w:val="auto"/>
          <w:sz w:val="24"/>
          <w:szCs w:val="24"/>
          <w:highlight w:val="none"/>
        </w:rPr>
        <w:t>行贿谋取</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lang w:eastAsia="zh-CN"/>
        </w:rPr>
        <w:t>。</w:t>
      </w:r>
    </w:p>
    <w:p w14:paraId="65BFF23E">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（3）不得以他人名义</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或者以其他方式弄虚作假骗取</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lang w:eastAsia="zh-CN"/>
        </w:rPr>
        <w:t>。</w:t>
      </w:r>
    </w:p>
    <w:p w14:paraId="5C5F61F8">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（4）不得恶意低价抢标</w:t>
      </w:r>
      <w:r>
        <w:rPr>
          <w:rFonts w:hint="eastAsia" w:ascii="宋体" w:hAnsi="宋体" w:eastAsia="宋体" w:cs="宋体"/>
          <w:b w:val="0"/>
          <w:bCs/>
          <w:color w:val="auto"/>
          <w:sz w:val="24"/>
          <w:szCs w:val="24"/>
          <w:highlight w:val="none"/>
          <w:lang w:eastAsia="zh-CN"/>
        </w:rPr>
        <w:t>。</w:t>
      </w:r>
    </w:p>
    <w:p w14:paraId="53B5F675">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（5）供应商不得以任何方式干扰、影响</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工作。</w:t>
      </w:r>
    </w:p>
    <w:p w14:paraId="76DF11E1">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（6）不得向采购人提出不合理的要求作为签订合同的条件</w:t>
      </w:r>
      <w:r>
        <w:rPr>
          <w:rFonts w:hint="eastAsia" w:ascii="宋体" w:hAnsi="宋体" w:eastAsia="宋体" w:cs="宋体"/>
          <w:b w:val="0"/>
          <w:bCs/>
          <w:color w:val="auto"/>
          <w:sz w:val="24"/>
          <w:szCs w:val="24"/>
          <w:highlight w:val="none"/>
          <w:lang w:eastAsia="zh-CN"/>
        </w:rPr>
        <w:t>。</w:t>
      </w:r>
    </w:p>
    <w:p w14:paraId="1B719612">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（7）不得无正当理由放弃</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或</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后拒绝与采购人签订合同</w:t>
      </w:r>
      <w:r>
        <w:rPr>
          <w:rFonts w:hint="eastAsia" w:ascii="宋体" w:hAnsi="宋体" w:eastAsia="宋体" w:cs="宋体"/>
          <w:b w:val="0"/>
          <w:bCs/>
          <w:color w:val="auto"/>
          <w:sz w:val="24"/>
          <w:szCs w:val="24"/>
          <w:highlight w:val="none"/>
          <w:lang w:eastAsia="zh-CN"/>
        </w:rPr>
        <w:t>。</w:t>
      </w:r>
    </w:p>
    <w:p w14:paraId="35AA1050">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（8）不得恶意诋毁其他供应商、采购人或采购代理机构</w:t>
      </w:r>
      <w:r>
        <w:rPr>
          <w:rFonts w:hint="eastAsia" w:ascii="宋体" w:hAnsi="宋体" w:eastAsia="宋体" w:cs="宋体"/>
          <w:b w:val="0"/>
          <w:bCs/>
          <w:color w:val="auto"/>
          <w:sz w:val="24"/>
          <w:szCs w:val="24"/>
          <w:highlight w:val="none"/>
          <w:lang w:eastAsia="zh-CN"/>
        </w:rPr>
        <w:t>。</w:t>
      </w:r>
    </w:p>
    <w:p w14:paraId="1CEA834D">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（9）在参与政府采购活动中，不得有其他违法违规行为。 </w:t>
      </w:r>
    </w:p>
    <w:p w14:paraId="199F18E6">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40</w:t>
      </w:r>
      <w:r>
        <w:rPr>
          <w:rFonts w:hint="eastAsia" w:ascii="宋体" w:hAnsi="宋体" w:eastAsia="宋体" w:cs="宋体"/>
          <w:b w:val="0"/>
          <w:bCs/>
          <w:color w:val="auto"/>
          <w:sz w:val="24"/>
          <w:szCs w:val="24"/>
          <w:highlight w:val="none"/>
        </w:rPr>
        <w:t>.3</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对评标委员会成员的纪律要求</w:t>
      </w:r>
    </w:p>
    <w:p w14:paraId="44A0D489">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rPr>
        <w:t>成员不得收受他人的财物或者其他好处，不得向他人透露对</w:t>
      </w:r>
      <w:r>
        <w:rPr>
          <w:rFonts w:hint="eastAsia" w:ascii="宋体" w:hAnsi="宋体" w:eastAsia="宋体" w:cs="宋体"/>
          <w:b w:val="0"/>
          <w:bCs/>
          <w:color w:val="auto"/>
          <w:sz w:val="24"/>
          <w:szCs w:val="24"/>
          <w:highlight w:val="none"/>
          <w:lang w:val="en-US" w:eastAsia="zh-CN"/>
        </w:rPr>
        <w:t>响应</w:t>
      </w:r>
      <w:r>
        <w:rPr>
          <w:rFonts w:hint="eastAsia" w:ascii="宋体" w:hAnsi="宋体" w:eastAsia="宋体" w:cs="宋体"/>
          <w:b w:val="0"/>
          <w:bCs/>
          <w:color w:val="auto"/>
          <w:sz w:val="24"/>
          <w:szCs w:val="24"/>
          <w:highlight w:val="none"/>
        </w:rPr>
        <w:t>文件的评审和比较、</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候选人的推荐情况以及</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有关的其他情况。在</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活动中，</w:t>
      </w:r>
      <w:r>
        <w:rPr>
          <w:rFonts w:hint="eastAsia" w:ascii="宋体" w:hAnsi="宋体" w:eastAsia="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rPr>
        <w:t>成员应当客观、公正地履行职责，遵守职业道德，不得擅离职守，影响</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程序正常进行，不得使用</w:t>
      </w:r>
      <w:r>
        <w:rPr>
          <w:rFonts w:hint="eastAsia" w:ascii="宋体" w:hAnsi="宋体" w:eastAsia="宋体" w:cs="宋体"/>
          <w:b w:val="0"/>
          <w:bCs/>
          <w:color w:val="auto"/>
          <w:sz w:val="24"/>
          <w:szCs w:val="24"/>
          <w:highlight w:val="none"/>
          <w:lang w:val="en-US" w:eastAsia="zh-CN"/>
        </w:rPr>
        <w:t>磋商文件</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办法</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综合评分法</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”没有规定的评审因素和标准进行评标。</w:t>
      </w:r>
    </w:p>
    <w:p w14:paraId="7D078856">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（1）确定参与</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至</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结束前，不得私自接触供应商</w:t>
      </w:r>
      <w:r>
        <w:rPr>
          <w:rFonts w:hint="eastAsia" w:ascii="宋体" w:hAnsi="宋体" w:eastAsia="宋体" w:cs="宋体"/>
          <w:b w:val="0"/>
          <w:bCs/>
          <w:color w:val="auto"/>
          <w:sz w:val="24"/>
          <w:szCs w:val="24"/>
          <w:highlight w:val="none"/>
          <w:lang w:eastAsia="zh-CN"/>
        </w:rPr>
        <w:t>。</w:t>
      </w:r>
    </w:p>
    <w:p w14:paraId="04AF51F0">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（2）不得接受供应商提出的与</w:t>
      </w:r>
      <w:r>
        <w:rPr>
          <w:rFonts w:hint="eastAsia" w:ascii="宋体" w:hAnsi="宋体" w:eastAsia="宋体" w:cs="宋体"/>
          <w:b w:val="0"/>
          <w:bCs/>
          <w:color w:val="auto"/>
          <w:sz w:val="24"/>
          <w:szCs w:val="24"/>
          <w:highlight w:val="none"/>
          <w:lang w:val="en-US" w:eastAsia="zh-CN"/>
        </w:rPr>
        <w:t>响应</w:t>
      </w:r>
      <w:r>
        <w:rPr>
          <w:rFonts w:hint="eastAsia" w:ascii="宋体" w:hAnsi="宋体" w:eastAsia="宋体" w:cs="宋体"/>
          <w:b w:val="0"/>
          <w:bCs/>
          <w:color w:val="auto"/>
          <w:sz w:val="24"/>
          <w:szCs w:val="24"/>
          <w:highlight w:val="none"/>
        </w:rPr>
        <w:t>文件不一致的澄清和说明</w:t>
      </w:r>
      <w:r>
        <w:rPr>
          <w:rFonts w:hint="eastAsia" w:ascii="宋体" w:hAnsi="宋体" w:eastAsia="宋体" w:cs="宋体"/>
          <w:b w:val="0"/>
          <w:bCs/>
          <w:color w:val="auto"/>
          <w:sz w:val="24"/>
          <w:szCs w:val="24"/>
          <w:highlight w:val="none"/>
          <w:lang w:eastAsia="zh-CN"/>
        </w:rPr>
        <w:t>。</w:t>
      </w:r>
    </w:p>
    <w:p w14:paraId="13D59F72">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（3）不得征询采购人的倾向性意见</w:t>
      </w:r>
      <w:r>
        <w:rPr>
          <w:rFonts w:hint="eastAsia" w:ascii="宋体" w:hAnsi="宋体" w:eastAsia="宋体" w:cs="宋体"/>
          <w:b w:val="0"/>
          <w:bCs/>
          <w:color w:val="auto"/>
          <w:sz w:val="24"/>
          <w:szCs w:val="24"/>
          <w:highlight w:val="none"/>
          <w:lang w:eastAsia="zh-CN"/>
        </w:rPr>
        <w:t>。</w:t>
      </w:r>
    </w:p>
    <w:p w14:paraId="6DB3CB4B">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（7）不得对主观评审因素协商评分</w:t>
      </w:r>
      <w:r>
        <w:rPr>
          <w:rFonts w:hint="eastAsia" w:ascii="宋体" w:hAnsi="宋体" w:eastAsia="宋体" w:cs="宋体"/>
          <w:b w:val="0"/>
          <w:bCs/>
          <w:color w:val="auto"/>
          <w:sz w:val="24"/>
          <w:szCs w:val="24"/>
          <w:highlight w:val="none"/>
          <w:lang w:eastAsia="zh-CN"/>
        </w:rPr>
        <w:t>。</w:t>
      </w:r>
    </w:p>
    <w:p w14:paraId="2608E9ED">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（8）不得对客观评审因素评分不一致</w:t>
      </w:r>
      <w:r>
        <w:rPr>
          <w:rFonts w:hint="eastAsia" w:ascii="宋体" w:hAnsi="宋体" w:eastAsia="宋体" w:cs="宋体"/>
          <w:b w:val="0"/>
          <w:bCs/>
          <w:color w:val="auto"/>
          <w:sz w:val="24"/>
          <w:szCs w:val="24"/>
          <w:highlight w:val="none"/>
          <w:lang w:eastAsia="zh-CN"/>
        </w:rPr>
        <w:t>。</w:t>
      </w:r>
    </w:p>
    <w:p w14:paraId="4A334856">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（6）</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成员不得接受供应商、采购人和采购代理机构等他人的贿赂或者其他不正当利益</w:t>
      </w:r>
      <w:r>
        <w:rPr>
          <w:rFonts w:hint="eastAsia" w:ascii="宋体" w:hAnsi="宋体" w:eastAsia="宋体" w:cs="宋体"/>
          <w:b w:val="0"/>
          <w:bCs/>
          <w:color w:val="auto"/>
          <w:sz w:val="24"/>
          <w:szCs w:val="24"/>
          <w:highlight w:val="none"/>
          <w:lang w:eastAsia="zh-CN"/>
        </w:rPr>
        <w:t>。</w:t>
      </w:r>
    </w:p>
    <w:p w14:paraId="180D4E05">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（7）不得以不合理的条件对供应商实行差别待遇或者歧视待遇，排斥其他供应商公平参与竞争</w:t>
      </w:r>
      <w:r>
        <w:rPr>
          <w:rFonts w:hint="eastAsia" w:ascii="宋体" w:hAnsi="宋体" w:eastAsia="宋体" w:cs="宋体"/>
          <w:b w:val="0"/>
          <w:bCs/>
          <w:color w:val="auto"/>
          <w:sz w:val="24"/>
          <w:szCs w:val="24"/>
          <w:highlight w:val="none"/>
          <w:lang w:eastAsia="zh-CN"/>
        </w:rPr>
        <w:t>。</w:t>
      </w:r>
    </w:p>
    <w:p w14:paraId="2367C0EA">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（8）不得诱导、干预或影响其他</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专家依法依规独立评标</w:t>
      </w:r>
      <w:r>
        <w:rPr>
          <w:rFonts w:hint="eastAsia" w:ascii="宋体" w:hAnsi="宋体" w:eastAsia="宋体" w:cs="宋体"/>
          <w:b w:val="0"/>
          <w:bCs/>
          <w:color w:val="auto"/>
          <w:sz w:val="24"/>
          <w:szCs w:val="24"/>
          <w:highlight w:val="none"/>
          <w:lang w:eastAsia="zh-CN"/>
        </w:rPr>
        <w:t>。</w:t>
      </w:r>
    </w:p>
    <w:p w14:paraId="7FE00FEE">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（9）在</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活动中，</w:t>
      </w:r>
      <w:r>
        <w:rPr>
          <w:rFonts w:hint="eastAsia" w:ascii="宋体" w:hAnsi="宋体" w:eastAsia="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rPr>
        <w:t>不得擅离职守，影响</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工作正常进行</w:t>
      </w:r>
      <w:r>
        <w:rPr>
          <w:rFonts w:hint="eastAsia" w:ascii="宋体" w:hAnsi="宋体" w:eastAsia="宋体" w:cs="宋体"/>
          <w:b w:val="0"/>
          <w:bCs/>
          <w:color w:val="auto"/>
          <w:sz w:val="24"/>
          <w:szCs w:val="24"/>
          <w:highlight w:val="none"/>
          <w:lang w:eastAsia="zh-CN"/>
        </w:rPr>
        <w:t>。</w:t>
      </w:r>
    </w:p>
    <w:p w14:paraId="65386950">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（10）不得记录、复制或带走任何</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资料</w:t>
      </w:r>
      <w:r>
        <w:rPr>
          <w:rFonts w:hint="eastAsia" w:ascii="宋体" w:hAnsi="宋体" w:eastAsia="宋体" w:cs="宋体"/>
          <w:b w:val="0"/>
          <w:bCs/>
          <w:color w:val="auto"/>
          <w:sz w:val="24"/>
          <w:szCs w:val="24"/>
          <w:highlight w:val="none"/>
          <w:lang w:eastAsia="zh-CN"/>
        </w:rPr>
        <w:t>。</w:t>
      </w:r>
    </w:p>
    <w:p w14:paraId="0122684A">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（11）不得泄露评标过程中获悉的对</w:t>
      </w:r>
      <w:r>
        <w:rPr>
          <w:rFonts w:hint="eastAsia" w:ascii="宋体" w:hAnsi="宋体" w:eastAsia="宋体" w:cs="宋体"/>
          <w:b w:val="0"/>
          <w:bCs/>
          <w:color w:val="auto"/>
          <w:sz w:val="24"/>
          <w:szCs w:val="24"/>
          <w:highlight w:val="none"/>
          <w:lang w:val="en-US" w:eastAsia="zh-CN"/>
        </w:rPr>
        <w:t>响应</w:t>
      </w:r>
      <w:r>
        <w:rPr>
          <w:rFonts w:hint="eastAsia" w:ascii="宋体" w:hAnsi="宋体" w:eastAsia="宋体" w:cs="宋体"/>
          <w:b w:val="0"/>
          <w:bCs/>
          <w:color w:val="auto"/>
          <w:sz w:val="24"/>
          <w:szCs w:val="24"/>
          <w:highlight w:val="none"/>
        </w:rPr>
        <w:t>文件的评审和比较、</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候选人的推荐情况以及与</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有关的应当保密的情况和资料</w:t>
      </w:r>
      <w:r>
        <w:rPr>
          <w:rFonts w:hint="eastAsia" w:ascii="宋体" w:hAnsi="宋体" w:eastAsia="宋体" w:cs="宋体"/>
          <w:b w:val="0"/>
          <w:bCs/>
          <w:color w:val="auto"/>
          <w:sz w:val="24"/>
          <w:szCs w:val="24"/>
          <w:highlight w:val="none"/>
          <w:lang w:eastAsia="zh-CN"/>
        </w:rPr>
        <w:t>。</w:t>
      </w:r>
    </w:p>
    <w:p w14:paraId="15E74708">
      <w:pPr>
        <w:snapToGrid w:val="0"/>
        <w:spacing w:line="440" w:lineRule="exact"/>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（12）</w:t>
      </w:r>
      <w:r>
        <w:rPr>
          <w:rFonts w:hint="eastAsia" w:ascii="宋体" w:hAnsi="宋体" w:eastAsia="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rPr>
        <w:t>与供应商存在利害关系应当回避</w:t>
      </w:r>
      <w:r>
        <w:rPr>
          <w:rFonts w:hint="eastAsia" w:ascii="宋体" w:hAnsi="宋体" w:eastAsia="宋体" w:cs="宋体"/>
          <w:b w:val="0"/>
          <w:bCs/>
          <w:color w:val="auto"/>
          <w:sz w:val="24"/>
          <w:szCs w:val="24"/>
          <w:highlight w:val="none"/>
          <w:lang w:eastAsia="zh-CN"/>
        </w:rPr>
        <w:t>。</w:t>
      </w:r>
    </w:p>
    <w:p w14:paraId="7A43A19C">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（13）在参与政府采购评标活动中，不得有其他违法违规行为。 </w:t>
      </w:r>
      <w:bookmarkStart w:id="107" w:name="_bookmark71"/>
      <w:bookmarkEnd w:id="107"/>
    </w:p>
    <w:p w14:paraId="1B2BEF79">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40</w:t>
      </w:r>
      <w:r>
        <w:rPr>
          <w:rFonts w:hint="eastAsia" w:ascii="宋体" w:hAnsi="宋体" w:eastAsia="宋体" w:cs="宋体"/>
          <w:b w:val="0"/>
          <w:bCs/>
          <w:color w:val="auto"/>
          <w:sz w:val="24"/>
          <w:szCs w:val="24"/>
          <w:highlight w:val="none"/>
        </w:rPr>
        <w:t>.4 对与评标活动有关的工作人员的纪律要求</w:t>
      </w:r>
    </w:p>
    <w:p w14:paraId="45FAADAE">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与</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活动有关的工作人员不得收受他人的财物或者其他好处，不得向他人透露对</w:t>
      </w:r>
      <w:r>
        <w:rPr>
          <w:rFonts w:hint="eastAsia" w:ascii="宋体" w:hAnsi="宋体" w:eastAsia="宋体" w:cs="宋体"/>
          <w:b w:val="0"/>
          <w:bCs/>
          <w:color w:val="auto"/>
          <w:sz w:val="24"/>
          <w:szCs w:val="24"/>
          <w:highlight w:val="none"/>
          <w:lang w:val="en-US" w:eastAsia="zh-CN"/>
        </w:rPr>
        <w:t>响应</w:t>
      </w:r>
      <w:r>
        <w:rPr>
          <w:rFonts w:hint="eastAsia" w:ascii="宋体" w:hAnsi="宋体" w:eastAsia="宋体" w:cs="宋体"/>
          <w:b w:val="0"/>
          <w:bCs/>
          <w:color w:val="auto"/>
          <w:sz w:val="24"/>
          <w:szCs w:val="24"/>
          <w:highlight w:val="none"/>
        </w:rPr>
        <w:t>文件的评审和比较、</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候选人的推荐情况以及</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有关的其他情况。在</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活动中，与</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活动有关的工作人员不得擅离职守，影响</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程序正常进行,与供应商有利害关系的应当回避,在参与或服务政府采购活动中，不得有其他违法违规行为。</w:t>
      </w:r>
      <w:bookmarkStart w:id="108" w:name="_bookmark72"/>
      <w:bookmarkEnd w:id="108"/>
    </w:p>
    <w:p w14:paraId="36B6E8E8">
      <w:pPr>
        <w:snapToGrid w:val="0"/>
        <w:spacing w:line="44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41</w:t>
      </w:r>
      <w:r>
        <w:rPr>
          <w:rFonts w:hint="eastAsia" w:ascii="宋体" w:hAnsi="宋体" w:eastAsia="宋体" w:cs="宋体"/>
          <w:b/>
          <w:bCs w:val="0"/>
          <w:color w:val="auto"/>
          <w:sz w:val="24"/>
          <w:szCs w:val="24"/>
          <w:highlight w:val="none"/>
        </w:rPr>
        <w:t>. 需要补充的其他内容</w:t>
      </w:r>
    </w:p>
    <w:p w14:paraId="785013DD">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41</w:t>
      </w:r>
      <w:r>
        <w:rPr>
          <w:rFonts w:hint="eastAsia" w:ascii="宋体" w:hAnsi="宋体" w:eastAsia="宋体" w:cs="宋体"/>
          <w:b w:val="0"/>
          <w:bCs/>
          <w:color w:val="auto"/>
          <w:sz w:val="24"/>
          <w:szCs w:val="24"/>
          <w:highlight w:val="none"/>
        </w:rPr>
        <w:t xml:space="preserve">.1 </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过程的保密</w:t>
      </w:r>
    </w:p>
    <w:p w14:paraId="5AF0E522">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41</w:t>
      </w:r>
      <w:r>
        <w:rPr>
          <w:rFonts w:hint="eastAsia" w:ascii="宋体" w:hAnsi="宋体" w:eastAsia="宋体" w:cs="宋体"/>
          <w:b w:val="0"/>
          <w:bCs/>
          <w:color w:val="auto"/>
          <w:sz w:val="24"/>
          <w:szCs w:val="24"/>
          <w:highlight w:val="none"/>
        </w:rPr>
        <w:t>.1.1开标后，直至授予</w:t>
      </w:r>
      <w:r>
        <w:rPr>
          <w:rFonts w:hint="eastAsia" w:ascii="宋体" w:hAnsi="宋体" w:eastAsia="宋体" w:cs="宋体"/>
          <w:b w:val="0"/>
          <w:bCs/>
          <w:color w:val="auto"/>
          <w:sz w:val="24"/>
          <w:szCs w:val="24"/>
          <w:highlight w:val="none"/>
          <w:lang w:val="en-US" w:eastAsia="zh-CN"/>
        </w:rPr>
        <w:t>成交人</w:t>
      </w:r>
      <w:r>
        <w:rPr>
          <w:rFonts w:hint="eastAsia" w:ascii="宋体" w:hAnsi="宋体" w:eastAsia="宋体" w:cs="宋体"/>
          <w:b w:val="0"/>
          <w:bCs/>
          <w:color w:val="auto"/>
          <w:sz w:val="24"/>
          <w:szCs w:val="24"/>
          <w:highlight w:val="none"/>
        </w:rPr>
        <w:t>合同为止，凡属于对</w:t>
      </w:r>
      <w:r>
        <w:rPr>
          <w:rFonts w:hint="eastAsia" w:ascii="宋体" w:hAnsi="宋体" w:eastAsia="宋体" w:cs="宋体"/>
          <w:b w:val="0"/>
          <w:bCs/>
          <w:color w:val="auto"/>
          <w:sz w:val="24"/>
          <w:szCs w:val="24"/>
          <w:highlight w:val="none"/>
          <w:lang w:val="en-US" w:eastAsia="zh-CN"/>
        </w:rPr>
        <w:t>响应</w:t>
      </w:r>
      <w:r>
        <w:rPr>
          <w:rFonts w:hint="eastAsia" w:ascii="宋体" w:hAnsi="宋体" w:eastAsia="宋体" w:cs="宋体"/>
          <w:b w:val="0"/>
          <w:bCs/>
          <w:color w:val="auto"/>
          <w:sz w:val="24"/>
          <w:szCs w:val="24"/>
          <w:highlight w:val="none"/>
        </w:rPr>
        <w:t>文件的审查、澄清、评价和比较有关的资料，</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候选人的推荐情况，及其他任何与评标有关的情况均应严格保密。</w:t>
      </w:r>
    </w:p>
    <w:p w14:paraId="6DA6EFB7">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41</w:t>
      </w:r>
      <w:r>
        <w:rPr>
          <w:rFonts w:hint="eastAsia" w:ascii="宋体" w:hAnsi="宋体" w:eastAsia="宋体" w:cs="宋体"/>
          <w:b w:val="0"/>
          <w:bCs/>
          <w:color w:val="auto"/>
          <w:sz w:val="24"/>
          <w:szCs w:val="24"/>
          <w:highlight w:val="none"/>
        </w:rPr>
        <w:t>.1.2在</w:t>
      </w:r>
      <w:r>
        <w:rPr>
          <w:rFonts w:hint="eastAsia" w:ascii="宋体" w:hAnsi="宋体" w:eastAsia="宋体" w:cs="宋体"/>
          <w:b w:val="0"/>
          <w:bCs/>
          <w:color w:val="auto"/>
          <w:sz w:val="24"/>
          <w:szCs w:val="24"/>
          <w:highlight w:val="none"/>
          <w:lang w:val="en-US" w:eastAsia="zh-CN"/>
        </w:rPr>
        <w:t>响应</w:t>
      </w:r>
      <w:r>
        <w:rPr>
          <w:rFonts w:hint="eastAsia" w:ascii="宋体" w:hAnsi="宋体" w:eastAsia="宋体" w:cs="宋体"/>
          <w:b w:val="0"/>
          <w:bCs/>
          <w:color w:val="auto"/>
          <w:sz w:val="24"/>
          <w:szCs w:val="24"/>
          <w:highlight w:val="none"/>
        </w:rPr>
        <w:t>文件的评审和比较、</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候选人推荐以及授予合同的过程中，供应商向采购人和</w:t>
      </w:r>
      <w:r>
        <w:rPr>
          <w:rFonts w:hint="eastAsia" w:ascii="宋体" w:hAnsi="宋体" w:eastAsia="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rPr>
        <w:t>施加影响的任何行为，都将会导致其</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被拒绝。</w:t>
      </w:r>
    </w:p>
    <w:p w14:paraId="231101B6">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41</w:t>
      </w:r>
      <w:r>
        <w:rPr>
          <w:rFonts w:hint="eastAsia" w:ascii="宋体" w:hAnsi="宋体" w:eastAsia="宋体" w:cs="宋体"/>
          <w:b w:val="0"/>
          <w:bCs/>
          <w:color w:val="auto"/>
          <w:sz w:val="24"/>
          <w:szCs w:val="24"/>
          <w:highlight w:val="none"/>
        </w:rPr>
        <w:t>.1.3</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人确定后，采购人不对未</w:t>
      </w:r>
      <w:r>
        <w:rPr>
          <w:rFonts w:hint="eastAsia" w:ascii="宋体" w:hAnsi="宋体" w:eastAsia="宋体" w:cs="宋体"/>
          <w:b w:val="0"/>
          <w:bCs/>
          <w:color w:val="auto"/>
          <w:sz w:val="24"/>
          <w:szCs w:val="24"/>
          <w:highlight w:val="none"/>
          <w:lang w:val="en-US" w:eastAsia="zh-CN"/>
        </w:rPr>
        <w:t>比较</w:t>
      </w:r>
      <w:r>
        <w:rPr>
          <w:rFonts w:hint="eastAsia" w:ascii="宋体" w:hAnsi="宋体" w:eastAsia="宋体" w:cs="宋体"/>
          <w:b w:val="0"/>
          <w:bCs/>
          <w:color w:val="auto"/>
          <w:sz w:val="24"/>
          <w:szCs w:val="24"/>
          <w:highlight w:val="none"/>
        </w:rPr>
        <w:t>单位就</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过程以及未能</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原因作出任何解释。未</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人不得向</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lang w:eastAsia="zh-CN"/>
        </w:rPr>
        <w:t>小</w:t>
      </w:r>
      <w:r>
        <w:rPr>
          <w:rFonts w:hint="eastAsia" w:ascii="宋体" w:hAnsi="宋体" w:eastAsia="宋体" w:cs="宋体"/>
          <w:b w:val="0"/>
          <w:bCs/>
          <w:color w:val="auto"/>
          <w:sz w:val="24"/>
          <w:szCs w:val="24"/>
          <w:highlight w:val="none"/>
        </w:rPr>
        <w:t>组成员或其他有关人员索问</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过程的情况和材料。</w:t>
      </w:r>
    </w:p>
    <w:p w14:paraId="15768969">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41</w:t>
      </w:r>
      <w:r>
        <w:rPr>
          <w:rFonts w:hint="eastAsia" w:ascii="宋体" w:hAnsi="宋体" w:eastAsia="宋体" w:cs="宋体"/>
          <w:b w:val="0"/>
          <w:bCs/>
          <w:color w:val="auto"/>
          <w:sz w:val="24"/>
          <w:szCs w:val="24"/>
          <w:highlight w:val="none"/>
        </w:rPr>
        <w:t>.2 未尽事宜按国家有关规定执行。</w:t>
      </w:r>
    </w:p>
    <w:p w14:paraId="785F51F1">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41</w:t>
      </w:r>
      <w:r>
        <w:rPr>
          <w:rFonts w:hint="eastAsia" w:ascii="宋体" w:hAnsi="宋体" w:eastAsia="宋体" w:cs="宋体"/>
          <w:b w:val="0"/>
          <w:bCs/>
          <w:color w:val="auto"/>
          <w:sz w:val="24"/>
          <w:szCs w:val="24"/>
          <w:highlight w:val="none"/>
        </w:rPr>
        <w:t>.3 本</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文件最终解释权归采购人。</w:t>
      </w:r>
    </w:p>
    <w:p w14:paraId="52D1B1DC">
      <w:pPr>
        <w:snapToGrid w:val="0"/>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41</w:t>
      </w:r>
      <w:r>
        <w:rPr>
          <w:rFonts w:hint="eastAsia" w:ascii="宋体" w:hAnsi="宋体" w:eastAsia="宋体" w:cs="宋体"/>
          <w:b w:val="0"/>
          <w:bCs/>
          <w:color w:val="auto"/>
          <w:sz w:val="24"/>
          <w:szCs w:val="24"/>
          <w:highlight w:val="none"/>
        </w:rPr>
        <w:t>.4 需要补充的其他内容：见供应商须知前附表。</w:t>
      </w:r>
    </w:p>
    <w:bookmarkEnd w:id="70"/>
    <w:p w14:paraId="03983B43">
      <w:pPr>
        <w:numPr>
          <w:ilvl w:val="0"/>
          <w:numId w:val="0"/>
        </w:numPr>
        <w:snapToGrid w:val="0"/>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15.采购代理服务收费参照豫招协[2023]002号河南省招标投标协会关于印发《河南省招标代理服务收费指导意见》规定的收费标准收取中标服务费。</w:t>
      </w:r>
    </w:p>
    <w:p w14:paraId="34885354">
      <w:pPr>
        <w:snapToGrid w:val="0"/>
        <w:spacing w:line="440" w:lineRule="exact"/>
        <w:ind w:firstLine="480" w:firstLineChars="20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河南省招标代理服务费计算标准</w:t>
      </w:r>
    </w:p>
    <w:tbl>
      <w:tblPr>
        <w:tblStyle w:val="21"/>
        <w:tblpPr w:leftFromText="180" w:rightFromText="180" w:vertAnchor="text" w:horzAnchor="page" w:tblpX="1512" w:tblpY="472"/>
        <w:tblOverlap w:val="never"/>
        <w:tblW w:w="90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5" w:type="dxa"/>
          <w:bottom w:w="0" w:type="dxa"/>
          <w:right w:w="15" w:type="dxa"/>
        </w:tblCellMar>
      </w:tblPr>
      <w:tblGrid>
        <w:gridCol w:w="4122"/>
        <w:gridCol w:w="1694"/>
        <w:gridCol w:w="1478"/>
        <w:gridCol w:w="1765"/>
      </w:tblGrid>
      <w:tr w14:paraId="5F2D6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27" w:hRule="atLeast"/>
        </w:trPr>
        <w:tc>
          <w:tcPr>
            <w:tcW w:w="4122" w:type="dxa"/>
            <w:tcBorders>
              <w:top w:val="single" w:color="000000" w:sz="4" w:space="0"/>
              <w:left w:val="single" w:color="000000" w:sz="4" w:space="0"/>
              <w:bottom w:val="single" w:color="000000" w:sz="4" w:space="0"/>
              <w:right w:val="single" w:color="000000" w:sz="4" w:space="0"/>
            </w:tcBorders>
            <w:noWrap w:val="0"/>
            <w:vAlign w:val="center"/>
          </w:tcPr>
          <w:p w14:paraId="22E406A4">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项目类型/（金额万元）</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2B0D0736">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工程</w:t>
            </w: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3DC71474">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货物</w:t>
            </w:r>
          </w:p>
        </w:tc>
        <w:tc>
          <w:tcPr>
            <w:tcW w:w="1765" w:type="dxa"/>
            <w:tcBorders>
              <w:top w:val="single" w:color="000000" w:sz="4" w:space="0"/>
              <w:left w:val="single" w:color="000000" w:sz="4" w:space="0"/>
              <w:bottom w:val="single" w:color="000000" w:sz="4" w:space="0"/>
              <w:right w:val="single" w:color="000000" w:sz="4" w:space="0"/>
            </w:tcBorders>
            <w:noWrap w:val="0"/>
            <w:vAlign w:val="center"/>
          </w:tcPr>
          <w:p w14:paraId="154297F5">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服务</w:t>
            </w:r>
          </w:p>
        </w:tc>
      </w:tr>
      <w:tr w14:paraId="52B68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27" w:hRule="atLeast"/>
        </w:trPr>
        <w:tc>
          <w:tcPr>
            <w:tcW w:w="4122" w:type="dxa"/>
            <w:tcBorders>
              <w:top w:val="single" w:color="000000" w:sz="4" w:space="0"/>
              <w:left w:val="single" w:color="000000" w:sz="4" w:space="0"/>
              <w:bottom w:val="single" w:color="000000" w:sz="4" w:space="0"/>
              <w:right w:val="single" w:color="000000" w:sz="4" w:space="0"/>
            </w:tcBorders>
            <w:noWrap w:val="0"/>
            <w:vAlign w:val="center"/>
          </w:tcPr>
          <w:p w14:paraId="2EE4ABD2">
            <w:pPr>
              <w:kinsoku/>
              <w:autoSpaceDE/>
              <w:autoSpaceDN w:val="0"/>
              <w:jc w:val="left"/>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100万元以下（含100万元）</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43A4D6C2">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1.20%</w:t>
            </w: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6EEFF987">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1.70%</w:t>
            </w:r>
          </w:p>
        </w:tc>
        <w:tc>
          <w:tcPr>
            <w:tcW w:w="1765" w:type="dxa"/>
            <w:tcBorders>
              <w:top w:val="single" w:color="000000" w:sz="4" w:space="0"/>
              <w:left w:val="single" w:color="000000" w:sz="4" w:space="0"/>
              <w:bottom w:val="single" w:color="000000" w:sz="4" w:space="0"/>
              <w:right w:val="single" w:color="000000" w:sz="4" w:space="0"/>
            </w:tcBorders>
            <w:noWrap w:val="0"/>
            <w:vAlign w:val="center"/>
          </w:tcPr>
          <w:p w14:paraId="22FE720A">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1.70%</w:t>
            </w:r>
          </w:p>
        </w:tc>
      </w:tr>
      <w:tr w14:paraId="29457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27" w:hRule="atLeast"/>
        </w:trPr>
        <w:tc>
          <w:tcPr>
            <w:tcW w:w="4122" w:type="dxa"/>
            <w:tcBorders>
              <w:top w:val="single" w:color="000000" w:sz="4" w:space="0"/>
              <w:left w:val="single" w:color="000000" w:sz="4" w:space="0"/>
              <w:bottom w:val="single" w:color="000000" w:sz="4" w:space="0"/>
              <w:right w:val="single" w:color="000000" w:sz="4" w:space="0"/>
            </w:tcBorders>
            <w:noWrap w:val="0"/>
            <w:vAlign w:val="center"/>
          </w:tcPr>
          <w:p w14:paraId="2F256E32">
            <w:pPr>
              <w:kinsoku/>
              <w:autoSpaceDE/>
              <w:autoSpaceDN w:val="0"/>
              <w:jc w:val="left"/>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100-500万元（含500万元）</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1F4D8C71">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1.00%</w:t>
            </w: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777AB9E4">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1.20%</w:t>
            </w:r>
          </w:p>
        </w:tc>
        <w:tc>
          <w:tcPr>
            <w:tcW w:w="1765" w:type="dxa"/>
            <w:tcBorders>
              <w:top w:val="single" w:color="000000" w:sz="4" w:space="0"/>
              <w:left w:val="single" w:color="000000" w:sz="4" w:space="0"/>
              <w:bottom w:val="single" w:color="000000" w:sz="4" w:space="0"/>
              <w:right w:val="single" w:color="000000" w:sz="4" w:space="0"/>
            </w:tcBorders>
            <w:noWrap w:val="0"/>
            <w:vAlign w:val="center"/>
          </w:tcPr>
          <w:p w14:paraId="77844895">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1.20%</w:t>
            </w:r>
          </w:p>
        </w:tc>
      </w:tr>
      <w:tr w14:paraId="2E52A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27" w:hRule="atLeast"/>
        </w:trPr>
        <w:tc>
          <w:tcPr>
            <w:tcW w:w="4122" w:type="dxa"/>
            <w:tcBorders>
              <w:top w:val="single" w:color="000000" w:sz="4" w:space="0"/>
              <w:left w:val="single" w:color="000000" w:sz="4" w:space="0"/>
              <w:bottom w:val="single" w:color="000000" w:sz="4" w:space="0"/>
              <w:right w:val="single" w:color="000000" w:sz="4" w:space="0"/>
            </w:tcBorders>
            <w:noWrap w:val="0"/>
            <w:vAlign w:val="center"/>
          </w:tcPr>
          <w:p w14:paraId="63DE88A8">
            <w:pPr>
              <w:kinsoku/>
              <w:autoSpaceDE/>
              <w:autoSpaceDN w:val="0"/>
              <w:jc w:val="left"/>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500-1000万元（含1000万元）</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03B73058">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0.70%</w:t>
            </w: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5C451F93">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0.80%</w:t>
            </w:r>
          </w:p>
        </w:tc>
        <w:tc>
          <w:tcPr>
            <w:tcW w:w="1765" w:type="dxa"/>
            <w:tcBorders>
              <w:top w:val="single" w:color="000000" w:sz="4" w:space="0"/>
              <w:left w:val="single" w:color="000000" w:sz="4" w:space="0"/>
              <w:bottom w:val="single" w:color="000000" w:sz="4" w:space="0"/>
              <w:right w:val="single" w:color="000000" w:sz="4" w:space="0"/>
            </w:tcBorders>
            <w:noWrap w:val="0"/>
            <w:vAlign w:val="center"/>
          </w:tcPr>
          <w:p w14:paraId="52EE38B2">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0.70%</w:t>
            </w:r>
          </w:p>
        </w:tc>
      </w:tr>
      <w:tr w14:paraId="3C4E9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27" w:hRule="atLeast"/>
        </w:trPr>
        <w:tc>
          <w:tcPr>
            <w:tcW w:w="4122" w:type="dxa"/>
            <w:tcBorders>
              <w:top w:val="single" w:color="000000" w:sz="4" w:space="0"/>
              <w:left w:val="single" w:color="000000" w:sz="4" w:space="0"/>
              <w:bottom w:val="single" w:color="000000" w:sz="4" w:space="0"/>
              <w:right w:val="single" w:color="000000" w:sz="4" w:space="0"/>
            </w:tcBorders>
            <w:noWrap w:val="0"/>
            <w:vAlign w:val="center"/>
          </w:tcPr>
          <w:p w14:paraId="4962F305">
            <w:pPr>
              <w:kinsoku/>
              <w:autoSpaceDE/>
              <w:autoSpaceDN w:val="0"/>
              <w:jc w:val="left"/>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1000-5000万元（含5000万元）</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2104F42B">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0.40%</w:t>
            </w: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493C9992">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0.50%</w:t>
            </w:r>
          </w:p>
        </w:tc>
        <w:tc>
          <w:tcPr>
            <w:tcW w:w="1765" w:type="dxa"/>
            <w:tcBorders>
              <w:top w:val="single" w:color="000000" w:sz="4" w:space="0"/>
              <w:left w:val="single" w:color="000000" w:sz="4" w:space="0"/>
              <w:bottom w:val="single" w:color="000000" w:sz="4" w:space="0"/>
              <w:right w:val="single" w:color="000000" w:sz="4" w:space="0"/>
            </w:tcBorders>
            <w:noWrap w:val="0"/>
            <w:vAlign w:val="center"/>
          </w:tcPr>
          <w:p w14:paraId="075D423A">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0.40%</w:t>
            </w:r>
          </w:p>
        </w:tc>
      </w:tr>
      <w:tr w14:paraId="064EC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27" w:hRule="atLeast"/>
        </w:trPr>
        <w:tc>
          <w:tcPr>
            <w:tcW w:w="4122" w:type="dxa"/>
            <w:tcBorders>
              <w:top w:val="single" w:color="000000" w:sz="4" w:space="0"/>
              <w:left w:val="single" w:color="000000" w:sz="4" w:space="0"/>
              <w:bottom w:val="single" w:color="000000" w:sz="4" w:space="0"/>
              <w:right w:val="single" w:color="000000" w:sz="4" w:space="0"/>
            </w:tcBorders>
            <w:noWrap w:val="0"/>
            <w:vAlign w:val="center"/>
          </w:tcPr>
          <w:p w14:paraId="6D0ABF74">
            <w:pPr>
              <w:kinsoku/>
              <w:autoSpaceDE/>
              <w:autoSpaceDN w:val="0"/>
              <w:jc w:val="left"/>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5000万元--1亿元（含1亿元）</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14105209">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0.25%</w:t>
            </w: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6C3E238B">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0.30%</w:t>
            </w:r>
          </w:p>
        </w:tc>
        <w:tc>
          <w:tcPr>
            <w:tcW w:w="1765" w:type="dxa"/>
            <w:tcBorders>
              <w:top w:val="single" w:color="000000" w:sz="4" w:space="0"/>
              <w:left w:val="single" w:color="000000" w:sz="4" w:space="0"/>
              <w:bottom w:val="single" w:color="000000" w:sz="4" w:space="0"/>
              <w:right w:val="single" w:color="000000" w:sz="4" w:space="0"/>
            </w:tcBorders>
            <w:noWrap w:val="0"/>
            <w:vAlign w:val="center"/>
          </w:tcPr>
          <w:p w14:paraId="1818513A">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0.25%</w:t>
            </w:r>
          </w:p>
        </w:tc>
      </w:tr>
      <w:tr w14:paraId="6592C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27" w:hRule="atLeast"/>
        </w:trPr>
        <w:tc>
          <w:tcPr>
            <w:tcW w:w="4122" w:type="dxa"/>
            <w:tcBorders>
              <w:top w:val="single" w:color="000000" w:sz="4" w:space="0"/>
              <w:left w:val="single" w:color="000000" w:sz="4" w:space="0"/>
              <w:bottom w:val="single" w:color="000000" w:sz="4" w:space="0"/>
              <w:right w:val="single" w:color="000000" w:sz="4" w:space="0"/>
            </w:tcBorders>
            <w:noWrap w:val="0"/>
            <w:vAlign w:val="center"/>
          </w:tcPr>
          <w:p w14:paraId="01CBA7EC">
            <w:pPr>
              <w:kinsoku/>
              <w:autoSpaceDE/>
              <w:autoSpaceDN w:val="0"/>
              <w:jc w:val="left"/>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1亿--5亿元（含5亿元）</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0CA5E8D9">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0.10%</w:t>
            </w: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3B1D9375">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0.10%</w:t>
            </w:r>
          </w:p>
        </w:tc>
        <w:tc>
          <w:tcPr>
            <w:tcW w:w="1765" w:type="dxa"/>
            <w:tcBorders>
              <w:top w:val="single" w:color="000000" w:sz="4" w:space="0"/>
              <w:left w:val="single" w:color="000000" w:sz="4" w:space="0"/>
              <w:bottom w:val="single" w:color="000000" w:sz="4" w:space="0"/>
              <w:right w:val="single" w:color="000000" w:sz="4" w:space="0"/>
            </w:tcBorders>
            <w:noWrap w:val="0"/>
            <w:vAlign w:val="center"/>
          </w:tcPr>
          <w:p w14:paraId="4189C89F">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0.10%</w:t>
            </w:r>
          </w:p>
        </w:tc>
      </w:tr>
      <w:tr w14:paraId="21B83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27" w:hRule="atLeast"/>
        </w:trPr>
        <w:tc>
          <w:tcPr>
            <w:tcW w:w="4122" w:type="dxa"/>
            <w:tcBorders>
              <w:top w:val="single" w:color="000000" w:sz="4" w:space="0"/>
              <w:left w:val="single" w:color="000000" w:sz="4" w:space="0"/>
              <w:right w:val="single" w:color="000000" w:sz="4" w:space="0"/>
            </w:tcBorders>
            <w:noWrap w:val="0"/>
            <w:vAlign w:val="center"/>
          </w:tcPr>
          <w:p w14:paraId="17920FFF">
            <w:pPr>
              <w:kinsoku/>
              <w:autoSpaceDE/>
              <w:autoSpaceDN w:val="0"/>
              <w:jc w:val="left"/>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5亿--10亿元（含10亿元）</w:t>
            </w:r>
          </w:p>
        </w:tc>
        <w:tc>
          <w:tcPr>
            <w:tcW w:w="1694" w:type="dxa"/>
            <w:tcBorders>
              <w:top w:val="single" w:color="000000" w:sz="4" w:space="0"/>
              <w:left w:val="single" w:color="000000" w:sz="4" w:space="0"/>
              <w:right w:val="single" w:color="000000" w:sz="4" w:space="0"/>
            </w:tcBorders>
            <w:noWrap w:val="0"/>
            <w:vAlign w:val="center"/>
          </w:tcPr>
          <w:p w14:paraId="5F05D2A5">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0.045%</w:t>
            </w:r>
          </w:p>
        </w:tc>
        <w:tc>
          <w:tcPr>
            <w:tcW w:w="1478" w:type="dxa"/>
            <w:tcBorders>
              <w:top w:val="single" w:color="000000" w:sz="4" w:space="0"/>
              <w:left w:val="single" w:color="000000" w:sz="4" w:space="0"/>
              <w:right w:val="single" w:color="000000" w:sz="4" w:space="0"/>
            </w:tcBorders>
            <w:noWrap w:val="0"/>
            <w:vAlign w:val="center"/>
          </w:tcPr>
          <w:p w14:paraId="3D2500D2">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0.045%</w:t>
            </w:r>
          </w:p>
        </w:tc>
        <w:tc>
          <w:tcPr>
            <w:tcW w:w="1765" w:type="dxa"/>
            <w:tcBorders>
              <w:top w:val="single" w:color="000000" w:sz="4" w:space="0"/>
              <w:left w:val="single" w:color="000000" w:sz="4" w:space="0"/>
              <w:right w:val="single" w:color="000000" w:sz="4" w:space="0"/>
            </w:tcBorders>
            <w:noWrap w:val="0"/>
            <w:vAlign w:val="center"/>
          </w:tcPr>
          <w:p w14:paraId="5F3CE483">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0.045%</w:t>
            </w:r>
          </w:p>
        </w:tc>
      </w:tr>
      <w:tr w14:paraId="4E708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27" w:hRule="atLeast"/>
        </w:trPr>
        <w:tc>
          <w:tcPr>
            <w:tcW w:w="4122" w:type="dxa"/>
            <w:tcBorders>
              <w:top w:val="single" w:color="000000" w:sz="4" w:space="0"/>
              <w:left w:val="single" w:color="000000" w:sz="4" w:space="0"/>
              <w:bottom w:val="single" w:color="000000" w:sz="4" w:space="0"/>
              <w:right w:val="single" w:color="000000" w:sz="4" w:space="0"/>
            </w:tcBorders>
            <w:noWrap w:val="0"/>
            <w:vAlign w:val="center"/>
          </w:tcPr>
          <w:p w14:paraId="47432598">
            <w:pPr>
              <w:kinsoku/>
              <w:autoSpaceDE/>
              <w:autoSpaceDN w:val="0"/>
              <w:jc w:val="left"/>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10亿--50亿元（含50亿元）</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52A1367A">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0.010%</w:t>
            </w: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50928697">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0.010%</w:t>
            </w:r>
          </w:p>
        </w:tc>
        <w:tc>
          <w:tcPr>
            <w:tcW w:w="1765" w:type="dxa"/>
            <w:tcBorders>
              <w:top w:val="single" w:color="000000" w:sz="4" w:space="0"/>
              <w:left w:val="single" w:color="000000" w:sz="4" w:space="0"/>
              <w:bottom w:val="single" w:color="000000" w:sz="4" w:space="0"/>
              <w:right w:val="single" w:color="000000" w:sz="4" w:space="0"/>
            </w:tcBorders>
            <w:noWrap w:val="0"/>
            <w:vAlign w:val="center"/>
          </w:tcPr>
          <w:p w14:paraId="4D33574B">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0.010%</w:t>
            </w:r>
          </w:p>
        </w:tc>
      </w:tr>
      <w:tr w14:paraId="6FA03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27" w:hRule="atLeast"/>
        </w:trPr>
        <w:tc>
          <w:tcPr>
            <w:tcW w:w="4122" w:type="dxa"/>
            <w:tcBorders>
              <w:top w:val="single" w:color="000000" w:sz="4" w:space="0"/>
              <w:left w:val="single" w:color="000000" w:sz="4" w:space="0"/>
              <w:bottom w:val="single" w:color="000000" w:sz="4" w:space="0"/>
              <w:right w:val="single" w:color="000000" w:sz="4" w:space="0"/>
            </w:tcBorders>
            <w:noWrap w:val="0"/>
            <w:vAlign w:val="center"/>
          </w:tcPr>
          <w:p w14:paraId="19B5181D">
            <w:pPr>
              <w:kinsoku/>
              <w:autoSpaceDE/>
              <w:autoSpaceDN w:val="0"/>
              <w:jc w:val="left"/>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50亿--100亿元（含</w:t>
            </w:r>
            <w:r>
              <w:rPr>
                <w:rFonts w:hint="eastAsia" w:ascii="宋体" w:hAnsi="宋体"/>
                <w:b w:val="0"/>
                <w:i w:val="0"/>
                <w:snapToGrid/>
                <w:color w:val="auto"/>
                <w:sz w:val="24"/>
                <w:szCs w:val="18"/>
                <w:highlight w:val="none"/>
                <w:u w:val="none"/>
                <w:lang w:val="en-US" w:eastAsia="zh-CN"/>
              </w:rPr>
              <w:t>100</w:t>
            </w:r>
            <w:r>
              <w:rPr>
                <w:rFonts w:hint="default" w:ascii="宋体" w:hAnsi="宋体" w:eastAsia="宋体"/>
                <w:b w:val="0"/>
                <w:i w:val="0"/>
                <w:snapToGrid/>
                <w:color w:val="auto"/>
                <w:sz w:val="24"/>
                <w:szCs w:val="18"/>
                <w:highlight w:val="none"/>
                <w:u w:val="none"/>
                <w:lang w:eastAsia="zh-CN"/>
              </w:rPr>
              <w:t>亿元）</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151AA9D0">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0.008%</w:t>
            </w: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2A90CDE7">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0.008%</w:t>
            </w:r>
          </w:p>
        </w:tc>
        <w:tc>
          <w:tcPr>
            <w:tcW w:w="1765" w:type="dxa"/>
            <w:tcBorders>
              <w:top w:val="single" w:color="000000" w:sz="4" w:space="0"/>
              <w:left w:val="single" w:color="000000" w:sz="4" w:space="0"/>
              <w:bottom w:val="single" w:color="000000" w:sz="4" w:space="0"/>
              <w:right w:val="single" w:color="000000" w:sz="4" w:space="0"/>
            </w:tcBorders>
            <w:noWrap w:val="0"/>
            <w:vAlign w:val="center"/>
          </w:tcPr>
          <w:p w14:paraId="195BDBE9">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0.008%</w:t>
            </w:r>
          </w:p>
        </w:tc>
      </w:tr>
      <w:tr w14:paraId="4E5D0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27" w:hRule="atLeast"/>
        </w:trPr>
        <w:tc>
          <w:tcPr>
            <w:tcW w:w="4122" w:type="dxa"/>
            <w:tcBorders>
              <w:top w:val="single" w:color="000000" w:sz="4" w:space="0"/>
              <w:left w:val="single" w:color="000000" w:sz="4" w:space="0"/>
              <w:bottom w:val="single" w:color="000000" w:sz="4" w:space="0"/>
              <w:right w:val="single" w:color="000000" w:sz="4" w:space="0"/>
            </w:tcBorders>
            <w:noWrap w:val="0"/>
            <w:vAlign w:val="center"/>
          </w:tcPr>
          <w:p w14:paraId="52C82A4F">
            <w:pPr>
              <w:kinsoku/>
              <w:autoSpaceDE/>
              <w:autoSpaceDN w:val="0"/>
              <w:jc w:val="left"/>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100亿元以上</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79046A6B">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0.004%</w:t>
            </w: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0874A5F8">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0.004%</w:t>
            </w:r>
          </w:p>
        </w:tc>
        <w:tc>
          <w:tcPr>
            <w:tcW w:w="1765" w:type="dxa"/>
            <w:tcBorders>
              <w:top w:val="single" w:color="000000" w:sz="4" w:space="0"/>
              <w:left w:val="single" w:color="000000" w:sz="4" w:space="0"/>
              <w:bottom w:val="single" w:color="000000" w:sz="4" w:space="0"/>
              <w:right w:val="single" w:color="000000" w:sz="4" w:space="0"/>
            </w:tcBorders>
            <w:noWrap w:val="0"/>
            <w:vAlign w:val="center"/>
          </w:tcPr>
          <w:p w14:paraId="61B9CE26">
            <w:pPr>
              <w:kinsoku/>
              <w:autoSpaceDE/>
              <w:autoSpaceDN w:val="0"/>
              <w:jc w:val="center"/>
              <w:textAlignment w:val="center"/>
              <w:rPr>
                <w:rFonts w:hint="default" w:ascii="宋体" w:hAnsi="宋体" w:eastAsia="宋体"/>
                <w:b w:val="0"/>
                <w:i w:val="0"/>
                <w:snapToGrid/>
                <w:color w:val="auto"/>
                <w:sz w:val="24"/>
                <w:szCs w:val="18"/>
                <w:highlight w:val="none"/>
                <w:u w:val="none"/>
                <w:lang w:eastAsia="zh-CN"/>
              </w:rPr>
            </w:pPr>
            <w:r>
              <w:rPr>
                <w:rFonts w:hint="default" w:ascii="宋体" w:hAnsi="宋体" w:eastAsia="宋体"/>
                <w:b w:val="0"/>
                <w:i w:val="0"/>
                <w:snapToGrid/>
                <w:color w:val="auto"/>
                <w:sz w:val="24"/>
                <w:szCs w:val="18"/>
                <w:highlight w:val="none"/>
                <w:u w:val="none"/>
                <w:lang w:eastAsia="zh-CN"/>
              </w:rPr>
              <w:t>0.004%</w:t>
            </w:r>
          </w:p>
        </w:tc>
      </w:tr>
      <w:tr w14:paraId="49C01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665" w:hRule="atLeast"/>
        </w:trPr>
        <w:tc>
          <w:tcPr>
            <w:tcW w:w="9059" w:type="dxa"/>
            <w:gridSpan w:val="4"/>
            <w:noWrap w:val="0"/>
            <w:vAlign w:val="center"/>
          </w:tcPr>
          <w:p w14:paraId="4D356FA1">
            <w:pPr>
              <w:keepNext w:val="0"/>
              <w:keepLines w:val="0"/>
              <w:pageBreakBefore w:val="0"/>
              <w:widowControl w:val="0"/>
              <w:kinsoku/>
              <w:wordWrap/>
              <w:overflowPunct/>
              <w:topLinePunct w:val="0"/>
              <w:autoSpaceDE/>
              <w:autoSpaceDN w:val="0"/>
              <w:bidi w:val="0"/>
              <w:adjustRightInd/>
              <w:snapToGrid/>
              <w:spacing w:line="500" w:lineRule="exact"/>
              <w:jc w:val="left"/>
              <w:textAlignment w:val="center"/>
              <w:rPr>
                <w:rFonts w:hint="default" w:ascii="宋体" w:hAnsi="宋体" w:eastAsia="宋体"/>
                <w:b w:val="0"/>
                <w:i w:val="0"/>
                <w:snapToGrid/>
                <w:color w:val="auto"/>
                <w:sz w:val="24"/>
                <w:szCs w:val="24"/>
                <w:highlight w:val="none"/>
                <w:u w:val="none"/>
                <w:lang w:eastAsia="zh-CN"/>
              </w:rPr>
            </w:pPr>
            <w:r>
              <w:rPr>
                <w:rFonts w:hint="default" w:ascii="宋体" w:hAnsi="宋体" w:eastAsia="宋体"/>
                <w:b w:val="0"/>
                <w:i w:val="0"/>
                <w:snapToGrid/>
                <w:color w:val="auto"/>
                <w:sz w:val="24"/>
                <w:szCs w:val="24"/>
                <w:highlight w:val="none"/>
                <w:u w:val="none"/>
                <w:lang w:eastAsia="zh-CN"/>
              </w:rPr>
              <w:t>注：1.按本表费率计算的收费金额为招标代理服务费的基准价格，不含工程量清单、最高投标限价（招标控制价）或标底的编制费用。</w:t>
            </w:r>
          </w:p>
          <w:p w14:paraId="1E7B7363">
            <w:pPr>
              <w:keepNext w:val="0"/>
              <w:keepLines w:val="0"/>
              <w:pageBreakBefore w:val="0"/>
              <w:widowControl w:val="0"/>
              <w:kinsoku/>
              <w:wordWrap/>
              <w:overflowPunct/>
              <w:topLinePunct w:val="0"/>
              <w:autoSpaceDE/>
              <w:autoSpaceDN w:val="0"/>
              <w:bidi w:val="0"/>
              <w:adjustRightInd/>
              <w:snapToGrid/>
              <w:spacing w:line="500" w:lineRule="exact"/>
              <w:jc w:val="left"/>
              <w:textAlignment w:val="center"/>
              <w:rPr>
                <w:rFonts w:hint="default" w:ascii="宋体" w:hAnsi="宋体" w:eastAsia="宋体"/>
                <w:b w:val="0"/>
                <w:i w:val="0"/>
                <w:snapToGrid/>
                <w:color w:val="auto"/>
                <w:sz w:val="24"/>
                <w:szCs w:val="24"/>
                <w:highlight w:val="none"/>
                <w:u w:val="none"/>
                <w:lang w:val="en-US" w:eastAsia="zh-CN"/>
              </w:rPr>
            </w:pPr>
            <w:r>
              <w:rPr>
                <w:rFonts w:hint="eastAsia" w:ascii="宋体" w:hAnsi="宋体" w:eastAsia="宋体"/>
                <w:b w:val="0"/>
                <w:i w:val="0"/>
                <w:snapToGrid/>
                <w:color w:val="auto"/>
                <w:sz w:val="24"/>
                <w:szCs w:val="24"/>
                <w:highlight w:val="none"/>
                <w:u w:val="none"/>
                <w:lang w:val="en-US" w:eastAsia="zh-CN"/>
              </w:rPr>
              <w:t>2.招标代理服务收费按差额定率累进法计算。</w:t>
            </w:r>
          </w:p>
          <w:p w14:paraId="5B300E50">
            <w:pPr>
              <w:keepNext w:val="0"/>
              <w:keepLines w:val="0"/>
              <w:pageBreakBefore w:val="0"/>
              <w:widowControl w:val="0"/>
              <w:kinsoku/>
              <w:wordWrap/>
              <w:overflowPunct/>
              <w:topLinePunct w:val="0"/>
              <w:autoSpaceDE/>
              <w:autoSpaceDN w:val="0"/>
              <w:bidi w:val="0"/>
              <w:adjustRightInd/>
              <w:snapToGrid/>
              <w:spacing w:line="500" w:lineRule="exact"/>
              <w:jc w:val="left"/>
              <w:textAlignment w:val="center"/>
              <w:rPr>
                <w:rFonts w:hint="default" w:ascii="宋体" w:hAnsi="宋体" w:eastAsia="宋体"/>
                <w:b w:val="0"/>
                <w:i w:val="0"/>
                <w:snapToGrid/>
                <w:color w:val="auto"/>
                <w:sz w:val="24"/>
                <w:szCs w:val="24"/>
                <w:highlight w:val="none"/>
                <w:u w:val="none"/>
                <w:lang w:eastAsia="zh-CN"/>
              </w:rPr>
            </w:pPr>
            <w:r>
              <w:rPr>
                <w:rFonts w:hint="default" w:ascii="宋体" w:hAnsi="宋体" w:eastAsia="宋体"/>
                <w:b w:val="0"/>
                <w:i w:val="0"/>
                <w:snapToGrid/>
                <w:color w:val="auto"/>
                <w:sz w:val="24"/>
                <w:szCs w:val="24"/>
                <w:highlight w:val="none"/>
                <w:u w:val="none"/>
                <w:lang w:eastAsia="zh-CN"/>
              </w:rPr>
              <w:t>例如: 某工程招标代理业务，项目预算金额（招标控制价）为10000万元，招标代理服务收费计算如下:</w:t>
            </w:r>
          </w:p>
          <w:p w14:paraId="700FED3A">
            <w:pPr>
              <w:keepNext w:val="0"/>
              <w:keepLines w:val="0"/>
              <w:pageBreakBefore w:val="0"/>
              <w:widowControl w:val="0"/>
              <w:kinsoku/>
              <w:wordWrap/>
              <w:overflowPunct/>
              <w:topLinePunct w:val="0"/>
              <w:autoSpaceDE/>
              <w:autoSpaceDN w:val="0"/>
              <w:bidi w:val="0"/>
              <w:adjustRightInd/>
              <w:snapToGrid/>
              <w:spacing w:line="500" w:lineRule="exact"/>
              <w:jc w:val="left"/>
              <w:textAlignment w:val="center"/>
              <w:rPr>
                <w:rFonts w:hint="default" w:ascii="宋体" w:hAnsi="宋体" w:eastAsia="宋体"/>
                <w:b w:val="0"/>
                <w:i w:val="0"/>
                <w:snapToGrid/>
                <w:color w:val="auto"/>
                <w:sz w:val="24"/>
                <w:szCs w:val="24"/>
                <w:highlight w:val="none"/>
                <w:u w:val="none"/>
                <w:lang w:eastAsia="zh-CN"/>
              </w:rPr>
            </w:pPr>
            <w:r>
              <w:rPr>
                <w:rFonts w:hint="eastAsia" w:ascii="宋体" w:hAnsi="宋体"/>
                <w:b w:val="0"/>
                <w:i w:val="0"/>
                <w:snapToGrid/>
                <w:color w:val="auto"/>
                <w:sz w:val="24"/>
                <w:szCs w:val="24"/>
                <w:highlight w:val="none"/>
                <w:u w:val="none"/>
                <w:lang w:val="en-US" w:eastAsia="zh-CN"/>
              </w:rPr>
              <w:t xml:space="preserve"> </w:t>
            </w:r>
            <w:r>
              <w:rPr>
                <w:rFonts w:hint="default" w:ascii="宋体" w:hAnsi="宋体" w:eastAsia="宋体"/>
                <w:b w:val="0"/>
                <w:i w:val="0"/>
                <w:snapToGrid/>
                <w:color w:val="auto"/>
                <w:sz w:val="24"/>
                <w:szCs w:val="24"/>
                <w:highlight w:val="none"/>
                <w:u w:val="none"/>
                <w:lang w:eastAsia="zh-CN"/>
              </w:rPr>
              <w:t>100万元×1.2%=1.2万元</w:t>
            </w:r>
          </w:p>
          <w:p w14:paraId="421606FA">
            <w:pPr>
              <w:keepNext w:val="0"/>
              <w:keepLines w:val="0"/>
              <w:pageBreakBefore w:val="0"/>
              <w:widowControl w:val="0"/>
              <w:kinsoku/>
              <w:wordWrap/>
              <w:overflowPunct/>
              <w:topLinePunct w:val="0"/>
              <w:autoSpaceDE/>
              <w:autoSpaceDN w:val="0"/>
              <w:bidi w:val="0"/>
              <w:adjustRightInd/>
              <w:snapToGrid/>
              <w:spacing w:line="500" w:lineRule="exact"/>
              <w:jc w:val="left"/>
              <w:textAlignment w:val="center"/>
              <w:rPr>
                <w:rFonts w:hint="default" w:ascii="宋体" w:hAnsi="宋体" w:eastAsia="宋体"/>
                <w:b w:val="0"/>
                <w:i w:val="0"/>
                <w:snapToGrid/>
                <w:color w:val="auto"/>
                <w:sz w:val="24"/>
                <w:szCs w:val="24"/>
                <w:highlight w:val="none"/>
                <w:u w:val="none"/>
                <w:lang w:eastAsia="zh-CN"/>
              </w:rPr>
            </w:pPr>
            <w:r>
              <w:rPr>
                <w:rFonts w:hint="default" w:ascii="宋体" w:hAnsi="宋体" w:eastAsia="宋体"/>
                <w:b w:val="0"/>
                <w:i w:val="0"/>
                <w:snapToGrid/>
                <w:color w:val="auto"/>
                <w:sz w:val="24"/>
                <w:szCs w:val="24"/>
                <w:highlight w:val="none"/>
                <w:u w:val="none"/>
                <w:lang w:eastAsia="zh-CN"/>
              </w:rPr>
              <w:t>（500-100）万元×1.0%=4万元</w:t>
            </w:r>
          </w:p>
          <w:p w14:paraId="7FF255A1">
            <w:pPr>
              <w:keepNext w:val="0"/>
              <w:keepLines w:val="0"/>
              <w:pageBreakBefore w:val="0"/>
              <w:widowControl w:val="0"/>
              <w:kinsoku/>
              <w:wordWrap/>
              <w:overflowPunct/>
              <w:topLinePunct w:val="0"/>
              <w:autoSpaceDE/>
              <w:autoSpaceDN w:val="0"/>
              <w:bidi w:val="0"/>
              <w:adjustRightInd/>
              <w:snapToGrid/>
              <w:spacing w:line="500" w:lineRule="exact"/>
              <w:jc w:val="left"/>
              <w:textAlignment w:val="center"/>
              <w:rPr>
                <w:rFonts w:hint="default" w:ascii="宋体" w:hAnsi="宋体" w:eastAsia="宋体"/>
                <w:b w:val="0"/>
                <w:i w:val="0"/>
                <w:snapToGrid/>
                <w:color w:val="auto"/>
                <w:sz w:val="24"/>
                <w:szCs w:val="24"/>
                <w:highlight w:val="none"/>
                <w:u w:val="none"/>
                <w:lang w:eastAsia="zh-CN"/>
              </w:rPr>
            </w:pPr>
            <w:r>
              <w:rPr>
                <w:rFonts w:hint="default" w:ascii="宋体" w:hAnsi="宋体" w:eastAsia="宋体"/>
                <w:b w:val="0"/>
                <w:i w:val="0"/>
                <w:snapToGrid/>
                <w:color w:val="auto"/>
                <w:sz w:val="24"/>
                <w:szCs w:val="24"/>
                <w:highlight w:val="none"/>
                <w:u w:val="none"/>
                <w:lang w:eastAsia="zh-CN"/>
              </w:rPr>
              <w:t>（1000-500）×0.7%=3.5万元</w:t>
            </w:r>
          </w:p>
          <w:p w14:paraId="2BB8F9B8">
            <w:pPr>
              <w:keepNext w:val="0"/>
              <w:keepLines w:val="0"/>
              <w:pageBreakBefore w:val="0"/>
              <w:widowControl w:val="0"/>
              <w:kinsoku/>
              <w:wordWrap/>
              <w:overflowPunct/>
              <w:topLinePunct w:val="0"/>
              <w:autoSpaceDE/>
              <w:autoSpaceDN w:val="0"/>
              <w:bidi w:val="0"/>
              <w:adjustRightInd/>
              <w:snapToGrid/>
              <w:spacing w:line="500" w:lineRule="exact"/>
              <w:jc w:val="left"/>
              <w:textAlignment w:val="center"/>
              <w:rPr>
                <w:rFonts w:hint="default" w:ascii="宋体" w:hAnsi="宋体" w:eastAsia="宋体"/>
                <w:b w:val="0"/>
                <w:i w:val="0"/>
                <w:snapToGrid/>
                <w:color w:val="auto"/>
                <w:sz w:val="24"/>
                <w:szCs w:val="24"/>
                <w:highlight w:val="none"/>
                <w:u w:val="none"/>
                <w:lang w:eastAsia="zh-CN"/>
              </w:rPr>
            </w:pPr>
            <w:r>
              <w:rPr>
                <w:rFonts w:hint="default" w:ascii="宋体" w:hAnsi="宋体" w:eastAsia="宋体"/>
                <w:b w:val="0"/>
                <w:i w:val="0"/>
                <w:snapToGrid/>
                <w:color w:val="auto"/>
                <w:sz w:val="24"/>
                <w:szCs w:val="24"/>
                <w:highlight w:val="none"/>
                <w:u w:val="none"/>
                <w:lang w:eastAsia="zh-CN"/>
              </w:rPr>
              <w:t>（5000-1000）×0.4%=16万元</w:t>
            </w:r>
          </w:p>
          <w:p w14:paraId="6C1B5DD3">
            <w:pPr>
              <w:keepNext w:val="0"/>
              <w:keepLines w:val="0"/>
              <w:pageBreakBefore w:val="0"/>
              <w:widowControl w:val="0"/>
              <w:kinsoku/>
              <w:wordWrap/>
              <w:overflowPunct/>
              <w:topLinePunct w:val="0"/>
              <w:autoSpaceDE/>
              <w:autoSpaceDN w:val="0"/>
              <w:bidi w:val="0"/>
              <w:adjustRightInd/>
              <w:snapToGrid/>
              <w:spacing w:line="500" w:lineRule="exact"/>
              <w:jc w:val="left"/>
              <w:textAlignment w:val="center"/>
              <w:rPr>
                <w:rFonts w:hint="default" w:ascii="宋体" w:hAnsi="宋体" w:eastAsia="宋体"/>
                <w:b w:val="0"/>
                <w:i w:val="0"/>
                <w:snapToGrid/>
                <w:color w:val="auto"/>
                <w:sz w:val="21"/>
                <w:szCs w:val="18"/>
                <w:highlight w:val="none"/>
                <w:u w:val="none"/>
                <w:lang w:eastAsia="zh-CN"/>
              </w:rPr>
            </w:pPr>
            <w:r>
              <w:rPr>
                <w:rFonts w:hint="default" w:ascii="宋体" w:hAnsi="宋体" w:eastAsia="宋体"/>
                <w:b w:val="0"/>
                <w:i w:val="0"/>
                <w:snapToGrid/>
                <w:color w:val="auto"/>
                <w:sz w:val="24"/>
                <w:szCs w:val="24"/>
                <w:highlight w:val="none"/>
                <w:u w:val="none"/>
                <w:lang w:eastAsia="zh-CN"/>
              </w:rPr>
              <w:t>（10000-5000）×0.25%=12.5万元合计收费=1.2+4+3.5+16+12.5=37.2万元</w:t>
            </w:r>
          </w:p>
        </w:tc>
      </w:tr>
    </w:tbl>
    <w:p w14:paraId="35AB84D2">
      <w:pPr>
        <w:bidi w:val="0"/>
        <w:rPr>
          <w:rFonts w:hint="eastAsia"/>
          <w:lang w:val="en-US" w:eastAsia="zh-CN"/>
        </w:rPr>
      </w:pPr>
      <w:bookmarkStart w:id="109" w:name="_Toc6364"/>
      <w:bookmarkStart w:id="110" w:name="_Toc21289"/>
    </w:p>
    <w:p w14:paraId="5D0ABF9F">
      <w:pPr>
        <w:pStyle w:val="13"/>
        <w:rPr>
          <w:rFonts w:hint="eastAsia"/>
          <w:lang w:val="en-US" w:eastAsia="zh-CN"/>
        </w:rPr>
      </w:pPr>
    </w:p>
    <w:p w14:paraId="2D726541">
      <w:pPr>
        <w:pStyle w:val="13"/>
        <w:rPr>
          <w:rFonts w:hint="eastAsia"/>
          <w:lang w:val="en-US" w:eastAsia="zh-CN"/>
        </w:rPr>
      </w:pPr>
    </w:p>
    <w:p w14:paraId="658A5D74">
      <w:pPr>
        <w:pStyle w:val="13"/>
        <w:rPr>
          <w:rFonts w:hint="eastAsia"/>
          <w:lang w:val="en-US" w:eastAsia="zh-CN"/>
        </w:rPr>
      </w:pPr>
    </w:p>
    <w:p w14:paraId="6A9FC5E6">
      <w:pPr>
        <w:pStyle w:val="13"/>
        <w:rPr>
          <w:rFonts w:hint="eastAsia"/>
          <w:lang w:val="en-US" w:eastAsia="zh-CN"/>
        </w:rPr>
      </w:pPr>
    </w:p>
    <w:p w14:paraId="61F9B9E0">
      <w:pPr>
        <w:pStyle w:val="13"/>
        <w:rPr>
          <w:rFonts w:hint="eastAsia"/>
          <w:lang w:val="en-US" w:eastAsia="zh-CN"/>
        </w:rPr>
      </w:pPr>
    </w:p>
    <w:p w14:paraId="1A203A70">
      <w:pPr>
        <w:pStyle w:val="13"/>
        <w:rPr>
          <w:rFonts w:hint="eastAsia"/>
          <w:lang w:val="en-US" w:eastAsia="zh-CN"/>
        </w:rPr>
      </w:pPr>
    </w:p>
    <w:p w14:paraId="40335C6E">
      <w:pPr>
        <w:pStyle w:val="13"/>
        <w:rPr>
          <w:rFonts w:hint="eastAsia"/>
          <w:lang w:val="en-US" w:eastAsia="zh-CN"/>
        </w:rPr>
      </w:pPr>
    </w:p>
    <w:p w14:paraId="32404F2A">
      <w:pPr>
        <w:pStyle w:val="13"/>
        <w:rPr>
          <w:rFonts w:hint="eastAsia"/>
          <w:lang w:val="en-US" w:eastAsia="zh-CN"/>
        </w:rPr>
      </w:pPr>
    </w:p>
    <w:p w14:paraId="36609697">
      <w:pPr>
        <w:pStyle w:val="13"/>
        <w:rPr>
          <w:rFonts w:hint="eastAsia"/>
          <w:lang w:val="en-US" w:eastAsia="zh-CN"/>
        </w:rPr>
      </w:pPr>
    </w:p>
    <w:p w14:paraId="39858F6B">
      <w:pPr>
        <w:pStyle w:val="13"/>
        <w:rPr>
          <w:rFonts w:hint="eastAsia"/>
          <w:lang w:val="en-US" w:eastAsia="zh-CN"/>
        </w:rPr>
      </w:pPr>
    </w:p>
    <w:p w14:paraId="1F415BFD">
      <w:pPr>
        <w:pStyle w:val="13"/>
        <w:rPr>
          <w:rFonts w:hint="eastAsia"/>
          <w:lang w:val="en-US" w:eastAsia="zh-CN"/>
        </w:rPr>
      </w:pPr>
    </w:p>
    <w:p w14:paraId="768311B4">
      <w:pPr>
        <w:pStyle w:val="13"/>
        <w:rPr>
          <w:rFonts w:hint="eastAsia"/>
          <w:lang w:val="en-US" w:eastAsia="zh-CN"/>
        </w:rPr>
      </w:pPr>
    </w:p>
    <w:p w14:paraId="7393C6A3">
      <w:pPr>
        <w:pStyle w:val="13"/>
        <w:rPr>
          <w:rFonts w:hint="eastAsia"/>
          <w:lang w:val="en-US" w:eastAsia="zh-CN"/>
        </w:rPr>
      </w:pPr>
    </w:p>
    <w:p w14:paraId="095E3348">
      <w:pPr>
        <w:pStyle w:val="13"/>
        <w:rPr>
          <w:rFonts w:hint="eastAsia"/>
          <w:lang w:val="en-US" w:eastAsia="zh-CN"/>
        </w:rPr>
      </w:pPr>
    </w:p>
    <w:p w14:paraId="19B54867">
      <w:pPr>
        <w:pStyle w:val="13"/>
        <w:rPr>
          <w:rFonts w:hint="eastAsia"/>
          <w:lang w:val="en-US" w:eastAsia="zh-CN"/>
        </w:rPr>
      </w:pPr>
    </w:p>
    <w:p w14:paraId="6BD254DD">
      <w:pPr>
        <w:pStyle w:val="13"/>
        <w:rPr>
          <w:rFonts w:hint="eastAsia"/>
          <w:lang w:val="en-US" w:eastAsia="zh-CN"/>
        </w:rPr>
      </w:pPr>
    </w:p>
    <w:p w14:paraId="53D560D0">
      <w:pPr>
        <w:pStyle w:val="13"/>
        <w:rPr>
          <w:rFonts w:hint="eastAsia"/>
          <w:lang w:val="en-US" w:eastAsia="zh-CN"/>
        </w:rPr>
      </w:pPr>
    </w:p>
    <w:p w14:paraId="5EE0B112">
      <w:pPr>
        <w:widowControl/>
        <w:jc w:val="lef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附件1：质疑函范本</w:t>
      </w:r>
    </w:p>
    <w:p w14:paraId="098E0707">
      <w:pPr>
        <w:spacing w:line="480" w:lineRule="exact"/>
        <w:jc w:val="center"/>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质疑函范本</w:t>
      </w:r>
    </w:p>
    <w:p w14:paraId="21F78D44">
      <w:pPr>
        <w:spacing w:line="480" w:lineRule="exact"/>
        <w:ind w:firstLine="480" w:firstLineChars="200"/>
        <w:outlineLvl w:val="3"/>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一、质疑</w:t>
      </w:r>
      <w:r>
        <w:rPr>
          <w:rFonts w:hint="eastAsia" w:asciiTheme="minorEastAsia" w:hAnsiTheme="minorEastAsia" w:cstheme="minorEastAsia"/>
          <w:sz w:val="24"/>
          <w:szCs w:val="24"/>
          <w:highlight w:val="none"/>
          <w:lang w:val="en-US" w:eastAsia="zh-CN"/>
        </w:rPr>
        <w:t>供应商</w:t>
      </w:r>
      <w:r>
        <w:rPr>
          <w:rFonts w:hint="eastAsia" w:asciiTheme="minorEastAsia" w:hAnsiTheme="minorEastAsia" w:eastAsiaTheme="minorEastAsia" w:cstheme="minorEastAsia"/>
          <w:kern w:val="0"/>
          <w:sz w:val="24"/>
          <w:highlight w:val="none"/>
        </w:rPr>
        <w:t>基本信息</w:t>
      </w:r>
    </w:p>
    <w:p w14:paraId="26B86F1F">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质疑</w:t>
      </w:r>
      <w:r>
        <w:rPr>
          <w:rFonts w:hint="eastAsia" w:asciiTheme="minorEastAsia" w:hAnsiTheme="minorEastAsia" w:cstheme="minorEastAsia"/>
          <w:sz w:val="24"/>
          <w:szCs w:val="24"/>
          <w:highlight w:val="none"/>
          <w:lang w:val="en-US" w:eastAsia="zh-CN"/>
        </w:rPr>
        <w:t>供应商</w:t>
      </w:r>
      <w:r>
        <w:rPr>
          <w:rFonts w:hint="eastAsia" w:asciiTheme="minorEastAsia" w:hAnsiTheme="minorEastAsia" w:eastAsiaTheme="minorEastAsia" w:cstheme="minorEastAsia"/>
          <w:kern w:val="0"/>
          <w:sz w:val="24"/>
          <w:highlight w:val="none"/>
        </w:rPr>
        <w:t xml:space="preserve">：                                        </w:t>
      </w:r>
    </w:p>
    <w:p w14:paraId="1496774B">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地址：                          邮编：                                 </w:t>
      </w:r>
    </w:p>
    <w:p w14:paraId="01008949">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联系人：                      联系电话：                              </w:t>
      </w:r>
    </w:p>
    <w:p w14:paraId="4CC543C2">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授权代表：                                          </w:t>
      </w:r>
    </w:p>
    <w:p w14:paraId="0259418F">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联系电话：                                            </w:t>
      </w:r>
    </w:p>
    <w:p w14:paraId="1017DB8E">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地址：                         邮编：                                       </w:t>
      </w:r>
    </w:p>
    <w:p w14:paraId="32172098">
      <w:pPr>
        <w:spacing w:line="480" w:lineRule="exact"/>
        <w:ind w:firstLine="480" w:firstLineChars="200"/>
        <w:outlineLvl w:val="3"/>
        <w:rPr>
          <w:rFonts w:hint="eastAsia" w:asciiTheme="minorEastAsia" w:hAnsiTheme="minorEastAsia" w:eastAsiaTheme="minorEastAsia" w:cstheme="minorEastAsia"/>
          <w:bCs/>
          <w:kern w:val="0"/>
          <w:sz w:val="24"/>
          <w:highlight w:val="none"/>
        </w:rPr>
      </w:pPr>
      <w:r>
        <w:rPr>
          <w:rFonts w:hint="eastAsia" w:asciiTheme="minorEastAsia" w:hAnsiTheme="minorEastAsia" w:eastAsiaTheme="minorEastAsia" w:cstheme="minorEastAsia"/>
          <w:bCs/>
          <w:kern w:val="0"/>
          <w:sz w:val="24"/>
          <w:highlight w:val="none"/>
        </w:rPr>
        <w:t>二、质疑项目基本情况</w:t>
      </w:r>
    </w:p>
    <w:p w14:paraId="4BA08B2D">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质疑项目的名称：                                      </w:t>
      </w:r>
    </w:p>
    <w:p w14:paraId="303B65F8">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质疑项目的编号：               包号：                 </w:t>
      </w:r>
    </w:p>
    <w:p w14:paraId="56F5EA5C">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lang w:val="en-US" w:eastAsia="zh-CN"/>
        </w:rPr>
        <w:t>采购人</w:t>
      </w:r>
      <w:r>
        <w:rPr>
          <w:rFonts w:hint="eastAsia" w:asciiTheme="minorEastAsia" w:hAnsiTheme="minorEastAsia" w:eastAsiaTheme="minorEastAsia" w:cstheme="minorEastAsia"/>
          <w:kern w:val="0"/>
          <w:sz w:val="24"/>
          <w:highlight w:val="none"/>
        </w:rPr>
        <w:t xml:space="preserve">名称：                                         </w:t>
      </w:r>
    </w:p>
    <w:p w14:paraId="0C1CC41F">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lang w:val="en-US" w:eastAsia="zh-CN"/>
        </w:rPr>
        <w:t>磋商</w:t>
      </w:r>
      <w:r>
        <w:rPr>
          <w:rFonts w:hint="eastAsia" w:asciiTheme="minorEastAsia" w:hAnsiTheme="minorEastAsia" w:eastAsiaTheme="minorEastAsia" w:cstheme="minorEastAsia"/>
          <w:kern w:val="0"/>
          <w:sz w:val="24"/>
          <w:highlight w:val="none"/>
        </w:rPr>
        <w:t xml:space="preserve">文件获取日期：                                           </w:t>
      </w:r>
    </w:p>
    <w:p w14:paraId="1E8DDC61">
      <w:pPr>
        <w:spacing w:line="480" w:lineRule="exact"/>
        <w:ind w:firstLine="480" w:firstLineChars="200"/>
        <w:outlineLvl w:val="3"/>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三、质疑事项具体内容</w:t>
      </w:r>
    </w:p>
    <w:p w14:paraId="4C62A64F">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质疑事项1：                                         </w:t>
      </w:r>
    </w:p>
    <w:p w14:paraId="48627E16">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事实依据：                                          </w:t>
      </w:r>
    </w:p>
    <w:p w14:paraId="11334541">
      <w:pPr>
        <w:spacing w:line="480" w:lineRule="exact"/>
        <w:ind w:firstLine="480" w:firstLineChars="200"/>
        <w:rPr>
          <w:rFonts w:hint="eastAsia" w:asciiTheme="minorEastAsia" w:hAnsiTheme="minorEastAsia" w:eastAsiaTheme="minorEastAsia" w:cstheme="minorEastAsia"/>
          <w:kern w:val="0"/>
          <w:sz w:val="24"/>
          <w:highlight w:val="none"/>
        </w:rPr>
      </w:pPr>
    </w:p>
    <w:p w14:paraId="7CD56560">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法律依据：                                          </w:t>
      </w:r>
    </w:p>
    <w:p w14:paraId="105C65CE">
      <w:pPr>
        <w:spacing w:line="480" w:lineRule="exact"/>
        <w:ind w:firstLine="480" w:firstLineChars="200"/>
        <w:rPr>
          <w:rFonts w:hint="eastAsia" w:asciiTheme="minorEastAsia" w:hAnsiTheme="minorEastAsia" w:eastAsiaTheme="minorEastAsia" w:cstheme="minorEastAsia"/>
          <w:kern w:val="0"/>
          <w:sz w:val="24"/>
          <w:highlight w:val="none"/>
        </w:rPr>
      </w:pPr>
    </w:p>
    <w:p w14:paraId="760F98BA">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质疑事项2</w:t>
      </w:r>
    </w:p>
    <w:p w14:paraId="5DD6CB4B">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w:t>
      </w:r>
    </w:p>
    <w:p w14:paraId="1FC163B8">
      <w:pPr>
        <w:spacing w:line="480" w:lineRule="exact"/>
        <w:ind w:firstLine="480" w:firstLineChars="200"/>
        <w:outlineLvl w:val="3"/>
        <w:rPr>
          <w:rFonts w:hint="eastAsia" w:asciiTheme="minorEastAsia" w:hAnsiTheme="minorEastAsia" w:eastAsiaTheme="minorEastAsia" w:cstheme="minorEastAsia"/>
          <w:bCs/>
          <w:kern w:val="0"/>
          <w:sz w:val="24"/>
          <w:highlight w:val="none"/>
        </w:rPr>
      </w:pPr>
      <w:r>
        <w:rPr>
          <w:rFonts w:hint="eastAsia" w:asciiTheme="minorEastAsia" w:hAnsiTheme="minorEastAsia" w:eastAsiaTheme="minorEastAsia" w:cstheme="minorEastAsia"/>
          <w:bCs/>
          <w:kern w:val="0"/>
          <w:sz w:val="24"/>
          <w:highlight w:val="none"/>
        </w:rPr>
        <w:t>四、与质疑事项相关的质疑请求</w:t>
      </w:r>
    </w:p>
    <w:p w14:paraId="56CCFEB5">
      <w:pPr>
        <w:spacing w:line="480" w:lineRule="exact"/>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 xml:space="preserve">请求：                                               </w:t>
      </w:r>
    </w:p>
    <w:p w14:paraId="1BB2FEC4">
      <w:pPr>
        <w:ind w:firstLine="480" w:firstLineChars="200"/>
      </w:pPr>
      <w:r>
        <w:rPr>
          <w:rFonts w:hint="eastAsia" w:asciiTheme="minorEastAsia" w:hAnsiTheme="minorEastAsia" w:eastAsiaTheme="minorEastAsia" w:cstheme="minorEastAsia"/>
          <w:kern w:val="0"/>
          <w:sz w:val="24"/>
          <w:highlight w:val="none"/>
        </w:rPr>
        <w:t>签字(签章)：                   公章：</w:t>
      </w:r>
    </w:p>
    <w:p w14:paraId="787D70B8"/>
    <w:p w14:paraId="6C6763A1"/>
    <w:p w14:paraId="0D27EC11"/>
    <w:p w14:paraId="29FDF5C7">
      <w:pPr>
        <w:pStyle w:val="2"/>
        <w:bidi w:val="0"/>
        <w:ind w:firstLine="3614" w:firstLineChars="1000"/>
        <w:jc w:val="both"/>
        <w:rPr>
          <w:rFonts w:hint="default"/>
          <w:sz w:val="36"/>
          <w:szCs w:val="21"/>
          <w:lang w:val="en-US" w:eastAsia="zh-CN"/>
        </w:rPr>
      </w:pPr>
      <w:r>
        <w:rPr>
          <w:rFonts w:hint="eastAsia"/>
          <w:sz w:val="36"/>
          <w:szCs w:val="21"/>
          <w:lang w:val="en-US" w:eastAsia="zh-CN"/>
        </w:rPr>
        <w:t xml:space="preserve">第三章 </w:t>
      </w:r>
      <w:bookmarkEnd w:id="109"/>
      <w:r>
        <w:rPr>
          <w:rFonts w:hint="eastAsia"/>
          <w:sz w:val="36"/>
          <w:szCs w:val="21"/>
          <w:lang w:val="en-US" w:eastAsia="zh-CN"/>
        </w:rPr>
        <w:t>工程量清单</w:t>
      </w:r>
      <w:bookmarkEnd w:id="110"/>
    </w:p>
    <w:p w14:paraId="5276C531">
      <w:pPr>
        <w:spacing w:line="360" w:lineRule="auto"/>
        <w:ind w:firstLine="4560" w:firstLineChars="19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另附</w:t>
      </w:r>
    </w:p>
    <w:p w14:paraId="10F5C7B4">
      <w:pPr>
        <w:pStyle w:val="19"/>
        <w:ind w:left="0" w:leftChars="0" w:firstLine="0" w:firstLineChars="0"/>
        <w:rPr>
          <w:rFonts w:hint="default"/>
          <w:lang w:val="en-US" w:eastAsia="zh-CN"/>
        </w:rPr>
      </w:pPr>
    </w:p>
    <w:p w14:paraId="6AB1AA0B">
      <w:pPr>
        <w:pStyle w:val="20"/>
        <w:rPr>
          <w:rFonts w:hint="default"/>
          <w:lang w:val="en-US" w:eastAsia="zh-CN"/>
        </w:rPr>
      </w:pPr>
    </w:p>
    <w:p w14:paraId="00A2C95C">
      <w:pPr>
        <w:pStyle w:val="19"/>
        <w:rPr>
          <w:rFonts w:hint="default"/>
          <w:lang w:val="en-US" w:eastAsia="zh-CN"/>
        </w:rPr>
      </w:pPr>
    </w:p>
    <w:p w14:paraId="432340DF">
      <w:pPr>
        <w:pStyle w:val="20"/>
        <w:rPr>
          <w:rFonts w:hint="default"/>
          <w:lang w:val="en-US" w:eastAsia="zh-CN"/>
        </w:rPr>
      </w:pPr>
    </w:p>
    <w:p w14:paraId="306B0373">
      <w:pPr>
        <w:pStyle w:val="19"/>
        <w:rPr>
          <w:rFonts w:hint="default"/>
          <w:lang w:val="en-US" w:eastAsia="zh-CN"/>
        </w:rPr>
      </w:pPr>
    </w:p>
    <w:p w14:paraId="6A491AFC">
      <w:pPr>
        <w:pStyle w:val="20"/>
        <w:rPr>
          <w:rFonts w:hint="default"/>
          <w:lang w:val="en-US" w:eastAsia="zh-CN"/>
        </w:rPr>
      </w:pPr>
    </w:p>
    <w:p w14:paraId="056AC740">
      <w:pPr>
        <w:pStyle w:val="19"/>
        <w:rPr>
          <w:rFonts w:hint="default"/>
          <w:lang w:val="en-US" w:eastAsia="zh-CN"/>
        </w:rPr>
      </w:pPr>
    </w:p>
    <w:p w14:paraId="4C09EA4A">
      <w:pPr>
        <w:pStyle w:val="20"/>
        <w:ind w:left="0" w:leftChars="0" w:firstLine="0" w:firstLineChars="0"/>
        <w:rPr>
          <w:rFonts w:hint="default"/>
          <w:lang w:val="en-US" w:eastAsia="zh-CN"/>
        </w:rPr>
      </w:pPr>
    </w:p>
    <w:p w14:paraId="419D1D6D">
      <w:pPr>
        <w:pStyle w:val="20"/>
        <w:rPr>
          <w:rFonts w:hint="default"/>
          <w:lang w:val="en-US" w:eastAsia="zh-CN"/>
        </w:rPr>
      </w:pPr>
    </w:p>
    <w:p w14:paraId="668A8D09">
      <w:pPr>
        <w:pStyle w:val="19"/>
        <w:rPr>
          <w:rFonts w:hint="default"/>
          <w:lang w:val="en-US" w:eastAsia="zh-CN"/>
        </w:rPr>
      </w:pPr>
    </w:p>
    <w:p w14:paraId="1DCBE58C">
      <w:pPr>
        <w:pStyle w:val="20"/>
        <w:rPr>
          <w:rFonts w:hint="default"/>
          <w:lang w:val="en-US" w:eastAsia="zh-CN"/>
        </w:rPr>
      </w:pPr>
    </w:p>
    <w:p w14:paraId="02221C1B">
      <w:pPr>
        <w:pStyle w:val="19"/>
        <w:rPr>
          <w:rFonts w:hint="default"/>
          <w:lang w:val="en-US" w:eastAsia="zh-CN"/>
        </w:rPr>
      </w:pPr>
    </w:p>
    <w:p w14:paraId="70A840A7">
      <w:pPr>
        <w:pStyle w:val="20"/>
        <w:rPr>
          <w:rFonts w:hint="default"/>
          <w:lang w:val="en-US" w:eastAsia="zh-CN"/>
        </w:rPr>
      </w:pPr>
    </w:p>
    <w:p w14:paraId="5CDE8B2A">
      <w:pPr>
        <w:pStyle w:val="19"/>
        <w:rPr>
          <w:rFonts w:hint="default"/>
          <w:lang w:val="en-US" w:eastAsia="zh-CN"/>
        </w:rPr>
      </w:pPr>
    </w:p>
    <w:p w14:paraId="1F4A90B3">
      <w:pPr>
        <w:pStyle w:val="20"/>
        <w:rPr>
          <w:rFonts w:hint="default"/>
          <w:lang w:val="en-US" w:eastAsia="zh-CN"/>
        </w:rPr>
      </w:pPr>
    </w:p>
    <w:p w14:paraId="35AFBB77">
      <w:pPr>
        <w:pStyle w:val="19"/>
        <w:rPr>
          <w:rFonts w:hint="default"/>
          <w:lang w:val="en-US" w:eastAsia="zh-CN"/>
        </w:rPr>
      </w:pPr>
    </w:p>
    <w:p w14:paraId="51E0C117">
      <w:pPr>
        <w:pStyle w:val="2"/>
        <w:bidi w:val="0"/>
        <w:spacing w:line="240" w:lineRule="auto"/>
        <w:jc w:val="center"/>
        <w:rPr>
          <w:rFonts w:ascii="宋体" w:hAnsi="宋体" w:cs="宋体"/>
          <w:b/>
          <w:bCs/>
          <w:sz w:val="32"/>
          <w:szCs w:val="32"/>
        </w:rPr>
      </w:pPr>
      <w:bookmarkStart w:id="111" w:name="_Toc29854"/>
      <w:bookmarkStart w:id="112" w:name="_Toc17477"/>
      <w:bookmarkStart w:id="113" w:name="_Toc6258"/>
      <w:r>
        <w:rPr>
          <w:rFonts w:hint="eastAsia" w:ascii="宋体" w:hAnsi="宋体" w:cs="宋体"/>
          <w:b/>
          <w:bCs/>
          <w:sz w:val="32"/>
          <w:szCs w:val="32"/>
        </w:rPr>
        <w:t>第</w:t>
      </w:r>
      <w:r>
        <w:rPr>
          <w:rFonts w:hint="eastAsia" w:ascii="宋体" w:hAnsi="宋体" w:cs="宋体"/>
          <w:b/>
          <w:bCs/>
          <w:sz w:val="32"/>
          <w:szCs w:val="32"/>
          <w:lang w:val="en-US" w:eastAsia="zh-CN"/>
        </w:rPr>
        <w:t>四</w:t>
      </w:r>
      <w:r>
        <w:rPr>
          <w:rFonts w:hint="eastAsia" w:ascii="宋体" w:hAnsi="宋体" w:cs="宋体"/>
          <w:b/>
          <w:bCs/>
          <w:sz w:val="32"/>
          <w:szCs w:val="32"/>
        </w:rPr>
        <w:t xml:space="preserve">章 </w:t>
      </w:r>
      <w:bookmarkEnd w:id="111"/>
      <w:r>
        <w:rPr>
          <w:rFonts w:hint="eastAsia" w:ascii="宋体" w:hAnsi="宋体" w:cs="宋体"/>
          <w:b/>
          <w:bCs/>
          <w:sz w:val="32"/>
          <w:szCs w:val="32"/>
          <w:lang w:val="zh-CN"/>
        </w:rPr>
        <w:t>评</w:t>
      </w:r>
      <w:r>
        <w:rPr>
          <w:rFonts w:hint="eastAsia" w:ascii="宋体" w:hAnsi="宋体" w:cs="宋体"/>
          <w:b/>
          <w:bCs/>
          <w:sz w:val="32"/>
          <w:szCs w:val="32"/>
          <w:lang w:val="en-US" w:eastAsia="zh-CN"/>
        </w:rPr>
        <w:t>审</w:t>
      </w:r>
      <w:r>
        <w:rPr>
          <w:rFonts w:hint="eastAsia" w:ascii="宋体" w:hAnsi="宋体" w:cs="宋体"/>
          <w:b/>
          <w:bCs/>
          <w:sz w:val="32"/>
          <w:szCs w:val="32"/>
          <w:lang w:val="zh-CN"/>
        </w:rPr>
        <w:t>办法（综合评分法）</w:t>
      </w:r>
      <w:bookmarkEnd w:id="112"/>
      <w:bookmarkEnd w:id="113"/>
    </w:p>
    <w:p w14:paraId="0B46A938">
      <w:pPr>
        <w:spacing w:line="600" w:lineRule="exact"/>
        <w:ind w:firstLine="482" w:firstLineChars="200"/>
        <w:rPr>
          <w:rFonts w:ascii="Calibri" w:hAnsi="Calibri" w:eastAsia="宋体" w:cs="Times New Roman"/>
          <w:color w:val="000000" w:themeColor="text1"/>
          <w:sz w:val="24"/>
          <w:szCs w:val="24"/>
          <w14:textFill>
            <w14:solidFill>
              <w14:schemeClr w14:val="tx1"/>
            </w14:solidFill>
          </w14:textFill>
        </w:rPr>
      </w:pPr>
      <w:bookmarkStart w:id="114" w:name="_Toc171410859"/>
      <w:bookmarkEnd w:id="114"/>
      <w:bookmarkStart w:id="115" w:name="_Toc140161801"/>
      <w:bookmarkEnd w:id="115"/>
      <w:bookmarkStart w:id="116" w:name="_Toc141871101"/>
      <w:bookmarkEnd w:id="116"/>
      <w:bookmarkStart w:id="117" w:name="_Toc173946417"/>
      <w:bookmarkEnd w:id="117"/>
      <w:bookmarkStart w:id="118" w:name="_Toc171002592"/>
      <w:bookmarkEnd w:id="118"/>
      <w:bookmarkStart w:id="119" w:name="_Toc174034450"/>
      <w:bookmarkEnd w:id="119"/>
      <w:bookmarkStart w:id="120" w:name="_Toc173946082"/>
      <w:bookmarkEnd w:id="120"/>
      <w:bookmarkStart w:id="121" w:name="_Toc119657659"/>
      <w:bookmarkEnd w:id="121"/>
      <w:bookmarkStart w:id="122" w:name="_Toc28737"/>
      <w:bookmarkStart w:id="123" w:name="_Toc13307"/>
      <w:bookmarkStart w:id="124" w:name="_Toc15097"/>
      <w:r>
        <w:rPr>
          <w:rFonts w:hint="eastAsia" w:ascii="宋体" w:hAnsi="宋体" w:eastAsia="宋体" w:cs="宋体"/>
          <w:b/>
          <w:color w:val="000000" w:themeColor="text1"/>
          <w:sz w:val="24"/>
          <w:szCs w:val="24"/>
          <w14:textFill>
            <w14:solidFill>
              <w14:schemeClr w14:val="tx1"/>
            </w14:solidFill>
          </w14:textFill>
        </w:rPr>
        <w:t>1. 磋商文件的评审、比较和否决</w:t>
      </w:r>
    </w:p>
    <w:p w14:paraId="5574916E">
      <w:pPr>
        <w:spacing w:line="600" w:lineRule="exact"/>
        <w:ind w:firstLine="482" w:firstLineChars="200"/>
        <w:rPr>
          <w:rFonts w:ascii="Calibri" w:hAnsi="Calibri" w:eastAsia="宋体" w:cs="Times New Roman"/>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磋商小组将按照竞争性磋商文件的规定，仅对在实质上响应竞争性磋商文件要求的响应文件进行评估和比较。</w:t>
      </w:r>
    </w:p>
    <w:p w14:paraId="29E40FA3">
      <w:pPr>
        <w:spacing w:line="600" w:lineRule="exact"/>
        <w:ind w:firstLine="482" w:firstLineChars="200"/>
        <w:rPr>
          <w:rFonts w:ascii="Calibri" w:hAnsi="Calibri" w:eastAsia="宋体" w:cs="Times New Roman"/>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1.2</w:t>
      </w:r>
      <w:r>
        <w:rPr>
          <w:rFonts w:hint="eastAsia" w:ascii="宋体" w:hAnsi="宋体" w:eastAsia="宋体" w:cs="宋体"/>
          <w:color w:val="000000" w:themeColor="text1"/>
          <w:sz w:val="24"/>
          <w:szCs w:val="24"/>
          <w14:textFill>
            <w14:solidFill>
              <w14:schemeClr w14:val="tx1"/>
            </w14:solidFill>
          </w14:textFill>
        </w:rPr>
        <w:t>根据相关法律法规及有关磋商文件规定，结合本项目具体情况，制定本次采购磋商办法。并按照“公平、公正、科学、择优”的原则进行磋商。采用百分制综合评估法进行评比。</w:t>
      </w:r>
    </w:p>
    <w:p w14:paraId="13F84E71">
      <w:pPr>
        <w:spacing w:line="600" w:lineRule="exact"/>
        <w:ind w:firstLine="482" w:firstLineChars="200"/>
        <w:rPr>
          <w:rFonts w:ascii="Calibri" w:hAnsi="Calibri" w:eastAsia="宋体" w:cs="Times New Roman"/>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1.3</w:t>
      </w:r>
      <w:r>
        <w:rPr>
          <w:rFonts w:hint="eastAsia" w:ascii="宋体" w:hAnsi="宋体" w:eastAsia="宋体" w:cs="宋体"/>
          <w:color w:val="000000" w:themeColor="text1"/>
          <w:sz w:val="24"/>
          <w:szCs w:val="24"/>
          <w14:textFill>
            <w14:solidFill>
              <w14:schemeClr w14:val="tx1"/>
            </w14:solidFill>
          </w14:textFill>
        </w:rPr>
        <w:t>在磋商过程中，磋商小组可以以书面形式要求</w:t>
      </w:r>
      <w:r>
        <w:rPr>
          <w:rFonts w:hint="eastAsia" w:ascii="宋体" w:hAnsi="宋体" w:eastAsia="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就响应文件中含义不明确的内容进行书面说明并提供相关材料；凡遇到响应文件中无界定或界定不清、前后不一致使磋商小组意见有分歧且又难于协商一致的问题，均由磋商小组予以表决，获半数以上同意的即为通过，未获半数同意的即为否决。</w:t>
      </w:r>
    </w:p>
    <w:p w14:paraId="50DDED57">
      <w:pPr>
        <w:spacing w:line="600" w:lineRule="exact"/>
        <w:ind w:firstLine="482" w:firstLineChars="200"/>
        <w:rPr>
          <w:rFonts w:ascii="Calibri" w:hAnsi="Calibri" w:eastAsia="宋体" w:cs="Times New Roman"/>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1.4</w:t>
      </w:r>
      <w:r>
        <w:rPr>
          <w:rFonts w:hint="eastAsia" w:ascii="宋体" w:hAnsi="宋体" w:eastAsia="宋体" w:cs="宋体"/>
          <w:color w:val="000000" w:themeColor="text1"/>
          <w:sz w:val="24"/>
          <w:szCs w:val="24"/>
          <w14:textFill>
            <w14:solidFill>
              <w14:schemeClr w14:val="tx1"/>
            </w14:solidFill>
          </w14:textFill>
        </w:rPr>
        <w:t>磋商时，磋商报价是磋商的重要依据，但不是唯一依据，采购人不承诺将合同授予报价最低或最高的</w:t>
      </w:r>
      <w:r>
        <w:rPr>
          <w:rFonts w:hint="eastAsia" w:ascii="宋体" w:hAnsi="宋体" w:eastAsia="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w:t>
      </w:r>
    </w:p>
    <w:p w14:paraId="2C54B521">
      <w:pPr>
        <w:spacing w:line="600" w:lineRule="exact"/>
        <w:ind w:firstLine="482" w:firstLineChars="200"/>
        <w:rPr>
          <w:rFonts w:ascii="Calibri" w:hAnsi="Calibri" w:eastAsia="宋体" w:cs="Times New Roman"/>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1.5</w:t>
      </w:r>
      <w:r>
        <w:rPr>
          <w:rFonts w:hint="eastAsia" w:ascii="宋体" w:hAnsi="宋体" w:eastAsia="宋体" w:cs="宋体"/>
          <w:color w:val="000000" w:themeColor="text1"/>
          <w:sz w:val="24"/>
          <w:szCs w:val="24"/>
          <w14:textFill>
            <w14:solidFill>
              <w14:schemeClr w14:val="tx1"/>
            </w14:solidFill>
          </w14:textFill>
        </w:rPr>
        <w:t>磋商小组依据竞争性磋商文件中规定的磋商标准和方法，对响应文件进行评审和比较，向采购人提出书面评标报告，并推荐合格的成交候选人。采购人根据磋商小组提出的书面评标报告和推荐的成交候选人按序确定成交人。</w:t>
      </w:r>
    </w:p>
    <w:p w14:paraId="6805D99B">
      <w:pPr>
        <w:spacing w:line="600" w:lineRule="exact"/>
        <w:ind w:firstLine="482" w:firstLineChars="200"/>
        <w:rPr>
          <w:rFonts w:ascii="Calibri" w:hAnsi="Calibri" w:eastAsia="宋体" w:cs="Times New Roman"/>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2. 磋商程序</w:t>
      </w:r>
    </w:p>
    <w:p w14:paraId="7547DD67">
      <w:pPr>
        <w:spacing w:line="600" w:lineRule="exact"/>
        <w:ind w:firstLine="480" w:firstLineChars="200"/>
        <w:rPr>
          <w:rFonts w:ascii="Calibri" w:hAnsi="Calibri" w:eastAsia="宋体" w:cs="Times New Roman"/>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 资格审查</w:t>
      </w:r>
    </w:p>
    <w:p w14:paraId="753016F4">
      <w:pPr>
        <w:spacing w:line="600" w:lineRule="exact"/>
        <w:ind w:firstLine="480" w:firstLineChars="200"/>
        <w:rPr>
          <w:rFonts w:ascii="Calibri" w:hAnsi="Calibri" w:eastAsia="宋体" w:cs="Times New Roman"/>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本项目采用资格后审</w:t>
      </w:r>
    </w:p>
    <w:p w14:paraId="2A930197">
      <w:pPr>
        <w:spacing w:line="600" w:lineRule="exact"/>
        <w:ind w:firstLine="480"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磋商小组按照竞争性磋商文件</w:t>
      </w:r>
      <w:r>
        <w:rPr>
          <w:rFonts w:hint="eastAsia" w:ascii="宋体" w:hAnsi="宋体" w:eastAsia="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资格要求，对</w:t>
      </w:r>
      <w:r>
        <w:rPr>
          <w:rFonts w:hint="eastAsia" w:ascii="宋体" w:hAnsi="宋体" w:eastAsia="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的响应文件进行形式</w:t>
      </w:r>
      <w:r>
        <w:rPr>
          <w:rFonts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资格和响应性审查，有一项不符合的，按废标处理，符合的进入下一磋商程序。</w:t>
      </w:r>
    </w:p>
    <w:p w14:paraId="36F96184">
      <w:pPr>
        <w:keepNext w:val="0"/>
        <w:keepLines w:val="0"/>
        <w:pageBreakBefore w:val="0"/>
        <w:widowControl w:val="0"/>
        <w:numPr>
          <w:ilvl w:val="0"/>
          <w:numId w:val="0"/>
        </w:numPr>
        <w:kinsoku/>
        <w:wordWrap/>
        <w:overflowPunct/>
        <w:topLinePunct w:val="0"/>
        <w:bidi w:val="0"/>
        <w:adjustRightInd/>
        <w:snapToGrid/>
        <w:spacing w:before="0" w:beforeLines="0" w:after="0" w:afterLines="0" w:line="360" w:lineRule="auto"/>
        <w:ind w:left="0" w:leftChars="0" w:right="0" w:firstLine="482" w:firstLineChars="200"/>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rPr>
        <w:t>评标具体方法和标准</w:t>
      </w:r>
    </w:p>
    <w:p w14:paraId="56CE7BE3">
      <w:pPr>
        <w:pStyle w:val="7"/>
        <w:keepNext w:val="0"/>
        <w:keepLines w:val="0"/>
        <w:pageBreakBefore w:val="0"/>
        <w:widowControl w:val="0"/>
        <w:kinsoku/>
        <w:wordWrap/>
        <w:overflowPunct/>
        <w:topLinePunct w:val="0"/>
        <w:bidi w:val="0"/>
        <w:adjustRightInd/>
        <w:snapToGrid/>
        <w:spacing w:before="0" w:beforeLines="0" w:after="0" w:afterLines="0" w:line="360" w:lineRule="auto"/>
        <w:ind w:left="0" w:leftChars="0" w:right="0" w:firstLine="480" w:firstLineChars="200"/>
        <w:jc w:val="left"/>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本次</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采用综合评分法。</w:t>
      </w:r>
      <w:r>
        <w:rPr>
          <w:rFonts w:hint="eastAsia" w:ascii="宋体" w:hAnsi="宋体" w:eastAsia="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rPr>
        <w:t>对满足</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文件实质性要求的</w:t>
      </w:r>
      <w:r>
        <w:rPr>
          <w:rFonts w:hint="eastAsia" w:ascii="宋体" w:hAnsi="宋体" w:eastAsia="宋体" w:cs="宋体"/>
          <w:b w:val="0"/>
          <w:bCs/>
          <w:color w:val="auto"/>
          <w:sz w:val="24"/>
          <w:szCs w:val="24"/>
          <w:highlight w:val="none"/>
          <w:lang w:val="en-US" w:eastAsia="zh-CN"/>
        </w:rPr>
        <w:t>响应</w:t>
      </w:r>
      <w:r>
        <w:rPr>
          <w:rFonts w:hint="eastAsia" w:ascii="宋体" w:hAnsi="宋体" w:eastAsia="宋体" w:cs="宋体"/>
          <w:b w:val="0"/>
          <w:bCs/>
          <w:color w:val="auto"/>
          <w:sz w:val="24"/>
          <w:szCs w:val="24"/>
          <w:highlight w:val="none"/>
        </w:rPr>
        <w:t>文件，按照本章规定的评分标准进行打分，并按得分由高到低顺序推荐</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候选人，但</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报价低于其成本的除外。综合评分相等时，以</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报价低的优先；</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报价也相等的，以技术得分高的优先；如果技术得分也相等，采购人自行确定。</w:t>
      </w:r>
    </w:p>
    <w:p w14:paraId="0F3CEAAD">
      <w:pPr>
        <w:pStyle w:val="7"/>
        <w:keepNext w:val="0"/>
        <w:keepLines w:val="0"/>
        <w:pageBreakBefore w:val="0"/>
        <w:widowControl w:val="0"/>
        <w:kinsoku/>
        <w:wordWrap/>
        <w:overflowPunct/>
        <w:topLinePunct w:val="0"/>
        <w:bidi w:val="0"/>
        <w:adjustRightInd/>
        <w:snapToGrid/>
        <w:spacing w:before="0" w:beforeLines="0" w:after="0" w:afterLines="0" w:line="360" w:lineRule="auto"/>
        <w:ind w:left="0" w:leftChars="0" w:right="0" w:firstLine="482" w:firstLineChars="200"/>
        <w:jc w:val="left"/>
        <w:textAlignment w:val="auto"/>
        <w:outlineLvl w:val="9"/>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4</w:t>
      </w:r>
      <w:r>
        <w:rPr>
          <w:rFonts w:hint="eastAsia" w:ascii="宋体" w:hAnsi="宋体" w:eastAsia="宋体" w:cs="宋体"/>
          <w:b/>
          <w:bCs w:val="0"/>
          <w:color w:val="auto"/>
          <w:sz w:val="24"/>
          <w:szCs w:val="24"/>
          <w:highlight w:val="none"/>
          <w:lang w:val="en-US" w:eastAsia="zh-CN"/>
        </w:rPr>
        <w:t>.磋商报价</w:t>
      </w:r>
    </w:p>
    <w:p w14:paraId="2994CE69">
      <w:pPr>
        <w:pStyle w:val="7"/>
        <w:keepNext w:val="0"/>
        <w:keepLines w:val="0"/>
        <w:pageBreakBefore w:val="0"/>
        <w:widowControl w:val="0"/>
        <w:kinsoku/>
        <w:wordWrap/>
        <w:overflowPunct/>
        <w:topLinePunct w:val="0"/>
        <w:bidi w:val="0"/>
        <w:adjustRightInd/>
        <w:snapToGrid/>
        <w:spacing w:before="0" w:beforeLines="0" w:after="0" w:afterLines="0" w:line="360" w:lineRule="auto"/>
        <w:ind w:left="0" w:leftChars="0" w:right="0" w:firstLine="480" w:firstLineChars="200"/>
        <w:jc w:val="left"/>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rPr>
        <w:t>认为</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的报价明显低于其他通过符合性审查</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的报价，有可能影响产品质量或者不能诚信履约的，应当要求其在</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现场合理的时间内提供书面说明，必要时提交相关证明材料；</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不能证明其报价合理性的，</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委员会应当将其作为无效</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处理。</w:t>
      </w:r>
    </w:p>
    <w:p w14:paraId="0C38BC4B">
      <w:pPr>
        <w:pStyle w:val="7"/>
        <w:keepNext w:val="0"/>
        <w:keepLines w:val="0"/>
        <w:pageBreakBefore w:val="0"/>
        <w:widowControl w:val="0"/>
        <w:kinsoku/>
        <w:wordWrap/>
        <w:overflowPunct/>
        <w:topLinePunct w:val="0"/>
        <w:bidi w:val="0"/>
        <w:adjustRightInd/>
        <w:snapToGrid/>
        <w:spacing w:before="0" w:beforeLines="0" w:after="0" w:afterLines="0" w:line="360" w:lineRule="auto"/>
        <w:ind w:left="0" w:leftChars="0" w:right="0" w:firstLine="482" w:firstLineChars="200"/>
        <w:jc w:val="left"/>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5.计分办法</w:t>
      </w:r>
    </w:p>
    <w:p w14:paraId="6AC6190C">
      <w:pPr>
        <w:pStyle w:val="7"/>
        <w:keepNext w:val="0"/>
        <w:keepLines w:val="0"/>
        <w:pageBreakBefore w:val="0"/>
        <w:widowControl w:val="0"/>
        <w:kinsoku/>
        <w:wordWrap/>
        <w:overflowPunct/>
        <w:topLinePunct w:val="0"/>
        <w:bidi w:val="0"/>
        <w:adjustRightInd/>
        <w:snapToGrid/>
        <w:spacing w:before="0" w:beforeLines="0" w:after="0" w:afterLines="0" w:line="360" w:lineRule="auto"/>
        <w:ind w:left="0" w:leftChars="0" w:right="0" w:firstLine="480" w:firstLineChars="200"/>
        <w:jc w:val="left"/>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计分过程中按四舍五入的法则，取至小数点后2位，</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供应商的最终得分为所有评委打分的算术平均值，最终结果取至小数点后2位。</w:t>
      </w:r>
      <w:r>
        <w:rPr>
          <w:rFonts w:hint="eastAsia" w:ascii="宋体" w:hAnsi="宋体" w:eastAsia="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rPr>
        <w:t>将按供应商得分高低排序向采购人推荐前三名为</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候选人。</w:t>
      </w:r>
    </w:p>
    <w:p w14:paraId="41E469F8">
      <w:pPr>
        <w:pStyle w:val="7"/>
        <w:keepNext w:val="0"/>
        <w:keepLines w:val="0"/>
        <w:pageBreakBefore w:val="0"/>
        <w:widowControl w:val="0"/>
        <w:kinsoku/>
        <w:wordWrap/>
        <w:overflowPunct/>
        <w:topLinePunct w:val="0"/>
        <w:bidi w:val="0"/>
        <w:adjustRightInd/>
        <w:snapToGrid/>
        <w:spacing w:before="0" w:beforeLines="0" w:after="0" w:afterLines="0" w:line="360" w:lineRule="auto"/>
        <w:ind w:left="0" w:leftChars="0" w:right="0" w:firstLine="480" w:firstLineChars="200"/>
        <w:jc w:val="left"/>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b/>
          <w:bCs w:val="0"/>
          <w:color w:val="auto"/>
          <w:sz w:val="24"/>
          <w:szCs w:val="24"/>
          <w:highlight w:val="none"/>
        </w:rPr>
        <w:t>6.定标</w:t>
      </w:r>
    </w:p>
    <w:p w14:paraId="4ADA26A2">
      <w:pPr>
        <w:pStyle w:val="7"/>
        <w:keepNext w:val="0"/>
        <w:keepLines w:val="0"/>
        <w:pageBreakBefore w:val="0"/>
        <w:widowControl w:val="0"/>
        <w:kinsoku/>
        <w:wordWrap/>
        <w:overflowPunct/>
        <w:topLinePunct w:val="0"/>
        <w:bidi w:val="0"/>
        <w:adjustRightInd/>
        <w:snapToGrid/>
        <w:spacing w:before="0" w:beforeLines="0" w:after="0" w:afterLines="0" w:line="360" w:lineRule="auto"/>
        <w:ind w:left="0" w:leftChars="0" w:right="0" w:firstLine="480" w:firstLineChars="200"/>
        <w:jc w:val="left"/>
        <w:textAlignment w:val="auto"/>
        <w:outlineLvl w:val="9"/>
        <w:rPr>
          <w:rFonts w:hint="eastAsia" w:ascii="宋体" w:hAnsi="宋体" w:eastAsia="宋体" w:cs="宋体"/>
          <w:b w:val="0"/>
          <w:bCs/>
          <w:color w:val="auto"/>
          <w:sz w:val="24"/>
          <w:szCs w:val="24"/>
          <w:highlight w:val="green"/>
        </w:rPr>
      </w:pPr>
      <w:r>
        <w:rPr>
          <w:rFonts w:hint="eastAsia" w:ascii="宋体" w:hAnsi="宋体" w:eastAsia="宋体" w:cs="宋体"/>
          <w:b w:val="0"/>
          <w:bCs/>
          <w:color w:val="auto"/>
          <w:sz w:val="24"/>
          <w:szCs w:val="24"/>
          <w:highlight w:val="none"/>
        </w:rPr>
        <w:t xml:space="preserve"> 按计分结果,</w:t>
      </w:r>
      <w:r>
        <w:rPr>
          <w:rFonts w:hint="eastAsia" w:ascii="宋体" w:hAnsi="宋体" w:eastAsia="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rPr>
        <w:t>按照得分由高到低的顺序推荐3名</w:t>
      </w:r>
      <w:r>
        <w:rPr>
          <w:rFonts w:hint="eastAsia" w:ascii="宋体" w:hAnsi="宋体" w:eastAsia="宋体" w:cs="宋体"/>
          <w:b w:val="0"/>
          <w:bCs/>
          <w:color w:val="auto"/>
          <w:sz w:val="24"/>
          <w:szCs w:val="24"/>
          <w:highlight w:val="none"/>
          <w:lang w:val="en-US" w:eastAsia="zh-CN"/>
        </w:rPr>
        <w:t>成交</w:t>
      </w:r>
      <w:r>
        <w:rPr>
          <w:rFonts w:hint="eastAsia" w:ascii="宋体" w:hAnsi="宋体" w:eastAsia="宋体" w:cs="宋体"/>
          <w:b w:val="0"/>
          <w:bCs/>
          <w:color w:val="auto"/>
          <w:sz w:val="24"/>
          <w:szCs w:val="24"/>
          <w:highlight w:val="none"/>
        </w:rPr>
        <w:t>候选人，并向采购人提供书面评标报告。</w:t>
      </w:r>
    </w:p>
    <w:p w14:paraId="3BC5579F">
      <w:pPr>
        <w:pStyle w:val="7"/>
        <w:keepNext w:val="0"/>
        <w:keepLines w:val="0"/>
        <w:pageBreakBefore w:val="0"/>
        <w:widowControl w:val="0"/>
        <w:kinsoku/>
        <w:wordWrap/>
        <w:overflowPunct/>
        <w:topLinePunct w:val="0"/>
        <w:bidi w:val="0"/>
        <w:adjustRightInd/>
        <w:snapToGrid/>
        <w:spacing w:before="0" w:beforeLines="0" w:after="0" w:afterLines="0" w:line="360" w:lineRule="auto"/>
        <w:ind w:left="0" w:leftChars="0" w:right="0" w:firstLine="480" w:firstLineChars="200"/>
        <w:jc w:val="left"/>
        <w:textAlignment w:val="auto"/>
        <w:outlineLvl w:val="9"/>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仿宋"/>
          <w:color w:val="auto"/>
          <w:kern w:val="2"/>
          <w:sz w:val="24"/>
          <w:szCs w:val="24"/>
          <w:highlight w:val="none"/>
        </w:rPr>
        <w:t>若排名第一的</w:t>
      </w:r>
      <w:r>
        <w:rPr>
          <w:rFonts w:hint="eastAsia" w:ascii="宋体" w:hAnsi="宋体" w:eastAsia="宋体" w:cs="仿宋"/>
          <w:color w:val="auto"/>
          <w:kern w:val="2"/>
          <w:sz w:val="24"/>
          <w:szCs w:val="24"/>
          <w:highlight w:val="none"/>
          <w:lang w:eastAsia="zh-CN"/>
        </w:rPr>
        <w:t>成交</w:t>
      </w:r>
      <w:r>
        <w:rPr>
          <w:rFonts w:hint="eastAsia" w:ascii="宋体" w:hAnsi="宋体" w:eastAsia="宋体" w:cs="仿宋"/>
          <w:color w:val="auto"/>
          <w:kern w:val="2"/>
          <w:sz w:val="24"/>
          <w:szCs w:val="24"/>
          <w:highlight w:val="none"/>
        </w:rPr>
        <w:t>候选人自愿放弃</w:t>
      </w:r>
      <w:r>
        <w:rPr>
          <w:rFonts w:hint="eastAsia" w:ascii="宋体" w:hAnsi="宋体" w:eastAsia="宋体" w:cs="仿宋"/>
          <w:color w:val="auto"/>
          <w:kern w:val="2"/>
          <w:sz w:val="24"/>
          <w:szCs w:val="24"/>
          <w:highlight w:val="none"/>
          <w:lang w:eastAsia="zh-CN"/>
        </w:rPr>
        <w:t>成交</w:t>
      </w:r>
      <w:r>
        <w:rPr>
          <w:rFonts w:hint="eastAsia" w:ascii="宋体" w:hAnsi="宋体" w:eastAsia="宋体" w:cs="仿宋"/>
          <w:color w:val="auto"/>
          <w:kern w:val="2"/>
          <w:sz w:val="24"/>
          <w:szCs w:val="24"/>
          <w:highlight w:val="none"/>
        </w:rPr>
        <w:t>、或因不可抗力不能履行合同、或被查实存在影响</w:t>
      </w:r>
      <w:r>
        <w:rPr>
          <w:rFonts w:hint="eastAsia" w:ascii="宋体" w:hAnsi="宋体" w:eastAsia="宋体" w:cs="仿宋"/>
          <w:color w:val="auto"/>
          <w:kern w:val="2"/>
          <w:sz w:val="24"/>
          <w:szCs w:val="24"/>
          <w:highlight w:val="none"/>
          <w:lang w:eastAsia="zh-CN"/>
        </w:rPr>
        <w:t>成交</w:t>
      </w:r>
      <w:r>
        <w:rPr>
          <w:rFonts w:hint="eastAsia" w:ascii="宋体" w:hAnsi="宋体" w:eastAsia="宋体" w:cs="仿宋"/>
          <w:color w:val="auto"/>
          <w:kern w:val="2"/>
          <w:sz w:val="24"/>
          <w:szCs w:val="24"/>
          <w:highlight w:val="none"/>
        </w:rPr>
        <w:t>结果的违法行为等情形，不符合</w:t>
      </w:r>
      <w:r>
        <w:rPr>
          <w:rFonts w:hint="eastAsia" w:ascii="宋体" w:hAnsi="宋体" w:eastAsia="宋体" w:cs="仿宋"/>
          <w:color w:val="auto"/>
          <w:kern w:val="2"/>
          <w:sz w:val="24"/>
          <w:szCs w:val="24"/>
          <w:highlight w:val="none"/>
          <w:lang w:eastAsia="zh-CN"/>
        </w:rPr>
        <w:t>成交</w:t>
      </w:r>
      <w:r>
        <w:rPr>
          <w:rFonts w:hint="eastAsia" w:ascii="宋体" w:hAnsi="宋体" w:eastAsia="宋体" w:cs="仿宋"/>
          <w:color w:val="auto"/>
          <w:kern w:val="2"/>
          <w:sz w:val="24"/>
          <w:szCs w:val="24"/>
          <w:highlight w:val="none"/>
        </w:rPr>
        <w:t>条件的，采购人可按照评审小组推荐的</w:t>
      </w:r>
      <w:r>
        <w:rPr>
          <w:rFonts w:hint="eastAsia" w:ascii="宋体" w:hAnsi="宋体" w:eastAsia="宋体" w:cs="仿宋"/>
          <w:color w:val="auto"/>
          <w:kern w:val="2"/>
          <w:sz w:val="24"/>
          <w:szCs w:val="24"/>
          <w:highlight w:val="none"/>
          <w:lang w:eastAsia="zh-CN"/>
        </w:rPr>
        <w:t>成交</w:t>
      </w:r>
      <w:r>
        <w:rPr>
          <w:rFonts w:hint="eastAsia" w:ascii="宋体" w:hAnsi="宋体" w:eastAsia="宋体" w:cs="仿宋"/>
          <w:color w:val="auto"/>
          <w:kern w:val="2"/>
          <w:sz w:val="24"/>
          <w:szCs w:val="24"/>
          <w:highlight w:val="none"/>
        </w:rPr>
        <w:t>候选人名单排序依次确定</w:t>
      </w:r>
      <w:r>
        <w:rPr>
          <w:rFonts w:hint="eastAsia" w:ascii="宋体" w:hAnsi="宋体" w:eastAsia="宋体" w:cs="仿宋"/>
          <w:color w:val="auto"/>
          <w:kern w:val="2"/>
          <w:sz w:val="24"/>
          <w:szCs w:val="24"/>
          <w:highlight w:val="none"/>
          <w:lang w:eastAsia="zh-CN"/>
        </w:rPr>
        <w:t>成交</w:t>
      </w:r>
      <w:r>
        <w:rPr>
          <w:rFonts w:hint="eastAsia" w:ascii="宋体" w:hAnsi="宋体" w:eastAsia="宋体" w:cs="仿宋"/>
          <w:color w:val="auto"/>
          <w:kern w:val="2"/>
          <w:sz w:val="24"/>
          <w:szCs w:val="24"/>
          <w:highlight w:val="none"/>
        </w:rPr>
        <w:t>人</w:t>
      </w:r>
      <w:r>
        <w:rPr>
          <w:rFonts w:hint="eastAsia" w:ascii="宋体" w:hAnsi="宋体" w:eastAsia="宋体" w:cs="宋体"/>
          <w:b w:val="0"/>
          <w:bCs/>
          <w:color w:val="auto"/>
          <w:kern w:val="2"/>
          <w:sz w:val="24"/>
          <w:szCs w:val="24"/>
          <w:highlight w:val="none"/>
          <w:lang w:val="en-US" w:eastAsia="zh-CN" w:bidi="ar-SA"/>
        </w:rPr>
        <w:t>也可以重新开展政府采购活动。</w:t>
      </w:r>
    </w:p>
    <w:p w14:paraId="69BD0C24">
      <w:pPr>
        <w:pStyle w:val="7"/>
        <w:keepNext w:val="0"/>
        <w:keepLines w:val="0"/>
        <w:pageBreakBefore w:val="0"/>
        <w:widowControl w:val="0"/>
        <w:kinsoku/>
        <w:wordWrap/>
        <w:overflowPunct/>
        <w:topLinePunct w:val="0"/>
        <w:bidi w:val="0"/>
        <w:adjustRightInd/>
        <w:snapToGrid/>
        <w:spacing w:before="0" w:beforeLines="0" w:after="0" w:afterLines="0" w:line="360" w:lineRule="auto"/>
        <w:ind w:left="0" w:leftChars="0" w:right="0" w:firstLine="482" w:firstLineChars="200"/>
        <w:jc w:val="left"/>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7</w:t>
      </w:r>
      <w:r>
        <w:rPr>
          <w:rFonts w:hint="eastAsia" w:ascii="宋体" w:hAnsi="宋体" w:eastAsia="宋体" w:cs="宋体"/>
          <w:b/>
          <w:bCs w:val="0"/>
          <w:color w:val="auto"/>
          <w:sz w:val="24"/>
          <w:szCs w:val="24"/>
          <w:highlight w:val="none"/>
        </w:rPr>
        <w:t xml:space="preserve">.其他事项 </w:t>
      </w:r>
    </w:p>
    <w:p w14:paraId="201ECF99">
      <w:pPr>
        <w:pStyle w:val="7"/>
        <w:keepNext w:val="0"/>
        <w:keepLines w:val="0"/>
        <w:pageBreakBefore w:val="0"/>
        <w:widowControl w:val="0"/>
        <w:kinsoku/>
        <w:wordWrap/>
        <w:overflowPunct/>
        <w:topLinePunct w:val="0"/>
        <w:bidi w:val="0"/>
        <w:adjustRightInd/>
        <w:snapToGrid/>
        <w:spacing w:before="0" w:beforeLines="0" w:after="0" w:afterLines="0" w:line="360" w:lineRule="auto"/>
        <w:ind w:left="0" w:leftChars="0" w:right="0" w:firstLine="480" w:firstLineChars="200"/>
        <w:jc w:val="left"/>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rPr>
        <w:t>会认为</w:t>
      </w:r>
      <w:r>
        <w:rPr>
          <w:rFonts w:hint="eastAsia" w:ascii="宋体" w:hAnsi="宋体" w:eastAsia="宋体" w:cs="宋体"/>
          <w:b w:val="0"/>
          <w:bCs/>
          <w:color w:val="auto"/>
          <w:sz w:val="24"/>
          <w:szCs w:val="24"/>
          <w:highlight w:val="none"/>
          <w:lang w:val="en-US" w:eastAsia="zh-CN"/>
        </w:rPr>
        <w:t>供应商</w:t>
      </w:r>
      <w:r>
        <w:rPr>
          <w:rFonts w:hint="eastAsia" w:ascii="宋体" w:hAnsi="宋体" w:eastAsia="宋体" w:cs="宋体"/>
          <w:b w:val="0"/>
          <w:bCs/>
          <w:color w:val="auto"/>
          <w:sz w:val="24"/>
          <w:szCs w:val="24"/>
          <w:highlight w:val="none"/>
        </w:rPr>
        <w:t>的报价明显低于其他通过资格性审查</w:t>
      </w:r>
      <w:r>
        <w:rPr>
          <w:rFonts w:hint="eastAsia" w:ascii="宋体" w:hAnsi="宋体" w:eastAsia="宋体" w:cs="宋体"/>
          <w:b w:val="0"/>
          <w:bCs/>
          <w:color w:val="auto"/>
          <w:sz w:val="24"/>
          <w:szCs w:val="24"/>
          <w:highlight w:val="none"/>
          <w:lang w:val="en-US" w:eastAsia="zh-CN"/>
        </w:rPr>
        <w:t>供应商</w:t>
      </w:r>
      <w:r>
        <w:rPr>
          <w:rFonts w:hint="eastAsia" w:ascii="宋体" w:hAnsi="宋体" w:eastAsia="宋体" w:cs="宋体"/>
          <w:b w:val="0"/>
          <w:bCs/>
          <w:color w:val="auto"/>
          <w:sz w:val="24"/>
          <w:szCs w:val="24"/>
          <w:highlight w:val="none"/>
        </w:rPr>
        <w:t>的报价，有可能影响产品质量或者不能诚信履约的，应当要求其在</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rPr>
        <w:t>现场合理的时间内提供书面说明，必要时提交相关证明材料；</w:t>
      </w:r>
      <w:r>
        <w:rPr>
          <w:rFonts w:hint="eastAsia" w:ascii="宋体" w:hAnsi="宋体" w:eastAsia="宋体" w:cs="宋体"/>
          <w:b w:val="0"/>
          <w:bCs/>
          <w:color w:val="auto"/>
          <w:sz w:val="24"/>
          <w:szCs w:val="24"/>
          <w:highlight w:val="none"/>
          <w:lang w:val="en-US" w:eastAsia="zh-CN"/>
        </w:rPr>
        <w:t>供应商</w:t>
      </w:r>
      <w:r>
        <w:rPr>
          <w:rFonts w:hint="eastAsia" w:ascii="宋体" w:hAnsi="宋体" w:eastAsia="宋体" w:cs="宋体"/>
          <w:b w:val="0"/>
          <w:bCs/>
          <w:color w:val="auto"/>
          <w:sz w:val="24"/>
          <w:szCs w:val="24"/>
          <w:highlight w:val="none"/>
        </w:rPr>
        <w:t>不能证明其报价合理性的，</w:t>
      </w:r>
      <w:r>
        <w:rPr>
          <w:rFonts w:hint="eastAsia" w:ascii="宋体" w:hAnsi="宋体" w:eastAsia="宋体" w:cs="宋体"/>
          <w:b w:val="0"/>
          <w:bCs/>
          <w:color w:val="auto"/>
          <w:sz w:val="24"/>
          <w:szCs w:val="24"/>
          <w:highlight w:val="none"/>
          <w:lang w:val="en-US" w:eastAsia="zh-CN"/>
        </w:rPr>
        <w:t>磋商小组</w:t>
      </w:r>
      <w:r>
        <w:rPr>
          <w:rFonts w:hint="eastAsia" w:ascii="宋体" w:hAnsi="宋体" w:eastAsia="宋体" w:cs="宋体"/>
          <w:b w:val="0"/>
          <w:bCs/>
          <w:color w:val="auto"/>
          <w:sz w:val="24"/>
          <w:szCs w:val="24"/>
          <w:highlight w:val="none"/>
        </w:rPr>
        <w:t>应当将其作为无效</w:t>
      </w:r>
      <w:r>
        <w:rPr>
          <w:rFonts w:hint="eastAsia" w:ascii="宋体" w:hAnsi="宋体" w:eastAsia="宋体" w:cs="宋体"/>
          <w:b w:val="0"/>
          <w:bCs/>
          <w:color w:val="auto"/>
          <w:sz w:val="24"/>
          <w:szCs w:val="24"/>
          <w:highlight w:val="none"/>
          <w:lang w:val="en-US" w:eastAsia="zh-CN"/>
        </w:rPr>
        <w:t>磋商</w:t>
      </w:r>
      <w:r>
        <w:rPr>
          <w:rFonts w:hint="eastAsia" w:ascii="宋体" w:hAnsi="宋体" w:eastAsia="宋体" w:cs="宋体"/>
          <w:b w:val="0"/>
          <w:bCs/>
          <w:color w:val="auto"/>
          <w:sz w:val="24"/>
          <w:szCs w:val="24"/>
          <w:highlight w:val="none"/>
        </w:rPr>
        <w:t>处理。</w:t>
      </w:r>
    </w:p>
    <w:p w14:paraId="64FA55A8">
      <w:pPr>
        <w:pStyle w:val="16"/>
        <w:rPr>
          <w:rFonts w:hint="eastAsia" w:ascii="宋体" w:hAnsi="宋体" w:eastAsia="宋体" w:cs="宋体"/>
          <w:b w:val="0"/>
          <w:bCs/>
          <w:color w:val="auto"/>
          <w:sz w:val="24"/>
          <w:szCs w:val="24"/>
          <w:highlight w:val="none"/>
        </w:rPr>
      </w:pPr>
    </w:p>
    <w:p w14:paraId="1C0C1920">
      <w:pPr>
        <w:pStyle w:val="11"/>
        <w:rPr>
          <w:rFonts w:hint="eastAsia" w:ascii="宋体" w:hAnsi="宋体" w:eastAsia="宋体" w:cs="宋体"/>
          <w:b w:val="0"/>
          <w:bCs/>
          <w:color w:val="auto"/>
          <w:sz w:val="24"/>
          <w:szCs w:val="24"/>
          <w:highlight w:val="none"/>
        </w:rPr>
      </w:pPr>
    </w:p>
    <w:p w14:paraId="50BCEE64">
      <w:pPr>
        <w:pStyle w:val="12"/>
        <w:rPr>
          <w:rFonts w:hint="eastAsia" w:ascii="宋体" w:hAnsi="宋体" w:eastAsia="宋体" w:cs="宋体"/>
          <w:b w:val="0"/>
          <w:bCs/>
          <w:color w:val="auto"/>
          <w:sz w:val="24"/>
          <w:szCs w:val="24"/>
          <w:highlight w:val="none"/>
        </w:rPr>
      </w:pPr>
    </w:p>
    <w:p w14:paraId="4DDC0C83">
      <w:pPr>
        <w:rPr>
          <w:rFonts w:hint="eastAsia" w:ascii="宋体" w:hAnsi="宋体" w:eastAsia="宋体" w:cs="宋体"/>
          <w:b w:val="0"/>
          <w:bCs/>
          <w:color w:val="auto"/>
          <w:sz w:val="24"/>
          <w:szCs w:val="24"/>
          <w:highlight w:val="none"/>
        </w:rPr>
      </w:pPr>
    </w:p>
    <w:p w14:paraId="7A76CA6D">
      <w:pPr>
        <w:pStyle w:val="20"/>
        <w:rPr>
          <w:rFonts w:hint="eastAsia" w:ascii="宋体" w:hAnsi="宋体" w:eastAsia="宋体" w:cs="宋体"/>
          <w:b w:val="0"/>
          <w:bCs/>
          <w:color w:val="auto"/>
          <w:sz w:val="24"/>
          <w:szCs w:val="24"/>
          <w:highlight w:val="none"/>
        </w:rPr>
      </w:pPr>
    </w:p>
    <w:p w14:paraId="302466E8">
      <w:pPr>
        <w:pStyle w:val="19"/>
        <w:rPr>
          <w:rFonts w:hint="eastAsia" w:ascii="宋体" w:hAnsi="宋体" w:eastAsia="宋体" w:cs="宋体"/>
          <w:b w:val="0"/>
          <w:bCs/>
          <w:color w:val="auto"/>
          <w:sz w:val="24"/>
          <w:szCs w:val="24"/>
          <w:highlight w:val="none"/>
        </w:rPr>
      </w:pPr>
    </w:p>
    <w:p w14:paraId="267FF63E">
      <w:pPr>
        <w:pStyle w:val="19"/>
        <w:spacing w:beforeAutospacing="0" w:after="0" w:line="240" w:lineRule="auto"/>
        <w:ind w:left="0" w:leftChars="0" w:firstLine="3654" w:firstLineChars="1300"/>
        <w:jc w:val="both"/>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资格审查表</w:t>
      </w:r>
    </w:p>
    <w:tbl>
      <w:tblPr>
        <w:tblStyle w:val="21"/>
        <w:tblpPr w:leftFromText="180" w:rightFromText="180" w:vertAnchor="text" w:horzAnchor="page" w:tblpX="1186" w:tblpY="377"/>
        <w:tblOverlap w:val="never"/>
        <w:tblW w:w="9564" w:type="dxa"/>
        <w:tblInd w:w="0" w:type="dxa"/>
        <w:tblLayout w:type="fixed"/>
        <w:tblCellMar>
          <w:top w:w="0" w:type="dxa"/>
          <w:left w:w="108" w:type="dxa"/>
          <w:bottom w:w="0" w:type="dxa"/>
          <w:right w:w="108" w:type="dxa"/>
        </w:tblCellMar>
      </w:tblPr>
      <w:tblGrid>
        <w:gridCol w:w="508"/>
        <w:gridCol w:w="932"/>
        <w:gridCol w:w="2207"/>
        <w:gridCol w:w="5917"/>
      </w:tblGrid>
      <w:tr w14:paraId="4D55869D">
        <w:tblPrEx>
          <w:tblCellMar>
            <w:top w:w="0" w:type="dxa"/>
            <w:left w:w="108" w:type="dxa"/>
            <w:bottom w:w="0" w:type="dxa"/>
            <w:right w:w="108" w:type="dxa"/>
          </w:tblCellMar>
        </w:tblPrEx>
        <w:trPr>
          <w:trHeight w:val="500" w:hRule="atLeast"/>
        </w:trPr>
        <w:tc>
          <w:tcPr>
            <w:tcW w:w="1440" w:type="dxa"/>
            <w:gridSpan w:val="2"/>
            <w:tcBorders>
              <w:top w:val="single" w:color="auto" w:sz="4" w:space="0"/>
              <w:left w:val="single" w:color="auto" w:sz="4" w:space="0"/>
              <w:bottom w:val="single" w:color="auto" w:sz="4" w:space="0"/>
              <w:right w:val="single" w:color="auto" w:sz="4" w:space="0"/>
            </w:tcBorders>
            <w:vAlign w:val="center"/>
          </w:tcPr>
          <w:p w14:paraId="2D5417F8">
            <w:pPr>
              <w:spacing w:line="600" w:lineRule="exact"/>
              <w:jc w:val="center"/>
              <w:rPr>
                <w:rFonts w:ascii="宋体" w:hAnsi="宋体" w:cs="宋体"/>
                <w:sz w:val="22"/>
                <w:szCs w:val="22"/>
              </w:rPr>
            </w:pPr>
            <w:r>
              <w:rPr>
                <w:rFonts w:ascii="宋体" w:hAnsi="宋体" w:cs="宋体"/>
                <w:sz w:val="22"/>
                <w:szCs w:val="22"/>
              </w:rPr>
              <w:t>初步评审</w:t>
            </w:r>
          </w:p>
        </w:tc>
        <w:tc>
          <w:tcPr>
            <w:tcW w:w="2207" w:type="dxa"/>
            <w:tcBorders>
              <w:top w:val="single" w:color="auto" w:sz="4" w:space="0"/>
              <w:left w:val="nil"/>
              <w:bottom w:val="single" w:color="auto" w:sz="4" w:space="0"/>
              <w:right w:val="single" w:color="auto" w:sz="4" w:space="0"/>
            </w:tcBorders>
            <w:vAlign w:val="center"/>
          </w:tcPr>
          <w:p w14:paraId="1FD4F34A">
            <w:pPr>
              <w:spacing w:line="600" w:lineRule="exact"/>
              <w:jc w:val="center"/>
              <w:rPr>
                <w:rFonts w:ascii="宋体" w:hAnsi="宋体" w:cs="宋体"/>
                <w:sz w:val="22"/>
                <w:szCs w:val="22"/>
              </w:rPr>
            </w:pPr>
            <w:r>
              <w:rPr>
                <w:rFonts w:ascii="宋体" w:hAnsi="宋体" w:cs="宋体"/>
                <w:sz w:val="22"/>
                <w:szCs w:val="22"/>
              </w:rPr>
              <w:t>评审因素</w:t>
            </w:r>
          </w:p>
        </w:tc>
        <w:tc>
          <w:tcPr>
            <w:tcW w:w="5917" w:type="dxa"/>
            <w:tcBorders>
              <w:top w:val="single" w:color="auto" w:sz="4" w:space="0"/>
              <w:left w:val="nil"/>
              <w:bottom w:val="single" w:color="auto" w:sz="4" w:space="0"/>
              <w:right w:val="single" w:color="auto" w:sz="4" w:space="0"/>
            </w:tcBorders>
            <w:vAlign w:val="center"/>
          </w:tcPr>
          <w:p w14:paraId="3CD011BF">
            <w:pPr>
              <w:spacing w:line="600" w:lineRule="exact"/>
              <w:jc w:val="center"/>
              <w:rPr>
                <w:rFonts w:ascii="宋体" w:hAnsi="宋体" w:cs="宋体"/>
                <w:sz w:val="22"/>
                <w:szCs w:val="22"/>
              </w:rPr>
            </w:pPr>
            <w:r>
              <w:rPr>
                <w:rFonts w:ascii="宋体" w:hAnsi="宋体" w:cs="宋体"/>
                <w:sz w:val="22"/>
                <w:szCs w:val="22"/>
              </w:rPr>
              <w:t>评审标准</w:t>
            </w:r>
          </w:p>
        </w:tc>
      </w:tr>
      <w:tr w14:paraId="6BA8ABEE">
        <w:tblPrEx>
          <w:tblCellMar>
            <w:top w:w="0" w:type="dxa"/>
            <w:left w:w="108" w:type="dxa"/>
            <w:bottom w:w="0" w:type="dxa"/>
            <w:right w:w="108" w:type="dxa"/>
          </w:tblCellMar>
        </w:tblPrEx>
        <w:trPr>
          <w:trHeight w:val="500" w:hRule="atLeast"/>
        </w:trPr>
        <w:tc>
          <w:tcPr>
            <w:tcW w:w="508" w:type="dxa"/>
            <w:vMerge w:val="restart"/>
            <w:tcBorders>
              <w:top w:val="nil"/>
              <w:left w:val="single" w:color="auto" w:sz="4" w:space="0"/>
              <w:right w:val="single" w:color="auto" w:sz="4" w:space="0"/>
            </w:tcBorders>
            <w:vAlign w:val="center"/>
          </w:tcPr>
          <w:p w14:paraId="0B60DFA2">
            <w:pPr>
              <w:spacing w:line="600" w:lineRule="exact"/>
              <w:jc w:val="center"/>
              <w:rPr>
                <w:rFonts w:hint="eastAsia" w:ascii="宋体" w:hAnsi="宋体" w:cs="宋体" w:eastAsiaTheme="minorEastAsia"/>
                <w:sz w:val="22"/>
                <w:szCs w:val="22"/>
                <w:lang w:eastAsia="zh-CN"/>
              </w:rPr>
            </w:pPr>
            <w:r>
              <w:rPr>
                <w:rFonts w:hint="eastAsia" w:ascii="宋体" w:hAnsi="宋体" w:cs="宋体"/>
                <w:sz w:val="22"/>
                <w:szCs w:val="22"/>
                <w:lang w:val="en-US" w:eastAsia="zh-CN"/>
              </w:rPr>
              <w:t>1</w:t>
            </w:r>
          </w:p>
        </w:tc>
        <w:tc>
          <w:tcPr>
            <w:tcW w:w="932" w:type="dxa"/>
            <w:vMerge w:val="restart"/>
            <w:tcBorders>
              <w:top w:val="nil"/>
              <w:left w:val="nil"/>
              <w:right w:val="single" w:color="auto" w:sz="4" w:space="0"/>
            </w:tcBorders>
            <w:vAlign w:val="center"/>
          </w:tcPr>
          <w:p w14:paraId="3E64E591">
            <w:pPr>
              <w:spacing w:line="600" w:lineRule="exact"/>
              <w:rPr>
                <w:rFonts w:ascii="宋体" w:hAnsi="宋体" w:cs="宋体"/>
                <w:sz w:val="22"/>
                <w:szCs w:val="22"/>
              </w:rPr>
            </w:pPr>
            <w:r>
              <w:rPr>
                <w:rFonts w:hint="eastAsia" w:ascii="宋体" w:hAnsi="宋体" w:cs="宋体"/>
                <w:sz w:val="22"/>
                <w:szCs w:val="22"/>
              </w:rPr>
              <w:t>符合性评审标准</w:t>
            </w:r>
          </w:p>
        </w:tc>
        <w:tc>
          <w:tcPr>
            <w:tcW w:w="2207" w:type="dxa"/>
            <w:tcBorders>
              <w:top w:val="single" w:color="auto" w:sz="4" w:space="0"/>
              <w:left w:val="nil"/>
              <w:bottom w:val="single" w:color="auto" w:sz="4" w:space="0"/>
              <w:right w:val="single" w:color="auto" w:sz="4" w:space="0"/>
            </w:tcBorders>
            <w:vAlign w:val="center"/>
          </w:tcPr>
          <w:p w14:paraId="3BB8C65A">
            <w:pPr>
              <w:adjustRightInd w:val="0"/>
              <w:snapToGrid w:val="0"/>
              <w:spacing w:line="360" w:lineRule="exact"/>
              <w:jc w:val="center"/>
              <w:outlineLvl w:val="0"/>
              <w:rPr>
                <w:rFonts w:ascii="宋体" w:hAnsi="宋体" w:cs="宋体"/>
                <w:bCs/>
                <w:color w:val="000000"/>
                <w:kern w:val="44"/>
                <w:sz w:val="22"/>
                <w:szCs w:val="22"/>
              </w:rPr>
            </w:pPr>
            <w:bookmarkStart w:id="125" w:name="_Toc18866"/>
            <w:bookmarkStart w:id="126" w:name="_Toc18356"/>
            <w:r>
              <w:rPr>
                <w:rFonts w:hint="eastAsia" w:ascii="宋体" w:hAnsi="宋体" w:cs="宋体"/>
                <w:bCs/>
                <w:color w:val="000000"/>
                <w:kern w:val="44"/>
                <w:sz w:val="22"/>
                <w:szCs w:val="22"/>
                <w:lang w:val="en-US" w:eastAsia="zh-CN"/>
              </w:rPr>
              <w:t>供应商</w:t>
            </w:r>
            <w:r>
              <w:rPr>
                <w:rFonts w:hint="eastAsia" w:ascii="宋体" w:hAnsi="宋体" w:cs="宋体"/>
                <w:bCs/>
                <w:color w:val="000000"/>
                <w:kern w:val="44"/>
                <w:sz w:val="22"/>
                <w:szCs w:val="22"/>
              </w:rPr>
              <w:t>名称</w:t>
            </w:r>
            <w:bookmarkEnd w:id="125"/>
            <w:bookmarkEnd w:id="126"/>
          </w:p>
        </w:tc>
        <w:tc>
          <w:tcPr>
            <w:tcW w:w="5917" w:type="dxa"/>
            <w:tcBorders>
              <w:top w:val="single" w:color="auto" w:sz="4" w:space="0"/>
              <w:left w:val="nil"/>
              <w:bottom w:val="single" w:color="auto" w:sz="4" w:space="0"/>
              <w:right w:val="single" w:color="auto" w:sz="4" w:space="0"/>
            </w:tcBorders>
            <w:vAlign w:val="center"/>
          </w:tcPr>
          <w:p w14:paraId="1F6AC60E">
            <w:pPr>
              <w:spacing w:line="300" w:lineRule="exact"/>
              <w:rPr>
                <w:rFonts w:ascii="宋体" w:hAnsi="宋体"/>
                <w:sz w:val="22"/>
                <w:szCs w:val="22"/>
              </w:rPr>
            </w:pPr>
            <w:r>
              <w:rPr>
                <w:rFonts w:hint="eastAsia" w:ascii="宋体" w:hAnsi="宋体"/>
                <w:sz w:val="22"/>
                <w:szCs w:val="22"/>
              </w:rPr>
              <w:t>与营业执照一致</w:t>
            </w:r>
          </w:p>
        </w:tc>
      </w:tr>
      <w:tr w14:paraId="7FEC3495">
        <w:tblPrEx>
          <w:tblCellMar>
            <w:top w:w="0" w:type="dxa"/>
            <w:left w:w="108" w:type="dxa"/>
            <w:bottom w:w="0" w:type="dxa"/>
            <w:right w:w="108" w:type="dxa"/>
          </w:tblCellMar>
        </w:tblPrEx>
        <w:trPr>
          <w:trHeight w:val="1058" w:hRule="atLeast"/>
        </w:trPr>
        <w:tc>
          <w:tcPr>
            <w:tcW w:w="508" w:type="dxa"/>
            <w:vMerge w:val="continue"/>
            <w:tcBorders>
              <w:left w:val="single" w:color="auto" w:sz="4" w:space="0"/>
              <w:right w:val="single" w:color="auto" w:sz="4" w:space="0"/>
            </w:tcBorders>
            <w:vAlign w:val="center"/>
          </w:tcPr>
          <w:p w14:paraId="3162F01E">
            <w:pPr>
              <w:spacing w:line="600" w:lineRule="exact"/>
              <w:jc w:val="center"/>
              <w:rPr>
                <w:rFonts w:ascii="宋体" w:hAnsi="宋体" w:cs="宋体"/>
                <w:sz w:val="22"/>
                <w:szCs w:val="22"/>
              </w:rPr>
            </w:pPr>
          </w:p>
        </w:tc>
        <w:tc>
          <w:tcPr>
            <w:tcW w:w="932" w:type="dxa"/>
            <w:vMerge w:val="continue"/>
            <w:tcBorders>
              <w:left w:val="nil"/>
              <w:right w:val="single" w:color="auto" w:sz="4" w:space="0"/>
            </w:tcBorders>
            <w:vAlign w:val="center"/>
          </w:tcPr>
          <w:p w14:paraId="359E942F">
            <w:pPr>
              <w:spacing w:line="600" w:lineRule="exact"/>
              <w:rPr>
                <w:rFonts w:ascii="宋体" w:hAnsi="宋体" w:cs="宋体"/>
                <w:sz w:val="22"/>
                <w:szCs w:val="22"/>
              </w:rPr>
            </w:pPr>
          </w:p>
        </w:tc>
        <w:tc>
          <w:tcPr>
            <w:tcW w:w="2207" w:type="dxa"/>
            <w:tcBorders>
              <w:top w:val="single" w:color="auto" w:sz="4" w:space="0"/>
              <w:left w:val="nil"/>
              <w:bottom w:val="single" w:color="auto" w:sz="4" w:space="0"/>
              <w:right w:val="single" w:color="auto" w:sz="4" w:space="0"/>
            </w:tcBorders>
            <w:vAlign w:val="center"/>
          </w:tcPr>
          <w:p w14:paraId="3FC9DB2F">
            <w:pPr>
              <w:widowControl/>
              <w:spacing w:line="360" w:lineRule="auto"/>
              <w:jc w:val="center"/>
              <w:rPr>
                <w:rFonts w:ascii="宋体" w:hAnsi="宋体"/>
                <w:sz w:val="22"/>
                <w:szCs w:val="20"/>
              </w:rPr>
            </w:pPr>
            <w:r>
              <w:rPr>
                <w:rFonts w:hint="eastAsia" w:ascii="宋体" w:hAnsi="宋体" w:cs="宋体"/>
                <w:color w:val="000000"/>
                <w:kern w:val="0"/>
                <w:sz w:val="22"/>
                <w:szCs w:val="22"/>
              </w:rPr>
              <w:t>签字盖章</w:t>
            </w:r>
          </w:p>
        </w:tc>
        <w:tc>
          <w:tcPr>
            <w:tcW w:w="5917" w:type="dxa"/>
            <w:tcBorders>
              <w:top w:val="single" w:color="auto" w:sz="4" w:space="0"/>
              <w:left w:val="nil"/>
              <w:bottom w:val="single" w:color="auto" w:sz="4" w:space="0"/>
              <w:right w:val="single" w:color="auto" w:sz="4" w:space="0"/>
            </w:tcBorders>
            <w:vAlign w:val="center"/>
          </w:tcPr>
          <w:p w14:paraId="4CB2409A">
            <w:pPr>
              <w:spacing w:line="300" w:lineRule="exact"/>
              <w:rPr>
                <w:rFonts w:ascii="宋体" w:hAnsi="宋体"/>
                <w:sz w:val="22"/>
                <w:szCs w:val="22"/>
              </w:rPr>
            </w:pPr>
            <w:r>
              <w:rPr>
                <w:rFonts w:hint="eastAsia" w:ascii="宋体" w:hAnsi="宋体"/>
                <w:sz w:val="22"/>
                <w:szCs w:val="22"/>
              </w:rPr>
              <w:t>符合</w:t>
            </w:r>
            <w:r>
              <w:rPr>
                <w:rFonts w:hint="eastAsia" w:ascii="宋体" w:hAnsi="宋体"/>
                <w:sz w:val="22"/>
                <w:szCs w:val="22"/>
                <w:lang w:val="en-US" w:eastAsia="zh-CN"/>
              </w:rPr>
              <w:t>磋商</w:t>
            </w:r>
            <w:r>
              <w:rPr>
                <w:rFonts w:hint="eastAsia" w:ascii="宋体" w:hAnsi="宋体"/>
                <w:sz w:val="22"/>
                <w:szCs w:val="22"/>
              </w:rPr>
              <w:t>文件要求的签字、盖章</w:t>
            </w:r>
          </w:p>
        </w:tc>
      </w:tr>
      <w:tr w14:paraId="073AA2F3">
        <w:tblPrEx>
          <w:tblCellMar>
            <w:top w:w="0" w:type="dxa"/>
            <w:left w:w="108" w:type="dxa"/>
            <w:bottom w:w="0" w:type="dxa"/>
            <w:right w:w="108" w:type="dxa"/>
          </w:tblCellMar>
        </w:tblPrEx>
        <w:trPr>
          <w:trHeight w:val="538" w:hRule="atLeast"/>
        </w:trPr>
        <w:tc>
          <w:tcPr>
            <w:tcW w:w="508" w:type="dxa"/>
            <w:vMerge w:val="continue"/>
            <w:tcBorders>
              <w:left w:val="single" w:color="auto" w:sz="4" w:space="0"/>
              <w:right w:val="single" w:color="auto" w:sz="4" w:space="0"/>
            </w:tcBorders>
            <w:vAlign w:val="center"/>
          </w:tcPr>
          <w:p w14:paraId="1EFF559F">
            <w:pPr>
              <w:spacing w:line="600" w:lineRule="exact"/>
              <w:rPr>
                <w:rFonts w:ascii="宋体" w:hAnsi="宋体" w:cs="宋体"/>
                <w:sz w:val="22"/>
                <w:szCs w:val="22"/>
              </w:rPr>
            </w:pPr>
          </w:p>
        </w:tc>
        <w:tc>
          <w:tcPr>
            <w:tcW w:w="932" w:type="dxa"/>
            <w:vMerge w:val="continue"/>
            <w:tcBorders>
              <w:left w:val="nil"/>
              <w:right w:val="single" w:color="auto" w:sz="4" w:space="0"/>
            </w:tcBorders>
            <w:vAlign w:val="center"/>
          </w:tcPr>
          <w:p w14:paraId="0E568FB1">
            <w:pPr>
              <w:spacing w:line="600" w:lineRule="exact"/>
              <w:rPr>
                <w:rFonts w:ascii="宋体" w:hAnsi="宋体" w:cs="宋体"/>
                <w:sz w:val="22"/>
                <w:szCs w:val="22"/>
              </w:rPr>
            </w:pPr>
          </w:p>
        </w:tc>
        <w:tc>
          <w:tcPr>
            <w:tcW w:w="2207" w:type="dxa"/>
            <w:tcBorders>
              <w:top w:val="single" w:color="auto" w:sz="4" w:space="0"/>
              <w:left w:val="nil"/>
              <w:bottom w:val="single" w:color="auto" w:sz="4" w:space="0"/>
              <w:right w:val="single" w:color="auto" w:sz="4" w:space="0"/>
            </w:tcBorders>
            <w:vAlign w:val="center"/>
          </w:tcPr>
          <w:p w14:paraId="2CF95ACB">
            <w:pPr>
              <w:adjustRightInd w:val="0"/>
              <w:snapToGrid w:val="0"/>
              <w:spacing w:line="360" w:lineRule="exact"/>
              <w:jc w:val="center"/>
              <w:outlineLvl w:val="0"/>
              <w:rPr>
                <w:rFonts w:ascii="宋体" w:hAnsi="宋体" w:cs="宋体"/>
                <w:bCs/>
                <w:color w:val="000000"/>
                <w:kern w:val="44"/>
                <w:sz w:val="22"/>
                <w:szCs w:val="22"/>
              </w:rPr>
            </w:pPr>
            <w:bookmarkStart w:id="127" w:name="_Toc14600"/>
            <w:bookmarkStart w:id="128" w:name="_Toc26706"/>
            <w:r>
              <w:rPr>
                <w:rFonts w:hint="eastAsia" w:ascii="宋体" w:hAnsi="宋体" w:cs="宋体"/>
                <w:bCs/>
                <w:color w:val="000000"/>
                <w:kern w:val="44"/>
                <w:sz w:val="22"/>
                <w:szCs w:val="22"/>
                <w:lang w:val="en-US" w:eastAsia="zh-CN"/>
              </w:rPr>
              <w:t>响应</w:t>
            </w:r>
            <w:r>
              <w:rPr>
                <w:rFonts w:hint="eastAsia" w:ascii="宋体" w:hAnsi="宋体" w:cs="宋体"/>
                <w:bCs/>
                <w:color w:val="000000"/>
                <w:kern w:val="44"/>
                <w:sz w:val="22"/>
                <w:szCs w:val="22"/>
              </w:rPr>
              <w:t>文件格式</w:t>
            </w:r>
            <w:bookmarkEnd w:id="127"/>
            <w:bookmarkEnd w:id="128"/>
          </w:p>
        </w:tc>
        <w:tc>
          <w:tcPr>
            <w:tcW w:w="5917" w:type="dxa"/>
            <w:tcBorders>
              <w:top w:val="single" w:color="auto" w:sz="4" w:space="0"/>
              <w:left w:val="nil"/>
              <w:bottom w:val="single" w:color="auto" w:sz="4" w:space="0"/>
              <w:right w:val="single" w:color="auto" w:sz="4" w:space="0"/>
            </w:tcBorders>
            <w:vAlign w:val="center"/>
          </w:tcPr>
          <w:p w14:paraId="71892A66">
            <w:pPr>
              <w:spacing w:line="300" w:lineRule="exact"/>
              <w:rPr>
                <w:rFonts w:ascii="宋体" w:hAnsi="宋体"/>
                <w:sz w:val="22"/>
                <w:szCs w:val="22"/>
              </w:rPr>
            </w:pPr>
            <w:r>
              <w:rPr>
                <w:rFonts w:hint="eastAsia" w:ascii="宋体" w:hAnsi="宋体" w:cs="宋体"/>
                <w:bCs/>
                <w:color w:val="000000"/>
                <w:kern w:val="44"/>
                <w:sz w:val="22"/>
                <w:szCs w:val="22"/>
              </w:rPr>
              <w:t>符合</w:t>
            </w:r>
            <w:r>
              <w:rPr>
                <w:rFonts w:hint="eastAsia" w:ascii="宋体" w:hAnsi="宋体" w:cs="宋体"/>
                <w:bCs/>
                <w:color w:val="000000"/>
                <w:kern w:val="44"/>
                <w:sz w:val="22"/>
                <w:szCs w:val="22"/>
                <w:lang w:val="en-US" w:eastAsia="zh-CN"/>
              </w:rPr>
              <w:t>磋商文件</w:t>
            </w:r>
            <w:r>
              <w:rPr>
                <w:rFonts w:hint="eastAsia" w:ascii="宋体" w:hAnsi="宋体" w:cs="宋体"/>
                <w:bCs/>
                <w:color w:val="000000"/>
                <w:kern w:val="44"/>
                <w:sz w:val="22"/>
                <w:szCs w:val="22"/>
              </w:rPr>
              <w:t>“</w:t>
            </w:r>
            <w:r>
              <w:rPr>
                <w:rFonts w:hint="eastAsia" w:ascii="宋体" w:hAnsi="宋体" w:cs="宋体"/>
                <w:bCs/>
                <w:color w:val="000000"/>
                <w:kern w:val="44"/>
                <w:sz w:val="22"/>
                <w:szCs w:val="22"/>
                <w:lang w:val="en-US" w:eastAsia="zh-CN"/>
              </w:rPr>
              <w:t>电子响应</w:t>
            </w:r>
            <w:r>
              <w:rPr>
                <w:rFonts w:hint="eastAsia" w:ascii="宋体" w:hAnsi="宋体" w:cs="宋体"/>
                <w:bCs/>
                <w:color w:val="000000"/>
                <w:kern w:val="44"/>
                <w:sz w:val="22"/>
                <w:szCs w:val="22"/>
              </w:rPr>
              <w:t>文件格式”要求</w:t>
            </w:r>
          </w:p>
        </w:tc>
      </w:tr>
      <w:tr w14:paraId="4CF8AAD4">
        <w:tblPrEx>
          <w:tblCellMar>
            <w:top w:w="0" w:type="dxa"/>
            <w:left w:w="108" w:type="dxa"/>
            <w:bottom w:w="0" w:type="dxa"/>
            <w:right w:w="108" w:type="dxa"/>
          </w:tblCellMar>
        </w:tblPrEx>
        <w:trPr>
          <w:trHeight w:val="538" w:hRule="atLeast"/>
        </w:trPr>
        <w:tc>
          <w:tcPr>
            <w:tcW w:w="508" w:type="dxa"/>
            <w:vMerge w:val="continue"/>
            <w:tcBorders>
              <w:left w:val="single" w:color="auto" w:sz="4" w:space="0"/>
              <w:bottom w:val="single" w:color="auto" w:sz="4" w:space="0"/>
              <w:right w:val="single" w:color="auto" w:sz="4" w:space="0"/>
            </w:tcBorders>
            <w:vAlign w:val="center"/>
          </w:tcPr>
          <w:p w14:paraId="6B872B5E">
            <w:pPr>
              <w:spacing w:line="600" w:lineRule="exact"/>
              <w:rPr>
                <w:rFonts w:ascii="宋体" w:hAnsi="宋体" w:cs="宋体"/>
                <w:sz w:val="22"/>
                <w:szCs w:val="22"/>
              </w:rPr>
            </w:pPr>
          </w:p>
        </w:tc>
        <w:tc>
          <w:tcPr>
            <w:tcW w:w="932" w:type="dxa"/>
            <w:vMerge w:val="continue"/>
            <w:tcBorders>
              <w:left w:val="nil"/>
              <w:bottom w:val="single" w:color="auto" w:sz="4" w:space="0"/>
              <w:right w:val="single" w:color="auto" w:sz="4" w:space="0"/>
            </w:tcBorders>
            <w:vAlign w:val="center"/>
          </w:tcPr>
          <w:p w14:paraId="0F9502B4">
            <w:pPr>
              <w:spacing w:line="600" w:lineRule="exact"/>
              <w:rPr>
                <w:rFonts w:ascii="宋体" w:hAnsi="宋体" w:cs="宋体"/>
                <w:sz w:val="22"/>
                <w:szCs w:val="22"/>
              </w:rPr>
            </w:pPr>
          </w:p>
        </w:tc>
        <w:tc>
          <w:tcPr>
            <w:tcW w:w="2207" w:type="dxa"/>
            <w:tcBorders>
              <w:top w:val="single" w:color="auto" w:sz="4" w:space="0"/>
              <w:left w:val="nil"/>
              <w:bottom w:val="single" w:color="auto" w:sz="4" w:space="0"/>
              <w:right w:val="single" w:color="auto" w:sz="4" w:space="0"/>
            </w:tcBorders>
            <w:shd w:val="clear" w:color="auto" w:fill="auto"/>
            <w:vAlign w:val="center"/>
          </w:tcPr>
          <w:p w14:paraId="266F8ECB">
            <w:pPr>
              <w:adjustRightInd w:val="0"/>
              <w:snapToGrid w:val="0"/>
              <w:spacing w:line="360" w:lineRule="exact"/>
              <w:jc w:val="center"/>
              <w:outlineLvl w:val="0"/>
              <w:rPr>
                <w:rFonts w:hint="eastAsia" w:ascii="宋体" w:hAnsi="宋体" w:cs="宋体"/>
                <w:bCs/>
                <w:color w:val="000000"/>
                <w:kern w:val="44"/>
                <w:sz w:val="22"/>
                <w:szCs w:val="22"/>
                <w:lang w:val="en-US" w:eastAsia="zh-CN"/>
              </w:rPr>
            </w:pPr>
            <w:bookmarkStart w:id="129" w:name="_Toc1874"/>
            <w:bookmarkStart w:id="130" w:name="_Toc14378"/>
            <w:r>
              <w:rPr>
                <w:rFonts w:hint="eastAsia" w:ascii="宋体" w:hAnsi="宋体" w:cs="宋体"/>
                <w:bCs/>
                <w:color w:val="000000"/>
                <w:kern w:val="44"/>
                <w:sz w:val="22"/>
                <w:szCs w:val="22"/>
              </w:rPr>
              <w:t>报价唯一</w:t>
            </w:r>
            <w:bookmarkEnd w:id="129"/>
            <w:bookmarkEnd w:id="130"/>
          </w:p>
        </w:tc>
        <w:tc>
          <w:tcPr>
            <w:tcW w:w="5917" w:type="dxa"/>
            <w:tcBorders>
              <w:top w:val="single" w:color="auto" w:sz="4" w:space="0"/>
              <w:left w:val="nil"/>
              <w:bottom w:val="single" w:color="auto" w:sz="4" w:space="0"/>
              <w:right w:val="single" w:color="auto" w:sz="4" w:space="0"/>
            </w:tcBorders>
            <w:shd w:val="clear" w:color="auto" w:fill="auto"/>
            <w:vAlign w:val="center"/>
          </w:tcPr>
          <w:p w14:paraId="4B77B541">
            <w:pPr>
              <w:adjustRightInd w:val="0"/>
              <w:snapToGrid w:val="0"/>
              <w:spacing w:line="360" w:lineRule="exact"/>
              <w:jc w:val="both"/>
              <w:outlineLvl w:val="0"/>
              <w:rPr>
                <w:rFonts w:hint="eastAsia" w:ascii="宋体" w:hAnsi="宋体" w:cs="宋体"/>
                <w:bCs/>
                <w:color w:val="000000"/>
                <w:kern w:val="44"/>
                <w:sz w:val="22"/>
                <w:szCs w:val="22"/>
                <w:lang w:val="en-US" w:eastAsia="zh-CN"/>
              </w:rPr>
            </w:pPr>
            <w:bookmarkStart w:id="131" w:name="_Toc23610"/>
            <w:bookmarkStart w:id="132" w:name="_Toc23234"/>
            <w:r>
              <w:rPr>
                <w:rFonts w:hint="eastAsia" w:ascii="宋体" w:hAnsi="宋体" w:cs="宋体"/>
                <w:bCs/>
                <w:color w:val="000000"/>
                <w:kern w:val="44"/>
                <w:sz w:val="22"/>
                <w:szCs w:val="22"/>
              </w:rPr>
              <w:t>只能有一个有效报价</w:t>
            </w:r>
            <w:bookmarkEnd w:id="131"/>
            <w:bookmarkEnd w:id="132"/>
          </w:p>
        </w:tc>
      </w:tr>
      <w:tr w14:paraId="78923A98">
        <w:tblPrEx>
          <w:tblCellMar>
            <w:top w:w="0" w:type="dxa"/>
            <w:left w:w="108" w:type="dxa"/>
            <w:bottom w:w="0" w:type="dxa"/>
            <w:right w:w="108" w:type="dxa"/>
          </w:tblCellMar>
        </w:tblPrEx>
        <w:trPr>
          <w:trHeight w:val="756" w:hRule="atLeast"/>
        </w:trPr>
        <w:tc>
          <w:tcPr>
            <w:tcW w:w="508" w:type="dxa"/>
            <w:vMerge w:val="restart"/>
            <w:tcBorders>
              <w:top w:val="single" w:color="auto" w:sz="4" w:space="0"/>
              <w:left w:val="single" w:color="auto" w:sz="4" w:space="0"/>
              <w:right w:val="single" w:color="auto" w:sz="4" w:space="0"/>
            </w:tcBorders>
            <w:vAlign w:val="center"/>
          </w:tcPr>
          <w:p w14:paraId="3160EB47">
            <w:pPr>
              <w:spacing w:line="600" w:lineRule="exact"/>
              <w:rPr>
                <w:rFonts w:hint="eastAsia" w:ascii="宋体" w:hAnsi="宋体" w:cs="宋体" w:eastAsiaTheme="minorEastAsia"/>
                <w:sz w:val="22"/>
                <w:szCs w:val="22"/>
                <w:lang w:eastAsia="zh-CN"/>
              </w:rPr>
            </w:pPr>
            <w:r>
              <w:rPr>
                <w:rFonts w:hint="eastAsia" w:ascii="宋体" w:hAnsi="宋体" w:cs="宋体"/>
                <w:sz w:val="22"/>
                <w:szCs w:val="22"/>
                <w:lang w:val="en-US" w:eastAsia="zh-CN"/>
              </w:rPr>
              <w:t>2</w:t>
            </w:r>
          </w:p>
        </w:tc>
        <w:tc>
          <w:tcPr>
            <w:tcW w:w="932" w:type="dxa"/>
            <w:vMerge w:val="restart"/>
            <w:tcBorders>
              <w:top w:val="single" w:color="auto" w:sz="4" w:space="0"/>
              <w:left w:val="single" w:color="auto" w:sz="4" w:space="0"/>
              <w:right w:val="single" w:color="auto" w:sz="4" w:space="0"/>
            </w:tcBorders>
            <w:vAlign w:val="center"/>
          </w:tcPr>
          <w:p w14:paraId="3610EF3A">
            <w:pPr>
              <w:spacing w:line="600" w:lineRule="exact"/>
              <w:rPr>
                <w:rFonts w:ascii="宋体" w:hAnsi="宋体" w:cs="宋体"/>
                <w:sz w:val="22"/>
                <w:szCs w:val="22"/>
              </w:rPr>
            </w:pPr>
            <w:r>
              <w:rPr>
                <w:rFonts w:hint="eastAsia" w:ascii="宋体" w:hAnsi="宋体" w:cs="宋体"/>
                <w:sz w:val="22"/>
                <w:szCs w:val="22"/>
              </w:rPr>
              <w:t>资格性评审标准</w:t>
            </w:r>
          </w:p>
        </w:tc>
        <w:tc>
          <w:tcPr>
            <w:tcW w:w="2207" w:type="dxa"/>
            <w:tcBorders>
              <w:top w:val="single" w:color="auto" w:sz="4" w:space="0"/>
              <w:left w:val="single" w:color="auto" w:sz="4" w:space="0"/>
              <w:bottom w:val="single" w:color="auto" w:sz="4" w:space="0"/>
              <w:right w:val="single" w:color="auto" w:sz="4" w:space="0"/>
            </w:tcBorders>
            <w:shd w:val="clear" w:color="auto" w:fill="auto"/>
            <w:vAlign w:val="center"/>
          </w:tcPr>
          <w:p w14:paraId="6A850401">
            <w:pPr>
              <w:spacing w:line="240" w:lineRule="atLeast"/>
              <w:jc w:val="center"/>
              <w:rPr>
                <w:rFonts w:hint="eastAsia" w:ascii="宋体" w:hAnsi="宋体" w:eastAsia="宋体" w:cs="Times New Roman"/>
                <w:color w:val="000000" w:themeColor="text1"/>
                <w:sz w:val="22"/>
                <w:szCs w:val="22"/>
                <w14:textFill>
                  <w14:solidFill>
                    <w14:schemeClr w14:val="tx1"/>
                  </w14:solidFill>
                </w14:textFill>
              </w:rPr>
            </w:pPr>
            <w:r>
              <w:rPr>
                <w:rFonts w:ascii="宋体" w:hAnsi="宋体" w:eastAsia="宋体"/>
                <w:sz w:val="22"/>
                <w:szCs w:val="22"/>
              </w:rPr>
              <w:t>满足《中华人民共和国政府采购法》第二十二条规定</w:t>
            </w:r>
          </w:p>
        </w:tc>
        <w:tc>
          <w:tcPr>
            <w:tcW w:w="5917" w:type="dxa"/>
            <w:tcBorders>
              <w:top w:val="single" w:color="auto" w:sz="4" w:space="0"/>
              <w:left w:val="single" w:color="auto" w:sz="4" w:space="0"/>
              <w:bottom w:val="single" w:color="auto" w:sz="4" w:space="0"/>
              <w:right w:val="single" w:color="auto" w:sz="4" w:space="0"/>
            </w:tcBorders>
            <w:shd w:val="clear" w:color="auto" w:fill="auto"/>
            <w:vAlign w:val="center"/>
          </w:tcPr>
          <w:p w14:paraId="03DCA832">
            <w:pPr>
              <w:spacing w:line="240" w:lineRule="atLeast"/>
              <w:jc w:val="left"/>
              <w:rPr>
                <w:rFonts w:hint="eastAsia" w:ascii="宋体" w:hAnsi="宋体" w:eastAsia="宋体" w:cs="Times New Roman"/>
                <w:color w:val="000000" w:themeColor="text1"/>
                <w:kern w:val="2"/>
                <w:sz w:val="22"/>
                <w:szCs w:val="22"/>
                <w:lang w:val="en-US" w:eastAsia="zh-CN" w:bidi="ar-SA"/>
                <w14:textFill>
                  <w14:solidFill>
                    <w14:schemeClr w14:val="tx1"/>
                  </w14:solidFill>
                </w14:textFill>
              </w:rPr>
            </w:pPr>
            <w:r>
              <w:rPr>
                <w:rFonts w:ascii="宋体" w:hAnsi="宋体" w:eastAsia="宋体"/>
                <w:sz w:val="22"/>
                <w:szCs w:val="22"/>
              </w:rPr>
              <w:t>满足《中华人民共和国政府采购法》第二十二条规定</w:t>
            </w:r>
          </w:p>
        </w:tc>
      </w:tr>
      <w:tr w14:paraId="35FA2E8C">
        <w:tblPrEx>
          <w:tblCellMar>
            <w:top w:w="0" w:type="dxa"/>
            <w:left w:w="108" w:type="dxa"/>
            <w:bottom w:w="0" w:type="dxa"/>
            <w:right w:w="108" w:type="dxa"/>
          </w:tblCellMar>
        </w:tblPrEx>
        <w:trPr>
          <w:trHeight w:val="756" w:hRule="atLeast"/>
        </w:trPr>
        <w:tc>
          <w:tcPr>
            <w:tcW w:w="508" w:type="dxa"/>
            <w:vMerge w:val="continue"/>
            <w:tcBorders>
              <w:left w:val="single" w:color="auto" w:sz="4" w:space="0"/>
              <w:right w:val="single" w:color="auto" w:sz="4" w:space="0"/>
            </w:tcBorders>
            <w:vAlign w:val="center"/>
          </w:tcPr>
          <w:p w14:paraId="79A893BA">
            <w:pPr>
              <w:spacing w:line="600" w:lineRule="exact"/>
              <w:rPr>
                <w:rFonts w:hint="eastAsia" w:ascii="宋体" w:hAnsi="宋体" w:cs="宋体"/>
                <w:sz w:val="22"/>
                <w:szCs w:val="22"/>
                <w:lang w:val="en-US" w:eastAsia="zh-CN"/>
              </w:rPr>
            </w:pPr>
          </w:p>
        </w:tc>
        <w:tc>
          <w:tcPr>
            <w:tcW w:w="932" w:type="dxa"/>
            <w:vMerge w:val="continue"/>
            <w:tcBorders>
              <w:left w:val="single" w:color="auto" w:sz="4" w:space="0"/>
              <w:right w:val="single" w:color="auto" w:sz="4" w:space="0"/>
            </w:tcBorders>
            <w:vAlign w:val="center"/>
          </w:tcPr>
          <w:p w14:paraId="19A8FA03">
            <w:pPr>
              <w:spacing w:line="600" w:lineRule="exact"/>
              <w:rPr>
                <w:rFonts w:hint="eastAsia" w:ascii="宋体" w:hAnsi="宋体" w:cs="宋体"/>
                <w:sz w:val="22"/>
                <w:szCs w:val="22"/>
              </w:rPr>
            </w:pPr>
          </w:p>
        </w:tc>
        <w:tc>
          <w:tcPr>
            <w:tcW w:w="2207" w:type="dxa"/>
            <w:tcBorders>
              <w:top w:val="single" w:color="auto" w:sz="4" w:space="0"/>
              <w:left w:val="single" w:color="auto" w:sz="4" w:space="0"/>
              <w:bottom w:val="single" w:color="auto" w:sz="4" w:space="0"/>
              <w:right w:val="single" w:color="auto" w:sz="4" w:space="0"/>
            </w:tcBorders>
            <w:shd w:val="clear" w:color="auto" w:fill="auto"/>
            <w:vAlign w:val="center"/>
          </w:tcPr>
          <w:p w14:paraId="2BDDFFB7">
            <w:pPr>
              <w:spacing w:line="240" w:lineRule="atLeast"/>
              <w:jc w:val="center"/>
              <w:rPr>
                <w:rFonts w:hint="eastAsia" w:ascii="宋体" w:hAnsi="宋体" w:eastAsia="宋体" w:cs="Times New Roman"/>
                <w:color w:val="000000" w:themeColor="text1"/>
                <w:sz w:val="22"/>
                <w:szCs w:val="22"/>
                <w14:textFill>
                  <w14:solidFill>
                    <w14:schemeClr w14:val="tx1"/>
                  </w14:solidFill>
                </w14:textFill>
              </w:rPr>
            </w:pPr>
            <w:r>
              <w:rPr>
                <w:rFonts w:hint="eastAsia" w:ascii="宋体" w:hAnsi="宋体" w:eastAsia="宋体" w:cs="Times New Roman"/>
                <w:color w:val="000000" w:themeColor="text1"/>
                <w:sz w:val="22"/>
                <w:szCs w:val="22"/>
                <w:lang w:val="en-US" w:eastAsia="zh-CN"/>
                <w14:textFill>
                  <w14:solidFill>
                    <w14:schemeClr w14:val="tx1"/>
                  </w14:solidFill>
                </w14:textFill>
              </w:rPr>
              <w:t>落实政府采购政策满足的资格要求</w:t>
            </w:r>
          </w:p>
        </w:tc>
        <w:tc>
          <w:tcPr>
            <w:tcW w:w="5917" w:type="dxa"/>
            <w:tcBorders>
              <w:top w:val="single" w:color="auto" w:sz="4" w:space="0"/>
              <w:left w:val="single" w:color="auto" w:sz="4" w:space="0"/>
              <w:bottom w:val="single" w:color="auto" w:sz="4" w:space="0"/>
              <w:right w:val="single" w:color="auto" w:sz="4" w:space="0"/>
            </w:tcBorders>
            <w:shd w:val="clear" w:color="auto" w:fill="auto"/>
            <w:vAlign w:val="center"/>
          </w:tcPr>
          <w:p w14:paraId="0A4982BC">
            <w:pPr>
              <w:spacing w:line="240" w:lineRule="atLeast"/>
              <w:jc w:val="left"/>
              <w:rPr>
                <w:rFonts w:hint="eastAsia" w:ascii="宋体" w:hAnsi="宋体" w:eastAsia="宋体" w:cs="Times New Roman"/>
                <w:color w:val="000000" w:themeColor="text1"/>
                <w:kern w:val="2"/>
                <w:sz w:val="22"/>
                <w:szCs w:val="22"/>
                <w:lang w:val="en-US" w:eastAsia="zh-CN" w:bidi="ar-SA"/>
                <w14:textFill>
                  <w14:solidFill>
                    <w14:schemeClr w14:val="tx1"/>
                  </w14:solidFill>
                </w14:textFill>
              </w:rPr>
            </w:pPr>
            <w:r>
              <w:rPr>
                <w:rFonts w:hint="eastAsia" w:ascii="宋体" w:hAnsi="宋体" w:eastAsia="宋体" w:cs="Times New Roman"/>
                <w:color w:val="000000" w:themeColor="text1"/>
                <w:kern w:val="2"/>
                <w:sz w:val="22"/>
                <w:szCs w:val="22"/>
                <w:lang w:val="en-US" w:eastAsia="zh-CN" w:bidi="ar-SA"/>
                <w14:textFill>
                  <w14:solidFill>
                    <w14:schemeClr w14:val="tx1"/>
                  </w14:solidFill>
                </w14:textFill>
              </w:rPr>
              <w:t>落实政府采购政策满足的资格要求：根据《政府采购促进中小企业发展管理办法》（财库〔2020〕46号）规定，本项目专门面向中小企业采购,同时供应商须提供《中小企业声明函》</w:t>
            </w:r>
          </w:p>
        </w:tc>
      </w:tr>
      <w:tr w14:paraId="18D771EC">
        <w:tblPrEx>
          <w:tblCellMar>
            <w:top w:w="0" w:type="dxa"/>
            <w:left w:w="108" w:type="dxa"/>
            <w:bottom w:w="0" w:type="dxa"/>
            <w:right w:w="108" w:type="dxa"/>
          </w:tblCellMar>
        </w:tblPrEx>
        <w:trPr>
          <w:trHeight w:val="756" w:hRule="atLeast"/>
        </w:trPr>
        <w:tc>
          <w:tcPr>
            <w:tcW w:w="508" w:type="dxa"/>
            <w:vMerge w:val="continue"/>
            <w:tcBorders>
              <w:left w:val="single" w:color="auto" w:sz="4" w:space="0"/>
              <w:right w:val="single" w:color="auto" w:sz="4" w:space="0"/>
            </w:tcBorders>
            <w:vAlign w:val="center"/>
          </w:tcPr>
          <w:p w14:paraId="77745CD7">
            <w:pPr>
              <w:spacing w:line="600" w:lineRule="exact"/>
              <w:rPr>
                <w:rFonts w:hint="eastAsia" w:ascii="宋体" w:hAnsi="宋体" w:cs="宋体" w:eastAsiaTheme="minorEastAsia"/>
                <w:sz w:val="22"/>
                <w:szCs w:val="22"/>
                <w:lang w:eastAsia="zh-CN"/>
              </w:rPr>
            </w:pPr>
          </w:p>
        </w:tc>
        <w:tc>
          <w:tcPr>
            <w:tcW w:w="932" w:type="dxa"/>
            <w:vMerge w:val="continue"/>
            <w:tcBorders>
              <w:left w:val="single" w:color="auto" w:sz="4" w:space="0"/>
              <w:right w:val="single" w:color="auto" w:sz="4" w:space="0"/>
            </w:tcBorders>
            <w:vAlign w:val="center"/>
          </w:tcPr>
          <w:p w14:paraId="7B8340CC">
            <w:pPr>
              <w:spacing w:line="600" w:lineRule="exact"/>
              <w:rPr>
                <w:rFonts w:ascii="宋体" w:hAnsi="宋体" w:cs="宋体"/>
                <w:sz w:val="22"/>
                <w:szCs w:val="22"/>
              </w:rPr>
            </w:pPr>
          </w:p>
        </w:tc>
        <w:tc>
          <w:tcPr>
            <w:tcW w:w="2207" w:type="dxa"/>
            <w:tcBorders>
              <w:top w:val="single" w:color="auto" w:sz="4" w:space="0"/>
              <w:left w:val="single" w:color="auto" w:sz="4" w:space="0"/>
              <w:bottom w:val="single" w:color="auto" w:sz="4" w:space="0"/>
              <w:right w:val="single" w:color="auto" w:sz="4" w:space="0"/>
            </w:tcBorders>
            <w:shd w:val="clear" w:color="auto" w:fill="auto"/>
            <w:vAlign w:val="center"/>
          </w:tcPr>
          <w:p w14:paraId="14CEC7B5">
            <w:pPr>
              <w:spacing w:line="240" w:lineRule="atLeast"/>
              <w:jc w:val="center"/>
              <w:rPr>
                <w:rFonts w:hint="eastAsia" w:ascii="宋体" w:hAnsi="宋体" w:eastAsia="宋体" w:cs="MingLiU"/>
                <w:color w:val="000000" w:themeColor="text1"/>
                <w:kern w:val="2"/>
                <w:sz w:val="22"/>
                <w:szCs w:val="22"/>
                <w:lang w:val="en-US" w:eastAsia="zh-CN" w:bidi="ar-SA"/>
                <w14:textFill>
                  <w14:solidFill>
                    <w14:schemeClr w14:val="tx1"/>
                  </w14:solidFill>
                </w14:textFill>
              </w:rPr>
            </w:pPr>
            <w:r>
              <w:rPr>
                <w:rFonts w:hint="eastAsia" w:ascii="宋体" w:hAnsi="宋体" w:eastAsia="宋体" w:cs="Times New Roman"/>
                <w:color w:val="000000" w:themeColor="text1"/>
                <w:sz w:val="22"/>
                <w:szCs w:val="22"/>
                <w14:textFill>
                  <w14:solidFill>
                    <w14:schemeClr w14:val="tx1"/>
                  </w14:solidFill>
                </w14:textFill>
              </w:rPr>
              <w:t>营业执照</w:t>
            </w:r>
          </w:p>
        </w:tc>
        <w:tc>
          <w:tcPr>
            <w:tcW w:w="5917" w:type="dxa"/>
            <w:tcBorders>
              <w:top w:val="single" w:color="auto" w:sz="4" w:space="0"/>
              <w:left w:val="single" w:color="auto" w:sz="4" w:space="0"/>
              <w:bottom w:val="single" w:color="auto" w:sz="4" w:space="0"/>
              <w:right w:val="single" w:color="auto" w:sz="4" w:space="0"/>
            </w:tcBorders>
            <w:shd w:val="clear" w:color="auto" w:fill="auto"/>
            <w:vAlign w:val="center"/>
          </w:tcPr>
          <w:p w14:paraId="5BFA3249">
            <w:pPr>
              <w:spacing w:line="240" w:lineRule="atLeast"/>
              <w:jc w:val="left"/>
              <w:rPr>
                <w:rFonts w:hint="eastAsia" w:ascii="宋体" w:hAnsi="宋体" w:eastAsia="宋体" w:cs="Times New Roman"/>
                <w:color w:val="000000" w:themeColor="text1"/>
                <w:kern w:val="2"/>
                <w:sz w:val="22"/>
                <w:szCs w:val="22"/>
                <w:lang w:val="en-US" w:eastAsia="zh-CN" w:bidi="ar-SA"/>
                <w14:textFill>
                  <w14:solidFill>
                    <w14:schemeClr w14:val="tx1"/>
                  </w14:solidFill>
                </w14:textFill>
              </w:rPr>
            </w:pPr>
            <w:r>
              <w:rPr>
                <w:rFonts w:hint="eastAsia" w:ascii="宋体" w:hAnsi="宋体" w:eastAsia="宋体" w:cs="Times New Roman"/>
                <w:color w:val="000000" w:themeColor="text1"/>
                <w:kern w:val="2"/>
                <w:sz w:val="22"/>
                <w:szCs w:val="22"/>
                <w:lang w:val="en-US" w:eastAsia="zh-CN" w:bidi="ar-SA"/>
                <w14:textFill>
                  <w14:solidFill>
                    <w14:schemeClr w14:val="tx1"/>
                  </w14:solidFill>
                </w14:textFill>
              </w:rPr>
              <w:t>供应商须具有有效的营业执照</w:t>
            </w:r>
          </w:p>
        </w:tc>
      </w:tr>
      <w:tr w14:paraId="25A5B72F">
        <w:tblPrEx>
          <w:tblCellMar>
            <w:top w:w="0" w:type="dxa"/>
            <w:left w:w="108" w:type="dxa"/>
            <w:bottom w:w="0" w:type="dxa"/>
            <w:right w:w="108" w:type="dxa"/>
          </w:tblCellMar>
        </w:tblPrEx>
        <w:trPr>
          <w:trHeight w:val="756" w:hRule="atLeast"/>
        </w:trPr>
        <w:tc>
          <w:tcPr>
            <w:tcW w:w="508" w:type="dxa"/>
            <w:vMerge w:val="continue"/>
            <w:tcBorders>
              <w:left w:val="single" w:color="auto" w:sz="4" w:space="0"/>
              <w:right w:val="single" w:color="auto" w:sz="4" w:space="0"/>
            </w:tcBorders>
            <w:vAlign w:val="center"/>
          </w:tcPr>
          <w:p w14:paraId="1D752990">
            <w:pPr>
              <w:spacing w:line="600" w:lineRule="exact"/>
              <w:rPr>
                <w:rFonts w:hint="eastAsia" w:ascii="宋体" w:hAnsi="宋体" w:cs="宋体"/>
                <w:sz w:val="22"/>
                <w:szCs w:val="22"/>
                <w:lang w:val="en-US" w:eastAsia="zh-CN"/>
              </w:rPr>
            </w:pPr>
          </w:p>
        </w:tc>
        <w:tc>
          <w:tcPr>
            <w:tcW w:w="932" w:type="dxa"/>
            <w:vMerge w:val="continue"/>
            <w:tcBorders>
              <w:left w:val="single" w:color="auto" w:sz="4" w:space="0"/>
              <w:right w:val="single" w:color="auto" w:sz="4" w:space="0"/>
            </w:tcBorders>
            <w:vAlign w:val="center"/>
          </w:tcPr>
          <w:p w14:paraId="6907C6EB">
            <w:pPr>
              <w:spacing w:line="600" w:lineRule="exact"/>
              <w:rPr>
                <w:rFonts w:hint="eastAsia" w:ascii="宋体" w:hAnsi="宋体" w:cs="宋体"/>
                <w:sz w:val="22"/>
                <w:szCs w:val="22"/>
              </w:rPr>
            </w:pPr>
          </w:p>
        </w:tc>
        <w:tc>
          <w:tcPr>
            <w:tcW w:w="2207" w:type="dxa"/>
            <w:tcBorders>
              <w:top w:val="single" w:color="auto" w:sz="4" w:space="0"/>
              <w:left w:val="single" w:color="auto" w:sz="4" w:space="0"/>
              <w:bottom w:val="single" w:color="auto" w:sz="4" w:space="0"/>
              <w:right w:val="single" w:color="auto" w:sz="4" w:space="0"/>
            </w:tcBorders>
            <w:shd w:val="clear" w:color="auto" w:fill="auto"/>
            <w:vAlign w:val="center"/>
          </w:tcPr>
          <w:p w14:paraId="7491737B">
            <w:pPr>
              <w:spacing w:line="240" w:lineRule="atLeast"/>
              <w:jc w:val="center"/>
              <w:rPr>
                <w:rFonts w:hint="eastAsia" w:ascii="宋体" w:hAnsi="宋体" w:eastAsia="宋体" w:cs="Times New Roman"/>
                <w:color w:val="000000" w:themeColor="text1"/>
                <w:sz w:val="22"/>
                <w:szCs w:val="22"/>
                <w:lang w:val="en-US" w:eastAsia="zh-CN"/>
                <w14:textFill>
                  <w14:solidFill>
                    <w14:schemeClr w14:val="tx1"/>
                  </w14:solidFill>
                </w14:textFill>
              </w:rPr>
            </w:pPr>
            <w:r>
              <w:rPr>
                <w:rFonts w:hint="eastAsia" w:ascii="宋体" w:hAnsi="宋体" w:eastAsia="宋体" w:cs="Times New Roman"/>
                <w:color w:val="000000" w:themeColor="text1"/>
                <w:sz w:val="22"/>
                <w:szCs w:val="22"/>
                <w:lang w:val="en-US" w:eastAsia="zh-CN"/>
                <w14:textFill>
                  <w14:solidFill>
                    <w14:schemeClr w14:val="tx1"/>
                  </w14:solidFill>
                </w14:textFill>
              </w:rPr>
              <w:t>企业资质</w:t>
            </w:r>
          </w:p>
        </w:tc>
        <w:tc>
          <w:tcPr>
            <w:tcW w:w="5917" w:type="dxa"/>
            <w:tcBorders>
              <w:top w:val="single" w:color="auto" w:sz="4" w:space="0"/>
              <w:left w:val="single" w:color="auto" w:sz="4" w:space="0"/>
              <w:bottom w:val="single" w:color="auto" w:sz="4" w:space="0"/>
              <w:right w:val="single" w:color="auto" w:sz="4" w:space="0"/>
            </w:tcBorders>
            <w:shd w:val="clear" w:color="auto" w:fill="auto"/>
            <w:vAlign w:val="center"/>
          </w:tcPr>
          <w:p w14:paraId="346D2AFB">
            <w:pPr>
              <w:spacing w:line="240" w:lineRule="atLeast"/>
              <w:jc w:val="left"/>
              <w:rPr>
                <w:rFonts w:hint="eastAsia" w:ascii="宋体" w:hAnsi="宋体" w:eastAsia="宋体" w:cs="Times New Roman"/>
                <w:color w:val="000000" w:themeColor="text1"/>
                <w:kern w:val="2"/>
                <w:sz w:val="22"/>
                <w:szCs w:val="22"/>
                <w:lang w:val="en-US" w:eastAsia="zh-CN" w:bidi="ar-SA"/>
                <w14:textFill>
                  <w14:solidFill>
                    <w14:schemeClr w14:val="tx1"/>
                  </w14:solidFill>
                </w14:textFill>
              </w:rPr>
            </w:pPr>
            <w:r>
              <w:rPr>
                <w:rFonts w:hint="eastAsia" w:ascii="宋体" w:hAnsi="宋体" w:eastAsia="宋体" w:cs="Times New Roman"/>
                <w:color w:val="000000" w:themeColor="text1"/>
                <w:kern w:val="2"/>
                <w:sz w:val="22"/>
                <w:szCs w:val="22"/>
                <w:lang w:val="en-US" w:eastAsia="zh-CN" w:bidi="ar-SA"/>
                <w14:textFill>
                  <w14:solidFill>
                    <w14:schemeClr w14:val="tx1"/>
                  </w14:solidFill>
                </w14:textFill>
              </w:rPr>
              <w:t>供应商须具有建筑工程施工总承包叁级及以上资质，且具有有效的安全生产许可证；并在人员、设备、资金等方面具有相应的施工能力（提供承诺书或证明材料，承诺书格式自拟）</w:t>
            </w:r>
          </w:p>
        </w:tc>
      </w:tr>
      <w:tr w14:paraId="2D7B9C9D">
        <w:tblPrEx>
          <w:tblCellMar>
            <w:top w:w="0" w:type="dxa"/>
            <w:left w:w="108" w:type="dxa"/>
            <w:bottom w:w="0" w:type="dxa"/>
            <w:right w:w="108" w:type="dxa"/>
          </w:tblCellMar>
        </w:tblPrEx>
        <w:trPr>
          <w:trHeight w:val="749" w:hRule="atLeast"/>
        </w:trPr>
        <w:tc>
          <w:tcPr>
            <w:tcW w:w="508" w:type="dxa"/>
            <w:vMerge w:val="continue"/>
            <w:tcBorders>
              <w:left w:val="single" w:color="auto" w:sz="4" w:space="0"/>
              <w:right w:val="single" w:color="auto" w:sz="4" w:space="0"/>
            </w:tcBorders>
            <w:vAlign w:val="center"/>
          </w:tcPr>
          <w:p w14:paraId="47328B22">
            <w:pPr>
              <w:spacing w:line="600" w:lineRule="exact"/>
              <w:rPr>
                <w:rFonts w:ascii="宋体" w:hAnsi="宋体" w:cs="宋体"/>
                <w:sz w:val="22"/>
                <w:szCs w:val="22"/>
              </w:rPr>
            </w:pPr>
          </w:p>
        </w:tc>
        <w:tc>
          <w:tcPr>
            <w:tcW w:w="932" w:type="dxa"/>
            <w:vMerge w:val="continue"/>
            <w:tcBorders>
              <w:left w:val="single" w:color="auto" w:sz="4" w:space="0"/>
              <w:right w:val="single" w:color="auto" w:sz="4" w:space="0"/>
            </w:tcBorders>
            <w:vAlign w:val="center"/>
          </w:tcPr>
          <w:p w14:paraId="1957D456">
            <w:pPr>
              <w:spacing w:line="600" w:lineRule="exact"/>
              <w:rPr>
                <w:rFonts w:ascii="宋体" w:hAnsi="宋体" w:cs="宋体"/>
                <w:sz w:val="22"/>
                <w:szCs w:val="22"/>
              </w:rPr>
            </w:pPr>
          </w:p>
        </w:tc>
        <w:tc>
          <w:tcPr>
            <w:tcW w:w="2207" w:type="dxa"/>
            <w:tcBorders>
              <w:top w:val="single" w:color="auto" w:sz="4" w:space="0"/>
              <w:left w:val="single" w:color="auto" w:sz="4" w:space="0"/>
              <w:bottom w:val="single" w:color="auto" w:sz="4" w:space="0"/>
              <w:right w:val="single" w:color="auto" w:sz="4" w:space="0"/>
            </w:tcBorders>
            <w:vAlign w:val="center"/>
          </w:tcPr>
          <w:p w14:paraId="176A8333">
            <w:pPr>
              <w:jc w:val="center"/>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t>拟派项目经理</w:t>
            </w:r>
            <w:r>
              <w:rPr>
                <w:rFonts w:hint="eastAsia" w:ascii="宋体" w:hAnsi="宋体" w:eastAsia="宋体" w:cs="宋体"/>
                <w:sz w:val="22"/>
                <w:szCs w:val="22"/>
                <w:lang w:val="en-US" w:eastAsia="zh-CN"/>
              </w:rPr>
              <w:t>要求</w:t>
            </w:r>
          </w:p>
        </w:tc>
        <w:tc>
          <w:tcPr>
            <w:tcW w:w="5917" w:type="dxa"/>
            <w:tcBorders>
              <w:top w:val="single" w:color="auto" w:sz="4" w:space="0"/>
              <w:left w:val="single" w:color="auto" w:sz="4" w:space="0"/>
              <w:bottom w:val="single" w:color="auto" w:sz="4" w:space="0"/>
              <w:right w:val="single" w:color="auto" w:sz="4" w:space="0"/>
            </w:tcBorders>
            <w:vAlign w:val="center"/>
          </w:tcPr>
          <w:p w14:paraId="02DDEC5F">
            <w:pPr>
              <w:adjustRightInd w:val="0"/>
              <w:snapToGrid w:val="0"/>
              <w:spacing w:line="360" w:lineRule="exact"/>
              <w:outlineLvl w:val="0"/>
              <w:rPr>
                <w:rFonts w:hint="eastAsia" w:ascii="宋体" w:hAnsi="宋体" w:cs="宋体"/>
                <w:sz w:val="22"/>
                <w:szCs w:val="22"/>
              </w:rPr>
            </w:pPr>
            <w:r>
              <w:rPr>
                <w:rFonts w:hint="eastAsia" w:ascii="宋体" w:hAnsi="宋体" w:cs="宋体"/>
                <w:sz w:val="22"/>
                <w:szCs w:val="22"/>
                <w:lang w:val="en-US" w:eastAsia="zh-CN"/>
              </w:rPr>
              <w:t>拟派项目经理须具备建筑工程专业贰级及以上注册建造师资格，并具有有效的安全生产考核合格证及单位的养老保险缴纳证明；且未在其他在建项目中担任项目经理，出具无在建承诺书，格式自拟</w:t>
            </w:r>
          </w:p>
        </w:tc>
      </w:tr>
      <w:tr w14:paraId="5918C93D">
        <w:tblPrEx>
          <w:tblCellMar>
            <w:top w:w="0" w:type="dxa"/>
            <w:left w:w="108" w:type="dxa"/>
            <w:bottom w:w="0" w:type="dxa"/>
            <w:right w:w="108" w:type="dxa"/>
          </w:tblCellMar>
        </w:tblPrEx>
        <w:trPr>
          <w:trHeight w:val="919" w:hRule="atLeast"/>
        </w:trPr>
        <w:tc>
          <w:tcPr>
            <w:tcW w:w="508" w:type="dxa"/>
            <w:vMerge w:val="continue"/>
            <w:tcBorders>
              <w:left w:val="single" w:color="auto" w:sz="4" w:space="0"/>
              <w:right w:val="single" w:color="auto" w:sz="4" w:space="0"/>
            </w:tcBorders>
            <w:vAlign w:val="center"/>
          </w:tcPr>
          <w:p w14:paraId="41D9C0FC">
            <w:pPr>
              <w:spacing w:line="600" w:lineRule="exact"/>
              <w:rPr>
                <w:rFonts w:ascii="宋体" w:hAnsi="宋体" w:cs="宋体"/>
                <w:sz w:val="22"/>
                <w:szCs w:val="22"/>
              </w:rPr>
            </w:pPr>
          </w:p>
        </w:tc>
        <w:tc>
          <w:tcPr>
            <w:tcW w:w="932" w:type="dxa"/>
            <w:vMerge w:val="continue"/>
            <w:tcBorders>
              <w:left w:val="single" w:color="auto" w:sz="4" w:space="0"/>
              <w:right w:val="single" w:color="auto" w:sz="4" w:space="0"/>
            </w:tcBorders>
            <w:vAlign w:val="center"/>
          </w:tcPr>
          <w:p w14:paraId="6F98E675">
            <w:pPr>
              <w:spacing w:line="600" w:lineRule="exact"/>
              <w:rPr>
                <w:rFonts w:ascii="宋体" w:hAnsi="宋体" w:cs="宋体"/>
                <w:sz w:val="22"/>
                <w:szCs w:val="22"/>
              </w:rPr>
            </w:pPr>
          </w:p>
        </w:tc>
        <w:tc>
          <w:tcPr>
            <w:tcW w:w="2207" w:type="dxa"/>
            <w:tcBorders>
              <w:top w:val="single" w:color="auto" w:sz="4" w:space="0"/>
              <w:left w:val="single" w:color="auto" w:sz="4" w:space="0"/>
              <w:bottom w:val="single" w:color="auto" w:sz="4" w:space="0"/>
              <w:right w:val="single" w:color="auto" w:sz="4" w:space="0"/>
            </w:tcBorders>
            <w:shd w:val="clear" w:color="auto" w:fill="auto"/>
            <w:vAlign w:val="center"/>
          </w:tcPr>
          <w:p w14:paraId="732010D7">
            <w:pPr>
              <w:jc w:val="center"/>
              <w:rPr>
                <w:rFonts w:hint="eastAsia" w:ascii="宋体" w:hAnsi="宋体" w:cs="宋体" w:eastAsiaTheme="minorEastAsia"/>
                <w:kern w:val="2"/>
                <w:sz w:val="22"/>
                <w:szCs w:val="22"/>
                <w:lang w:val="en-US" w:eastAsia="zh-CN" w:bidi="ar-SA"/>
              </w:rPr>
            </w:pPr>
            <w:r>
              <w:rPr>
                <w:rFonts w:hint="eastAsia" w:ascii="宋体" w:hAnsi="宋体" w:cs="宋体"/>
                <w:sz w:val="22"/>
                <w:szCs w:val="22"/>
                <w:lang w:val="en-US" w:eastAsia="zh-CN"/>
              </w:rPr>
              <w:t>财务状况</w:t>
            </w:r>
          </w:p>
        </w:tc>
        <w:tc>
          <w:tcPr>
            <w:tcW w:w="5917" w:type="dxa"/>
            <w:tcBorders>
              <w:top w:val="single" w:color="auto" w:sz="4" w:space="0"/>
              <w:left w:val="single" w:color="auto" w:sz="4" w:space="0"/>
              <w:bottom w:val="single" w:color="auto" w:sz="4" w:space="0"/>
              <w:right w:val="single" w:color="auto" w:sz="4" w:space="0"/>
            </w:tcBorders>
            <w:shd w:val="clear" w:color="auto" w:fill="auto"/>
            <w:vAlign w:val="center"/>
          </w:tcPr>
          <w:p w14:paraId="0EE3B1E7">
            <w:pPr>
              <w:spacing w:line="240" w:lineRule="auto"/>
              <w:jc w:val="left"/>
              <w:rPr>
                <w:rFonts w:hint="eastAsia" w:ascii="宋体" w:hAnsi="宋体" w:cs="宋体" w:eastAsiaTheme="minorEastAsia"/>
                <w:kern w:val="2"/>
                <w:sz w:val="22"/>
                <w:szCs w:val="22"/>
                <w:lang w:val="en-US" w:eastAsia="zh-CN" w:bidi="ar-SA"/>
              </w:rPr>
            </w:pPr>
            <w:r>
              <w:rPr>
                <w:rFonts w:hint="eastAsia" w:ascii="宋体" w:hAnsi="宋体" w:cs="宋体" w:eastAsiaTheme="minorEastAsia"/>
                <w:kern w:val="2"/>
                <w:sz w:val="22"/>
                <w:szCs w:val="22"/>
                <w:lang w:val="en-US" w:eastAsia="zh-CN" w:bidi="ar-SA"/>
              </w:rPr>
              <w:t>供应商具有良好的商业信誉和健全的财务会计制度(提供近三年任意一年的审计报告或财务报告，不足一年，应提供注册期后至今的财务报表）</w:t>
            </w:r>
          </w:p>
        </w:tc>
      </w:tr>
      <w:tr w14:paraId="3EA6F718">
        <w:tblPrEx>
          <w:tblCellMar>
            <w:top w:w="0" w:type="dxa"/>
            <w:left w:w="108" w:type="dxa"/>
            <w:bottom w:w="0" w:type="dxa"/>
            <w:right w:w="108" w:type="dxa"/>
          </w:tblCellMar>
        </w:tblPrEx>
        <w:trPr>
          <w:trHeight w:val="783" w:hRule="atLeast"/>
        </w:trPr>
        <w:tc>
          <w:tcPr>
            <w:tcW w:w="508" w:type="dxa"/>
            <w:vMerge w:val="continue"/>
            <w:tcBorders>
              <w:left w:val="single" w:color="auto" w:sz="4" w:space="0"/>
              <w:right w:val="single" w:color="auto" w:sz="4" w:space="0"/>
            </w:tcBorders>
            <w:vAlign w:val="center"/>
          </w:tcPr>
          <w:p w14:paraId="4178C4DB">
            <w:pPr>
              <w:spacing w:line="600" w:lineRule="exact"/>
              <w:rPr>
                <w:rFonts w:ascii="宋体" w:hAnsi="宋体" w:cs="宋体"/>
                <w:sz w:val="22"/>
                <w:szCs w:val="22"/>
              </w:rPr>
            </w:pPr>
          </w:p>
        </w:tc>
        <w:tc>
          <w:tcPr>
            <w:tcW w:w="932" w:type="dxa"/>
            <w:vMerge w:val="continue"/>
            <w:tcBorders>
              <w:left w:val="single" w:color="auto" w:sz="4" w:space="0"/>
              <w:right w:val="single" w:color="auto" w:sz="4" w:space="0"/>
            </w:tcBorders>
            <w:vAlign w:val="center"/>
          </w:tcPr>
          <w:p w14:paraId="5ED106E6">
            <w:pPr>
              <w:spacing w:line="600" w:lineRule="exact"/>
              <w:rPr>
                <w:rFonts w:ascii="宋体" w:hAnsi="宋体" w:cs="宋体"/>
                <w:sz w:val="22"/>
                <w:szCs w:val="22"/>
              </w:rPr>
            </w:pPr>
          </w:p>
        </w:tc>
        <w:tc>
          <w:tcPr>
            <w:tcW w:w="2207" w:type="dxa"/>
            <w:tcBorders>
              <w:top w:val="single" w:color="auto" w:sz="4" w:space="0"/>
              <w:left w:val="single" w:color="auto" w:sz="4" w:space="0"/>
              <w:bottom w:val="single" w:color="auto" w:sz="4" w:space="0"/>
              <w:right w:val="single" w:color="auto" w:sz="4" w:space="0"/>
            </w:tcBorders>
            <w:shd w:val="clear" w:color="auto" w:fill="auto"/>
            <w:vAlign w:val="center"/>
          </w:tcPr>
          <w:p w14:paraId="34220E0B">
            <w:pPr>
              <w:jc w:val="center"/>
              <w:rPr>
                <w:rFonts w:hint="eastAsia" w:ascii="宋体" w:hAnsi="宋体" w:cs="宋体" w:eastAsiaTheme="minorEastAsia"/>
                <w:bCs/>
                <w:kern w:val="2"/>
                <w:sz w:val="22"/>
                <w:szCs w:val="22"/>
                <w:lang w:val="en-US" w:eastAsia="zh-CN" w:bidi="ar-SA"/>
              </w:rPr>
            </w:pPr>
            <w:r>
              <w:rPr>
                <w:rFonts w:hint="eastAsia" w:ascii="宋体" w:hAnsi="宋体" w:cs="宋体" w:eastAsiaTheme="minorEastAsia"/>
                <w:bCs/>
                <w:kern w:val="2"/>
                <w:sz w:val="22"/>
                <w:szCs w:val="22"/>
                <w:lang w:val="en-US" w:eastAsia="zh-CN" w:bidi="ar-SA"/>
              </w:rPr>
              <w:t>无商业贿赂和不正当竞争行为</w:t>
            </w:r>
          </w:p>
        </w:tc>
        <w:tc>
          <w:tcPr>
            <w:tcW w:w="5917" w:type="dxa"/>
            <w:tcBorders>
              <w:top w:val="single" w:color="auto" w:sz="4" w:space="0"/>
              <w:left w:val="single" w:color="auto" w:sz="4" w:space="0"/>
              <w:bottom w:val="single" w:color="auto" w:sz="4" w:space="0"/>
              <w:right w:val="single" w:color="auto" w:sz="4" w:space="0"/>
            </w:tcBorders>
            <w:shd w:val="clear" w:color="auto" w:fill="auto"/>
            <w:vAlign w:val="center"/>
          </w:tcPr>
          <w:p w14:paraId="001C0953">
            <w:pPr>
              <w:pStyle w:val="13"/>
              <w:spacing w:line="360" w:lineRule="exact"/>
              <w:ind w:firstLine="0" w:firstLineChars="0"/>
              <w:rPr>
                <w:rFonts w:hint="eastAsia" w:asciiTheme="majorEastAsia" w:hAnsiTheme="majorEastAsia" w:eastAsiaTheme="majorEastAsia" w:cstheme="minorBidi"/>
                <w:kern w:val="0"/>
                <w:sz w:val="22"/>
                <w:szCs w:val="22"/>
                <w:lang w:val="en-US" w:eastAsia="zh-CN" w:bidi="ar-SA"/>
              </w:rPr>
            </w:pPr>
            <w:r>
              <w:rPr>
                <w:rFonts w:hint="eastAsia" w:asciiTheme="majorEastAsia" w:hAnsiTheme="majorEastAsia" w:eastAsiaTheme="majorEastAsia" w:cstheme="minorBidi"/>
                <w:kern w:val="0"/>
                <w:sz w:val="22"/>
                <w:szCs w:val="22"/>
                <w:lang w:val="en-US" w:eastAsia="zh-CN" w:bidi="ar-SA"/>
              </w:rPr>
              <w:t>参加政府采购活动前3年内无行贿犯罪记录、商业贿赂、不正当竞争行为、骗取中标、严重违约及重大工程质量等问题（提供承诺书或证明材料，承诺书格式自拟）</w:t>
            </w:r>
          </w:p>
        </w:tc>
      </w:tr>
      <w:tr w14:paraId="07787CC4">
        <w:tblPrEx>
          <w:tblCellMar>
            <w:top w:w="0" w:type="dxa"/>
            <w:left w:w="108" w:type="dxa"/>
            <w:bottom w:w="0" w:type="dxa"/>
            <w:right w:w="108" w:type="dxa"/>
          </w:tblCellMar>
        </w:tblPrEx>
        <w:trPr>
          <w:trHeight w:val="783" w:hRule="atLeast"/>
        </w:trPr>
        <w:tc>
          <w:tcPr>
            <w:tcW w:w="508" w:type="dxa"/>
            <w:vMerge w:val="continue"/>
            <w:tcBorders>
              <w:left w:val="single" w:color="auto" w:sz="4" w:space="0"/>
              <w:right w:val="single" w:color="auto" w:sz="4" w:space="0"/>
            </w:tcBorders>
            <w:vAlign w:val="center"/>
          </w:tcPr>
          <w:p w14:paraId="0BC4E6A8">
            <w:pPr>
              <w:spacing w:line="600" w:lineRule="exact"/>
              <w:rPr>
                <w:rFonts w:ascii="宋体" w:hAnsi="宋体" w:cs="宋体"/>
                <w:sz w:val="22"/>
                <w:szCs w:val="22"/>
              </w:rPr>
            </w:pPr>
          </w:p>
        </w:tc>
        <w:tc>
          <w:tcPr>
            <w:tcW w:w="932" w:type="dxa"/>
            <w:vMerge w:val="continue"/>
            <w:tcBorders>
              <w:left w:val="single" w:color="auto" w:sz="4" w:space="0"/>
              <w:right w:val="single" w:color="auto" w:sz="4" w:space="0"/>
            </w:tcBorders>
            <w:vAlign w:val="center"/>
          </w:tcPr>
          <w:p w14:paraId="4A97E30F">
            <w:pPr>
              <w:spacing w:line="600" w:lineRule="exact"/>
              <w:rPr>
                <w:rFonts w:ascii="宋体" w:hAnsi="宋体" w:cs="宋体"/>
                <w:sz w:val="22"/>
                <w:szCs w:val="22"/>
              </w:rPr>
            </w:pPr>
          </w:p>
        </w:tc>
        <w:tc>
          <w:tcPr>
            <w:tcW w:w="2207" w:type="dxa"/>
            <w:tcBorders>
              <w:top w:val="single" w:color="auto" w:sz="4" w:space="0"/>
              <w:left w:val="single" w:color="auto" w:sz="4" w:space="0"/>
              <w:bottom w:val="single" w:color="auto" w:sz="4" w:space="0"/>
              <w:right w:val="single" w:color="auto" w:sz="4" w:space="0"/>
            </w:tcBorders>
            <w:shd w:val="clear" w:color="auto" w:fill="auto"/>
            <w:vAlign w:val="center"/>
          </w:tcPr>
          <w:p w14:paraId="2EEEFF53">
            <w:pPr>
              <w:jc w:val="center"/>
              <w:rPr>
                <w:rFonts w:hint="default" w:ascii="宋体" w:hAnsi="宋体" w:cs="宋体" w:eastAsiaTheme="minorEastAsia"/>
                <w:bCs/>
                <w:kern w:val="2"/>
                <w:sz w:val="22"/>
                <w:szCs w:val="22"/>
                <w:lang w:val="en-US" w:eastAsia="zh-CN" w:bidi="ar-SA"/>
              </w:rPr>
            </w:pPr>
            <w:r>
              <w:rPr>
                <w:rFonts w:hint="eastAsia" w:ascii="宋体" w:hAnsi="宋体" w:cs="宋体" w:eastAsiaTheme="minorEastAsia"/>
                <w:bCs/>
                <w:kern w:val="2"/>
                <w:sz w:val="22"/>
                <w:szCs w:val="22"/>
                <w:lang w:val="en-US" w:eastAsia="zh-CN" w:bidi="ar-SA"/>
              </w:rPr>
              <w:t>无行贿犯罪记录查询</w:t>
            </w:r>
          </w:p>
        </w:tc>
        <w:tc>
          <w:tcPr>
            <w:tcW w:w="5917" w:type="dxa"/>
            <w:tcBorders>
              <w:top w:val="single" w:color="auto" w:sz="4" w:space="0"/>
              <w:left w:val="single" w:color="auto" w:sz="4" w:space="0"/>
              <w:bottom w:val="single" w:color="auto" w:sz="4" w:space="0"/>
              <w:right w:val="single" w:color="auto" w:sz="4" w:space="0"/>
            </w:tcBorders>
            <w:shd w:val="clear" w:color="auto" w:fill="auto"/>
            <w:vAlign w:val="center"/>
          </w:tcPr>
          <w:p w14:paraId="6E1DC868">
            <w:pPr>
              <w:pStyle w:val="13"/>
              <w:spacing w:line="360" w:lineRule="exact"/>
              <w:ind w:firstLine="0" w:firstLineChars="0"/>
              <w:rPr>
                <w:rFonts w:hint="eastAsia" w:asciiTheme="majorEastAsia" w:hAnsiTheme="majorEastAsia" w:eastAsiaTheme="majorEastAsia" w:cstheme="minorBidi"/>
                <w:kern w:val="0"/>
                <w:sz w:val="22"/>
                <w:szCs w:val="22"/>
                <w:lang w:val="en-US" w:eastAsia="zh-CN" w:bidi="ar-SA"/>
              </w:rPr>
            </w:pPr>
            <w:r>
              <w:rPr>
                <w:rFonts w:hint="eastAsia" w:asciiTheme="majorEastAsia" w:hAnsiTheme="majorEastAsia" w:eastAsiaTheme="majorEastAsia" w:cstheme="minorBidi"/>
                <w:kern w:val="0"/>
                <w:sz w:val="22"/>
                <w:szCs w:val="22"/>
                <w:lang w:val="en-US" w:eastAsia="zh-CN" w:bidi="ar-SA"/>
              </w:rPr>
              <w:t>供应商出具无行贿犯罪记录在中国裁判文书网自行查询或自行承诺（查询/承诺对象：企业、法定代表人），查询日期必须在本项目磋商公告发布之日后，查询截图需显示查询时间</w:t>
            </w:r>
          </w:p>
        </w:tc>
      </w:tr>
      <w:tr w14:paraId="53F6D8A1">
        <w:tblPrEx>
          <w:tblCellMar>
            <w:top w:w="0" w:type="dxa"/>
            <w:left w:w="108" w:type="dxa"/>
            <w:bottom w:w="0" w:type="dxa"/>
            <w:right w:w="108" w:type="dxa"/>
          </w:tblCellMar>
        </w:tblPrEx>
        <w:trPr>
          <w:trHeight w:val="692" w:hRule="atLeast"/>
        </w:trPr>
        <w:tc>
          <w:tcPr>
            <w:tcW w:w="508" w:type="dxa"/>
            <w:vMerge w:val="continue"/>
            <w:tcBorders>
              <w:left w:val="single" w:color="auto" w:sz="4" w:space="0"/>
              <w:right w:val="single" w:color="auto" w:sz="4" w:space="0"/>
            </w:tcBorders>
            <w:vAlign w:val="center"/>
          </w:tcPr>
          <w:p w14:paraId="3F07D928">
            <w:pPr>
              <w:spacing w:line="600" w:lineRule="exact"/>
              <w:rPr>
                <w:rFonts w:ascii="宋体" w:hAnsi="宋体" w:cs="宋体"/>
                <w:sz w:val="22"/>
                <w:szCs w:val="22"/>
              </w:rPr>
            </w:pPr>
          </w:p>
        </w:tc>
        <w:tc>
          <w:tcPr>
            <w:tcW w:w="932" w:type="dxa"/>
            <w:vMerge w:val="continue"/>
            <w:tcBorders>
              <w:left w:val="single" w:color="auto" w:sz="4" w:space="0"/>
              <w:right w:val="single" w:color="auto" w:sz="4" w:space="0"/>
            </w:tcBorders>
            <w:vAlign w:val="center"/>
          </w:tcPr>
          <w:p w14:paraId="1D0E32DD">
            <w:pPr>
              <w:spacing w:line="600" w:lineRule="exact"/>
              <w:rPr>
                <w:rFonts w:ascii="宋体" w:hAnsi="宋体" w:cs="宋体"/>
                <w:sz w:val="22"/>
                <w:szCs w:val="22"/>
              </w:rPr>
            </w:pPr>
          </w:p>
        </w:tc>
        <w:tc>
          <w:tcPr>
            <w:tcW w:w="2207" w:type="dxa"/>
            <w:tcBorders>
              <w:top w:val="single" w:color="auto" w:sz="4" w:space="0"/>
              <w:left w:val="single" w:color="auto" w:sz="4" w:space="0"/>
              <w:bottom w:val="single" w:color="auto" w:sz="4" w:space="0"/>
              <w:right w:val="single" w:color="auto" w:sz="4" w:space="0"/>
            </w:tcBorders>
            <w:vAlign w:val="center"/>
          </w:tcPr>
          <w:p w14:paraId="46178478">
            <w:pPr>
              <w:jc w:val="center"/>
              <w:rPr>
                <w:rFonts w:hint="eastAsia" w:hAnsi="宋体" w:cs="Courier New" w:eastAsiaTheme="minorEastAsia"/>
                <w:sz w:val="22"/>
                <w:szCs w:val="22"/>
                <w:lang w:eastAsia="zh-CN"/>
              </w:rPr>
            </w:pPr>
            <w:r>
              <w:rPr>
                <w:rFonts w:hint="eastAsia" w:hAnsi="宋体" w:cs="Courier New" w:eastAsiaTheme="minorEastAsia"/>
                <w:sz w:val="22"/>
                <w:szCs w:val="22"/>
                <w:lang w:val="en-US" w:eastAsia="zh-CN"/>
              </w:rPr>
              <w:t>信誉要求</w:t>
            </w:r>
          </w:p>
        </w:tc>
        <w:tc>
          <w:tcPr>
            <w:tcW w:w="5917" w:type="dxa"/>
            <w:tcBorders>
              <w:top w:val="single" w:color="auto" w:sz="4" w:space="0"/>
              <w:left w:val="single" w:color="auto" w:sz="4" w:space="0"/>
              <w:bottom w:val="single" w:color="auto" w:sz="4" w:space="0"/>
              <w:right w:val="single" w:color="auto" w:sz="4" w:space="0"/>
            </w:tcBorders>
          </w:tcPr>
          <w:p w14:paraId="0E85677C">
            <w:pPr>
              <w:adjustRightInd w:val="0"/>
              <w:snapToGrid w:val="0"/>
              <w:spacing w:line="360" w:lineRule="exact"/>
              <w:jc w:val="left"/>
              <w:rPr>
                <w:rFonts w:ascii="宋体" w:hAnsi="宋体" w:cs="宋体"/>
                <w:color w:val="000000"/>
                <w:sz w:val="22"/>
                <w:szCs w:val="22"/>
              </w:rPr>
            </w:pPr>
            <w:r>
              <w:rPr>
                <w:rFonts w:hint="eastAsia" w:ascii="宋体" w:hAnsi="宋体" w:cs="宋体"/>
                <w:color w:val="000000"/>
                <w:sz w:val="22"/>
                <w:szCs w:val="22"/>
                <w:lang w:val="en-US" w:eastAsia="zh-CN"/>
              </w:rPr>
              <w:t>根据《关于在政府采购活动中查询及使用信用记录有关问题的通知》(财库[2016]125号)和豫财购【2016】15号的规定，企业没有被列入“中国执行信息公开网”网站的“失信被执行人”、“信用中国”网站的“重大税收违法失信主体”及“中国政府采购网”网站的“政府采购严重违法失信行为记录名单”，查询渠道： “中国执行信息公开网”网站（http://zxgk.court.gov.cn/shixin）“信用中国”网站（www.creditchina.gov.cn）、中国政府采购网（www.ccgp.gov.cn），采购人或招标代理机构将在开标后通过以上网站进行查询，信用信息查询记录和证据将同采购文件等资料一同归档保存（相关网站有最新规定的，按最新规定执行）</w:t>
            </w:r>
            <w:r>
              <w:rPr>
                <w:rFonts w:hint="eastAsia" w:ascii="宋体" w:hAnsi="宋体" w:cs="宋体"/>
                <w:color w:val="000000"/>
                <w:sz w:val="22"/>
                <w:szCs w:val="22"/>
              </w:rPr>
              <w:t>；</w:t>
            </w:r>
          </w:p>
        </w:tc>
      </w:tr>
      <w:tr w14:paraId="7A2D9097">
        <w:tblPrEx>
          <w:tblCellMar>
            <w:top w:w="0" w:type="dxa"/>
            <w:left w:w="108" w:type="dxa"/>
            <w:bottom w:w="0" w:type="dxa"/>
            <w:right w:w="108" w:type="dxa"/>
          </w:tblCellMar>
        </w:tblPrEx>
        <w:trPr>
          <w:trHeight w:val="692" w:hRule="atLeast"/>
        </w:trPr>
        <w:tc>
          <w:tcPr>
            <w:tcW w:w="508" w:type="dxa"/>
            <w:vMerge w:val="continue"/>
            <w:tcBorders>
              <w:left w:val="single" w:color="auto" w:sz="4" w:space="0"/>
              <w:right w:val="single" w:color="auto" w:sz="4" w:space="0"/>
            </w:tcBorders>
            <w:vAlign w:val="center"/>
          </w:tcPr>
          <w:p w14:paraId="67B0013D">
            <w:pPr>
              <w:spacing w:line="600" w:lineRule="exact"/>
              <w:rPr>
                <w:rFonts w:ascii="宋体" w:hAnsi="宋体" w:cs="宋体"/>
                <w:sz w:val="22"/>
                <w:szCs w:val="22"/>
              </w:rPr>
            </w:pPr>
          </w:p>
        </w:tc>
        <w:tc>
          <w:tcPr>
            <w:tcW w:w="932" w:type="dxa"/>
            <w:vMerge w:val="continue"/>
            <w:tcBorders>
              <w:left w:val="single" w:color="auto" w:sz="4" w:space="0"/>
              <w:right w:val="single" w:color="auto" w:sz="4" w:space="0"/>
            </w:tcBorders>
            <w:vAlign w:val="center"/>
          </w:tcPr>
          <w:p w14:paraId="22C8DE75">
            <w:pPr>
              <w:spacing w:line="600" w:lineRule="exact"/>
              <w:rPr>
                <w:rFonts w:ascii="宋体" w:hAnsi="宋体" w:cs="宋体"/>
                <w:sz w:val="22"/>
                <w:szCs w:val="22"/>
              </w:rPr>
            </w:pPr>
          </w:p>
        </w:tc>
        <w:tc>
          <w:tcPr>
            <w:tcW w:w="2207" w:type="dxa"/>
            <w:tcBorders>
              <w:top w:val="single" w:color="auto" w:sz="4" w:space="0"/>
              <w:left w:val="single" w:color="auto" w:sz="4" w:space="0"/>
              <w:bottom w:val="single" w:color="auto" w:sz="4" w:space="0"/>
              <w:right w:val="single" w:color="auto" w:sz="4" w:space="0"/>
            </w:tcBorders>
            <w:vAlign w:val="center"/>
          </w:tcPr>
          <w:p w14:paraId="510B2FD5">
            <w:pPr>
              <w:adjustRightInd w:val="0"/>
              <w:snapToGrid w:val="0"/>
              <w:spacing w:line="360" w:lineRule="exact"/>
              <w:jc w:val="center"/>
              <w:outlineLvl w:val="0"/>
              <w:rPr>
                <w:rFonts w:ascii="宋体" w:hAnsi="宋体" w:cs="宋体"/>
                <w:bCs/>
                <w:color w:val="000000"/>
                <w:kern w:val="44"/>
                <w:sz w:val="22"/>
                <w:szCs w:val="22"/>
              </w:rPr>
            </w:pPr>
            <w:r>
              <w:rPr>
                <w:rFonts w:hint="eastAsia" w:ascii="宋体" w:hAnsi="宋体" w:cs="宋体"/>
                <w:color w:val="000000"/>
                <w:sz w:val="22"/>
                <w:szCs w:val="22"/>
                <w:lang w:val="en-US" w:eastAsia="zh-CN"/>
              </w:rPr>
              <w:t>单位负责人为同一人或者存在直接控股、管理关系的不同供应商，不得同时参加同一项目的磋商</w:t>
            </w:r>
          </w:p>
        </w:tc>
        <w:tc>
          <w:tcPr>
            <w:tcW w:w="5917" w:type="dxa"/>
            <w:tcBorders>
              <w:top w:val="single" w:color="auto" w:sz="4" w:space="0"/>
              <w:left w:val="single" w:color="auto" w:sz="4" w:space="0"/>
              <w:bottom w:val="single" w:color="auto" w:sz="4" w:space="0"/>
              <w:right w:val="single" w:color="auto" w:sz="4" w:space="0"/>
            </w:tcBorders>
          </w:tcPr>
          <w:p w14:paraId="1208E6CE">
            <w:pPr>
              <w:adjustRightInd w:val="0"/>
              <w:snapToGrid w:val="0"/>
              <w:spacing w:line="360" w:lineRule="exact"/>
              <w:jc w:val="left"/>
              <w:rPr>
                <w:rFonts w:ascii="宋体" w:hAnsi="宋体" w:cs="宋体"/>
                <w:color w:val="000000"/>
                <w:sz w:val="22"/>
                <w:szCs w:val="22"/>
              </w:rPr>
            </w:pPr>
            <w:r>
              <w:rPr>
                <w:rFonts w:hint="eastAsia" w:ascii="宋体" w:hAnsi="宋体" w:cs="宋体"/>
                <w:color w:val="000000"/>
                <w:sz w:val="22"/>
                <w:szCs w:val="22"/>
                <w:lang w:val="en-US" w:eastAsia="zh-CN"/>
              </w:rPr>
              <w:t>单位负责人为同一人或者存在直接控股、管理关系的不同供应商，不得同时参加同一项目的磋商（提供“国家企业信用信息公示系统”中公示的公司基础信息、股东或投资人信息，査询时间须是磋商公告发布以后开标时间以前，查询结果清晰可见）</w:t>
            </w:r>
          </w:p>
        </w:tc>
      </w:tr>
      <w:tr w14:paraId="523942E4">
        <w:tblPrEx>
          <w:tblCellMar>
            <w:top w:w="0" w:type="dxa"/>
            <w:left w:w="108" w:type="dxa"/>
            <w:bottom w:w="0" w:type="dxa"/>
            <w:right w:w="108" w:type="dxa"/>
          </w:tblCellMar>
        </w:tblPrEx>
        <w:trPr>
          <w:trHeight w:val="692" w:hRule="atLeast"/>
        </w:trPr>
        <w:tc>
          <w:tcPr>
            <w:tcW w:w="508" w:type="dxa"/>
            <w:vMerge w:val="continue"/>
            <w:tcBorders>
              <w:left w:val="single" w:color="auto" w:sz="4" w:space="0"/>
              <w:right w:val="single" w:color="auto" w:sz="4" w:space="0"/>
            </w:tcBorders>
            <w:vAlign w:val="center"/>
          </w:tcPr>
          <w:p w14:paraId="62744930">
            <w:pPr>
              <w:spacing w:line="600" w:lineRule="exact"/>
              <w:rPr>
                <w:rFonts w:ascii="宋体" w:hAnsi="宋体" w:cs="宋体"/>
                <w:sz w:val="22"/>
                <w:szCs w:val="22"/>
              </w:rPr>
            </w:pPr>
          </w:p>
        </w:tc>
        <w:tc>
          <w:tcPr>
            <w:tcW w:w="932" w:type="dxa"/>
            <w:vMerge w:val="continue"/>
            <w:tcBorders>
              <w:left w:val="single" w:color="auto" w:sz="4" w:space="0"/>
              <w:right w:val="single" w:color="auto" w:sz="4" w:space="0"/>
            </w:tcBorders>
            <w:vAlign w:val="center"/>
          </w:tcPr>
          <w:p w14:paraId="1FFF0D92">
            <w:pPr>
              <w:spacing w:line="600" w:lineRule="exact"/>
              <w:rPr>
                <w:rFonts w:ascii="宋体" w:hAnsi="宋体" w:cs="宋体"/>
                <w:sz w:val="22"/>
                <w:szCs w:val="22"/>
              </w:rPr>
            </w:pPr>
          </w:p>
        </w:tc>
        <w:tc>
          <w:tcPr>
            <w:tcW w:w="2207" w:type="dxa"/>
            <w:tcBorders>
              <w:top w:val="single" w:color="auto" w:sz="4" w:space="0"/>
              <w:left w:val="single" w:color="auto" w:sz="4" w:space="0"/>
              <w:bottom w:val="single" w:color="auto" w:sz="4" w:space="0"/>
              <w:right w:val="single" w:color="auto" w:sz="4" w:space="0"/>
            </w:tcBorders>
            <w:vAlign w:val="center"/>
          </w:tcPr>
          <w:p w14:paraId="60EDD114">
            <w:pPr>
              <w:adjustRightInd w:val="0"/>
              <w:snapToGrid w:val="0"/>
              <w:spacing w:line="360" w:lineRule="exact"/>
              <w:jc w:val="center"/>
              <w:outlineLvl w:val="0"/>
              <w:rPr>
                <w:rFonts w:hint="eastAsia" w:ascii="宋体" w:hAnsi="宋体" w:cs="宋体" w:eastAsiaTheme="minorEastAsia"/>
                <w:color w:val="000000"/>
                <w:kern w:val="0"/>
                <w:sz w:val="22"/>
                <w:szCs w:val="22"/>
                <w:lang w:eastAsia="zh-CN"/>
              </w:rPr>
            </w:pPr>
            <w:bookmarkStart w:id="133" w:name="_Toc23127"/>
            <w:bookmarkStart w:id="134" w:name="_Toc10920"/>
            <w:r>
              <w:rPr>
                <w:rFonts w:hint="eastAsia" w:ascii="宋体" w:hAnsi="宋体" w:cs="宋体"/>
                <w:color w:val="000000"/>
                <w:kern w:val="0"/>
                <w:sz w:val="22"/>
                <w:szCs w:val="22"/>
                <w:lang w:val="en-US" w:eastAsia="zh-CN"/>
              </w:rPr>
              <w:t>联合体</w:t>
            </w:r>
            <w:bookmarkEnd w:id="133"/>
            <w:bookmarkEnd w:id="134"/>
          </w:p>
        </w:tc>
        <w:tc>
          <w:tcPr>
            <w:tcW w:w="5917" w:type="dxa"/>
            <w:tcBorders>
              <w:top w:val="single" w:color="auto" w:sz="4" w:space="0"/>
              <w:left w:val="single" w:color="auto" w:sz="4" w:space="0"/>
              <w:bottom w:val="single" w:color="auto" w:sz="4" w:space="0"/>
              <w:right w:val="single" w:color="auto" w:sz="4" w:space="0"/>
            </w:tcBorders>
            <w:vAlign w:val="center"/>
          </w:tcPr>
          <w:p w14:paraId="294AEB4F">
            <w:pPr>
              <w:pStyle w:val="19"/>
              <w:ind w:left="0" w:leftChars="0" w:firstLine="0" w:firstLineChars="0"/>
              <w:jc w:val="left"/>
              <w:rPr>
                <w:rFonts w:hint="eastAsia" w:ascii="宋体" w:hAnsi="宋体" w:cs="宋体" w:eastAsiaTheme="minorEastAsia"/>
                <w:color w:val="000000"/>
                <w:kern w:val="0"/>
                <w:sz w:val="22"/>
                <w:szCs w:val="22"/>
                <w:lang w:val="en-US" w:eastAsia="zh-CN" w:bidi="ar-SA"/>
              </w:rPr>
            </w:pPr>
            <w:r>
              <w:rPr>
                <w:rFonts w:hint="eastAsia" w:ascii="宋体" w:hAnsi="宋体" w:cs="宋体" w:eastAsiaTheme="minorEastAsia"/>
                <w:color w:val="000000"/>
                <w:kern w:val="0"/>
                <w:sz w:val="22"/>
                <w:szCs w:val="22"/>
                <w:lang w:val="en-US" w:eastAsia="zh-CN" w:bidi="ar-SA"/>
              </w:rPr>
              <w:t>本项目不接受联合体磋商（提供非联合体磋商承诺书，格式自拟）</w:t>
            </w:r>
          </w:p>
        </w:tc>
      </w:tr>
      <w:tr w14:paraId="4D9F2FD9">
        <w:tblPrEx>
          <w:tblCellMar>
            <w:top w:w="0" w:type="dxa"/>
            <w:left w:w="108" w:type="dxa"/>
            <w:bottom w:w="0" w:type="dxa"/>
            <w:right w:w="108" w:type="dxa"/>
          </w:tblCellMar>
        </w:tblPrEx>
        <w:trPr>
          <w:trHeight w:val="525" w:hRule="atLeast"/>
        </w:trPr>
        <w:tc>
          <w:tcPr>
            <w:tcW w:w="508" w:type="dxa"/>
            <w:vMerge w:val="restart"/>
            <w:tcBorders>
              <w:top w:val="single" w:color="auto" w:sz="4" w:space="0"/>
              <w:left w:val="single" w:color="auto" w:sz="4" w:space="0"/>
              <w:bottom w:val="single" w:color="auto" w:sz="4" w:space="0"/>
              <w:right w:val="single" w:color="auto" w:sz="4" w:space="0"/>
            </w:tcBorders>
            <w:vAlign w:val="center"/>
          </w:tcPr>
          <w:p w14:paraId="05A3ACAF">
            <w:pPr>
              <w:spacing w:line="600" w:lineRule="exact"/>
              <w:jc w:val="center"/>
              <w:rPr>
                <w:rFonts w:hint="eastAsia" w:ascii="宋体" w:hAnsi="宋体" w:cs="宋体" w:eastAsiaTheme="minorEastAsia"/>
                <w:sz w:val="22"/>
                <w:szCs w:val="22"/>
                <w:lang w:eastAsia="zh-CN"/>
              </w:rPr>
            </w:pPr>
            <w:r>
              <w:rPr>
                <w:rFonts w:hint="eastAsia" w:ascii="宋体" w:hAnsi="宋体" w:cs="宋体"/>
                <w:sz w:val="22"/>
                <w:szCs w:val="22"/>
                <w:lang w:val="en-US" w:eastAsia="zh-CN"/>
              </w:rPr>
              <w:t>3</w:t>
            </w:r>
          </w:p>
        </w:tc>
        <w:tc>
          <w:tcPr>
            <w:tcW w:w="932" w:type="dxa"/>
            <w:vMerge w:val="restart"/>
            <w:tcBorders>
              <w:top w:val="single" w:color="auto" w:sz="4" w:space="0"/>
              <w:left w:val="single" w:color="auto" w:sz="4" w:space="0"/>
              <w:bottom w:val="single" w:color="auto" w:sz="4" w:space="0"/>
              <w:right w:val="single" w:color="auto" w:sz="4" w:space="0"/>
            </w:tcBorders>
            <w:vAlign w:val="center"/>
          </w:tcPr>
          <w:p w14:paraId="084984A9">
            <w:pPr>
              <w:spacing w:line="600" w:lineRule="exact"/>
              <w:rPr>
                <w:rFonts w:ascii="宋体" w:hAnsi="宋体" w:cs="宋体"/>
                <w:sz w:val="22"/>
                <w:szCs w:val="22"/>
              </w:rPr>
            </w:pPr>
            <w:r>
              <w:rPr>
                <w:rFonts w:hint="eastAsia" w:ascii="宋体" w:hAnsi="宋体" w:cs="宋体"/>
                <w:sz w:val="22"/>
                <w:szCs w:val="22"/>
              </w:rPr>
              <w:t>响应</w:t>
            </w:r>
            <w:r>
              <w:rPr>
                <w:rFonts w:ascii="宋体" w:hAnsi="宋体" w:cs="宋体"/>
                <w:sz w:val="22"/>
                <w:szCs w:val="22"/>
              </w:rPr>
              <w:t>性</w:t>
            </w:r>
            <w:r>
              <w:rPr>
                <w:rFonts w:hint="eastAsia" w:ascii="宋体" w:hAnsi="宋体" w:cs="宋体"/>
                <w:sz w:val="22"/>
                <w:szCs w:val="22"/>
              </w:rPr>
              <w:t>评审标准</w:t>
            </w:r>
          </w:p>
        </w:tc>
        <w:tc>
          <w:tcPr>
            <w:tcW w:w="2207" w:type="dxa"/>
            <w:tcBorders>
              <w:top w:val="single" w:color="auto" w:sz="4" w:space="0"/>
              <w:left w:val="single" w:color="auto" w:sz="4" w:space="0"/>
              <w:bottom w:val="single" w:color="auto" w:sz="4" w:space="0"/>
              <w:right w:val="single" w:color="auto" w:sz="4" w:space="0"/>
            </w:tcBorders>
            <w:vAlign w:val="center"/>
          </w:tcPr>
          <w:p w14:paraId="1B3A3920">
            <w:pPr>
              <w:adjustRightInd w:val="0"/>
              <w:snapToGrid w:val="0"/>
              <w:spacing w:line="360" w:lineRule="auto"/>
              <w:jc w:val="center"/>
              <w:rPr>
                <w:rFonts w:hint="eastAsia" w:ascii="宋体" w:hAnsi="宋体" w:eastAsiaTheme="minorEastAsia"/>
                <w:sz w:val="22"/>
                <w:szCs w:val="20"/>
                <w:highlight w:val="none"/>
                <w:lang w:eastAsia="zh-CN"/>
              </w:rPr>
            </w:pPr>
            <w:r>
              <w:rPr>
                <w:rFonts w:hint="eastAsia" w:ascii="宋体" w:hAnsi="宋体"/>
                <w:sz w:val="22"/>
                <w:szCs w:val="20"/>
                <w:highlight w:val="none"/>
                <w:lang w:val="en-US" w:eastAsia="zh-CN"/>
              </w:rPr>
              <w:t>计划</w:t>
            </w:r>
            <w:r>
              <w:rPr>
                <w:rFonts w:hint="eastAsia" w:ascii="宋体" w:hAnsi="宋体" w:eastAsiaTheme="minorEastAsia"/>
                <w:sz w:val="22"/>
                <w:szCs w:val="20"/>
                <w:highlight w:val="none"/>
                <w:lang w:eastAsia="zh-CN"/>
              </w:rPr>
              <w:t>工期</w:t>
            </w:r>
          </w:p>
        </w:tc>
        <w:tc>
          <w:tcPr>
            <w:tcW w:w="5917" w:type="dxa"/>
            <w:tcBorders>
              <w:top w:val="single" w:color="auto" w:sz="4" w:space="0"/>
              <w:left w:val="single" w:color="auto" w:sz="4" w:space="0"/>
              <w:bottom w:val="single" w:color="auto" w:sz="4" w:space="0"/>
              <w:right w:val="single" w:color="auto" w:sz="4" w:space="0"/>
            </w:tcBorders>
            <w:vAlign w:val="center"/>
          </w:tcPr>
          <w:p w14:paraId="5D21A524">
            <w:pPr>
              <w:adjustRightInd w:val="0"/>
              <w:snapToGrid w:val="0"/>
              <w:spacing w:line="360" w:lineRule="auto"/>
              <w:jc w:val="left"/>
              <w:rPr>
                <w:rFonts w:hint="default" w:ascii="宋体" w:hAnsi="宋体" w:eastAsiaTheme="minorEastAsia"/>
                <w:sz w:val="22"/>
                <w:szCs w:val="20"/>
                <w:highlight w:val="none"/>
                <w:lang w:val="en-US" w:eastAsia="zh-CN"/>
              </w:rPr>
            </w:pPr>
            <w:r>
              <w:rPr>
                <w:rFonts w:hint="eastAsia" w:ascii="宋体" w:hAnsi="宋体"/>
                <w:sz w:val="22"/>
                <w:szCs w:val="20"/>
                <w:highlight w:val="none"/>
                <w:lang w:val="en-US" w:eastAsia="zh-CN"/>
              </w:rPr>
              <w:t>240日历天</w:t>
            </w:r>
          </w:p>
        </w:tc>
      </w:tr>
      <w:tr w14:paraId="31BCC489">
        <w:tblPrEx>
          <w:tblCellMar>
            <w:top w:w="0" w:type="dxa"/>
            <w:left w:w="108" w:type="dxa"/>
            <w:bottom w:w="0" w:type="dxa"/>
            <w:right w:w="108" w:type="dxa"/>
          </w:tblCellMar>
        </w:tblPrEx>
        <w:trPr>
          <w:trHeight w:val="429" w:hRule="atLeast"/>
        </w:trPr>
        <w:tc>
          <w:tcPr>
            <w:tcW w:w="508" w:type="dxa"/>
            <w:vMerge w:val="continue"/>
            <w:tcBorders>
              <w:top w:val="single" w:color="auto" w:sz="4" w:space="0"/>
              <w:left w:val="single" w:color="auto" w:sz="4" w:space="0"/>
              <w:bottom w:val="single" w:color="auto" w:sz="4" w:space="0"/>
              <w:right w:val="single" w:color="auto" w:sz="4" w:space="0"/>
            </w:tcBorders>
            <w:vAlign w:val="center"/>
          </w:tcPr>
          <w:p w14:paraId="6A9CBB9C">
            <w:pPr>
              <w:spacing w:line="600" w:lineRule="exact"/>
              <w:jc w:val="center"/>
              <w:rPr>
                <w:rFonts w:ascii="宋体" w:hAnsi="宋体" w:cs="宋体"/>
                <w:sz w:val="22"/>
                <w:szCs w:val="22"/>
              </w:rPr>
            </w:pPr>
          </w:p>
        </w:tc>
        <w:tc>
          <w:tcPr>
            <w:tcW w:w="932" w:type="dxa"/>
            <w:vMerge w:val="continue"/>
            <w:tcBorders>
              <w:top w:val="single" w:color="auto" w:sz="4" w:space="0"/>
              <w:left w:val="single" w:color="auto" w:sz="4" w:space="0"/>
              <w:bottom w:val="single" w:color="auto" w:sz="4" w:space="0"/>
              <w:right w:val="single" w:color="auto" w:sz="4" w:space="0"/>
            </w:tcBorders>
            <w:vAlign w:val="center"/>
          </w:tcPr>
          <w:p w14:paraId="14EFC79A">
            <w:pPr>
              <w:spacing w:line="600" w:lineRule="exact"/>
              <w:rPr>
                <w:rFonts w:ascii="宋体" w:hAnsi="宋体" w:cs="宋体"/>
                <w:sz w:val="22"/>
                <w:szCs w:val="22"/>
              </w:rPr>
            </w:pPr>
          </w:p>
        </w:tc>
        <w:tc>
          <w:tcPr>
            <w:tcW w:w="2207" w:type="dxa"/>
            <w:tcBorders>
              <w:top w:val="single" w:color="auto" w:sz="4" w:space="0"/>
              <w:left w:val="single" w:color="auto" w:sz="4" w:space="0"/>
              <w:bottom w:val="single" w:color="auto" w:sz="4" w:space="0"/>
              <w:right w:val="single" w:color="auto" w:sz="4" w:space="0"/>
            </w:tcBorders>
            <w:vAlign w:val="center"/>
          </w:tcPr>
          <w:p w14:paraId="1E1E1F7B">
            <w:pPr>
              <w:adjustRightInd w:val="0"/>
              <w:snapToGrid w:val="0"/>
              <w:spacing w:line="360" w:lineRule="auto"/>
              <w:jc w:val="center"/>
              <w:rPr>
                <w:rFonts w:hint="eastAsia" w:ascii="宋体" w:hAnsi="宋体" w:eastAsiaTheme="minorEastAsia"/>
                <w:sz w:val="22"/>
                <w:szCs w:val="20"/>
                <w:lang w:eastAsia="zh-CN"/>
              </w:rPr>
            </w:pPr>
            <w:r>
              <w:rPr>
                <w:rFonts w:hint="eastAsia" w:ascii="宋体" w:hAnsi="宋体"/>
                <w:sz w:val="22"/>
                <w:szCs w:val="20"/>
              </w:rPr>
              <w:t>质量</w:t>
            </w:r>
            <w:r>
              <w:rPr>
                <w:rFonts w:hint="eastAsia" w:ascii="宋体" w:hAnsi="宋体" w:cs="宋体"/>
                <w:color w:val="000000"/>
                <w:kern w:val="0"/>
                <w:sz w:val="22"/>
                <w:szCs w:val="22"/>
                <w:lang w:val="en-US" w:eastAsia="zh-CN"/>
              </w:rPr>
              <w:t>标准</w:t>
            </w:r>
          </w:p>
        </w:tc>
        <w:tc>
          <w:tcPr>
            <w:tcW w:w="5917" w:type="dxa"/>
            <w:tcBorders>
              <w:top w:val="single" w:color="auto" w:sz="4" w:space="0"/>
              <w:left w:val="single" w:color="auto" w:sz="4" w:space="0"/>
              <w:bottom w:val="single" w:color="auto" w:sz="4" w:space="0"/>
              <w:right w:val="single" w:color="auto" w:sz="4" w:space="0"/>
            </w:tcBorders>
            <w:vAlign w:val="center"/>
          </w:tcPr>
          <w:p w14:paraId="0A267CA5">
            <w:pPr>
              <w:adjustRightInd w:val="0"/>
              <w:snapToGrid w:val="0"/>
              <w:spacing w:line="360" w:lineRule="auto"/>
              <w:jc w:val="left"/>
              <w:rPr>
                <w:rFonts w:ascii="宋体" w:hAnsi="宋体"/>
                <w:sz w:val="22"/>
                <w:szCs w:val="20"/>
              </w:rPr>
            </w:pPr>
            <w:r>
              <w:rPr>
                <w:rFonts w:hint="eastAsia" w:ascii="宋体" w:hAnsi="宋体" w:eastAsia="宋体" w:cs="宋体"/>
                <w:sz w:val="22"/>
                <w:szCs w:val="22"/>
                <w:lang w:val="en-US" w:eastAsia="zh-CN"/>
              </w:rPr>
              <w:t>达到国家质量验收规范合格标准</w:t>
            </w:r>
          </w:p>
        </w:tc>
      </w:tr>
      <w:tr w14:paraId="38299497">
        <w:tblPrEx>
          <w:tblCellMar>
            <w:top w:w="0" w:type="dxa"/>
            <w:left w:w="108" w:type="dxa"/>
            <w:bottom w:w="0" w:type="dxa"/>
            <w:right w:w="108" w:type="dxa"/>
          </w:tblCellMar>
        </w:tblPrEx>
        <w:trPr>
          <w:trHeight w:val="500" w:hRule="atLeast"/>
        </w:trPr>
        <w:tc>
          <w:tcPr>
            <w:tcW w:w="508" w:type="dxa"/>
            <w:vMerge w:val="continue"/>
            <w:tcBorders>
              <w:top w:val="single" w:color="auto" w:sz="4" w:space="0"/>
              <w:left w:val="single" w:color="auto" w:sz="4" w:space="0"/>
              <w:bottom w:val="single" w:color="auto" w:sz="4" w:space="0"/>
              <w:right w:val="single" w:color="auto" w:sz="4" w:space="0"/>
            </w:tcBorders>
            <w:vAlign w:val="center"/>
          </w:tcPr>
          <w:p w14:paraId="1BCF6247">
            <w:pPr>
              <w:spacing w:line="600" w:lineRule="exact"/>
              <w:rPr>
                <w:rFonts w:ascii="宋体" w:hAnsi="宋体" w:cs="宋体"/>
                <w:sz w:val="22"/>
                <w:szCs w:val="22"/>
              </w:rPr>
            </w:pPr>
          </w:p>
        </w:tc>
        <w:tc>
          <w:tcPr>
            <w:tcW w:w="932" w:type="dxa"/>
            <w:vMerge w:val="continue"/>
            <w:tcBorders>
              <w:top w:val="single" w:color="auto" w:sz="4" w:space="0"/>
              <w:left w:val="single" w:color="auto" w:sz="4" w:space="0"/>
              <w:bottom w:val="single" w:color="auto" w:sz="4" w:space="0"/>
              <w:right w:val="single" w:color="auto" w:sz="4" w:space="0"/>
            </w:tcBorders>
            <w:vAlign w:val="center"/>
          </w:tcPr>
          <w:p w14:paraId="15697022">
            <w:pPr>
              <w:spacing w:line="600" w:lineRule="exact"/>
              <w:rPr>
                <w:rFonts w:ascii="宋体" w:hAnsi="宋体" w:cs="宋体"/>
                <w:sz w:val="22"/>
                <w:szCs w:val="22"/>
              </w:rPr>
            </w:pPr>
          </w:p>
        </w:tc>
        <w:tc>
          <w:tcPr>
            <w:tcW w:w="2207" w:type="dxa"/>
            <w:tcBorders>
              <w:top w:val="single" w:color="auto" w:sz="4" w:space="0"/>
              <w:left w:val="single" w:color="auto" w:sz="4" w:space="0"/>
              <w:bottom w:val="single" w:color="auto" w:sz="4" w:space="0"/>
              <w:right w:val="single" w:color="auto" w:sz="4" w:space="0"/>
            </w:tcBorders>
            <w:vAlign w:val="center"/>
          </w:tcPr>
          <w:p w14:paraId="4A215119">
            <w:pPr>
              <w:adjustRightInd w:val="0"/>
              <w:snapToGrid w:val="0"/>
              <w:spacing w:line="360" w:lineRule="auto"/>
              <w:jc w:val="center"/>
              <w:rPr>
                <w:rFonts w:ascii="宋体" w:hAnsi="宋体"/>
                <w:sz w:val="22"/>
                <w:szCs w:val="20"/>
              </w:rPr>
            </w:pPr>
            <w:r>
              <w:rPr>
                <w:rFonts w:hint="eastAsia" w:ascii="宋体" w:hAnsi="宋体"/>
                <w:sz w:val="22"/>
                <w:szCs w:val="20"/>
                <w:lang w:val="en-US" w:eastAsia="zh-CN"/>
              </w:rPr>
              <w:t>磋商</w:t>
            </w:r>
            <w:r>
              <w:rPr>
                <w:rFonts w:hint="eastAsia" w:ascii="宋体" w:hAnsi="宋体"/>
                <w:sz w:val="22"/>
                <w:szCs w:val="20"/>
              </w:rPr>
              <w:t>有效期</w:t>
            </w:r>
          </w:p>
        </w:tc>
        <w:tc>
          <w:tcPr>
            <w:tcW w:w="5917" w:type="dxa"/>
            <w:tcBorders>
              <w:top w:val="single" w:color="auto" w:sz="4" w:space="0"/>
              <w:left w:val="single" w:color="auto" w:sz="4" w:space="0"/>
              <w:bottom w:val="single" w:color="auto" w:sz="4" w:space="0"/>
              <w:right w:val="single" w:color="auto" w:sz="4" w:space="0"/>
            </w:tcBorders>
            <w:vAlign w:val="center"/>
          </w:tcPr>
          <w:p w14:paraId="11BB6145">
            <w:pPr>
              <w:adjustRightInd w:val="0"/>
              <w:snapToGrid w:val="0"/>
              <w:spacing w:line="360" w:lineRule="auto"/>
              <w:jc w:val="both"/>
              <w:rPr>
                <w:rFonts w:ascii="宋体" w:hAnsi="宋体"/>
                <w:sz w:val="22"/>
                <w:szCs w:val="20"/>
              </w:rPr>
            </w:pPr>
            <w:r>
              <w:rPr>
                <w:rFonts w:hint="eastAsia" w:ascii="宋体" w:hAnsi="宋体"/>
                <w:sz w:val="22"/>
                <w:szCs w:val="20"/>
                <w:lang w:val="en-US" w:eastAsia="zh-CN"/>
              </w:rPr>
              <w:t>响应</w:t>
            </w:r>
            <w:r>
              <w:rPr>
                <w:rFonts w:hint="eastAsia" w:ascii="宋体" w:hAnsi="宋体"/>
                <w:sz w:val="22"/>
                <w:szCs w:val="20"/>
              </w:rPr>
              <w:t>文件递交截止之日起60日历天</w:t>
            </w:r>
          </w:p>
        </w:tc>
      </w:tr>
      <w:tr w14:paraId="32AD25C8">
        <w:tblPrEx>
          <w:tblCellMar>
            <w:top w:w="0" w:type="dxa"/>
            <w:left w:w="108" w:type="dxa"/>
            <w:bottom w:w="0" w:type="dxa"/>
            <w:right w:w="108" w:type="dxa"/>
          </w:tblCellMar>
        </w:tblPrEx>
        <w:trPr>
          <w:trHeight w:val="373" w:hRule="atLeast"/>
        </w:trPr>
        <w:tc>
          <w:tcPr>
            <w:tcW w:w="508" w:type="dxa"/>
            <w:vMerge w:val="continue"/>
            <w:tcBorders>
              <w:top w:val="single" w:color="auto" w:sz="4" w:space="0"/>
              <w:left w:val="single" w:color="auto" w:sz="4" w:space="0"/>
              <w:bottom w:val="single" w:color="auto" w:sz="4" w:space="0"/>
              <w:right w:val="single" w:color="auto" w:sz="4" w:space="0"/>
            </w:tcBorders>
            <w:vAlign w:val="center"/>
          </w:tcPr>
          <w:p w14:paraId="285B047F">
            <w:pPr>
              <w:spacing w:line="600" w:lineRule="exact"/>
              <w:rPr>
                <w:rFonts w:ascii="宋体" w:hAnsi="宋体" w:cs="宋体"/>
                <w:sz w:val="22"/>
                <w:szCs w:val="22"/>
              </w:rPr>
            </w:pPr>
          </w:p>
        </w:tc>
        <w:tc>
          <w:tcPr>
            <w:tcW w:w="932" w:type="dxa"/>
            <w:vMerge w:val="continue"/>
            <w:tcBorders>
              <w:top w:val="single" w:color="auto" w:sz="4" w:space="0"/>
              <w:left w:val="single" w:color="auto" w:sz="4" w:space="0"/>
              <w:bottom w:val="single" w:color="auto" w:sz="4" w:space="0"/>
              <w:right w:val="single" w:color="auto" w:sz="4" w:space="0"/>
            </w:tcBorders>
            <w:vAlign w:val="center"/>
          </w:tcPr>
          <w:p w14:paraId="3F40BD9B">
            <w:pPr>
              <w:spacing w:line="600" w:lineRule="exact"/>
              <w:rPr>
                <w:rFonts w:ascii="宋体" w:hAnsi="宋体" w:cs="宋体"/>
                <w:sz w:val="22"/>
                <w:szCs w:val="22"/>
              </w:rPr>
            </w:pPr>
          </w:p>
        </w:tc>
        <w:tc>
          <w:tcPr>
            <w:tcW w:w="2207" w:type="dxa"/>
            <w:tcBorders>
              <w:top w:val="single" w:color="auto" w:sz="4" w:space="0"/>
              <w:left w:val="single" w:color="auto" w:sz="4" w:space="0"/>
              <w:bottom w:val="single" w:color="auto" w:sz="4" w:space="0"/>
              <w:right w:val="single" w:color="auto" w:sz="4" w:space="0"/>
            </w:tcBorders>
            <w:shd w:val="clear" w:color="auto" w:fill="auto"/>
            <w:vAlign w:val="center"/>
          </w:tcPr>
          <w:p w14:paraId="4D5B139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Times New Roman"/>
                <w:color w:val="auto"/>
                <w:sz w:val="22"/>
                <w:szCs w:val="22"/>
                <w:highlight w:val="none"/>
                <w:lang w:val="en-US" w:eastAsia="zh-CN"/>
              </w:rPr>
              <w:t>磋商</w:t>
            </w:r>
            <w:r>
              <w:rPr>
                <w:rFonts w:hint="eastAsia" w:ascii="宋体" w:hAnsi="宋体" w:eastAsia="宋体" w:cs="Times New Roman"/>
                <w:color w:val="auto"/>
                <w:sz w:val="22"/>
                <w:szCs w:val="22"/>
                <w:highlight w:val="none"/>
              </w:rPr>
              <w:t>报价</w:t>
            </w:r>
          </w:p>
        </w:tc>
        <w:tc>
          <w:tcPr>
            <w:tcW w:w="5917" w:type="dxa"/>
            <w:tcBorders>
              <w:top w:val="single" w:color="auto" w:sz="4" w:space="0"/>
              <w:left w:val="single" w:color="auto" w:sz="4" w:space="0"/>
              <w:bottom w:val="single" w:color="auto" w:sz="4" w:space="0"/>
              <w:right w:val="single" w:color="auto" w:sz="4" w:space="0"/>
            </w:tcBorders>
            <w:shd w:val="clear" w:color="auto" w:fill="auto"/>
            <w:vAlign w:val="center"/>
          </w:tcPr>
          <w:p w14:paraId="4E60604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Times New Roman"/>
                <w:color w:val="auto"/>
                <w:sz w:val="22"/>
                <w:szCs w:val="22"/>
                <w:highlight w:val="none"/>
                <w:lang w:val="en-US" w:eastAsia="zh-CN"/>
              </w:rPr>
              <w:t>供应商磋商</w:t>
            </w:r>
            <w:r>
              <w:rPr>
                <w:rFonts w:hint="eastAsia" w:ascii="宋体" w:hAnsi="宋体" w:eastAsia="宋体" w:cs="Times New Roman"/>
                <w:color w:val="auto"/>
                <w:sz w:val="22"/>
                <w:szCs w:val="22"/>
                <w:highlight w:val="none"/>
              </w:rPr>
              <w:t>总报价不得高于</w:t>
            </w:r>
            <w:r>
              <w:rPr>
                <w:rFonts w:hint="eastAsia" w:ascii="宋体" w:hAnsi="宋体" w:eastAsia="宋体" w:cs="Times New Roman"/>
                <w:color w:val="auto"/>
                <w:sz w:val="22"/>
                <w:szCs w:val="22"/>
                <w:highlight w:val="none"/>
                <w:lang w:val="en-US" w:eastAsia="zh-CN"/>
              </w:rPr>
              <w:t>采购人</w:t>
            </w:r>
            <w:r>
              <w:rPr>
                <w:rFonts w:hint="eastAsia" w:ascii="宋体" w:hAnsi="宋体" w:eastAsia="宋体" w:cs="Times New Roman"/>
                <w:color w:val="auto"/>
                <w:sz w:val="22"/>
                <w:szCs w:val="22"/>
                <w:highlight w:val="none"/>
              </w:rPr>
              <w:t>公布的</w:t>
            </w:r>
            <w:r>
              <w:rPr>
                <w:rFonts w:hint="eastAsia" w:ascii="宋体" w:hAnsi="宋体" w:eastAsia="宋体" w:cs="Times New Roman"/>
                <w:color w:val="auto"/>
                <w:sz w:val="22"/>
                <w:szCs w:val="22"/>
                <w:highlight w:val="none"/>
                <w:lang w:val="en-US" w:eastAsia="zh-CN"/>
              </w:rPr>
              <w:t>磋商</w:t>
            </w:r>
            <w:r>
              <w:rPr>
                <w:rFonts w:hint="eastAsia" w:ascii="宋体" w:hAnsi="宋体" w:eastAsia="宋体" w:cs="Times New Roman"/>
                <w:color w:val="auto"/>
                <w:sz w:val="22"/>
                <w:szCs w:val="22"/>
                <w:highlight w:val="none"/>
              </w:rPr>
              <w:t>控制价，否则其</w:t>
            </w:r>
            <w:r>
              <w:rPr>
                <w:rFonts w:hint="eastAsia" w:ascii="宋体" w:hAnsi="宋体" w:eastAsia="宋体" w:cs="Times New Roman"/>
                <w:color w:val="auto"/>
                <w:sz w:val="22"/>
                <w:szCs w:val="22"/>
                <w:highlight w:val="none"/>
                <w:lang w:val="en-US" w:eastAsia="zh-CN"/>
              </w:rPr>
              <w:t>磋商</w:t>
            </w:r>
            <w:r>
              <w:rPr>
                <w:rFonts w:hint="eastAsia" w:ascii="宋体" w:hAnsi="宋体" w:eastAsia="宋体" w:cs="Times New Roman"/>
                <w:color w:val="auto"/>
                <w:sz w:val="22"/>
                <w:szCs w:val="22"/>
                <w:highlight w:val="none"/>
              </w:rPr>
              <w:t>将予否决</w:t>
            </w:r>
          </w:p>
        </w:tc>
      </w:tr>
      <w:tr w14:paraId="1625628B">
        <w:tblPrEx>
          <w:tblCellMar>
            <w:top w:w="0" w:type="dxa"/>
            <w:left w:w="108" w:type="dxa"/>
            <w:bottom w:w="0" w:type="dxa"/>
            <w:right w:w="108" w:type="dxa"/>
          </w:tblCellMar>
        </w:tblPrEx>
        <w:trPr>
          <w:trHeight w:val="778" w:hRule="atLeast"/>
        </w:trPr>
        <w:tc>
          <w:tcPr>
            <w:tcW w:w="508" w:type="dxa"/>
            <w:vMerge w:val="continue"/>
            <w:tcBorders>
              <w:top w:val="single" w:color="auto" w:sz="4" w:space="0"/>
              <w:left w:val="single" w:color="auto" w:sz="4" w:space="0"/>
              <w:bottom w:val="single" w:color="auto" w:sz="4" w:space="0"/>
              <w:right w:val="single" w:color="auto" w:sz="4" w:space="0"/>
            </w:tcBorders>
            <w:vAlign w:val="center"/>
          </w:tcPr>
          <w:p w14:paraId="27110E74">
            <w:pPr>
              <w:spacing w:line="600" w:lineRule="exact"/>
              <w:rPr>
                <w:rFonts w:ascii="宋体" w:hAnsi="宋体" w:cs="宋体"/>
                <w:sz w:val="22"/>
                <w:szCs w:val="22"/>
              </w:rPr>
            </w:pPr>
          </w:p>
        </w:tc>
        <w:tc>
          <w:tcPr>
            <w:tcW w:w="932" w:type="dxa"/>
            <w:vMerge w:val="continue"/>
            <w:tcBorders>
              <w:top w:val="single" w:color="auto" w:sz="4" w:space="0"/>
              <w:left w:val="single" w:color="auto" w:sz="4" w:space="0"/>
              <w:bottom w:val="single" w:color="auto" w:sz="4" w:space="0"/>
              <w:right w:val="single" w:color="auto" w:sz="4" w:space="0"/>
            </w:tcBorders>
            <w:vAlign w:val="center"/>
          </w:tcPr>
          <w:p w14:paraId="60BD96A5">
            <w:pPr>
              <w:spacing w:line="600" w:lineRule="exact"/>
              <w:rPr>
                <w:rFonts w:ascii="宋体" w:hAnsi="宋体" w:cs="宋体"/>
                <w:sz w:val="22"/>
                <w:szCs w:val="22"/>
              </w:rPr>
            </w:pPr>
          </w:p>
        </w:tc>
        <w:tc>
          <w:tcPr>
            <w:tcW w:w="2207" w:type="dxa"/>
            <w:tcBorders>
              <w:top w:val="single" w:color="auto" w:sz="4" w:space="0"/>
              <w:left w:val="single" w:color="auto" w:sz="4" w:space="0"/>
              <w:bottom w:val="single" w:color="auto" w:sz="4" w:space="0"/>
              <w:right w:val="single" w:color="auto" w:sz="4" w:space="0"/>
            </w:tcBorders>
            <w:vAlign w:val="center"/>
          </w:tcPr>
          <w:p w14:paraId="68CEB203">
            <w:pPr>
              <w:adjustRightInd w:val="0"/>
              <w:snapToGrid w:val="0"/>
              <w:spacing w:line="360" w:lineRule="auto"/>
              <w:jc w:val="center"/>
              <w:rPr>
                <w:rFonts w:hint="eastAsia" w:ascii="宋体" w:hAnsi="宋体"/>
                <w:sz w:val="22"/>
                <w:szCs w:val="20"/>
                <w:lang w:eastAsia="zh-CN"/>
              </w:rPr>
            </w:pPr>
            <w:r>
              <w:rPr>
                <w:rFonts w:hint="eastAsia" w:ascii="宋体" w:hAnsi="宋体"/>
                <w:sz w:val="22"/>
                <w:szCs w:val="20"/>
                <w:lang w:val="en-US" w:eastAsia="zh-CN"/>
              </w:rPr>
              <w:t>磋商</w:t>
            </w:r>
            <w:r>
              <w:rPr>
                <w:rFonts w:hint="eastAsia" w:ascii="宋体" w:hAnsi="宋体"/>
                <w:sz w:val="22"/>
                <w:szCs w:val="20"/>
                <w:lang w:eastAsia="zh-CN"/>
              </w:rPr>
              <w:t>范围</w:t>
            </w:r>
          </w:p>
        </w:tc>
        <w:tc>
          <w:tcPr>
            <w:tcW w:w="5917" w:type="dxa"/>
            <w:tcBorders>
              <w:top w:val="single" w:color="auto" w:sz="4" w:space="0"/>
              <w:left w:val="single" w:color="auto" w:sz="4" w:space="0"/>
              <w:bottom w:val="single" w:color="auto" w:sz="4" w:space="0"/>
              <w:right w:val="single" w:color="auto" w:sz="4" w:space="0"/>
            </w:tcBorders>
            <w:vAlign w:val="center"/>
          </w:tcPr>
          <w:p w14:paraId="5BE1F12C">
            <w:pPr>
              <w:adjustRightInd w:val="0"/>
              <w:snapToGrid w:val="0"/>
              <w:spacing w:line="360" w:lineRule="auto"/>
              <w:jc w:val="both"/>
              <w:rPr>
                <w:rFonts w:hint="eastAsia" w:ascii="宋体" w:hAnsi="宋体"/>
                <w:sz w:val="22"/>
                <w:szCs w:val="22"/>
                <w:lang w:eastAsia="zh-CN"/>
              </w:rPr>
            </w:pPr>
            <w:r>
              <w:rPr>
                <w:rFonts w:hint="eastAsia" w:ascii="宋体" w:hAnsi="宋体"/>
                <w:sz w:val="22"/>
                <w:szCs w:val="22"/>
                <w:lang w:val="en-US" w:eastAsia="zh-CN"/>
              </w:rPr>
              <w:t>竞争性磋商文件及工程量清单包含的全部内容</w:t>
            </w:r>
          </w:p>
        </w:tc>
      </w:tr>
      <w:tr w14:paraId="75D3A4C5">
        <w:tblPrEx>
          <w:tblCellMar>
            <w:top w:w="0" w:type="dxa"/>
            <w:left w:w="108" w:type="dxa"/>
            <w:bottom w:w="0" w:type="dxa"/>
            <w:right w:w="108" w:type="dxa"/>
          </w:tblCellMar>
        </w:tblPrEx>
        <w:trPr>
          <w:trHeight w:val="778" w:hRule="atLeast"/>
        </w:trPr>
        <w:tc>
          <w:tcPr>
            <w:tcW w:w="508" w:type="dxa"/>
            <w:vMerge w:val="continue"/>
            <w:tcBorders>
              <w:top w:val="single" w:color="auto" w:sz="4" w:space="0"/>
              <w:left w:val="single" w:color="auto" w:sz="4" w:space="0"/>
              <w:bottom w:val="single" w:color="auto" w:sz="4" w:space="0"/>
              <w:right w:val="single" w:color="auto" w:sz="4" w:space="0"/>
            </w:tcBorders>
            <w:vAlign w:val="center"/>
          </w:tcPr>
          <w:p w14:paraId="4D3EE1B8">
            <w:pPr>
              <w:spacing w:line="600" w:lineRule="exact"/>
              <w:rPr>
                <w:rFonts w:ascii="宋体" w:hAnsi="宋体" w:cs="宋体"/>
                <w:sz w:val="22"/>
                <w:szCs w:val="22"/>
              </w:rPr>
            </w:pPr>
          </w:p>
        </w:tc>
        <w:tc>
          <w:tcPr>
            <w:tcW w:w="932" w:type="dxa"/>
            <w:vMerge w:val="continue"/>
            <w:tcBorders>
              <w:top w:val="single" w:color="auto" w:sz="4" w:space="0"/>
              <w:left w:val="single" w:color="auto" w:sz="4" w:space="0"/>
              <w:bottom w:val="single" w:color="auto" w:sz="4" w:space="0"/>
              <w:right w:val="single" w:color="auto" w:sz="4" w:space="0"/>
            </w:tcBorders>
            <w:vAlign w:val="center"/>
          </w:tcPr>
          <w:p w14:paraId="144FCB59">
            <w:pPr>
              <w:spacing w:line="600" w:lineRule="exact"/>
              <w:rPr>
                <w:rFonts w:ascii="宋体" w:hAnsi="宋体" w:cs="宋体"/>
                <w:sz w:val="22"/>
                <w:szCs w:val="22"/>
              </w:rPr>
            </w:pPr>
          </w:p>
        </w:tc>
        <w:tc>
          <w:tcPr>
            <w:tcW w:w="2207" w:type="dxa"/>
            <w:tcBorders>
              <w:top w:val="single" w:color="auto" w:sz="4" w:space="0"/>
              <w:left w:val="single" w:color="auto" w:sz="4" w:space="0"/>
              <w:bottom w:val="single" w:color="auto" w:sz="4" w:space="0"/>
              <w:right w:val="single" w:color="auto" w:sz="4" w:space="0"/>
            </w:tcBorders>
            <w:vAlign w:val="center"/>
          </w:tcPr>
          <w:p w14:paraId="18787E11">
            <w:pPr>
              <w:adjustRightInd w:val="0"/>
              <w:snapToGrid w:val="0"/>
              <w:spacing w:line="360" w:lineRule="auto"/>
              <w:jc w:val="center"/>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项目地点</w:t>
            </w:r>
          </w:p>
        </w:tc>
        <w:tc>
          <w:tcPr>
            <w:tcW w:w="5917" w:type="dxa"/>
            <w:tcBorders>
              <w:top w:val="single" w:color="auto" w:sz="4" w:space="0"/>
              <w:left w:val="single" w:color="auto" w:sz="4" w:space="0"/>
              <w:bottom w:val="single" w:color="auto" w:sz="4" w:space="0"/>
              <w:right w:val="single" w:color="auto" w:sz="4" w:space="0"/>
            </w:tcBorders>
            <w:vAlign w:val="center"/>
          </w:tcPr>
          <w:p w14:paraId="41D215F9">
            <w:pPr>
              <w:adjustRightInd w:val="0"/>
              <w:snapToGrid w:val="0"/>
              <w:spacing w:line="360" w:lineRule="auto"/>
              <w:jc w:val="both"/>
              <w:rPr>
                <w:rFonts w:hint="eastAsia" w:ascii="宋体" w:hAnsi="宋体"/>
                <w:sz w:val="22"/>
                <w:szCs w:val="22"/>
                <w:lang w:val="en-US" w:eastAsia="zh-CN"/>
              </w:rPr>
            </w:pPr>
            <w:r>
              <w:rPr>
                <w:rFonts w:hint="eastAsia" w:ascii="宋体" w:hAnsi="宋体"/>
                <w:sz w:val="22"/>
                <w:szCs w:val="22"/>
                <w:lang w:val="en-US" w:eastAsia="zh-CN"/>
              </w:rPr>
              <w:t>采购人指定地点</w:t>
            </w:r>
          </w:p>
        </w:tc>
      </w:tr>
      <w:tr w14:paraId="0D9CDEA5">
        <w:tblPrEx>
          <w:tblCellMar>
            <w:top w:w="0" w:type="dxa"/>
            <w:left w:w="108" w:type="dxa"/>
            <w:bottom w:w="0" w:type="dxa"/>
            <w:right w:w="108" w:type="dxa"/>
          </w:tblCellMar>
        </w:tblPrEx>
        <w:trPr>
          <w:trHeight w:val="778" w:hRule="atLeast"/>
        </w:trPr>
        <w:tc>
          <w:tcPr>
            <w:tcW w:w="508" w:type="dxa"/>
            <w:vMerge w:val="continue"/>
            <w:tcBorders>
              <w:top w:val="single" w:color="auto" w:sz="4" w:space="0"/>
              <w:left w:val="single" w:color="auto" w:sz="4" w:space="0"/>
              <w:bottom w:val="single" w:color="auto" w:sz="4" w:space="0"/>
              <w:right w:val="single" w:color="auto" w:sz="4" w:space="0"/>
            </w:tcBorders>
            <w:vAlign w:val="center"/>
          </w:tcPr>
          <w:p w14:paraId="0A787344">
            <w:pPr>
              <w:spacing w:line="600" w:lineRule="exact"/>
              <w:rPr>
                <w:rFonts w:ascii="宋体" w:hAnsi="宋体" w:cs="宋体"/>
                <w:sz w:val="22"/>
                <w:szCs w:val="22"/>
              </w:rPr>
            </w:pPr>
          </w:p>
        </w:tc>
        <w:tc>
          <w:tcPr>
            <w:tcW w:w="932" w:type="dxa"/>
            <w:vMerge w:val="continue"/>
            <w:tcBorders>
              <w:top w:val="single" w:color="auto" w:sz="4" w:space="0"/>
              <w:left w:val="single" w:color="auto" w:sz="4" w:space="0"/>
              <w:bottom w:val="single" w:color="auto" w:sz="4" w:space="0"/>
              <w:right w:val="single" w:color="auto" w:sz="4" w:space="0"/>
            </w:tcBorders>
            <w:vAlign w:val="center"/>
          </w:tcPr>
          <w:p w14:paraId="31B04976">
            <w:pPr>
              <w:spacing w:line="600" w:lineRule="exact"/>
              <w:rPr>
                <w:rFonts w:ascii="宋体" w:hAnsi="宋体" w:cs="宋体"/>
                <w:sz w:val="22"/>
                <w:szCs w:val="22"/>
              </w:rPr>
            </w:pPr>
          </w:p>
        </w:tc>
        <w:tc>
          <w:tcPr>
            <w:tcW w:w="2207" w:type="dxa"/>
            <w:tcBorders>
              <w:top w:val="single" w:color="auto" w:sz="4" w:space="0"/>
              <w:left w:val="single" w:color="auto" w:sz="4" w:space="0"/>
              <w:bottom w:val="single" w:color="auto" w:sz="4" w:space="0"/>
              <w:right w:val="single" w:color="auto" w:sz="4" w:space="0"/>
            </w:tcBorders>
            <w:vAlign w:val="center"/>
          </w:tcPr>
          <w:p w14:paraId="6AE02BC2">
            <w:pPr>
              <w:adjustRightInd w:val="0"/>
              <w:snapToGrid w:val="0"/>
              <w:spacing w:line="360" w:lineRule="auto"/>
              <w:jc w:val="center"/>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其他</w:t>
            </w:r>
          </w:p>
        </w:tc>
        <w:tc>
          <w:tcPr>
            <w:tcW w:w="5917" w:type="dxa"/>
            <w:tcBorders>
              <w:top w:val="single" w:color="auto" w:sz="4" w:space="0"/>
              <w:left w:val="single" w:color="auto" w:sz="4" w:space="0"/>
              <w:bottom w:val="single" w:color="auto" w:sz="4" w:space="0"/>
              <w:right w:val="single" w:color="auto" w:sz="4" w:space="0"/>
            </w:tcBorders>
            <w:vAlign w:val="center"/>
          </w:tcPr>
          <w:p w14:paraId="78934EC5">
            <w:pPr>
              <w:adjustRightInd w:val="0"/>
              <w:snapToGrid w:val="0"/>
              <w:spacing w:line="360" w:lineRule="auto"/>
              <w:jc w:val="both"/>
              <w:rPr>
                <w:rFonts w:hint="default" w:ascii="宋体" w:hAnsi="宋体"/>
                <w:sz w:val="22"/>
                <w:szCs w:val="22"/>
                <w:lang w:val="en-US" w:eastAsia="zh-CN"/>
              </w:rPr>
            </w:pPr>
            <w:r>
              <w:rPr>
                <w:rFonts w:hint="eastAsia" w:ascii="宋体" w:hAnsi="宋体"/>
                <w:sz w:val="22"/>
                <w:szCs w:val="22"/>
                <w:lang w:val="en-US" w:eastAsia="zh-CN"/>
              </w:rPr>
              <w:t>磋商文件规定的其他情形</w:t>
            </w:r>
          </w:p>
        </w:tc>
      </w:tr>
    </w:tbl>
    <w:p w14:paraId="40044CC6">
      <w:pPr>
        <w:pStyle w:val="20"/>
        <w:ind w:left="0" w:leftChars="0" w:firstLine="0" w:firstLineChars="0"/>
        <w:jc w:val="both"/>
        <w:rPr>
          <w:rFonts w:hint="eastAsia" w:ascii="宋体" w:hAnsi="宋体" w:eastAsia="宋体" w:cs="宋体"/>
          <w:b/>
          <w:bCs w:val="0"/>
          <w:color w:val="auto"/>
          <w:sz w:val="28"/>
          <w:szCs w:val="28"/>
          <w:highlight w:val="none"/>
          <w:lang w:val="en-US" w:eastAsia="zh-CN"/>
        </w:rPr>
      </w:pPr>
    </w:p>
    <w:p w14:paraId="4E2E6885">
      <w:pPr>
        <w:pStyle w:val="19"/>
        <w:rPr>
          <w:rFonts w:hint="eastAsia" w:ascii="宋体" w:hAnsi="宋体" w:eastAsia="宋体" w:cs="宋体"/>
          <w:b/>
          <w:bCs w:val="0"/>
          <w:color w:val="auto"/>
          <w:sz w:val="28"/>
          <w:szCs w:val="28"/>
          <w:highlight w:val="none"/>
          <w:lang w:val="en-US" w:eastAsia="zh-CN"/>
        </w:rPr>
      </w:pPr>
    </w:p>
    <w:p w14:paraId="7839D460">
      <w:pPr>
        <w:pStyle w:val="20"/>
        <w:rPr>
          <w:rFonts w:hint="eastAsia" w:ascii="宋体" w:hAnsi="宋体" w:eastAsia="宋体" w:cs="宋体"/>
          <w:b/>
          <w:bCs w:val="0"/>
          <w:color w:val="auto"/>
          <w:sz w:val="28"/>
          <w:szCs w:val="28"/>
          <w:highlight w:val="none"/>
          <w:lang w:val="en-US" w:eastAsia="zh-CN"/>
        </w:rPr>
      </w:pPr>
    </w:p>
    <w:bookmarkEnd w:id="122"/>
    <w:bookmarkEnd w:id="123"/>
    <w:bookmarkEnd w:id="124"/>
    <w:p w14:paraId="61709D89">
      <w:pPr>
        <w:pStyle w:val="14"/>
        <w:jc w:val="center"/>
        <w:rPr>
          <w:rFonts w:hint="eastAsia"/>
          <w:b/>
          <w:bCs/>
          <w:sz w:val="32"/>
          <w:szCs w:val="40"/>
          <w:lang w:val="en-US" w:eastAsia="zh-CN"/>
        </w:rPr>
      </w:pPr>
    </w:p>
    <w:p w14:paraId="4880AF32">
      <w:pPr>
        <w:pStyle w:val="14"/>
        <w:jc w:val="center"/>
        <w:rPr>
          <w:rFonts w:hint="eastAsia"/>
          <w:b/>
          <w:bCs/>
          <w:sz w:val="32"/>
          <w:szCs w:val="40"/>
          <w:lang w:val="en-US" w:eastAsia="zh-CN"/>
        </w:rPr>
      </w:pPr>
    </w:p>
    <w:p w14:paraId="718D4452">
      <w:pPr>
        <w:pStyle w:val="14"/>
        <w:jc w:val="center"/>
        <w:rPr>
          <w:rFonts w:hint="eastAsia"/>
          <w:b/>
          <w:bCs/>
          <w:sz w:val="32"/>
          <w:szCs w:val="40"/>
          <w:lang w:val="en-US" w:eastAsia="zh-CN"/>
        </w:rPr>
      </w:pPr>
    </w:p>
    <w:p w14:paraId="1F06A1C1">
      <w:pPr>
        <w:pStyle w:val="14"/>
        <w:jc w:val="center"/>
        <w:rPr>
          <w:rFonts w:hint="eastAsia"/>
          <w:b/>
          <w:bCs/>
          <w:sz w:val="32"/>
          <w:szCs w:val="40"/>
          <w:lang w:val="en-US" w:eastAsia="zh-CN"/>
        </w:rPr>
      </w:pPr>
    </w:p>
    <w:p w14:paraId="6F577B7C">
      <w:pPr>
        <w:pStyle w:val="14"/>
        <w:jc w:val="center"/>
        <w:rPr>
          <w:rFonts w:hint="eastAsia"/>
          <w:b/>
          <w:bCs/>
          <w:sz w:val="32"/>
          <w:szCs w:val="40"/>
          <w:lang w:val="en-US" w:eastAsia="zh-CN"/>
        </w:rPr>
      </w:pPr>
      <w:r>
        <w:rPr>
          <w:rFonts w:hint="eastAsia"/>
          <w:b/>
          <w:bCs/>
          <w:sz w:val="32"/>
          <w:szCs w:val="40"/>
          <w:lang w:val="en-US" w:eastAsia="zh-CN"/>
        </w:rPr>
        <w:t>评分标准</w:t>
      </w:r>
    </w:p>
    <w:tbl>
      <w:tblPr>
        <w:tblStyle w:val="21"/>
        <w:tblW w:w="10200" w:type="dxa"/>
        <w:tblInd w:w="-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0"/>
        <w:gridCol w:w="1125"/>
        <w:gridCol w:w="7170"/>
        <w:gridCol w:w="765"/>
      </w:tblGrid>
      <w:tr w14:paraId="11CB2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10200" w:type="dxa"/>
            <w:gridSpan w:val="4"/>
            <w:noWrap w:val="0"/>
            <w:vAlign w:val="center"/>
          </w:tcPr>
          <w:p w14:paraId="5049EE17">
            <w:pPr>
              <w:spacing w:line="360" w:lineRule="auto"/>
              <w:jc w:val="center"/>
              <w:rPr>
                <w:rFonts w:hint="eastAsia" w:ascii="宋体" w:hAnsi="宋体" w:eastAsia="宋体" w:cs="宋体"/>
                <w:b/>
                <w:bCs/>
                <w:color w:val="auto"/>
                <w:sz w:val="22"/>
                <w:szCs w:val="22"/>
                <w:highlight w:val="none"/>
                <w:u w:val="none"/>
                <w:lang w:bidi="ar-SA"/>
              </w:rPr>
            </w:pPr>
            <w:r>
              <w:rPr>
                <w:rFonts w:hint="eastAsia" w:ascii="宋体" w:hAnsi="宋体" w:eastAsia="宋体" w:cs="宋体"/>
                <w:b/>
                <w:bCs/>
                <w:color w:val="auto"/>
                <w:sz w:val="24"/>
                <w:szCs w:val="24"/>
                <w:highlight w:val="none"/>
                <w:u w:val="none"/>
                <w:lang w:bidi="ar-SA"/>
              </w:rPr>
              <w:t>综合评分部分（满分100分）</w:t>
            </w:r>
          </w:p>
        </w:tc>
      </w:tr>
      <w:tr w14:paraId="30A64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2265" w:type="dxa"/>
            <w:gridSpan w:val="2"/>
            <w:noWrap w:val="0"/>
            <w:vAlign w:val="center"/>
          </w:tcPr>
          <w:p w14:paraId="6757C8B6">
            <w:pPr>
              <w:spacing w:line="360" w:lineRule="auto"/>
              <w:jc w:val="center"/>
              <w:rPr>
                <w:rFonts w:hint="eastAsia" w:ascii="宋体" w:hAnsi="宋体" w:eastAsia="宋体" w:cs="宋体"/>
                <w:b w:val="0"/>
                <w:bCs w:val="0"/>
                <w:color w:val="auto"/>
                <w:sz w:val="24"/>
                <w:szCs w:val="24"/>
                <w:highlight w:val="none"/>
                <w:u w:val="none"/>
                <w:lang w:bidi="ar-SA"/>
              </w:rPr>
            </w:pPr>
            <w:r>
              <w:rPr>
                <w:rFonts w:hint="eastAsia" w:ascii="宋体" w:hAnsi="宋体" w:eastAsia="宋体" w:cs="宋体"/>
                <w:b w:val="0"/>
                <w:bCs w:val="0"/>
                <w:color w:val="auto"/>
                <w:sz w:val="24"/>
                <w:szCs w:val="24"/>
                <w:highlight w:val="none"/>
                <w:u w:val="none"/>
                <w:lang w:bidi="ar-SA"/>
              </w:rPr>
              <w:t>分值构成</w:t>
            </w:r>
          </w:p>
          <w:p w14:paraId="4A77D902">
            <w:pPr>
              <w:spacing w:line="360" w:lineRule="auto"/>
              <w:jc w:val="center"/>
              <w:rPr>
                <w:rFonts w:hint="eastAsia" w:ascii="宋体" w:hAnsi="宋体" w:eastAsia="宋体" w:cs="宋体"/>
                <w:b/>
                <w:bCs/>
                <w:color w:val="auto"/>
                <w:sz w:val="24"/>
                <w:szCs w:val="24"/>
                <w:highlight w:val="none"/>
                <w:u w:val="none"/>
                <w:lang w:bidi="ar-SA"/>
              </w:rPr>
            </w:pPr>
            <w:r>
              <w:rPr>
                <w:rFonts w:hint="eastAsia" w:ascii="宋体" w:hAnsi="宋体" w:eastAsia="宋体" w:cs="宋体"/>
                <w:b w:val="0"/>
                <w:bCs w:val="0"/>
                <w:color w:val="auto"/>
                <w:sz w:val="24"/>
                <w:szCs w:val="24"/>
                <w:highlight w:val="none"/>
                <w:u w:val="none"/>
                <w:lang w:bidi="ar-SA"/>
              </w:rPr>
              <w:t>(总分100分)</w:t>
            </w:r>
          </w:p>
        </w:tc>
        <w:tc>
          <w:tcPr>
            <w:tcW w:w="7935" w:type="dxa"/>
            <w:gridSpan w:val="2"/>
            <w:noWrap w:val="0"/>
            <w:vAlign w:val="center"/>
          </w:tcPr>
          <w:p w14:paraId="523FC319">
            <w:pPr>
              <w:spacing w:line="360" w:lineRule="auto"/>
              <w:rPr>
                <w:rFonts w:cs="宋体" w:asciiTheme="majorEastAsia" w:hAnsiTheme="majorEastAsia" w:eastAsiaTheme="majorEastAsia"/>
                <w:kern w:val="1"/>
                <w:sz w:val="24"/>
                <w:szCs w:val="24"/>
                <w:highlight w:val="none"/>
              </w:rPr>
            </w:pPr>
            <w:r>
              <w:rPr>
                <w:rFonts w:hint="eastAsia" w:cs="宋体" w:asciiTheme="majorEastAsia" w:hAnsiTheme="majorEastAsia" w:eastAsiaTheme="majorEastAsia"/>
                <w:kern w:val="1"/>
                <w:sz w:val="24"/>
                <w:szCs w:val="24"/>
                <w:highlight w:val="none"/>
              </w:rPr>
              <w:t>商务标</w:t>
            </w:r>
            <w:r>
              <w:rPr>
                <w:rFonts w:cs="宋体" w:asciiTheme="majorEastAsia" w:hAnsiTheme="majorEastAsia" w:eastAsiaTheme="majorEastAsia"/>
                <w:kern w:val="1"/>
                <w:sz w:val="24"/>
                <w:szCs w:val="24"/>
                <w:highlight w:val="none"/>
              </w:rPr>
              <w:t>：</w:t>
            </w:r>
            <w:r>
              <w:rPr>
                <w:rFonts w:hint="eastAsia" w:cs="宋体" w:asciiTheme="majorEastAsia" w:hAnsiTheme="majorEastAsia" w:eastAsiaTheme="majorEastAsia"/>
                <w:kern w:val="1"/>
                <w:sz w:val="24"/>
                <w:szCs w:val="24"/>
                <w:highlight w:val="none"/>
                <w:u w:val="single"/>
              </w:rPr>
              <w:t>30</w:t>
            </w:r>
            <w:r>
              <w:rPr>
                <w:rFonts w:cs="宋体" w:asciiTheme="majorEastAsia" w:hAnsiTheme="majorEastAsia" w:eastAsiaTheme="majorEastAsia"/>
                <w:kern w:val="1"/>
                <w:sz w:val="24"/>
                <w:szCs w:val="24"/>
                <w:highlight w:val="none"/>
              </w:rPr>
              <w:t>分</w:t>
            </w:r>
          </w:p>
          <w:p w14:paraId="4832B4E8">
            <w:pPr>
              <w:spacing w:line="360" w:lineRule="auto"/>
              <w:rPr>
                <w:rFonts w:cs="宋体" w:asciiTheme="majorEastAsia" w:hAnsiTheme="majorEastAsia" w:eastAsiaTheme="majorEastAsia"/>
                <w:kern w:val="1"/>
                <w:sz w:val="24"/>
                <w:szCs w:val="24"/>
                <w:highlight w:val="none"/>
              </w:rPr>
            </w:pPr>
            <w:r>
              <w:rPr>
                <w:rFonts w:cs="宋体" w:asciiTheme="majorEastAsia" w:hAnsiTheme="majorEastAsia" w:eastAsiaTheme="majorEastAsia"/>
                <w:kern w:val="1"/>
                <w:sz w:val="24"/>
                <w:szCs w:val="24"/>
                <w:highlight w:val="none"/>
              </w:rPr>
              <w:t>技术标：</w:t>
            </w:r>
            <w:r>
              <w:rPr>
                <w:rFonts w:hint="eastAsia" w:cs="宋体" w:asciiTheme="majorEastAsia" w:hAnsiTheme="majorEastAsia" w:eastAsiaTheme="majorEastAsia"/>
                <w:kern w:val="1"/>
                <w:sz w:val="24"/>
                <w:szCs w:val="24"/>
                <w:highlight w:val="none"/>
                <w:u w:val="single"/>
              </w:rPr>
              <w:t>50</w:t>
            </w:r>
            <w:r>
              <w:rPr>
                <w:rFonts w:cs="宋体" w:asciiTheme="majorEastAsia" w:hAnsiTheme="majorEastAsia" w:eastAsiaTheme="majorEastAsia"/>
                <w:kern w:val="1"/>
                <w:sz w:val="24"/>
                <w:szCs w:val="24"/>
                <w:highlight w:val="none"/>
              </w:rPr>
              <w:t>分</w:t>
            </w:r>
          </w:p>
          <w:p w14:paraId="6EEFFCFF">
            <w:pPr>
              <w:spacing w:line="360" w:lineRule="auto"/>
              <w:jc w:val="both"/>
              <w:rPr>
                <w:rFonts w:hint="eastAsia" w:ascii="宋体" w:hAnsi="宋体" w:eastAsia="宋体" w:cs="宋体"/>
                <w:b/>
                <w:bCs/>
                <w:color w:val="auto"/>
                <w:sz w:val="24"/>
                <w:szCs w:val="24"/>
                <w:highlight w:val="none"/>
                <w:u w:val="none"/>
                <w:lang w:bidi="ar-SA"/>
              </w:rPr>
            </w:pPr>
            <w:r>
              <w:rPr>
                <w:rFonts w:cs="宋体" w:asciiTheme="majorEastAsia" w:hAnsiTheme="majorEastAsia" w:eastAsiaTheme="majorEastAsia"/>
                <w:kern w:val="1"/>
                <w:sz w:val="24"/>
                <w:szCs w:val="24"/>
                <w:highlight w:val="none"/>
              </w:rPr>
              <w:t>综合标：</w:t>
            </w:r>
            <w:r>
              <w:rPr>
                <w:rFonts w:hint="eastAsia" w:cs="宋体" w:asciiTheme="majorEastAsia" w:hAnsiTheme="majorEastAsia" w:eastAsiaTheme="majorEastAsia"/>
                <w:kern w:val="1"/>
                <w:sz w:val="24"/>
                <w:szCs w:val="24"/>
                <w:highlight w:val="none"/>
                <w:u w:val="single"/>
              </w:rPr>
              <w:t>20</w:t>
            </w:r>
            <w:r>
              <w:rPr>
                <w:rFonts w:cs="宋体" w:asciiTheme="majorEastAsia" w:hAnsiTheme="majorEastAsia" w:eastAsiaTheme="majorEastAsia"/>
                <w:kern w:val="1"/>
                <w:sz w:val="24"/>
                <w:szCs w:val="24"/>
                <w:highlight w:val="none"/>
              </w:rPr>
              <w:t>分</w:t>
            </w:r>
          </w:p>
        </w:tc>
      </w:tr>
      <w:tr w14:paraId="07EB0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1140" w:type="dxa"/>
            <w:noWrap w:val="0"/>
            <w:vAlign w:val="center"/>
          </w:tcPr>
          <w:p w14:paraId="0FACF846">
            <w:pPr>
              <w:spacing w:line="360" w:lineRule="auto"/>
              <w:jc w:val="center"/>
              <w:rPr>
                <w:rFonts w:hint="eastAsia" w:ascii="宋体" w:hAnsi="宋体" w:eastAsia="宋体" w:cs="宋体"/>
                <w:b/>
                <w:bCs/>
                <w:color w:val="auto"/>
                <w:sz w:val="22"/>
                <w:szCs w:val="22"/>
                <w:highlight w:val="none"/>
                <w:u w:val="none"/>
                <w:lang w:bidi="ar-SA"/>
              </w:rPr>
            </w:pPr>
            <w:r>
              <w:rPr>
                <w:rFonts w:hint="eastAsia" w:ascii="宋体" w:hAnsi="宋体" w:eastAsia="宋体" w:cs="宋体"/>
                <w:b/>
                <w:bCs/>
                <w:color w:val="auto"/>
                <w:sz w:val="22"/>
                <w:szCs w:val="22"/>
                <w:highlight w:val="none"/>
                <w:u w:val="none"/>
                <w:lang w:bidi="ar-SA"/>
              </w:rPr>
              <w:t>评分因素</w:t>
            </w:r>
          </w:p>
        </w:tc>
        <w:tc>
          <w:tcPr>
            <w:tcW w:w="1125" w:type="dxa"/>
            <w:noWrap w:val="0"/>
            <w:vAlign w:val="center"/>
          </w:tcPr>
          <w:p w14:paraId="5E4144F0">
            <w:pPr>
              <w:spacing w:line="360" w:lineRule="auto"/>
              <w:jc w:val="center"/>
              <w:rPr>
                <w:rFonts w:hint="eastAsia" w:ascii="宋体" w:hAnsi="宋体" w:eastAsia="宋体" w:cs="宋体"/>
                <w:b/>
                <w:bCs/>
                <w:color w:val="auto"/>
                <w:sz w:val="22"/>
                <w:szCs w:val="22"/>
                <w:highlight w:val="none"/>
                <w:u w:val="none"/>
                <w:lang w:bidi="ar-SA"/>
              </w:rPr>
            </w:pPr>
            <w:r>
              <w:rPr>
                <w:rFonts w:hint="eastAsia" w:ascii="宋体" w:hAnsi="宋体" w:eastAsia="宋体" w:cs="宋体"/>
                <w:b/>
                <w:bCs/>
                <w:color w:val="auto"/>
                <w:sz w:val="22"/>
                <w:szCs w:val="22"/>
                <w:highlight w:val="none"/>
                <w:u w:val="none"/>
                <w:lang w:bidi="ar-SA"/>
              </w:rPr>
              <w:t>评分内容</w:t>
            </w:r>
          </w:p>
        </w:tc>
        <w:tc>
          <w:tcPr>
            <w:tcW w:w="7170" w:type="dxa"/>
            <w:noWrap w:val="0"/>
            <w:vAlign w:val="center"/>
          </w:tcPr>
          <w:p w14:paraId="7FC715FD">
            <w:pPr>
              <w:spacing w:line="360" w:lineRule="auto"/>
              <w:jc w:val="center"/>
              <w:rPr>
                <w:rFonts w:hint="eastAsia" w:ascii="宋体" w:hAnsi="宋体" w:eastAsia="宋体" w:cs="宋体"/>
                <w:b/>
                <w:bCs/>
                <w:color w:val="auto"/>
                <w:sz w:val="22"/>
                <w:szCs w:val="22"/>
                <w:highlight w:val="none"/>
                <w:u w:val="none"/>
                <w:lang w:bidi="ar-SA"/>
              </w:rPr>
            </w:pPr>
            <w:r>
              <w:rPr>
                <w:rFonts w:hint="eastAsia" w:ascii="宋体" w:hAnsi="宋体" w:eastAsia="宋体" w:cs="宋体"/>
                <w:b/>
                <w:bCs/>
                <w:color w:val="auto"/>
                <w:sz w:val="22"/>
                <w:szCs w:val="22"/>
                <w:highlight w:val="none"/>
                <w:u w:val="none"/>
                <w:lang w:bidi="ar-SA"/>
              </w:rPr>
              <w:t>评分标准</w:t>
            </w:r>
          </w:p>
        </w:tc>
        <w:tc>
          <w:tcPr>
            <w:tcW w:w="765" w:type="dxa"/>
            <w:noWrap w:val="0"/>
            <w:vAlign w:val="center"/>
          </w:tcPr>
          <w:p w14:paraId="55B2DB50">
            <w:pPr>
              <w:spacing w:line="360" w:lineRule="auto"/>
              <w:jc w:val="center"/>
              <w:rPr>
                <w:rFonts w:hint="eastAsia" w:ascii="宋体" w:hAnsi="宋体" w:eastAsia="宋体" w:cs="宋体"/>
                <w:b/>
                <w:bCs/>
                <w:color w:val="auto"/>
                <w:sz w:val="22"/>
                <w:szCs w:val="22"/>
                <w:highlight w:val="none"/>
                <w:u w:val="none"/>
                <w:lang w:bidi="ar-SA"/>
              </w:rPr>
            </w:pPr>
            <w:r>
              <w:rPr>
                <w:rFonts w:hint="eastAsia" w:ascii="宋体" w:hAnsi="宋体" w:eastAsia="宋体" w:cs="宋体"/>
                <w:b/>
                <w:bCs/>
                <w:color w:val="auto"/>
                <w:sz w:val="22"/>
                <w:szCs w:val="22"/>
                <w:highlight w:val="none"/>
                <w:u w:val="none"/>
                <w:lang w:bidi="ar-SA"/>
              </w:rPr>
              <w:t>分值</w:t>
            </w:r>
          </w:p>
        </w:tc>
      </w:tr>
      <w:tr w14:paraId="4AD34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2" w:hRule="atLeast"/>
        </w:trPr>
        <w:tc>
          <w:tcPr>
            <w:tcW w:w="1140" w:type="dxa"/>
            <w:noWrap w:val="0"/>
            <w:vAlign w:val="center"/>
          </w:tcPr>
          <w:p w14:paraId="47B02F4E">
            <w:pPr>
              <w:spacing w:line="360" w:lineRule="auto"/>
              <w:jc w:val="center"/>
              <w:rPr>
                <w:rFonts w:hint="eastAsia" w:ascii="宋体" w:hAnsi="宋体" w:eastAsia="宋体" w:cs="宋体"/>
                <w:b/>
                <w:bCs/>
                <w:color w:val="auto"/>
                <w:sz w:val="22"/>
                <w:szCs w:val="22"/>
                <w:highlight w:val="none"/>
                <w:u w:val="none"/>
                <w:lang w:bidi="ar-SA"/>
              </w:rPr>
            </w:pPr>
            <w:r>
              <w:rPr>
                <w:rFonts w:hint="eastAsia" w:ascii="宋体" w:hAnsi="宋体" w:cs="宋体"/>
                <w:b/>
                <w:bCs/>
                <w:sz w:val="22"/>
                <w:szCs w:val="22"/>
                <w:highlight w:val="none"/>
                <w:lang w:val="en-US" w:eastAsia="zh-CN"/>
              </w:rPr>
              <w:t>商务标</w:t>
            </w:r>
            <w:r>
              <w:rPr>
                <w:rFonts w:hint="eastAsia" w:ascii="宋体" w:hAnsi="宋体" w:cs="宋体"/>
                <w:b/>
                <w:bCs/>
                <w:sz w:val="22"/>
                <w:szCs w:val="22"/>
                <w:highlight w:val="none"/>
              </w:rPr>
              <w:t>（</w:t>
            </w:r>
            <w:r>
              <w:rPr>
                <w:rFonts w:hint="eastAsia" w:ascii="宋体" w:hAnsi="宋体" w:cs="宋体"/>
                <w:b/>
                <w:bCs/>
                <w:sz w:val="22"/>
                <w:szCs w:val="22"/>
                <w:highlight w:val="none"/>
                <w:lang w:val="en-US" w:eastAsia="zh-CN"/>
              </w:rPr>
              <w:t>30</w:t>
            </w:r>
            <w:r>
              <w:rPr>
                <w:rFonts w:hint="eastAsia" w:ascii="宋体" w:hAnsi="宋体" w:cs="宋体"/>
                <w:b/>
                <w:bCs/>
                <w:sz w:val="22"/>
                <w:szCs w:val="22"/>
                <w:highlight w:val="none"/>
              </w:rPr>
              <w:t>分）</w:t>
            </w:r>
          </w:p>
        </w:tc>
        <w:tc>
          <w:tcPr>
            <w:tcW w:w="1125" w:type="dxa"/>
            <w:noWrap w:val="0"/>
            <w:vAlign w:val="center"/>
          </w:tcPr>
          <w:p w14:paraId="3E747AA9">
            <w:pPr>
              <w:spacing w:line="360" w:lineRule="auto"/>
              <w:jc w:val="center"/>
              <w:rPr>
                <w:rFonts w:hint="eastAsia" w:ascii="宋体" w:hAnsi="宋体" w:eastAsia="宋体" w:cs="宋体"/>
                <w:b/>
                <w:bCs/>
                <w:color w:val="auto"/>
                <w:sz w:val="22"/>
                <w:szCs w:val="22"/>
                <w:highlight w:val="none"/>
                <w:u w:val="none"/>
                <w:lang w:bidi="ar-SA"/>
              </w:rPr>
            </w:pPr>
            <w:r>
              <w:rPr>
                <w:rFonts w:hint="eastAsia" w:ascii="宋体" w:hAnsi="宋体" w:cs="宋体"/>
                <w:sz w:val="22"/>
                <w:szCs w:val="22"/>
                <w:highlight w:val="none"/>
                <w:lang w:val="en-US" w:eastAsia="zh-CN"/>
              </w:rPr>
              <w:t>磋商</w:t>
            </w:r>
            <w:r>
              <w:rPr>
                <w:rFonts w:hint="eastAsia" w:ascii="宋体" w:hAnsi="宋体" w:cs="宋体"/>
                <w:sz w:val="22"/>
                <w:szCs w:val="22"/>
                <w:highlight w:val="none"/>
              </w:rPr>
              <w:t>报价</w:t>
            </w:r>
          </w:p>
        </w:tc>
        <w:tc>
          <w:tcPr>
            <w:tcW w:w="7170" w:type="dxa"/>
            <w:noWrap w:val="0"/>
            <w:vAlign w:val="center"/>
          </w:tcPr>
          <w:p w14:paraId="6154F36C">
            <w:pPr>
              <w:spacing w:line="360" w:lineRule="auto"/>
              <w:rPr>
                <w:rFonts w:ascii="宋体" w:hAnsi="宋体" w:cs="宋体"/>
                <w:sz w:val="22"/>
                <w:szCs w:val="22"/>
                <w:highlight w:val="none"/>
              </w:rPr>
            </w:pPr>
            <w:r>
              <w:rPr>
                <w:rFonts w:hint="eastAsia" w:ascii="宋体" w:hAnsi="宋体" w:cs="宋体"/>
                <w:sz w:val="22"/>
                <w:szCs w:val="22"/>
                <w:highlight w:val="none"/>
              </w:rPr>
              <w:t>1、本次竞争性磋商分为两轮报价，响应文件中的报价作为第一次报价，不得高于磋商控制价。所有未进入详细评审的磋商为无效磋商，其报价不作为评分依据。</w:t>
            </w:r>
          </w:p>
          <w:p w14:paraId="4338B770">
            <w:pPr>
              <w:spacing w:line="360" w:lineRule="auto"/>
              <w:rPr>
                <w:rFonts w:ascii="宋体" w:hAnsi="宋体" w:cs="宋体"/>
                <w:sz w:val="22"/>
                <w:szCs w:val="22"/>
                <w:highlight w:val="none"/>
              </w:rPr>
            </w:pPr>
            <w:r>
              <w:rPr>
                <w:rFonts w:hint="eastAsia" w:ascii="宋体" w:hAnsi="宋体" w:cs="宋体"/>
                <w:sz w:val="22"/>
                <w:szCs w:val="22"/>
                <w:highlight w:val="none"/>
              </w:rPr>
              <w:t>2、价格分采用低价优先法计算，即满足竞争性磋商文件要求且最后报价最低的</w:t>
            </w:r>
            <w:r>
              <w:rPr>
                <w:rFonts w:hint="eastAsia" w:ascii="宋体" w:hAnsi="宋体" w:cs="宋体"/>
                <w:sz w:val="22"/>
                <w:szCs w:val="22"/>
                <w:highlight w:val="none"/>
                <w:lang w:val="en-US" w:eastAsia="zh-CN"/>
              </w:rPr>
              <w:t>供应商</w:t>
            </w:r>
            <w:r>
              <w:rPr>
                <w:rFonts w:hint="eastAsia" w:ascii="宋体" w:hAnsi="宋体" w:cs="宋体"/>
                <w:sz w:val="22"/>
                <w:szCs w:val="22"/>
                <w:highlight w:val="none"/>
              </w:rPr>
              <w:t>的价格为磋商基准价，其价格分为满分，其他</w:t>
            </w:r>
            <w:r>
              <w:rPr>
                <w:rFonts w:hint="eastAsia" w:ascii="宋体" w:hAnsi="宋体" w:cs="宋体"/>
                <w:sz w:val="22"/>
                <w:szCs w:val="22"/>
                <w:highlight w:val="none"/>
                <w:lang w:val="en-US" w:eastAsia="zh-CN"/>
              </w:rPr>
              <w:t>供应商</w:t>
            </w:r>
            <w:r>
              <w:rPr>
                <w:rFonts w:hint="eastAsia" w:ascii="宋体" w:hAnsi="宋体" w:cs="宋体"/>
                <w:sz w:val="22"/>
                <w:szCs w:val="22"/>
                <w:highlight w:val="none"/>
              </w:rPr>
              <w:t>的价格分统一按照下列公式计算：</w:t>
            </w:r>
          </w:p>
          <w:p w14:paraId="13FABA69">
            <w:pPr>
              <w:spacing w:line="360" w:lineRule="auto"/>
              <w:rPr>
                <w:rFonts w:ascii="宋体" w:hAnsi="宋体" w:cs="宋体"/>
                <w:bCs/>
                <w:kern w:val="0"/>
                <w:sz w:val="22"/>
                <w:szCs w:val="22"/>
                <w:highlight w:val="none"/>
              </w:rPr>
            </w:pPr>
            <w:r>
              <w:rPr>
                <w:rFonts w:hint="eastAsia" w:ascii="宋体" w:hAnsi="宋体" w:cs="宋体"/>
                <w:bCs/>
                <w:kern w:val="0"/>
                <w:sz w:val="22"/>
                <w:szCs w:val="22"/>
                <w:highlight w:val="none"/>
              </w:rPr>
              <w:t>其他</w:t>
            </w:r>
            <w:r>
              <w:rPr>
                <w:rFonts w:hint="eastAsia" w:ascii="宋体" w:hAnsi="宋体" w:cs="宋体"/>
                <w:sz w:val="22"/>
                <w:szCs w:val="22"/>
                <w:highlight w:val="none"/>
                <w:lang w:val="en-US" w:eastAsia="zh-CN"/>
              </w:rPr>
              <w:t>供应商</w:t>
            </w:r>
            <w:r>
              <w:rPr>
                <w:rFonts w:hint="eastAsia" w:ascii="宋体" w:hAnsi="宋体" w:cs="宋体"/>
                <w:bCs/>
                <w:kern w:val="0"/>
                <w:sz w:val="22"/>
                <w:szCs w:val="22"/>
                <w:highlight w:val="none"/>
              </w:rPr>
              <w:t>磋商报价得分=</w:t>
            </w:r>
            <w:r>
              <w:rPr>
                <w:rFonts w:hint="eastAsia" w:ascii="宋体" w:hAnsi="宋体" w:eastAsia="宋体" w:cs="仿宋_GB2312"/>
                <w:color w:val="000000"/>
                <w:sz w:val="22"/>
                <w:szCs w:val="22"/>
                <w:highlight w:val="none"/>
                <w:lang w:val="zh-CN"/>
              </w:rPr>
              <w:t>（</w:t>
            </w:r>
            <w:r>
              <w:rPr>
                <w:rFonts w:hint="eastAsia" w:ascii="宋体" w:hAnsi="宋体" w:cs="宋体"/>
                <w:bCs/>
                <w:kern w:val="0"/>
                <w:sz w:val="22"/>
                <w:szCs w:val="22"/>
                <w:highlight w:val="none"/>
              </w:rPr>
              <w:t>磋商基准价/磋商报价</w:t>
            </w:r>
            <w:r>
              <w:rPr>
                <w:rFonts w:hint="eastAsia" w:ascii="宋体" w:hAnsi="宋体" w:eastAsia="宋体" w:cs="仿宋_GB2312"/>
                <w:color w:val="000000"/>
                <w:sz w:val="22"/>
                <w:szCs w:val="22"/>
                <w:highlight w:val="none"/>
                <w:lang w:val="zh-CN"/>
              </w:rPr>
              <w:t>）</w:t>
            </w:r>
            <w:r>
              <w:rPr>
                <w:rFonts w:hint="eastAsia" w:ascii="宋体" w:hAnsi="宋体" w:cs="宋体"/>
                <w:bCs/>
                <w:kern w:val="0"/>
                <w:sz w:val="22"/>
                <w:szCs w:val="22"/>
                <w:highlight w:val="none"/>
              </w:rPr>
              <w:t>×30%×100</w:t>
            </w:r>
          </w:p>
          <w:p w14:paraId="7ED670E7">
            <w:pPr>
              <w:spacing w:line="360" w:lineRule="auto"/>
              <w:ind w:firstLine="442" w:firstLineChars="200"/>
              <w:rPr>
                <w:rFonts w:hint="default"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注：1.得分四舍五入后保留两位小数。</w:t>
            </w:r>
          </w:p>
          <w:p w14:paraId="1E56AE92">
            <w:pPr>
              <w:spacing w:line="360" w:lineRule="auto"/>
              <w:ind w:firstLine="442" w:firstLineChars="200"/>
              <w:rPr>
                <w:rFonts w:hint="eastAsia" w:ascii="宋体" w:hAnsi="宋体" w:cs="宋体"/>
                <w:b/>
                <w:bCs/>
                <w:sz w:val="22"/>
                <w:szCs w:val="22"/>
                <w:highlight w:val="none"/>
              </w:rPr>
            </w:pPr>
            <w:r>
              <w:rPr>
                <w:rFonts w:hint="eastAsia" w:ascii="宋体" w:hAnsi="宋体" w:cs="宋体"/>
                <w:b/>
                <w:bCs/>
                <w:sz w:val="22"/>
                <w:szCs w:val="22"/>
                <w:highlight w:val="none"/>
                <w:lang w:val="en-US" w:eastAsia="zh-CN"/>
              </w:rPr>
              <w:t>2.</w:t>
            </w:r>
            <w:r>
              <w:rPr>
                <w:rFonts w:hint="eastAsia" w:ascii="宋体" w:hAnsi="宋体" w:cs="宋体"/>
                <w:b/>
                <w:bCs/>
                <w:sz w:val="22"/>
                <w:szCs w:val="22"/>
                <w:highlight w:val="none"/>
              </w:rPr>
              <w:t>如磋商小组一致认为最低报价明显不合理，有降低质量、不能诚信履约的可能时，磋商小组有权通知</w:t>
            </w:r>
            <w:r>
              <w:rPr>
                <w:rFonts w:hint="eastAsia" w:ascii="宋体" w:hAnsi="宋体" w:cs="宋体"/>
                <w:b/>
                <w:bCs/>
                <w:sz w:val="22"/>
                <w:szCs w:val="22"/>
                <w:highlight w:val="none"/>
                <w:lang w:eastAsia="zh-CN"/>
              </w:rPr>
              <w:t>供应商</w:t>
            </w:r>
            <w:r>
              <w:rPr>
                <w:rFonts w:hint="eastAsia" w:ascii="宋体" w:hAnsi="宋体" w:cs="宋体"/>
                <w:b/>
                <w:bCs/>
                <w:sz w:val="22"/>
                <w:szCs w:val="22"/>
                <w:highlight w:val="none"/>
              </w:rPr>
              <w:t>进行解释。如</w:t>
            </w:r>
            <w:r>
              <w:rPr>
                <w:rFonts w:hint="eastAsia" w:ascii="宋体" w:hAnsi="宋体" w:cs="宋体"/>
                <w:b/>
                <w:bCs/>
                <w:sz w:val="22"/>
                <w:szCs w:val="22"/>
                <w:highlight w:val="none"/>
                <w:lang w:val="en-US" w:eastAsia="zh-CN"/>
              </w:rPr>
              <w:t>供应商</w:t>
            </w:r>
            <w:r>
              <w:rPr>
                <w:rFonts w:hint="eastAsia" w:ascii="宋体" w:hAnsi="宋体" w:cs="宋体"/>
                <w:b/>
                <w:bCs/>
                <w:sz w:val="22"/>
                <w:szCs w:val="22"/>
                <w:highlight w:val="none"/>
              </w:rPr>
              <w:t>未能在规定期限内作出解释，或所作解释不合理，经磋商小组取得一致意见后，对该</w:t>
            </w:r>
            <w:r>
              <w:rPr>
                <w:rFonts w:hint="eastAsia" w:ascii="宋体" w:hAnsi="宋体" w:cs="宋体"/>
                <w:b/>
                <w:bCs/>
                <w:sz w:val="22"/>
                <w:szCs w:val="22"/>
                <w:highlight w:val="none"/>
                <w:lang w:val="en-US" w:eastAsia="zh-CN"/>
              </w:rPr>
              <w:t>供应商</w:t>
            </w:r>
            <w:r>
              <w:rPr>
                <w:rFonts w:hint="eastAsia" w:ascii="宋体" w:hAnsi="宋体" w:cs="宋体"/>
                <w:b/>
                <w:bCs/>
                <w:sz w:val="22"/>
                <w:szCs w:val="22"/>
                <w:highlight w:val="none"/>
              </w:rPr>
              <w:t>将不予推荐。</w:t>
            </w:r>
          </w:p>
          <w:p w14:paraId="099C806E">
            <w:pPr>
              <w:spacing w:line="360" w:lineRule="auto"/>
              <w:ind w:firstLine="442" w:firstLineChars="200"/>
              <w:rPr>
                <w:rFonts w:hint="eastAsia" w:ascii="宋体" w:hAnsi="宋体" w:cs="宋体"/>
                <w:sz w:val="22"/>
                <w:szCs w:val="22"/>
                <w:highlight w:val="none"/>
                <w:lang w:val="en-US" w:eastAsia="zh-CN"/>
              </w:rPr>
            </w:pPr>
            <w:r>
              <w:rPr>
                <w:rFonts w:hint="eastAsia" w:ascii="宋体" w:hAnsi="宋体" w:cs="宋体"/>
                <w:b/>
                <w:bCs/>
                <w:sz w:val="22"/>
                <w:szCs w:val="22"/>
                <w:highlight w:val="none"/>
                <w:lang w:val="en-US" w:eastAsia="zh-CN"/>
              </w:rPr>
              <w:t>3.落实的政府采购政策：（1）本项目专门面向中小企业采购，不再进行价格扣除。参加政府采购活动的中小企业应当提供《中小企业声明函》；（2）关于监狱企业：视同小微企业。须提供由省级以上监狱管理局、戒毒管理局（含新疆生产建设兵团）出具的属于监狱企业的证明文件；（3）关于残疾人福利性单位：视同小微企业。须提供完整的“残疾人福利性单位声明函”。</w:t>
            </w:r>
          </w:p>
        </w:tc>
        <w:tc>
          <w:tcPr>
            <w:tcW w:w="765" w:type="dxa"/>
            <w:noWrap w:val="0"/>
            <w:vAlign w:val="center"/>
          </w:tcPr>
          <w:p w14:paraId="5FE82672">
            <w:pPr>
              <w:snapToGrid w:val="0"/>
              <w:spacing w:line="440" w:lineRule="exact"/>
              <w:jc w:val="center"/>
              <w:rPr>
                <w:rFonts w:hint="eastAsia" w:ascii="宋体" w:hAnsi="宋体" w:eastAsia="宋体" w:cs="宋体"/>
                <w:b/>
                <w:bCs/>
                <w:color w:val="auto"/>
                <w:sz w:val="22"/>
                <w:szCs w:val="22"/>
                <w:highlight w:val="none"/>
                <w:u w:val="none"/>
                <w:lang w:bidi="ar-SA"/>
              </w:rPr>
            </w:pPr>
            <w:r>
              <w:rPr>
                <w:rFonts w:hint="eastAsia" w:ascii="宋体" w:hAnsi="宋体" w:eastAsia="宋体" w:cs="宋体"/>
                <w:color w:val="auto"/>
                <w:kern w:val="0"/>
                <w:sz w:val="22"/>
                <w:szCs w:val="22"/>
                <w:highlight w:val="none"/>
                <w:u w:val="none"/>
                <w:lang w:val="en-US" w:eastAsia="zh-CN" w:bidi="ar-SA"/>
              </w:rPr>
              <w:t>0-30</w:t>
            </w:r>
            <w:r>
              <w:rPr>
                <w:rFonts w:hint="eastAsia" w:ascii="宋体" w:hAnsi="宋体" w:eastAsia="宋体" w:cs="宋体"/>
                <w:color w:val="auto"/>
                <w:kern w:val="0"/>
                <w:sz w:val="22"/>
                <w:szCs w:val="22"/>
                <w:highlight w:val="none"/>
                <w:u w:val="none"/>
                <w:lang w:bidi="ar-SA"/>
              </w:rPr>
              <w:t>分</w:t>
            </w:r>
          </w:p>
        </w:tc>
      </w:tr>
      <w:tr w14:paraId="0B93B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140" w:type="dxa"/>
            <w:vMerge w:val="restart"/>
            <w:noWrap w:val="0"/>
            <w:vAlign w:val="center"/>
          </w:tcPr>
          <w:p w14:paraId="31BD3E09">
            <w:pPr>
              <w:spacing w:line="360" w:lineRule="auto"/>
              <w:jc w:val="both"/>
              <w:rPr>
                <w:rFonts w:hint="eastAsia" w:ascii="宋体" w:hAnsi="宋体" w:eastAsia="宋体" w:cs="宋体"/>
                <w:b/>
                <w:bCs/>
                <w:color w:val="auto"/>
                <w:sz w:val="22"/>
                <w:szCs w:val="22"/>
                <w:highlight w:val="none"/>
                <w:u w:val="none"/>
                <w:lang w:bidi="ar-SA"/>
              </w:rPr>
            </w:pPr>
            <w:r>
              <w:rPr>
                <w:rFonts w:hint="eastAsia" w:ascii="宋体" w:hAnsi="宋体" w:eastAsia="宋体" w:cs="宋体"/>
                <w:b/>
                <w:bCs/>
                <w:color w:val="auto"/>
                <w:sz w:val="22"/>
                <w:szCs w:val="22"/>
                <w:highlight w:val="none"/>
                <w:u w:val="none"/>
                <w:lang w:bidi="ar-SA"/>
              </w:rPr>
              <w:t>技术</w:t>
            </w:r>
            <w:r>
              <w:rPr>
                <w:rFonts w:hint="eastAsia" w:ascii="宋体" w:hAnsi="宋体" w:eastAsia="宋体" w:cs="宋体"/>
                <w:b/>
                <w:bCs/>
                <w:color w:val="auto"/>
                <w:sz w:val="22"/>
                <w:szCs w:val="22"/>
                <w:highlight w:val="none"/>
                <w:u w:val="none"/>
                <w:lang w:val="en-US" w:eastAsia="zh-CN" w:bidi="ar-SA"/>
              </w:rPr>
              <w:t>标</w:t>
            </w:r>
            <w:r>
              <w:rPr>
                <w:rFonts w:hint="eastAsia" w:ascii="宋体" w:hAnsi="宋体" w:eastAsia="宋体" w:cs="宋体"/>
                <w:b/>
                <w:bCs/>
                <w:color w:val="auto"/>
                <w:sz w:val="22"/>
                <w:szCs w:val="22"/>
                <w:highlight w:val="none"/>
                <w:u w:val="none"/>
                <w:lang w:bidi="ar-SA"/>
              </w:rPr>
              <w:t>(</w:t>
            </w:r>
            <w:r>
              <w:rPr>
                <w:rFonts w:hint="eastAsia" w:ascii="宋体" w:hAnsi="宋体" w:eastAsia="宋体" w:cs="宋体"/>
                <w:b/>
                <w:bCs/>
                <w:color w:val="auto"/>
                <w:sz w:val="22"/>
                <w:szCs w:val="22"/>
                <w:highlight w:val="none"/>
                <w:u w:val="none"/>
                <w:lang w:val="en-US" w:eastAsia="zh-CN" w:bidi="ar-SA"/>
              </w:rPr>
              <w:t>50</w:t>
            </w:r>
            <w:r>
              <w:rPr>
                <w:rFonts w:hint="eastAsia" w:ascii="宋体" w:hAnsi="宋体" w:eastAsia="宋体" w:cs="宋体"/>
                <w:b/>
                <w:bCs/>
                <w:color w:val="auto"/>
                <w:sz w:val="22"/>
                <w:szCs w:val="22"/>
                <w:highlight w:val="none"/>
                <w:u w:val="none"/>
                <w:lang w:bidi="ar-SA"/>
              </w:rPr>
              <w:t>分)</w:t>
            </w:r>
          </w:p>
        </w:tc>
        <w:tc>
          <w:tcPr>
            <w:tcW w:w="1125" w:type="dxa"/>
            <w:shd w:val="clear" w:color="auto" w:fill="auto"/>
            <w:noWrap w:val="0"/>
            <w:vAlign w:val="center"/>
          </w:tcPr>
          <w:p w14:paraId="49E4272E">
            <w:pPr>
              <w:jc w:val="center"/>
              <w:rPr>
                <w:rFonts w:hint="eastAsia" w:ascii="宋体" w:hAnsi="宋体" w:eastAsia="宋体" w:cs="宋体"/>
                <w:kern w:val="2"/>
                <w:sz w:val="22"/>
                <w:szCs w:val="22"/>
                <w:highlight w:val="none"/>
                <w:lang w:val="en-US" w:eastAsia="en-US" w:bidi="ar-SA"/>
              </w:rPr>
            </w:pPr>
            <w:r>
              <w:rPr>
                <w:rFonts w:hint="eastAsia" w:ascii="宋体" w:hAnsi="宋体" w:cs="宋体"/>
                <w:sz w:val="22"/>
                <w:szCs w:val="22"/>
                <w:highlight w:val="none"/>
              </w:rPr>
              <w:t>内容完整性和编制水平</w:t>
            </w:r>
            <w:r>
              <w:rPr>
                <w:rFonts w:hint="eastAsia" w:ascii="宋体" w:hAnsi="宋体" w:cs="宋体"/>
                <w:sz w:val="22"/>
                <w:szCs w:val="22"/>
                <w:highlight w:val="none"/>
                <w:lang w:eastAsia="zh-CN"/>
              </w:rPr>
              <w:t>（</w:t>
            </w:r>
            <w:r>
              <w:rPr>
                <w:rFonts w:hint="eastAsia" w:ascii="宋体" w:hAnsi="宋体" w:cs="宋体"/>
                <w:sz w:val="22"/>
                <w:szCs w:val="22"/>
                <w:highlight w:val="none"/>
                <w:lang w:val="en-US" w:eastAsia="zh-CN"/>
              </w:rPr>
              <w:t>5</w:t>
            </w:r>
            <w:r>
              <w:rPr>
                <w:rFonts w:hint="eastAsia" w:ascii="宋体" w:hAnsi="宋体" w:cs="宋体"/>
                <w:sz w:val="22"/>
                <w:szCs w:val="22"/>
                <w:highlight w:val="none"/>
              </w:rPr>
              <w:t>分</w:t>
            </w:r>
            <w:r>
              <w:rPr>
                <w:rFonts w:hint="eastAsia" w:ascii="宋体" w:hAnsi="宋体" w:cs="宋体"/>
                <w:sz w:val="22"/>
                <w:szCs w:val="22"/>
                <w:highlight w:val="none"/>
                <w:lang w:eastAsia="zh-CN"/>
              </w:rPr>
              <w:t>）</w:t>
            </w:r>
          </w:p>
        </w:tc>
        <w:tc>
          <w:tcPr>
            <w:tcW w:w="7170" w:type="dxa"/>
            <w:shd w:val="clear" w:color="auto" w:fill="auto"/>
            <w:noWrap w:val="0"/>
            <w:vAlign w:val="center"/>
          </w:tcPr>
          <w:p w14:paraId="433A3D37">
            <w:pPr>
              <w:numPr>
                <w:ilvl w:val="0"/>
                <w:numId w:val="0"/>
              </w:num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针对本项目①办公楼改造②门卫室新建③车库新建④室外配套工程的编制水平进行打分</w:t>
            </w:r>
            <w:r>
              <w:rPr>
                <w:rFonts w:hint="eastAsia" w:ascii="宋体" w:hAnsi="宋体" w:eastAsia="宋体" w:cs="宋体"/>
                <w:kern w:val="2"/>
                <w:sz w:val="22"/>
                <w:szCs w:val="22"/>
                <w:highlight w:val="none"/>
                <w:lang w:val="en-US" w:eastAsia="en-US" w:bidi="ar-SA"/>
              </w:rPr>
              <w:t>：</w:t>
            </w:r>
          </w:p>
          <w:p w14:paraId="32CE0E53">
            <w:pPr>
              <w:numPr>
                <w:ilvl w:val="0"/>
                <w:numId w:val="0"/>
              </w:num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1、</w:t>
            </w:r>
            <w:r>
              <w:rPr>
                <w:rFonts w:hint="eastAsia" w:ascii="宋体" w:hAnsi="宋体" w:eastAsia="宋体" w:cs="宋体"/>
                <w:kern w:val="2"/>
                <w:sz w:val="22"/>
                <w:szCs w:val="22"/>
                <w:highlight w:val="none"/>
                <w:lang w:val="en-US" w:eastAsia="en-US" w:bidi="ar-SA"/>
              </w:rPr>
              <w:t>提供符合</w:t>
            </w:r>
            <w:r>
              <w:rPr>
                <w:rFonts w:hint="eastAsia" w:ascii="宋体" w:hAnsi="宋体" w:eastAsia="宋体" w:cs="宋体"/>
                <w:kern w:val="2"/>
                <w:sz w:val="22"/>
                <w:szCs w:val="22"/>
                <w:highlight w:val="none"/>
                <w:lang w:val="en-US" w:eastAsia="zh-CN" w:bidi="ar-SA"/>
              </w:rPr>
              <w:t>项目</w:t>
            </w:r>
            <w:r>
              <w:rPr>
                <w:rFonts w:hint="eastAsia" w:ascii="宋体" w:hAnsi="宋体" w:eastAsia="宋体" w:cs="宋体"/>
                <w:kern w:val="2"/>
                <w:sz w:val="22"/>
                <w:szCs w:val="22"/>
                <w:highlight w:val="none"/>
                <w:lang w:val="en-US" w:eastAsia="en-US" w:bidi="ar-SA"/>
              </w:rPr>
              <w:t>需求全面详实的有效方案，内容完整性和编制无缺陷</w:t>
            </w:r>
            <w:r>
              <w:rPr>
                <w:rFonts w:hint="eastAsia" w:ascii="宋体" w:hAnsi="宋体" w:eastAsia="宋体" w:cs="宋体"/>
                <w:kern w:val="2"/>
                <w:sz w:val="22"/>
                <w:szCs w:val="22"/>
                <w:highlight w:val="none"/>
                <w:lang w:val="en-US" w:eastAsia="zh-CN" w:bidi="ar-SA"/>
              </w:rPr>
              <w:t>的，得5</w:t>
            </w:r>
            <w:r>
              <w:rPr>
                <w:rFonts w:hint="eastAsia" w:ascii="宋体" w:hAnsi="宋体" w:eastAsia="宋体" w:cs="宋体"/>
                <w:kern w:val="2"/>
                <w:sz w:val="22"/>
                <w:szCs w:val="22"/>
                <w:highlight w:val="none"/>
                <w:lang w:val="en-US" w:eastAsia="en-US" w:bidi="ar-SA"/>
              </w:rPr>
              <w:t>分</w:t>
            </w:r>
            <w:r>
              <w:rPr>
                <w:rFonts w:hint="eastAsia" w:ascii="宋体" w:hAnsi="宋体" w:eastAsia="宋体" w:cs="宋体"/>
                <w:kern w:val="2"/>
                <w:sz w:val="22"/>
                <w:szCs w:val="22"/>
                <w:highlight w:val="none"/>
                <w:lang w:val="en-US" w:eastAsia="zh-CN" w:bidi="ar-SA"/>
              </w:rPr>
              <w:t>；</w:t>
            </w:r>
          </w:p>
          <w:p w14:paraId="41B338CD">
            <w:pPr>
              <w:numPr>
                <w:ilvl w:val="0"/>
                <w:numId w:val="0"/>
              </w:num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2、本项</w:t>
            </w:r>
            <w:r>
              <w:rPr>
                <w:rFonts w:hint="eastAsia" w:ascii="宋体" w:hAnsi="宋体" w:eastAsia="宋体" w:cs="宋体"/>
                <w:kern w:val="2"/>
                <w:sz w:val="22"/>
                <w:szCs w:val="22"/>
                <w:highlight w:val="none"/>
                <w:lang w:val="en-US" w:eastAsia="en-US" w:bidi="ar-SA"/>
              </w:rPr>
              <w:t>方案内容</w:t>
            </w:r>
            <w:r>
              <w:rPr>
                <w:rFonts w:hint="eastAsia" w:ascii="宋体" w:hAnsi="宋体" w:eastAsia="宋体" w:cs="宋体"/>
                <w:kern w:val="2"/>
                <w:sz w:val="22"/>
                <w:szCs w:val="22"/>
                <w:highlight w:val="none"/>
                <w:lang w:val="en-US" w:eastAsia="zh-CN" w:bidi="ar-SA"/>
              </w:rPr>
              <w:t>无漏项但方案</w:t>
            </w:r>
            <w:r>
              <w:rPr>
                <w:rFonts w:hint="eastAsia" w:ascii="宋体" w:hAnsi="宋体" w:eastAsia="宋体" w:cs="宋体"/>
                <w:kern w:val="2"/>
                <w:sz w:val="22"/>
                <w:szCs w:val="22"/>
                <w:highlight w:val="none"/>
                <w:lang w:val="en-US" w:eastAsia="en-US" w:bidi="ar-SA"/>
              </w:rPr>
              <w:t>存在缺陷的，得</w:t>
            </w:r>
            <w:r>
              <w:rPr>
                <w:rFonts w:hint="eastAsia" w:ascii="宋体" w:hAnsi="宋体" w:eastAsia="宋体" w:cs="宋体"/>
                <w:kern w:val="2"/>
                <w:sz w:val="22"/>
                <w:szCs w:val="22"/>
                <w:highlight w:val="none"/>
                <w:lang w:val="en-US" w:eastAsia="zh-CN" w:bidi="ar-SA"/>
              </w:rPr>
              <w:t>3</w:t>
            </w:r>
            <w:r>
              <w:rPr>
                <w:rFonts w:hint="eastAsia" w:ascii="宋体" w:hAnsi="宋体" w:eastAsia="宋体" w:cs="宋体"/>
                <w:kern w:val="2"/>
                <w:sz w:val="22"/>
                <w:szCs w:val="22"/>
                <w:highlight w:val="none"/>
                <w:lang w:val="en-US" w:eastAsia="en-US" w:bidi="ar-SA"/>
              </w:rPr>
              <w:t>分</w:t>
            </w:r>
            <w:r>
              <w:rPr>
                <w:rFonts w:hint="eastAsia" w:ascii="宋体" w:hAnsi="宋体" w:eastAsia="宋体" w:cs="宋体"/>
                <w:kern w:val="2"/>
                <w:sz w:val="22"/>
                <w:szCs w:val="22"/>
                <w:highlight w:val="none"/>
                <w:lang w:val="en-US" w:eastAsia="zh-CN" w:bidi="ar-SA"/>
              </w:rPr>
              <w:t>；</w:t>
            </w:r>
          </w:p>
          <w:p w14:paraId="7A3C0BD3">
            <w:pPr>
              <w:numPr>
                <w:ilvl w:val="0"/>
                <w:numId w:val="0"/>
              </w:num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3、</w:t>
            </w:r>
            <w:r>
              <w:rPr>
                <w:rFonts w:hint="eastAsia" w:ascii="宋体" w:hAnsi="宋体" w:eastAsia="宋体" w:cs="宋体"/>
                <w:kern w:val="2"/>
                <w:sz w:val="22"/>
                <w:szCs w:val="22"/>
                <w:highlight w:val="none"/>
                <w:lang w:val="en-US" w:eastAsia="en-US" w:bidi="ar-SA"/>
              </w:rPr>
              <w:t>方案内容存在不符合项目需求的，或方案</w:t>
            </w:r>
            <w:r>
              <w:rPr>
                <w:rFonts w:hint="eastAsia" w:ascii="宋体" w:hAnsi="宋体" w:eastAsia="宋体" w:cs="宋体"/>
                <w:kern w:val="2"/>
                <w:sz w:val="22"/>
                <w:szCs w:val="22"/>
                <w:highlight w:val="none"/>
                <w:lang w:val="en-US" w:eastAsia="zh-CN" w:bidi="ar-SA"/>
              </w:rPr>
              <w:t>有漏项的</w:t>
            </w:r>
            <w:r>
              <w:rPr>
                <w:rFonts w:hint="eastAsia" w:ascii="宋体" w:hAnsi="宋体" w:eastAsia="宋体" w:cs="宋体"/>
                <w:kern w:val="2"/>
                <w:sz w:val="22"/>
                <w:szCs w:val="22"/>
                <w:highlight w:val="none"/>
                <w:lang w:val="en-US" w:eastAsia="en-US" w:bidi="ar-SA"/>
              </w:rPr>
              <w:t>，得</w:t>
            </w:r>
            <w:r>
              <w:rPr>
                <w:rFonts w:hint="eastAsia" w:ascii="宋体" w:hAnsi="宋体" w:eastAsia="宋体" w:cs="宋体"/>
                <w:kern w:val="2"/>
                <w:sz w:val="22"/>
                <w:szCs w:val="22"/>
                <w:highlight w:val="none"/>
                <w:lang w:val="en-US" w:eastAsia="zh-CN" w:bidi="ar-SA"/>
              </w:rPr>
              <w:t>1</w:t>
            </w:r>
            <w:r>
              <w:rPr>
                <w:rFonts w:hint="eastAsia" w:ascii="宋体" w:hAnsi="宋体" w:eastAsia="宋体" w:cs="宋体"/>
                <w:kern w:val="2"/>
                <w:sz w:val="22"/>
                <w:szCs w:val="22"/>
                <w:highlight w:val="none"/>
                <w:lang w:val="en-US" w:eastAsia="en-US" w:bidi="ar-SA"/>
              </w:rPr>
              <w:t>分</w:t>
            </w:r>
            <w:r>
              <w:rPr>
                <w:rFonts w:hint="eastAsia" w:ascii="宋体" w:hAnsi="宋体" w:eastAsia="宋体" w:cs="宋体"/>
                <w:kern w:val="2"/>
                <w:sz w:val="22"/>
                <w:szCs w:val="22"/>
                <w:highlight w:val="none"/>
                <w:lang w:val="en-US" w:eastAsia="zh-CN" w:bidi="ar-SA"/>
              </w:rPr>
              <w:t>；</w:t>
            </w:r>
          </w:p>
          <w:p w14:paraId="2F32E4BE">
            <w:pPr>
              <w:numPr>
                <w:ilvl w:val="0"/>
                <w:numId w:val="0"/>
              </w:num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4、</w:t>
            </w:r>
            <w:r>
              <w:rPr>
                <w:rFonts w:hint="eastAsia" w:ascii="宋体" w:hAnsi="宋体" w:eastAsia="宋体" w:cs="宋体"/>
                <w:kern w:val="2"/>
                <w:sz w:val="22"/>
                <w:szCs w:val="22"/>
                <w:highlight w:val="none"/>
                <w:lang w:val="en-US" w:eastAsia="en-US" w:bidi="ar-SA"/>
              </w:rPr>
              <w:t>未提供方案，得0分。</w:t>
            </w:r>
          </w:p>
          <w:p w14:paraId="20CBB5D5">
            <w:pPr>
              <w:numPr>
                <w:ilvl w:val="0"/>
                <w:numId w:val="0"/>
              </w:numPr>
              <w:tabs>
                <w:tab w:val="left" w:pos="9720"/>
              </w:tabs>
              <w:autoSpaceDE w:val="0"/>
              <w:autoSpaceDN w:val="0"/>
              <w:adjustRightInd w:val="0"/>
              <w:spacing w:line="360" w:lineRule="exact"/>
              <w:ind w:leftChars="0" w:right="-36" w:rightChars="-17"/>
              <w:jc w:val="left"/>
              <w:rPr>
                <w:rFonts w:hint="eastAsia" w:ascii="宋体" w:hAnsi="宋体" w:eastAsia="宋体" w:cs="宋体"/>
                <w:b/>
                <w:bCs/>
                <w:kern w:val="2"/>
                <w:sz w:val="22"/>
                <w:szCs w:val="22"/>
                <w:highlight w:val="none"/>
                <w:lang w:val="en-US" w:eastAsia="en-US" w:bidi="ar-SA"/>
              </w:rPr>
            </w:pPr>
            <w:r>
              <w:rPr>
                <w:rFonts w:hint="eastAsia" w:ascii="宋体" w:hAnsi="宋体" w:eastAsia="宋体" w:cs="宋体"/>
                <w:b/>
                <w:bCs/>
                <w:kern w:val="2"/>
                <w:sz w:val="22"/>
                <w:szCs w:val="22"/>
                <w:highlight w:val="none"/>
                <w:lang w:val="en-US" w:eastAsia="en-US" w:bidi="ar-SA"/>
              </w:rPr>
              <w:t>注:</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缺陷</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方案内容与项目需求不一致</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存在相互矛盾内容</w:t>
            </w:r>
            <w:r>
              <w:rPr>
                <w:rFonts w:hint="eastAsia" w:ascii="宋体" w:hAnsi="宋体" w:eastAsia="宋体" w:cs="宋体"/>
                <w:b/>
                <w:bCs/>
                <w:kern w:val="2"/>
                <w:sz w:val="22"/>
                <w:szCs w:val="22"/>
                <w:highlight w:val="none"/>
                <w:lang w:val="en-US" w:eastAsia="zh-CN" w:bidi="ar-SA"/>
              </w:rPr>
              <w:t xml:space="preserve"> c单项内容仅有框架标题 d复制招标文件内容的要求 e内容中出现前后描述不一致现象或文字叙述出现错误</w:t>
            </w:r>
            <w:r>
              <w:rPr>
                <w:rFonts w:hint="eastAsia" w:ascii="宋体" w:hAnsi="宋体" w:eastAsia="宋体" w:cs="宋体"/>
                <w:b/>
                <w:bCs/>
                <w:kern w:val="2"/>
                <w:sz w:val="22"/>
                <w:szCs w:val="22"/>
                <w:highlight w:val="none"/>
                <w:lang w:val="en-US" w:eastAsia="en-US" w:bidi="ar-SA"/>
              </w:rPr>
              <w:t>。</w:t>
            </w:r>
          </w:p>
          <w:p w14:paraId="2C20A77B">
            <w:pPr>
              <w:numPr>
                <w:ilvl w:val="0"/>
                <w:numId w:val="0"/>
              </w:numPr>
              <w:tabs>
                <w:tab w:val="left" w:pos="9720"/>
              </w:tabs>
              <w:autoSpaceDE w:val="0"/>
              <w:autoSpaceDN w:val="0"/>
              <w:adjustRightInd w:val="0"/>
              <w:spacing w:line="360" w:lineRule="exact"/>
              <w:ind w:leftChars="0" w:right="-36" w:rightChars="-17"/>
              <w:jc w:val="left"/>
              <w:rPr>
                <w:rFonts w:hint="default" w:ascii="宋体" w:hAnsi="宋体" w:eastAsia="宋体" w:cs="宋体"/>
                <w:kern w:val="2"/>
                <w:sz w:val="22"/>
                <w:szCs w:val="22"/>
                <w:highlight w:val="none"/>
                <w:lang w:val="en-US" w:eastAsia="zh-CN" w:bidi="ar-SA"/>
              </w:rPr>
            </w:pP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不符合项目需求</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存在与本项目执行无关的内容</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存在相关内容在实际操作中不能运用</w:t>
            </w:r>
            <w:r>
              <w:rPr>
                <w:rFonts w:hint="eastAsia" w:ascii="宋体" w:hAnsi="宋体" w:eastAsia="宋体" w:cs="宋体"/>
                <w:b/>
                <w:bCs/>
                <w:kern w:val="2"/>
                <w:sz w:val="22"/>
                <w:szCs w:val="22"/>
                <w:highlight w:val="none"/>
                <w:lang w:val="en-US" w:eastAsia="zh-CN" w:bidi="ar-SA"/>
              </w:rPr>
              <w:t xml:space="preserve"> c内容涉及适用的行业规范及标准(方法)出现错误 d实施地点区域错误，实施时间错误 e与履行合同存在差异性。</w:t>
            </w:r>
          </w:p>
        </w:tc>
        <w:tc>
          <w:tcPr>
            <w:tcW w:w="765" w:type="dxa"/>
            <w:shd w:val="clear" w:color="auto" w:fill="auto"/>
            <w:noWrap w:val="0"/>
            <w:vAlign w:val="center"/>
          </w:tcPr>
          <w:p w14:paraId="1F930899">
            <w:pPr>
              <w:spacing w:line="360" w:lineRule="auto"/>
              <w:jc w:val="center"/>
              <w:rPr>
                <w:rFonts w:hint="eastAsia" w:ascii="宋体" w:hAnsi="宋体" w:eastAsia="宋体" w:cs="宋体"/>
                <w:color w:val="auto"/>
                <w:kern w:val="2"/>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0-5</w:t>
            </w:r>
            <w:r>
              <w:rPr>
                <w:rFonts w:hint="eastAsia" w:ascii="宋体" w:hAnsi="宋体" w:eastAsia="宋体" w:cs="宋体"/>
                <w:color w:val="auto"/>
                <w:sz w:val="22"/>
                <w:szCs w:val="22"/>
                <w:highlight w:val="none"/>
                <w:u w:val="none"/>
                <w:lang w:bidi="ar-SA"/>
              </w:rPr>
              <w:t>分</w:t>
            </w:r>
          </w:p>
        </w:tc>
      </w:tr>
      <w:tr w14:paraId="5537F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trPr>
        <w:tc>
          <w:tcPr>
            <w:tcW w:w="1140" w:type="dxa"/>
            <w:vMerge w:val="continue"/>
            <w:noWrap w:val="0"/>
            <w:vAlign w:val="center"/>
          </w:tcPr>
          <w:p w14:paraId="52FE6D2B">
            <w:pPr>
              <w:rPr>
                <w:rFonts w:hint="eastAsia" w:ascii="宋体" w:hAnsi="宋体" w:eastAsia="宋体" w:cs="宋体"/>
                <w:color w:val="auto"/>
                <w:sz w:val="22"/>
                <w:szCs w:val="22"/>
                <w:highlight w:val="none"/>
                <w:u w:val="none"/>
              </w:rPr>
            </w:pPr>
          </w:p>
        </w:tc>
        <w:tc>
          <w:tcPr>
            <w:tcW w:w="1125" w:type="dxa"/>
            <w:shd w:val="clear" w:color="auto" w:fill="auto"/>
            <w:noWrap w:val="0"/>
            <w:vAlign w:val="center"/>
          </w:tcPr>
          <w:p w14:paraId="6DBC853C">
            <w:pPr>
              <w:spacing w:line="480" w:lineRule="exact"/>
              <w:jc w:val="center"/>
              <w:rPr>
                <w:rFonts w:hint="eastAsia" w:ascii="宋体" w:hAnsi="宋体" w:eastAsia="宋体" w:cs="宋体"/>
                <w:kern w:val="2"/>
                <w:sz w:val="22"/>
                <w:szCs w:val="22"/>
                <w:highlight w:val="none"/>
                <w:lang w:val="en-US" w:eastAsia="en-US" w:bidi="ar-SA"/>
              </w:rPr>
            </w:pPr>
            <w:r>
              <w:rPr>
                <w:rFonts w:hint="eastAsia" w:ascii="宋体" w:hAnsi="宋体" w:eastAsia="宋体" w:cs="宋体"/>
                <w:sz w:val="22"/>
                <w:szCs w:val="22"/>
                <w:highlight w:val="none"/>
              </w:rPr>
              <w:t>主要施工方案与技术措施（</w:t>
            </w:r>
            <w:r>
              <w:rPr>
                <w:rFonts w:hint="eastAsia" w:ascii="宋体" w:hAnsi="宋体" w:cs="宋体"/>
                <w:sz w:val="22"/>
                <w:szCs w:val="22"/>
                <w:highlight w:val="none"/>
                <w:lang w:val="en-US" w:eastAsia="zh-CN"/>
              </w:rPr>
              <w:t>5</w:t>
            </w:r>
            <w:r>
              <w:rPr>
                <w:rFonts w:hint="eastAsia" w:ascii="宋体" w:hAnsi="宋体" w:eastAsia="宋体" w:cs="宋体"/>
                <w:sz w:val="22"/>
                <w:szCs w:val="22"/>
                <w:highlight w:val="none"/>
              </w:rPr>
              <w:t>分）</w:t>
            </w:r>
          </w:p>
        </w:tc>
        <w:tc>
          <w:tcPr>
            <w:tcW w:w="7170" w:type="dxa"/>
            <w:shd w:val="clear" w:color="auto" w:fill="auto"/>
            <w:noWrap w:val="0"/>
            <w:vAlign w:val="center"/>
          </w:tcPr>
          <w:p w14:paraId="394C0A70">
            <w:pPr>
              <w:numPr>
                <w:ilvl w:val="0"/>
                <w:numId w:val="0"/>
              </w:num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针对本项目①</w:t>
            </w:r>
            <w:r>
              <w:rPr>
                <w:rFonts w:hint="eastAsia" w:ascii="宋体" w:hAnsi="宋体" w:eastAsia="宋体" w:cs="宋体"/>
                <w:kern w:val="2"/>
                <w:sz w:val="22"/>
                <w:szCs w:val="22"/>
                <w:highlight w:val="none"/>
                <w:lang w:val="en-US" w:eastAsia="en-US" w:bidi="ar-SA"/>
              </w:rPr>
              <w:t>施工方案</w:t>
            </w:r>
            <w:r>
              <w:rPr>
                <w:rFonts w:hint="eastAsia" w:ascii="宋体" w:hAnsi="宋体" w:eastAsia="宋体" w:cs="宋体"/>
                <w:kern w:val="2"/>
                <w:sz w:val="22"/>
                <w:szCs w:val="22"/>
                <w:highlight w:val="none"/>
                <w:lang w:val="en-US" w:eastAsia="zh-CN" w:bidi="ar-SA"/>
              </w:rPr>
              <w:t>；②</w:t>
            </w:r>
            <w:r>
              <w:rPr>
                <w:rFonts w:hint="eastAsia" w:ascii="宋体" w:hAnsi="宋体" w:eastAsia="宋体" w:cs="宋体"/>
                <w:kern w:val="2"/>
                <w:sz w:val="22"/>
                <w:szCs w:val="22"/>
                <w:highlight w:val="none"/>
                <w:lang w:val="en-US" w:eastAsia="en-US" w:bidi="ar-SA"/>
              </w:rPr>
              <w:t>先进、合理的施工工艺</w:t>
            </w:r>
            <w:r>
              <w:rPr>
                <w:rFonts w:hint="eastAsia" w:ascii="宋体" w:hAnsi="宋体" w:eastAsia="宋体" w:cs="宋体"/>
                <w:kern w:val="2"/>
                <w:sz w:val="22"/>
                <w:szCs w:val="22"/>
                <w:highlight w:val="none"/>
                <w:lang w:val="en-US" w:eastAsia="zh-CN" w:bidi="ar-SA"/>
              </w:rPr>
              <w:t>；③</w:t>
            </w:r>
            <w:r>
              <w:rPr>
                <w:rFonts w:hint="eastAsia" w:ascii="宋体" w:hAnsi="宋体" w:eastAsia="宋体" w:cs="宋体"/>
                <w:kern w:val="2"/>
                <w:sz w:val="22"/>
                <w:szCs w:val="22"/>
                <w:highlight w:val="none"/>
                <w:lang w:val="en-US" w:eastAsia="en-US" w:bidi="ar-SA"/>
              </w:rPr>
              <w:t>施工机械</w:t>
            </w:r>
            <w:r>
              <w:rPr>
                <w:rFonts w:hint="eastAsia" w:ascii="宋体" w:hAnsi="宋体" w:eastAsia="宋体" w:cs="宋体"/>
                <w:kern w:val="2"/>
                <w:sz w:val="22"/>
                <w:szCs w:val="22"/>
                <w:highlight w:val="none"/>
                <w:lang w:val="en-US" w:eastAsia="zh-CN" w:bidi="ar-SA"/>
              </w:rPr>
              <w:t>；④</w:t>
            </w:r>
            <w:r>
              <w:rPr>
                <w:rFonts w:hint="eastAsia" w:ascii="宋体" w:hAnsi="宋体" w:eastAsia="宋体" w:cs="宋体"/>
                <w:kern w:val="2"/>
                <w:sz w:val="22"/>
                <w:szCs w:val="22"/>
                <w:highlight w:val="none"/>
                <w:lang w:val="en-US" w:eastAsia="en-US" w:bidi="ar-SA"/>
              </w:rPr>
              <w:t>对施工难点合理的建议的</w:t>
            </w:r>
            <w:r>
              <w:rPr>
                <w:rFonts w:hint="eastAsia" w:ascii="宋体" w:hAnsi="宋体" w:eastAsia="宋体" w:cs="宋体"/>
                <w:kern w:val="2"/>
                <w:sz w:val="22"/>
                <w:szCs w:val="22"/>
                <w:highlight w:val="none"/>
                <w:lang w:val="en-US" w:eastAsia="zh-CN" w:bidi="ar-SA"/>
              </w:rPr>
              <w:t>进行打分：</w:t>
            </w:r>
          </w:p>
          <w:p w14:paraId="7F331C3D">
            <w:pPr>
              <w:numPr>
                <w:ilvl w:val="0"/>
                <w:numId w:val="0"/>
              </w:num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1、</w:t>
            </w:r>
            <w:r>
              <w:rPr>
                <w:rFonts w:hint="eastAsia" w:ascii="宋体" w:hAnsi="宋体" w:eastAsia="宋体" w:cs="宋体"/>
                <w:kern w:val="2"/>
                <w:sz w:val="22"/>
                <w:szCs w:val="22"/>
                <w:highlight w:val="none"/>
                <w:lang w:val="en-US" w:eastAsia="en-US" w:bidi="ar-SA"/>
              </w:rPr>
              <w:t>主要施工方案与技术措施</w:t>
            </w:r>
            <w:r>
              <w:rPr>
                <w:rFonts w:hint="eastAsia" w:ascii="宋体" w:hAnsi="宋体" w:eastAsia="宋体" w:cs="宋体"/>
                <w:kern w:val="2"/>
                <w:sz w:val="22"/>
                <w:szCs w:val="22"/>
                <w:highlight w:val="none"/>
                <w:lang w:val="en-US" w:eastAsia="zh-CN" w:bidi="ar-SA"/>
              </w:rPr>
              <w:t>全面覆盖上述内容，并且每条都具有针对性、合理性、可行性的</w:t>
            </w:r>
            <w:r>
              <w:rPr>
                <w:rFonts w:hint="eastAsia" w:ascii="宋体" w:hAnsi="宋体" w:eastAsia="宋体" w:cs="宋体"/>
                <w:kern w:val="2"/>
                <w:sz w:val="22"/>
                <w:szCs w:val="22"/>
                <w:highlight w:val="none"/>
                <w:lang w:val="en-US" w:eastAsia="en-US" w:bidi="ar-SA"/>
              </w:rPr>
              <w:t>，得5分；</w:t>
            </w:r>
          </w:p>
          <w:p w14:paraId="027DE7F7">
            <w:pPr>
              <w:numPr>
                <w:ilvl w:val="0"/>
                <w:numId w:val="0"/>
              </w:num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2、本项方案内容无漏项但方案存在缺陷的，得3分；</w:t>
            </w:r>
          </w:p>
          <w:p w14:paraId="33734B3A">
            <w:pPr>
              <w:numPr>
                <w:ilvl w:val="0"/>
                <w:numId w:val="0"/>
              </w:num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3、方案内容存在不符合项目需求的，或方案有漏项的，得1分；</w:t>
            </w:r>
          </w:p>
          <w:p w14:paraId="2734D7EA">
            <w:pPr>
              <w:numPr>
                <w:ilvl w:val="0"/>
                <w:numId w:val="0"/>
              </w:num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4、</w:t>
            </w:r>
            <w:r>
              <w:rPr>
                <w:rFonts w:hint="eastAsia" w:ascii="宋体" w:hAnsi="宋体" w:eastAsia="宋体" w:cs="宋体"/>
                <w:kern w:val="2"/>
                <w:sz w:val="22"/>
                <w:szCs w:val="22"/>
                <w:highlight w:val="none"/>
                <w:lang w:val="en-US" w:eastAsia="en-US" w:bidi="ar-SA"/>
              </w:rPr>
              <w:t>未提供方案，得0分。</w:t>
            </w:r>
          </w:p>
          <w:p w14:paraId="0778A4C2">
            <w:pPr>
              <w:numPr>
                <w:ilvl w:val="0"/>
                <w:numId w:val="0"/>
              </w:numPr>
              <w:tabs>
                <w:tab w:val="left" w:pos="9720"/>
              </w:tabs>
              <w:autoSpaceDE w:val="0"/>
              <w:autoSpaceDN w:val="0"/>
              <w:adjustRightInd w:val="0"/>
              <w:spacing w:line="360" w:lineRule="exact"/>
              <w:ind w:leftChars="0" w:right="-36" w:rightChars="-17"/>
              <w:jc w:val="left"/>
              <w:rPr>
                <w:rFonts w:hint="eastAsia" w:ascii="宋体" w:hAnsi="宋体" w:eastAsia="宋体" w:cs="宋体"/>
                <w:b/>
                <w:bCs/>
                <w:kern w:val="2"/>
                <w:sz w:val="22"/>
                <w:szCs w:val="22"/>
                <w:highlight w:val="none"/>
                <w:lang w:val="en-US" w:eastAsia="en-US" w:bidi="ar-SA"/>
              </w:rPr>
            </w:pPr>
            <w:r>
              <w:rPr>
                <w:rFonts w:hint="eastAsia" w:ascii="宋体" w:hAnsi="宋体" w:eastAsia="宋体" w:cs="宋体"/>
                <w:b/>
                <w:bCs/>
                <w:kern w:val="2"/>
                <w:sz w:val="22"/>
                <w:szCs w:val="22"/>
                <w:highlight w:val="none"/>
                <w:lang w:val="en-US" w:eastAsia="en-US" w:bidi="ar-SA"/>
              </w:rPr>
              <w:t>注:</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缺陷</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方案内容与项目需求不一致</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存在相互矛盾内容</w:t>
            </w:r>
            <w:r>
              <w:rPr>
                <w:rFonts w:hint="eastAsia" w:ascii="宋体" w:hAnsi="宋体" w:eastAsia="宋体" w:cs="宋体"/>
                <w:b/>
                <w:bCs/>
                <w:kern w:val="2"/>
                <w:sz w:val="22"/>
                <w:szCs w:val="22"/>
                <w:highlight w:val="none"/>
                <w:lang w:val="en-US" w:eastAsia="zh-CN" w:bidi="ar-SA"/>
              </w:rPr>
              <w:t xml:space="preserve"> c单项内容仅有框架标题 d复制招标文件内容的要求 e内容中出现前后描述不一致现象或文字叙述出现错误</w:t>
            </w:r>
            <w:r>
              <w:rPr>
                <w:rFonts w:hint="eastAsia" w:ascii="宋体" w:hAnsi="宋体" w:eastAsia="宋体" w:cs="宋体"/>
                <w:b/>
                <w:bCs/>
                <w:kern w:val="2"/>
                <w:sz w:val="22"/>
                <w:szCs w:val="22"/>
                <w:highlight w:val="none"/>
                <w:lang w:val="en-US" w:eastAsia="en-US" w:bidi="ar-SA"/>
              </w:rPr>
              <w:t>。</w:t>
            </w:r>
          </w:p>
          <w:p w14:paraId="33AFD03D">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不符合项目需求</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存在与本项目执行无关的内容</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存在相关内容在实际操作中不能运用</w:t>
            </w:r>
            <w:r>
              <w:rPr>
                <w:rFonts w:hint="eastAsia" w:ascii="宋体" w:hAnsi="宋体" w:eastAsia="宋体" w:cs="宋体"/>
                <w:b/>
                <w:bCs/>
                <w:kern w:val="2"/>
                <w:sz w:val="22"/>
                <w:szCs w:val="22"/>
                <w:highlight w:val="none"/>
                <w:lang w:val="en-US" w:eastAsia="zh-CN" w:bidi="ar-SA"/>
              </w:rPr>
              <w:t xml:space="preserve"> c内容涉及适用的行业规范及标准(方法)出现错误 d实施地点区域错误，实施时间错误 e与履行合同存在差异性。</w:t>
            </w:r>
          </w:p>
        </w:tc>
        <w:tc>
          <w:tcPr>
            <w:tcW w:w="765" w:type="dxa"/>
            <w:shd w:val="clear" w:color="auto" w:fill="auto"/>
            <w:noWrap w:val="0"/>
            <w:vAlign w:val="center"/>
          </w:tcPr>
          <w:p w14:paraId="705AEE36">
            <w:pPr>
              <w:spacing w:line="360" w:lineRule="auto"/>
              <w:jc w:val="center"/>
              <w:rPr>
                <w:rFonts w:hint="eastAsia" w:ascii="宋体" w:hAnsi="宋体" w:eastAsia="宋体" w:cs="宋体"/>
                <w:color w:val="auto"/>
                <w:kern w:val="2"/>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0-5</w:t>
            </w:r>
            <w:r>
              <w:rPr>
                <w:rFonts w:hint="eastAsia" w:ascii="宋体" w:hAnsi="宋体" w:eastAsia="宋体" w:cs="宋体"/>
                <w:color w:val="auto"/>
                <w:sz w:val="22"/>
                <w:szCs w:val="22"/>
                <w:highlight w:val="none"/>
                <w:u w:val="none"/>
                <w:lang w:bidi="ar-SA"/>
              </w:rPr>
              <w:t>分</w:t>
            </w:r>
          </w:p>
        </w:tc>
      </w:tr>
      <w:tr w14:paraId="15AB3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1140" w:type="dxa"/>
            <w:vMerge w:val="continue"/>
            <w:noWrap w:val="0"/>
            <w:vAlign w:val="center"/>
          </w:tcPr>
          <w:p w14:paraId="0E757E1A">
            <w:pPr>
              <w:rPr>
                <w:rFonts w:hint="eastAsia" w:ascii="宋体" w:hAnsi="宋体" w:eastAsia="宋体" w:cs="宋体"/>
                <w:color w:val="auto"/>
                <w:sz w:val="22"/>
                <w:szCs w:val="22"/>
                <w:highlight w:val="none"/>
                <w:u w:val="none"/>
              </w:rPr>
            </w:pPr>
          </w:p>
        </w:tc>
        <w:tc>
          <w:tcPr>
            <w:tcW w:w="1125" w:type="dxa"/>
            <w:shd w:val="clear" w:color="auto" w:fill="auto"/>
            <w:noWrap w:val="0"/>
            <w:vAlign w:val="center"/>
          </w:tcPr>
          <w:p w14:paraId="154FD8FC">
            <w:pPr>
              <w:jc w:val="center"/>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质量保证方案</w:t>
            </w:r>
          </w:p>
          <w:p w14:paraId="1ACC47A8">
            <w:pPr>
              <w:spacing w:line="480" w:lineRule="exact"/>
              <w:jc w:val="center"/>
              <w:rPr>
                <w:rFonts w:hint="eastAsia" w:ascii="宋体" w:hAnsi="宋体" w:eastAsia="宋体" w:cs="宋体"/>
                <w:kern w:val="2"/>
                <w:sz w:val="22"/>
                <w:szCs w:val="22"/>
                <w:highlight w:val="none"/>
                <w:lang w:val="en-US" w:eastAsia="en-US" w:bidi="ar-SA"/>
              </w:rPr>
            </w:pPr>
            <w:r>
              <w:rPr>
                <w:rFonts w:hint="eastAsia" w:ascii="宋体" w:hAnsi="宋体" w:eastAsia="宋体" w:cs="宋体"/>
                <w:sz w:val="22"/>
                <w:szCs w:val="22"/>
                <w:highlight w:val="none"/>
              </w:rPr>
              <w:t>（</w:t>
            </w:r>
            <w:r>
              <w:rPr>
                <w:rFonts w:hint="eastAsia" w:ascii="宋体" w:hAnsi="宋体" w:cs="宋体"/>
                <w:sz w:val="22"/>
                <w:szCs w:val="22"/>
                <w:highlight w:val="none"/>
                <w:lang w:val="en-US" w:eastAsia="zh-CN"/>
              </w:rPr>
              <w:t>5</w:t>
            </w:r>
            <w:r>
              <w:rPr>
                <w:rFonts w:hint="eastAsia" w:ascii="宋体" w:hAnsi="宋体" w:eastAsia="宋体" w:cs="宋体"/>
                <w:sz w:val="22"/>
                <w:szCs w:val="22"/>
                <w:highlight w:val="none"/>
              </w:rPr>
              <w:t>分）</w:t>
            </w:r>
          </w:p>
        </w:tc>
        <w:tc>
          <w:tcPr>
            <w:tcW w:w="7170" w:type="dxa"/>
            <w:shd w:val="clear" w:color="auto" w:fill="auto"/>
            <w:noWrap w:val="0"/>
            <w:vAlign w:val="center"/>
          </w:tcPr>
          <w:p w14:paraId="3A426DF3">
            <w:pPr>
              <w:numPr>
                <w:ilvl w:val="0"/>
                <w:numId w:val="0"/>
              </w:num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en-US" w:bidi="ar-SA"/>
              </w:rPr>
              <w:t>质量保证措施方案包含</w:t>
            </w:r>
            <w:r>
              <w:rPr>
                <w:rFonts w:hint="eastAsia" w:ascii="宋体" w:hAnsi="宋体" w:eastAsia="宋体" w:cs="宋体"/>
                <w:kern w:val="2"/>
                <w:sz w:val="22"/>
                <w:szCs w:val="22"/>
                <w:highlight w:val="none"/>
                <w:lang w:val="en-US" w:eastAsia="zh-CN" w:bidi="ar-SA"/>
              </w:rPr>
              <w:t>①</w:t>
            </w:r>
            <w:r>
              <w:rPr>
                <w:rFonts w:hint="eastAsia" w:ascii="宋体" w:hAnsi="宋体" w:eastAsia="宋体" w:cs="宋体"/>
                <w:kern w:val="2"/>
                <w:sz w:val="22"/>
                <w:szCs w:val="22"/>
                <w:highlight w:val="none"/>
                <w:lang w:val="en-US" w:eastAsia="en-US" w:bidi="ar-SA"/>
              </w:rPr>
              <w:t>施工工艺</w:t>
            </w:r>
            <w:r>
              <w:rPr>
                <w:rFonts w:hint="eastAsia" w:ascii="宋体" w:hAnsi="宋体" w:eastAsia="宋体" w:cs="宋体"/>
                <w:kern w:val="2"/>
                <w:sz w:val="22"/>
                <w:szCs w:val="22"/>
                <w:highlight w:val="none"/>
                <w:lang w:val="en-US" w:eastAsia="zh-CN" w:bidi="ar-SA"/>
              </w:rPr>
              <w:t>；②</w:t>
            </w:r>
            <w:r>
              <w:rPr>
                <w:rFonts w:hint="eastAsia" w:ascii="宋体" w:hAnsi="宋体" w:eastAsia="宋体" w:cs="宋体"/>
                <w:kern w:val="2"/>
                <w:sz w:val="22"/>
                <w:szCs w:val="22"/>
                <w:highlight w:val="none"/>
                <w:lang w:val="en-US" w:eastAsia="en-US" w:bidi="ar-SA"/>
              </w:rPr>
              <w:t>工程质量</w:t>
            </w:r>
            <w:r>
              <w:rPr>
                <w:rFonts w:hint="eastAsia" w:ascii="宋体" w:hAnsi="宋体" w:eastAsia="宋体" w:cs="宋体"/>
                <w:kern w:val="2"/>
                <w:sz w:val="22"/>
                <w:szCs w:val="22"/>
                <w:highlight w:val="none"/>
                <w:lang w:val="en-US" w:eastAsia="zh-CN" w:bidi="ar-SA"/>
              </w:rPr>
              <w:t>；③</w:t>
            </w:r>
            <w:r>
              <w:rPr>
                <w:rFonts w:hint="eastAsia" w:ascii="宋体" w:hAnsi="宋体" w:eastAsia="宋体" w:cs="宋体"/>
                <w:kern w:val="2"/>
                <w:sz w:val="22"/>
                <w:szCs w:val="22"/>
                <w:highlight w:val="none"/>
                <w:lang w:val="en-US" w:eastAsia="en-US" w:bidi="ar-SA"/>
              </w:rPr>
              <w:t>人员、设备安排</w:t>
            </w:r>
            <w:r>
              <w:rPr>
                <w:rFonts w:hint="eastAsia" w:ascii="宋体" w:hAnsi="宋体" w:eastAsia="宋体" w:cs="宋体"/>
                <w:kern w:val="2"/>
                <w:sz w:val="22"/>
                <w:szCs w:val="22"/>
                <w:highlight w:val="none"/>
                <w:lang w:val="en-US" w:eastAsia="zh-CN" w:bidi="ar-SA"/>
              </w:rPr>
              <w:t>；④</w:t>
            </w:r>
            <w:r>
              <w:rPr>
                <w:rFonts w:hint="eastAsia" w:ascii="宋体" w:hAnsi="宋体" w:eastAsia="宋体" w:cs="宋体"/>
                <w:kern w:val="2"/>
                <w:sz w:val="22"/>
                <w:szCs w:val="22"/>
                <w:highlight w:val="none"/>
                <w:lang w:val="en-US" w:eastAsia="en-US" w:bidi="ar-SA"/>
              </w:rPr>
              <w:t>材料质量方案：</w:t>
            </w:r>
          </w:p>
          <w:p w14:paraId="70867119">
            <w:pPr>
              <w:numPr>
                <w:ilvl w:val="0"/>
                <w:numId w:val="0"/>
              </w:num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1.质量保证措施方案全面合理，对以上每一项内容均提出先进、可行、具体的保证措施的，得5分；</w:t>
            </w:r>
          </w:p>
          <w:p w14:paraId="350266FC">
            <w:pPr>
              <w:numPr>
                <w:ilvl w:val="0"/>
                <w:numId w:val="0"/>
              </w:num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2、本项方案内容无漏项但方案存在缺陷的，得3分；</w:t>
            </w:r>
          </w:p>
          <w:p w14:paraId="3BC53F8C">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3、方案内容存在不符合项目需求的，或方案有漏项的，得1分；</w:t>
            </w:r>
          </w:p>
          <w:p w14:paraId="705760FF">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4、</w:t>
            </w:r>
            <w:r>
              <w:rPr>
                <w:rFonts w:hint="eastAsia" w:ascii="宋体" w:hAnsi="宋体" w:eastAsia="宋体" w:cs="宋体"/>
                <w:kern w:val="2"/>
                <w:sz w:val="22"/>
                <w:szCs w:val="22"/>
                <w:highlight w:val="none"/>
                <w:lang w:val="en-US" w:eastAsia="en-US" w:bidi="ar-SA"/>
              </w:rPr>
              <w:t>未提供方案，得0分。</w:t>
            </w:r>
          </w:p>
          <w:p w14:paraId="7948F412">
            <w:pPr>
              <w:numPr>
                <w:ilvl w:val="0"/>
                <w:numId w:val="0"/>
              </w:numPr>
              <w:tabs>
                <w:tab w:val="left" w:pos="9720"/>
              </w:tabs>
              <w:autoSpaceDE w:val="0"/>
              <w:autoSpaceDN w:val="0"/>
              <w:adjustRightInd w:val="0"/>
              <w:spacing w:line="360" w:lineRule="exact"/>
              <w:ind w:leftChars="0" w:right="-36" w:rightChars="-17"/>
              <w:jc w:val="left"/>
              <w:rPr>
                <w:rFonts w:hint="eastAsia" w:ascii="宋体" w:hAnsi="宋体" w:eastAsia="宋体" w:cs="宋体"/>
                <w:b/>
                <w:bCs/>
                <w:kern w:val="2"/>
                <w:sz w:val="22"/>
                <w:szCs w:val="22"/>
                <w:highlight w:val="none"/>
                <w:lang w:val="en-US" w:eastAsia="en-US" w:bidi="ar-SA"/>
              </w:rPr>
            </w:pPr>
            <w:r>
              <w:rPr>
                <w:rFonts w:hint="eastAsia" w:ascii="宋体" w:hAnsi="宋体" w:eastAsia="宋体" w:cs="宋体"/>
                <w:b/>
                <w:bCs/>
                <w:kern w:val="2"/>
                <w:sz w:val="22"/>
                <w:szCs w:val="22"/>
                <w:highlight w:val="none"/>
                <w:lang w:val="en-US" w:eastAsia="en-US" w:bidi="ar-SA"/>
              </w:rPr>
              <w:t>注:</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缺陷</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方案内容与项目需求不一致</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存在相互矛盾内容</w:t>
            </w:r>
            <w:r>
              <w:rPr>
                <w:rFonts w:hint="eastAsia" w:ascii="宋体" w:hAnsi="宋体" w:eastAsia="宋体" w:cs="宋体"/>
                <w:b/>
                <w:bCs/>
                <w:kern w:val="2"/>
                <w:sz w:val="22"/>
                <w:szCs w:val="22"/>
                <w:highlight w:val="none"/>
                <w:lang w:val="en-US" w:eastAsia="zh-CN" w:bidi="ar-SA"/>
              </w:rPr>
              <w:t xml:space="preserve"> c单项内容仅有框架标题 d复制招标文件内容的要求 e内容中出现前后描述不一致现象或文字叙述出现错误</w:t>
            </w:r>
            <w:r>
              <w:rPr>
                <w:rFonts w:hint="eastAsia" w:ascii="宋体" w:hAnsi="宋体" w:eastAsia="宋体" w:cs="宋体"/>
                <w:b/>
                <w:bCs/>
                <w:kern w:val="2"/>
                <w:sz w:val="22"/>
                <w:szCs w:val="22"/>
                <w:highlight w:val="none"/>
                <w:lang w:val="en-US" w:eastAsia="en-US" w:bidi="ar-SA"/>
              </w:rPr>
              <w:t>。</w:t>
            </w:r>
          </w:p>
          <w:p w14:paraId="19551286">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不符合项目需求</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存在与本项目执行无关的内容</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存在相关内容在实际操作中不能运用</w:t>
            </w:r>
            <w:r>
              <w:rPr>
                <w:rFonts w:hint="eastAsia" w:ascii="宋体" w:hAnsi="宋体" w:eastAsia="宋体" w:cs="宋体"/>
                <w:b/>
                <w:bCs/>
                <w:kern w:val="2"/>
                <w:sz w:val="22"/>
                <w:szCs w:val="22"/>
                <w:highlight w:val="none"/>
                <w:lang w:val="en-US" w:eastAsia="zh-CN" w:bidi="ar-SA"/>
              </w:rPr>
              <w:t xml:space="preserve"> c内容涉及适用的行业规范及标准(方法)出现错误 d实施地点区域错误，实施时间错误 e与履行合同存在差异性。</w:t>
            </w:r>
          </w:p>
        </w:tc>
        <w:tc>
          <w:tcPr>
            <w:tcW w:w="765" w:type="dxa"/>
            <w:shd w:val="clear" w:color="auto" w:fill="auto"/>
            <w:noWrap w:val="0"/>
            <w:vAlign w:val="center"/>
          </w:tcPr>
          <w:p w14:paraId="52A36FB7">
            <w:pPr>
              <w:spacing w:line="360" w:lineRule="auto"/>
              <w:jc w:val="center"/>
              <w:rPr>
                <w:rFonts w:hint="eastAsia" w:ascii="宋体" w:hAnsi="宋体" w:eastAsia="宋体" w:cs="宋体"/>
                <w:color w:val="auto"/>
                <w:kern w:val="2"/>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0-5</w:t>
            </w:r>
            <w:r>
              <w:rPr>
                <w:rFonts w:hint="eastAsia" w:ascii="宋体" w:hAnsi="宋体" w:eastAsia="宋体" w:cs="宋体"/>
                <w:color w:val="auto"/>
                <w:sz w:val="22"/>
                <w:szCs w:val="22"/>
                <w:highlight w:val="none"/>
                <w:u w:val="none"/>
                <w:lang w:bidi="ar-SA"/>
              </w:rPr>
              <w:t>分</w:t>
            </w:r>
          </w:p>
        </w:tc>
      </w:tr>
      <w:tr w14:paraId="30E2F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1140" w:type="dxa"/>
            <w:vMerge w:val="continue"/>
            <w:noWrap w:val="0"/>
            <w:vAlign w:val="center"/>
          </w:tcPr>
          <w:p w14:paraId="07097731">
            <w:pPr>
              <w:rPr>
                <w:rFonts w:hint="eastAsia" w:ascii="宋体" w:hAnsi="宋体" w:eastAsia="宋体" w:cs="宋体"/>
                <w:color w:val="auto"/>
                <w:sz w:val="22"/>
                <w:szCs w:val="22"/>
                <w:highlight w:val="none"/>
                <w:u w:val="none"/>
              </w:rPr>
            </w:pPr>
          </w:p>
        </w:tc>
        <w:tc>
          <w:tcPr>
            <w:tcW w:w="1125" w:type="dxa"/>
            <w:shd w:val="clear" w:color="auto" w:fill="auto"/>
            <w:noWrap w:val="0"/>
            <w:vAlign w:val="center"/>
          </w:tcPr>
          <w:p w14:paraId="21AACEA8">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安全管理体系与措施</w:t>
            </w:r>
          </w:p>
          <w:p w14:paraId="67B453AB">
            <w:pPr>
              <w:spacing w:line="480" w:lineRule="exact"/>
              <w:jc w:val="center"/>
              <w:rPr>
                <w:rFonts w:hint="eastAsia" w:ascii="宋体" w:hAnsi="宋体" w:eastAsia="宋体" w:cs="宋体"/>
                <w:kern w:val="2"/>
                <w:sz w:val="22"/>
                <w:szCs w:val="22"/>
                <w:highlight w:val="none"/>
                <w:lang w:val="en-US" w:eastAsia="en-US" w:bidi="ar-SA"/>
              </w:rPr>
            </w:pPr>
            <w:r>
              <w:rPr>
                <w:rFonts w:hint="eastAsia" w:ascii="宋体" w:hAnsi="宋体" w:eastAsia="宋体" w:cs="宋体"/>
                <w:sz w:val="22"/>
                <w:szCs w:val="22"/>
                <w:highlight w:val="none"/>
              </w:rPr>
              <w:t>（</w:t>
            </w:r>
            <w:r>
              <w:rPr>
                <w:rFonts w:hint="eastAsia" w:ascii="宋体" w:hAnsi="宋体" w:cs="宋体"/>
                <w:sz w:val="22"/>
                <w:szCs w:val="22"/>
                <w:highlight w:val="none"/>
                <w:lang w:val="en-US" w:eastAsia="zh-CN"/>
              </w:rPr>
              <w:t>5</w:t>
            </w:r>
            <w:r>
              <w:rPr>
                <w:rFonts w:hint="eastAsia" w:ascii="宋体" w:hAnsi="宋体" w:eastAsia="宋体" w:cs="宋体"/>
                <w:sz w:val="22"/>
                <w:szCs w:val="22"/>
                <w:highlight w:val="none"/>
              </w:rPr>
              <w:t>分）</w:t>
            </w:r>
          </w:p>
        </w:tc>
        <w:tc>
          <w:tcPr>
            <w:tcW w:w="7170" w:type="dxa"/>
            <w:shd w:val="clear" w:color="auto" w:fill="auto"/>
            <w:noWrap w:val="0"/>
            <w:vAlign w:val="center"/>
          </w:tcPr>
          <w:p w14:paraId="42438FAF">
            <w:pPr>
              <w:spacing w:line="420" w:lineRule="exact"/>
              <w:jc w:val="left"/>
              <w:rPr>
                <w:rFonts w:hint="default"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根据①施工安全生产保障体系；②安全管理制度；③安全管理目标具体；④全员安全责任制；⑤现场安全管理组织机构；⑥人员配备满足国家规定要求进行评分</w:t>
            </w:r>
          </w:p>
          <w:p w14:paraId="1E2D330B">
            <w:p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1、安全管理体系与措施健全、完善、措施先进可行具体并全面覆盖上述全部要求，得5分；</w:t>
            </w:r>
          </w:p>
          <w:p w14:paraId="29FD0C53">
            <w:pPr>
              <w:numPr>
                <w:ilvl w:val="0"/>
                <w:numId w:val="0"/>
              </w:num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2、本项方案内容无漏项但方案存在缺陷的，得3分；</w:t>
            </w:r>
          </w:p>
          <w:p w14:paraId="66977D3D">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3、方案内容存在不符合项目需求的，或方案有漏项的，得1分；</w:t>
            </w:r>
          </w:p>
          <w:p w14:paraId="67F2E936">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4、</w:t>
            </w:r>
            <w:r>
              <w:rPr>
                <w:rFonts w:hint="eastAsia" w:ascii="宋体" w:hAnsi="宋体" w:eastAsia="宋体" w:cs="宋体"/>
                <w:kern w:val="2"/>
                <w:sz w:val="22"/>
                <w:szCs w:val="22"/>
                <w:highlight w:val="none"/>
                <w:lang w:val="en-US" w:eastAsia="en-US" w:bidi="ar-SA"/>
              </w:rPr>
              <w:t>未提供方案，得0分。</w:t>
            </w:r>
          </w:p>
          <w:p w14:paraId="173BA2BD">
            <w:pPr>
              <w:numPr>
                <w:ilvl w:val="0"/>
                <w:numId w:val="0"/>
              </w:numPr>
              <w:tabs>
                <w:tab w:val="left" w:pos="9720"/>
              </w:tabs>
              <w:autoSpaceDE w:val="0"/>
              <w:autoSpaceDN w:val="0"/>
              <w:adjustRightInd w:val="0"/>
              <w:spacing w:line="360" w:lineRule="exact"/>
              <w:ind w:leftChars="0" w:right="-36" w:rightChars="-17"/>
              <w:jc w:val="left"/>
              <w:rPr>
                <w:rFonts w:hint="eastAsia" w:ascii="宋体" w:hAnsi="宋体" w:eastAsia="宋体" w:cs="宋体"/>
                <w:b/>
                <w:bCs/>
                <w:kern w:val="2"/>
                <w:sz w:val="22"/>
                <w:szCs w:val="22"/>
                <w:highlight w:val="none"/>
                <w:lang w:val="en-US" w:eastAsia="en-US" w:bidi="ar-SA"/>
              </w:rPr>
            </w:pPr>
            <w:r>
              <w:rPr>
                <w:rFonts w:hint="eastAsia" w:ascii="宋体" w:hAnsi="宋体" w:eastAsia="宋体" w:cs="宋体"/>
                <w:b/>
                <w:bCs/>
                <w:kern w:val="2"/>
                <w:sz w:val="22"/>
                <w:szCs w:val="22"/>
                <w:highlight w:val="none"/>
                <w:lang w:val="en-US" w:eastAsia="en-US" w:bidi="ar-SA"/>
              </w:rPr>
              <w:t>注:</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缺陷</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方案内容与项目需求不一致</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存在相互矛盾内容</w:t>
            </w:r>
            <w:r>
              <w:rPr>
                <w:rFonts w:hint="eastAsia" w:ascii="宋体" w:hAnsi="宋体" w:eastAsia="宋体" w:cs="宋体"/>
                <w:b/>
                <w:bCs/>
                <w:kern w:val="2"/>
                <w:sz w:val="22"/>
                <w:szCs w:val="22"/>
                <w:highlight w:val="none"/>
                <w:lang w:val="en-US" w:eastAsia="zh-CN" w:bidi="ar-SA"/>
              </w:rPr>
              <w:t xml:space="preserve"> c单项内容仅有框架标题 d复制招标文件内容的要求 e内容中出现前后描述不一致现象或文字叙述出现错误</w:t>
            </w:r>
            <w:r>
              <w:rPr>
                <w:rFonts w:hint="eastAsia" w:ascii="宋体" w:hAnsi="宋体" w:eastAsia="宋体" w:cs="宋体"/>
                <w:b/>
                <w:bCs/>
                <w:kern w:val="2"/>
                <w:sz w:val="22"/>
                <w:szCs w:val="22"/>
                <w:highlight w:val="none"/>
                <w:lang w:val="en-US" w:eastAsia="en-US" w:bidi="ar-SA"/>
              </w:rPr>
              <w:t>。</w:t>
            </w:r>
          </w:p>
          <w:p w14:paraId="33C4633C">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不符合项目需求</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存在与本项目执行无关的内容</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存在相关内容在实际操作中不能运用</w:t>
            </w:r>
            <w:r>
              <w:rPr>
                <w:rFonts w:hint="eastAsia" w:ascii="宋体" w:hAnsi="宋体" w:eastAsia="宋体" w:cs="宋体"/>
                <w:b/>
                <w:bCs/>
                <w:kern w:val="2"/>
                <w:sz w:val="22"/>
                <w:szCs w:val="22"/>
                <w:highlight w:val="none"/>
                <w:lang w:val="en-US" w:eastAsia="zh-CN" w:bidi="ar-SA"/>
              </w:rPr>
              <w:t xml:space="preserve"> c内容涉及适用的行业规范及标准(方法)出现错误 d实施地点区域错误，实施时间错误 e与履行合同存在差异性。</w:t>
            </w:r>
          </w:p>
        </w:tc>
        <w:tc>
          <w:tcPr>
            <w:tcW w:w="765" w:type="dxa"/>
            <w:shd w:val="clear" w:color="auto" w:fill="auto"/>
            <w:noWrap w:val="0"/>
            <w:vAlign w:val="center"/>
          </w:tcPr>
          <w:p w14:paraId="7BA0E451">
            <w:pPr>
              <w:spacing w:line="360" w:lineRule="auto"/>
              <w:jc w:val="center"/>
              <w:rPr>
                <w:rFonts w:hint="eastAsia" w:ascii="宋体" w:hAnsi="宋体" w:eastAsia="宋体" w:cs="宋体"/>
                <w:color w:val="auto"/>
                <w:kern w:val="2"/>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0-5</w:t>
            </w:r>
            <w:r>
              <w:rPr>
                <w:rFonts w:hint="eastAsia" w:ascii="宋体" w:hAnsi="宋体" w:eastAsia="宋体" w:cs="宋体"/>
                <w:color w:val="auto"/>
                <w:sz w:val="22"/>
                <w:szCs w:val="22"/>
                <w:highlight w:val="none"/>
                <w:u w:val="none"/>
                <w:lang w:bidi="ar-SA"/>
              </w:rPr>
              <w:t>分</w:t>
            </w:r>
          </w:p>
        </w:tc>
      </w:tr>
      <w:tr w14:paraId="0F09C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140" w:type="dxa"/>
            <w:vMerge w:val="continue"/>
            <w:noWrap w:val="0"/>
            <w:vAlign w:val="center"/>
          </w:tcPr>
          <w:p w14:paraId="5CDD6181">
            <w:pPr>
              <w:rPr>
                <w:rFonts w:hint="eastAsia" w:ascii="宋体" w:hAnsi="宋体" w:eastAsia="宋体" w:cs="宋体"/>
                <w:color w:val="auto"/>
                <w:sz w:val="22"/>
                <w:szCs w:val="22"/>
                <w:highlight w:val="none"/>
                <w:u w:val="none"/>
              </w:rPr>
            </w:pPr>
          </w:p>
        </w:tc>
        <w:tc>
          <w:tcPr>
            <w:tcW w:w="1125" w:type="dxa"/>
            <w:shd w:val="clear" w:color="auto" w:fill="auto"/>
            <w:noWrap w:val="0"/>
            <w:vAlign w:val="center"/>
          </w:tcPr>
          <w:p w14:paraId="3CABBD49">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文明施工、环境保护管理体系及施工现场扬尘治理措施</w:t>
            </w:r>
          </w:p>
          <w:p w14:paraId="60D7065D">
            <w:pPr>
              <w:spacing w:line="480" w:lineRule="exact"/>
              <w:jc w:val="center"/>
              <w:rPr>
                <w:rFonts w:hint="eastAsia" w:ascii="宋体" w:hAnsi="宋体" w:eastAsia="宋体" w:cs="宋体"/>
                <w:kern w:val="2"/>
                <w:sz w:val="22"/>
                <w:szCs w:val="22"/>
                <w:highlight w:val="none"/>
                <w:lang w:val="en-US" w:eastAsia="en-US" w:bidi="ar-SA"/>
              </w:rPr>
            </w:pPr>
            <w:r>
              <w:rPr>
                <w:rFonts w:hint="eastAsia" w:ascii="宋体" w:hAnsi="宋体" w:eastAsia="宋体" w:cs="宋体"/>
                <w:sz w:val="22"/>
                <w:szCs w:val="22"/>
                <w:highlight w:val="none"/>
              </w:rPr>
              <w:t>（</w:t>
            </w:r>
            <w:r>
              <w:rPr>
                <w:rFonts w:hint="eastAsia" w:ascii="宋体" w:hAnsi="宋体" w:cs="宋体"/>
                <w:sz w:val="22"/>
                <w:szCs w:val="22"/>
                <w:highlight w:val="none"/>
                <w:lang w:val="en-US" w:eastAsia="zh-CN"/>
              </w:rPr>
              <w:t>5</w:t>
            </w:r>
            <w:r>
              <w:rPr>
                <w:rFonts w:hint="eastAsia" w:ascii="宋体" w:hAnsi="宋体" w:eastAsia="宋体" w:cs="宋体"/>
                <w:sz w:val="22"/>
                <w:szCs w:val="22"/>
                <w:highlight w:val="none"/>
              </w:rPr>
              <w:t>分）</w:t>
            </w:r>
          </w:p>
        </w:tc>
        <w:tc>
          <w:tcPr>
            <w:tcW w:w="7170" w:type="dxa"/>
            <w:shd w:val="clear" w:color="auto" w:fill="auto"/>
            <w:noWrap w:val="0"/>
            <w:vAlign w:val="center"/>
          </w:tcPr>
          <w:p w14:paraId="0FA85F25">
            <w:p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针对①文明施工；②环境保护管理体系；③本项目扬尘治理；④噪声管控；⑤建筑垃圾处置等措施进行打分；</w:t>
            </w:r>
          </w:p>
          <w:p w14:paraId="45EB00BF">
            <w:p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1、本项方案内容全面覆盖上述要求，并且每项措施都具有可行性，针对性的，得5分；</w:t>
            </w:r>
          </w:p>
          <w:p w14:paraId="58C97A8A">
            <w:pPr>
              <w:numPr>
                <w:ilvl w:val="0"/>
                <w:numId w:val="0"/>
              </w:num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2、本项方案内容无漏项但方案存在缺陷的，得3分；</w:t>
            </w:r>
          </w:p>
          <w:p w14:paraId="11C513FB">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3、方案内容存在不符合项目需求的，或方案有漏项的，得1分；</w:t>
            </w:r>
          </w:p>
          <w:p w14:paraId="2F9D45A4">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4、</w:t>
            </w:r>
            <w:r>
              <w:rPr>
                <w:rFonts w:hint="eastAsia" w:ascii="宋体" w:hAnsi="宋体" w:eastAsia="宋体" w:cs="宋体"/>
                <w:kern w:val="2"/>
                <w:sz w:val="22"/>
                <w:szCs w:val="22"/>
                <w:highlight w:val="none"/>
                <w:lang w:val="en-US" w:eastAsia="en-US" w:bidi="ar-SA"/>
              </w:rPr>
              <w:t>未提供方案，得0分。</w:t>
            </w:r>
          </w:p>
          <w:p w14:paraId="10A2E9FF">
            <w:pPr>
              <w:numPr>
                <w:ilvl w:val="0"/>
                <w:numId w:val="0"/>
              </w:numPr>
              <w:tabs>
                <w:tab w:val="left" w:pos="9720"/>
              </w:tabs>
              <w:autoSpaceDE w:val="0"/>
              <w:autoSpaceDN w:val="0"/>
              <w:adjustRightInd w:val="0"/>
              <w:spacing w:line="360" w:lineRule="exact"/>
              <w:ind w:leftChars="0" w:right="-36" w:rightChars="-17"/>
              <w:jc w:val="left"/>
              <w:rPr>
                <w:rFonts w:hint="eastAsia" w:ascii="宋体" w:hAnsi="宋体" w:eastAsia="宋体" w:cs="宋体"/>
                <w:b/>
                <w:bCs/>
                <w:kern w:val="2"/>
                <w:sz w:val="22"/>
                <w:szCs w:val="22"/>
                <w:highlight w:val="none"/>
                <w:lang w:val="en-US" w:eastAsia="en-US" w:bidi="ar-SA"/>
              </w:rPr>
            </w:pPr>
            <w:r>
              <w:rPr>
                <w:rFonts w:hint="eastAsia" w:ascii="宋体" w:hAnsi="宋体" w:eastAsia="宋体" w:cs="宋体"/>
                <w:b/>
                <w:bCs/>
                <w:kern w:val="2"/>
                <w:sz w:val="22"/>
                <w:szCs w:val="22"/>
                <w:highlight w:val="none"/>
                <w:lang w:val="en-US" w:eastAsia="en-US" w:bidi="ar-SA"/>
              </w:rPr>
              <w:t>注:</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缺陷</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方案内容与项目需求不一致</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存在相互矛盾内容</w:t>
            </w:r>
            <w:r>
              <w:rPr>
                <w:rFonts w:hint="eastAsia" w:ascii="宋体" w:hAnsi="宋体" w:eastAsia="宋体" w:cs="宋体"/>
                <w:b/>
                <w:bCs/>
                <w:kern w:val="2"/>
                <w:sz w:val="22"/>
                <w:szCs w:val="22"/>
                <w:highlight w:val="none"/>
                <w:lang w:val="en-US" w:eastAsia="zh-CN" w:bidi="ar-SA"/>
              </w:rPr>
              <w:t xml:space="preserve"> c单项内容仅有框架标题 d复制招标文件内容的要求 e内容中出现前后描述不一致现象或文字叙述出现错误</w:t>
            </w:r>
            <w:r>
              <w:rPr>
                <w:rFonts w:hint="eastAsia" w:ascii="宋体" w:hAnsi="宋体" w:eastAsia="宋体" w:cs="宋体"/>
                <w:b/>
                <w:bCs/>
                <w:kern w:val="2"/>
                <w:sz w:val="22"/>
                <w:szCs w:val="22"/>
                <w:highlight w:val="none"/>
                <w:lang w:val="en-US" w:eastAsia="en-US" w:bidi="ar-SA"/>
              </w:rPr>
              <w:t>。</w:t>
            </w:r>
          </w:p>
          <w:p w14:paraId="353D966C">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不符合项目需求</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存在与本项目执行无关的内容</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存在相关内容在实际操作中不能运用</w:t>
            </w:r>
            <w:r>
              <w:rPr>
                <w:rFonts w:hint="eastAsia" w:ascii="宋体" w:hAnsi="宋体" w:eastAsia="宋体" w:cs="宋体"/>
                <w:b/>
                <w:bCs/>
                <w:kern w:val="2"/>
                <w:sz w:val="22"/>
                <w:szCs w:val="22"/>
                <w:highlight w:val="none"/>
                <w:lang w:val="en-US" w:eastAsia="zh-CN" w:bidi="ar-SA"/>
              </w:rPr>
              <w:t xml:space="preserve"> c内容涉及适用的行业规范及标准(方法)出现错误 d实施地点区域错误，实施时间错误 e与履行合同存在差异性。</w:t>
            </w:r>
          </w:p>
        </w:tc>
        <w:tc>
          <w:tcPr>
            <w:tcW w:w="765" w:type="dxa"/>
            <w:shd w:val="clear" w:color="auto" w:fill="auto"/>
            <w:noWrap w:val="0"/>
            <w:vAlign w:val="center"/>
          </w:tcPr>
          <w:p w14:paraId="6D9D02D8">
            <w:pPr>
              <w:spacing w:line="360" w:lineRule="auto"/>
              <w:jc w:val="center"/>
              <w:rPr>
                <w:rFonts w:hint="default" w:ascii="宋体" w:hAnsi="宋体" w:eastAsia="宋体" w:cs="宋体"/>
                <w:color w:val="auto"/>
                <w:kern w:val="2"/>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0-5分</w:t>
            </w:r>
          </w:p>
        </w:tc>
      </w:tr>
      <w:tr w14:paraId="75E74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40" w:type="dxa"/>
            <w:vMerge w:val="continue"/>
            <w:noWrap w:val="0"/>
            <w:vAlign w:val="center"/>
          </w:tcPr>
          <w:p w14:paraId="0681B4E0">
            <w:pPr>
              <w:rPr>
                <w:rFonts w:hint="eastAsia" w:ascii="宋体" w:hAnsi="宋体" w:eastAsia="宋体" w:cs="宋体"/>
                <w:color w:val="auto"/>
                <w:sz w:val="22"/>
                <w:szCs w:val="22"/>
                <w:highlight w:val="none"/>
                <w:u w:val="none"/>
              </w:rPr>
            </w:pPr>
          </w:p>
        </w:tc>
        <w:tc>
          <w:tcPr>
            <w:tcW w:w="1125" w:type="dxa"/>
            <w:shd w:val="clear" w:color="auto" w:fill="auto"/>
            <w:noWrap w:val="0"/>
            <w:vAlign w:val="center"/>
          </w:tcPr>
          <w:p w14:paraId="3E1AA273">
            <w:pPr>
              <w:jc w:val="center"/>
              <w:rPr>
                <w:rFonts w:hint="eastAsia" w:ascii="宋体" w:hAnsi="宋体" w:eastAsia="宋体" w:cs="宋体"/>
                <w:kern w:val="2"/>
                <w:sz w:val="22"/>
                <w:szCs w:val="22"/>
                <w:highlight w:val="none"/>
                <w:lang w:val="en-US" w:eastAsia="en-US" w:bidi="ar-SA"/>
              </w:rPr>
            </w:pPr>
            <w:r>
              <w:rPr>
                <w:rFonts w:hint="eastAsia" w:ascii="宋体" w:hAnsi="宋体" w:eastAsia="宋体" w:cs="宋体"/>
                <w:sz w:val="22"/>
                <w:szCs w:val="22"/>
                <w:highlight w:val="none"/>
                <w:lang w:val="en-US" w:eastAsia="zh-CN"/>
              </w:rPr>
              <w:t>进度</w:t>
            </w:r>
            <w:r>
              <w:rPr>
                <w:rFonts w:hint="eastAsia" w:ascii="宋体" w:hAnsi="宋体" w:eastAsia="宋体" w:cs="宋体"/>
                <w:sz w:val="22"/>
                <w:szCs w:val="22"/>
                <w:highlight w:val="none"/>
              </w:rPr>
              <w:t>保证措施（</w:t>
            </w:r>
            <w:r>
              <w:rPr>
                <w:rFonts w:hint="eastAsia" w:ascii="宋体" w:hAnsi="宋体" w:cs="宋体"/>
                <w:sz w:val="22"/>
                <w:szCs w:val="22"/>
                <w:highlight w:val="none"/>
                <w:lang w:val="en-US" w:eastAsia="zh-CN"/>
              </w:rPr>
              <w:t>5</w:t>
            </w:r>
            <w:r>
              <w:rPr>
                <w:rFonts w:hint="eastAsia" w:ascii="宋体" w:hAnsi="宋体" w:eastAsia="宋体" w:cs="宋体"/>
                <w:sz w:val="22"/>
                <w:szCs w:val="22"/>
                <w:highlight w:val="none"/>
              </w:rPr>
              <w:t>分）</w:t>
            </w:r>
          </w:p>
        </w:tc>
        <w:tc>
          <w:tcPr>
            <w:tcW w:w="7170" w:type="dxa"/>
            <w:shd w:val="clear" w:color="auto" w:fill="auto"/>
            <w:noWrap w:val="0"/>
            <w:vAlign w:val="center"/>
          </w:tcPr>
          <w:p w14:paraId="31946D58">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en-US" w:bidi="ar-SA"/>
              </w:rPr>
              <w:t>根据</w:t>
            </w:r>
            <w:r>
              <w:rPr>
                <w:rFonts w:hint="eastAsia" w:ascii="宋体" w:hAnsi="宋体" w:eastAsia="宋体" w:cs="宋体"/>
                <w:kern w:val="2"/>
                <w:sz w:val="22"/>
                <w:szCs w:val="22"/>
                <w:highlight w:val="none"/>
                <w:lang w:val="en-US" w:eastAsia="zh-CN" w:bidi="ar-SA"/>
              </w:rPr>
              <w:t>项目</w:t>
            </w:r>
            <w:r>
              <w:rPr>
                <w:rFonts w:hint="eastAsia" w:ascii="宋体" w:hAnsi="宋体" w:eastAsia="宋体" w:cs="宋体"/>
                <w:kern w:val="2"/>
                <w:sz w:val="22"/>
                <w:szCs w:val="22"/>
                <w:highlight w:val="none"/>
                <w:lang w:val="en-US" w:eastAsia="en-US" w:bidi="ar-SA"/>
              </w:rPr>
              <w:t>需求，结合项目实际，提供进度保障方案，方案包括但不限于以下内容:</w:t>
            </w:r>
            <w:r>
              <w:rPr>
                <w:rFonts w:hint="eastAsia" w:ascii="宋体" w:hAnsi="宋体" w:eastAsia="宋体" w:cs="宋体"/>
                <w:kern w:val="2"/>
                <w:sz w:val="22"/>
                <w:szCs w:val="22"/>
                <w:highlight w:val="none"/>
                <w:lang w:val="en-US" w:eastAsia="zh-CN" w:bidi="ar-SA"/>
              </w:rPr>
              <w:t>①</w:t>
            </w:r>
            <w:r>
              <w:rPr>
                <w:rFonts w:hint="eastAsia" w:ascii="宋体" w:hAnsi="宋体" w:eastAsia="宋体" w:cs="宋体"/>
                <w:kern w:val="2"/>
                <w:sz w:val="22"/>
                <w:szCs w:val="22"/>
                <w:highlight w:val="none"/>
                <w:lang w:val="en-US" w:eastAsia="en-US" w:bidi="ar-SA"/>
              </w:rPr>
              <w:t>保障进度的组织措施</w:t>
            </w:r>
            <w:r>
              <w:rPr>
                <w:rFonts w:hint="eastAsia" w:ascii="宋体" w:hAnsi="宋体" w:eastAsia="宋体" w:cs="宋体"/>
                <w:kern w:val="2"/>
                <w:sz w:val="22"/>
                <w:szCs w:val="22"/>
                <w:highlight w:val="none"/>
                <w:lang w:val="en-US" w:eastAsia="zh-CN" w:bidi="ar-SA"/>
              </w:rPr>
              <w:t>；②</w:t>
            </w:r>
            <w:r>
              <w:rPr>
                <w:rFonts w:hint="eastAsia" w:ascii="宋体" w:hAnsi="宋体" w:eastAsia="宋体" w:cs="宋体"/>
                <w:kern w:val="2"/>
                <w:sz w:val="22"/>
                <w:szCs w:val="22"/>
                <w:highlight w:val="none"/>
                <w:lang w:val="en-US" w:eastAsia="en-US" w:bidi="ar-SA"/>
              </w:rPr>
              <w:t>保障进度的管理措施</w:t>
            </w:r>
            <w:r>
              <w:rPr>
                <w:rFonts w:hint="eastAsia" w:ascii="宋体" w:hAnsi="宋体" w:eastAsia="宋体" w:cs="宋体"/>
                <w:kern w:val="2"/>
                <w:sz w:val="22"/>
                <w:szCs w:val="22"/>
                <w:highlight w:val="none"/>
                <w:lang w:val="en-US" w:eastAsia="zh-CN" w:bidi="ar-SA"/>
              </w:rPr>
              <w:t>；③</w:t>
            </w:r>
            <w:r>
              <w:rPr>
                <w:rFonts w:hint="eastAsia" w:ascii="宋体" w:hAnsi="宋体" w:eastAsia="宋体" w:cs="宋体"/>
                <w:kern w:val="2"/>
                <w:sz w:val="22"/>
                <w:szCs w:val="22"/>
                <w:highlight w:val="none"/>
                <w:lang w:val="en-US" w:eastAsia="en-US" w:bidi="ar-SA"/>
              </w:rPr>
              <w:t>保障进度的材料供应措施等内容</w:t>
            </w:r>
            <w:r>
              <w:rPr>
                <w:rFonts w:hint="eastAsia" w:ascii="宋体" w:hAnsi="宋体" w:eastAsia="宋体" w:cs="宋体"/>
                <w:kern w:val="2"/>
                <w:sz w:val="22"/>
                <w:szCs w:val="22"/>
                <w:highlight w:val="none"/>
                <w:lang w:val="en-US" w:eastAsia="zh-CN" w:bidi="ar-SA"/>
              </w:rPr>
              <w:t>进行打分</w:t>
            </w:r>
            <w:r>
              <w:rPr>
                <w:rFonts w:hint="eastAsia" w:ascii="宋体" w:hAnsi="宋体" w:eastAsia="宋体" w:cs="宋体"/>
                <w:kern w:val="2"/>
                <w:sz w:val="22"/>
                <w:szCs w:val="22"/>
                <w:highlight w:val="none"/>
                <w:lang w:val="en-US" w:eastAsia="en-US" w:bidi="ar-SA"/>
              </w:rPr>
              <w:t>。</w:t>
            </w:r>
          </w:p>
          <w:p w14:paraId="67365C74">
            <w:pPr>
              <w:numPr>
                <w:ilvl w:val="0"/>
                <w:numId w:val="2"/>
              </w:num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en-US" w:bidi="ar-SA"/>
              </w:rPr>
              <w:t>提供符合</w:t>
            </w:r>
            <w:r>
              <w:rPr>
                <w:rFonts w:hint="eastAsia" w:ascii="宋体" w:hAnsi="宋体" w:eastAsia="宋体" w:cs="宋体"/>
                <w:kern w:val="2"/>
                <w:sz w:val="22"/>
                <w:szCs w:val="22"/>
                <w:highlight w:val="none"/>
                <w:lang w:val="en-US" w:eastAsia="zh-CN" w:bidi="ar-SA"/>
              </w:rPr>
              <w:t>项目</w:t>
            </w:r>
            <w:r>
              <w:rPr>
                <w:rFonts w:hint="eastAsia" w:ascii="宋体" w:hAnsi="宋体" w:eastAsia="宋体" w:cs="宋体"/>
                <w:kern w:val="2"/>
                <w:sz w:val="22"/>
                <w:szCs w:val="22"/>
                <w:highlight w:val="none"/>
                <w:lang w:val="en-US" w:eastAsia="en-US" w:bidi="ar-SA"/>
              </w:rPr>
              <w:t>需求全面详实的有效方案，无缺陷</w:t>
            </w:r>
            <w:r>
              <w:rPr>
                <w:rFonts w:hint="eastAsia" w:ascii="宋体" w:hAnsi="宋体" w:eastAsia="宋体" w:cs="宋体"/>
                <w:kern w:val="2"/>
                <w:sz w:val="22"/>
                <w:szCs w:val="22"/>
                <w:highlight w:val="none"/>
                <w:lang w:val="en-US" w:eastAsia="zh-CN" w:bidi="ar-SA"/>
              </w:rPr>
              <w:t>的，得5</w:t>
            </w:r>
            <w:r>
              <w:rPr>
                <w:rFonts w:hint="eastAsia" w:ascii="宋体" w:hAnsi="宋体" w:eastAsia="宋体" w:cs="宋体"/>
                <w:kern w:val="2"/>
                <w:sz w:val="22"/>
                <w:szCs w:val="22"/>
                <w:highlight w:val="none"/>
                <w:lang w:val="en-US" w:eastAsia="en-US" w:bidi="ar-SA"/>
              </w:rPr>
              <w:t>分</w:t>
            </w:r>
            <w:r>
              <w:rPr>
                <w:rFonts w:hint="eastAsia" w:ascii="宋体" w:hAnsi="宋体" w:eastAsia="宋体" w:cs="宋体"/>
                <w:kern w:val="2"/>
                <w:sz w:val="22"/>
                <w:szCs w:val="22"/>
                <w:highlight w:val="none"/>
                <w:lang w:val="en-US" w:eastAsia="zh-CN" w:bidi="ar-SA"/>
              </w:rPr>
              <w:t>；</w:t>
            </w:r>
          </w:p>
          <w:p w14:paraId="61B07F09">
            <w:pPr>
              <w:numPr>
                <w:ilvl w:val="0"/>
                <w:numId w:val="0"/>
              </w:num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2、本项方案内容无漏项但方案存在缺陷的，得3分；</w:t>
            </w:r>
          </w:p>
          <w:p w14:paraId="1BCD69BC">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3、方案内容存在不符合项目需求的，或方案有漏项的，得1分；</w:t>
            </w:r>
          </w:p>
          <w:p w14:paraId="2EE40128">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4、</w:t>
            </w:r>
            <w:r>
              <w:rPr>
                <w:rFonts w:hint="eastAsia" w:ascii="宋体" w:hAnsi="宋体" w:eastAsia="宋体" w:cs="宋体"/>
                <w:kern w:val="2"/>
                <w:sz w:val="22"/>
                <w:szCs w:val="22"/>
                <w:highlight w:val="none"/>
                <w:lang w:val="en-US" w:eastAsia="en-US" w:bidi="ar-SA"/>
              </w:rPr>
              <w:t>未提供方案，得0分。</w:t>
            </w:r>
          </w:p>
          <w:p w14:paraId="47AB98B2">
            <w:pPr>
              <w:numPr>
                <w:ilvl w:val="0"/>
                <w:numId w:val="0"/>
              </w:numPr>
              <w:tabs>
                <w:tab w:val="left" w:pos="9720"/>
              </w:tabs>
              <w:autoSpaceDE w:val="0"/>
              <w:autoSpaceDN w:val="0"/>
              <w:adjustRightInd w:val="0"/>
              <w:spacing w:line="360" w:lineRule="exact"/>
              <w:ind w:leftChars="0" w:right="-36" w:rightChars="-17"/>
              <w:jc w:val="left"/>
              <w:rPr>
                <w:rFonts w:hint="eastAsia" w:ascii="宋体" w:hAnsi="宋体" w:eastAsia="宋体" w:cs="宋体"/>
                <w:b/>
                <w:bCs/>
                <w:kern w:val="2"/>
                <w:sz w:val="22"/>
                <w:szCs w:val="22"/>
                <w:highlight w:val="none"/>
                <w:lang w:val="en-US" w:eastAsia="en-US" w:bidi="ar-SA"/>
              </w:rPr>
            </w:pPr>
            <w:r>
              <w:rPr>
                <w:rFonts w:hint="eastAsia" w:ascii="宋体" w:hAnsi="宋体" w:eastAsia="宋体" w:cs="宋体"/>
                <w:b/>
                <w:bCs/>
                <w:kern w:val="2"/>
                <w:sz w:val="22"/>
                <w:szCs w:val="22"/>
                <w:highlight w:val="none"/>
                <w:lang w:val="en-US" w:eastAsia="en-US" w:bidi="ar-SA"/>
              </w:rPr>
              <w:t>注:</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缺陷</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方案内容与项目需求不一致</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存在相互矛盾内容</w:t>
            </w:r>
            <w:r>
              <w:rPr>
                <w:rFonts w:hint="eastAsia" w:ascii="宋体" w:hAnsi="宋体" w:eastAsia="宋体" w:cs="宋体"/>
                <w:b/>
                <w:bCs/>
                <w:kern w:val="2"/>
                <w:sz w:val="22"/>
                <w:szCs w:val="22"/>
                <w:highlight w:val="none"/>
                <w:lang w:val="en-US" w:eastAsia="zh-CN" w:bidi="ar-SA"/>
              </w:rPr>
              <w:t xml:space="preserve"> c单项内容仅有框架标题 d复制招标文件内容的要求 e内容中出现前后描述不一致现象或文字叙述出现错误</w:t>
            </w:r>
            <w:r>
              <w:rPr>
                <w:rFonts w:hint="eastAsia" w:ascii="宋体" w:hAnsi="宋体" w:eastAsia="宋体" w:cs="宋体"/>
                <w:b/>
                <w:bCs/>
                <w:kern w:val="2"/>
                <w:sz w:val="22"/>
                <w:szCs w:val="22"/>
                <w:highlight w:val="none"/>
                <w:lang w:val="en-US" w:eastAsia="en-US" w:bidi="ar-SA"/>
              </w:rPr>
              <w:t>。</w:t>
            </w:r>
          </w:p>
          <w:p w14:paraId="0A96CCA0">
            <w:pPr>
              <w:numPr>
                <w:ilvl w:val="0"/>
                <w:numId w:val="0"/>
              </w:numPr>
              <w:spacing w:line="420" w:lineRule="exact"/>
              <w:ind w:leftChars="0"/>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不符合项目需求</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存在与本项目执行无关的内容</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存在相关内容在实际操作中不能运用</w:t>
            </w:r>
            <w:r>
              <w:rPr>
                <w:rFonts w:hint="eastAsia" w:ascii="宋体" w:hAnsi="宋体" w:eastAsia="宋体" w:cs="宋体"/>
                <w:b/>
                <w:bCs/>
                <w:kern w:val="2"/>
                <w:sz w:val="22"/>
                <w:szCs w:val="22"/>
                <w:highlight w:val="none"/>
                <w:lang w:val="en-US" w:eastAsia="zh-CN" w:bidi="ar-SA"/>
              </w:rPr>
              <w:t xml:space="preserve"> c内容涉及适用的行业规范及标准(方法)出现错误 d实施地点区域错误，实施时间错误 e与履行合同存在差异性。</w:t>
            </w:r>
          </w:p>
        </w:tc>
        <w:tc>
          <w:tcPr>
            <w:tcW w:w="765" w:type="dxa"/>
            <w:shd w:val="clear" w:color="auto" w:fill="auto"/>
            <w:noWrap w:val="0"/>
            <w:vAlign w:val="center"/>
          </w:tcPr>
          <w:p w14:paraId="1AD905CC">
            <w:pPr>
              <w:spacing w:line="360" w:lineRule="auto"/>
              <w:jc w:val="center"/>
              <w:rPr>
                <w:rFonts w:hint="eastAsia" w:ascii="宋体" w:hAnsi="宋体" w:eastAsia="宋体" w:cs="宋体"/>
                <w:color w:val="auto"/>
                <w:kern w:val="2"/>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0-5分</w:t>
            </w:r>
          </w:p>
        </w:tc>
      </w:tr>
      <w:tr w14:paraId="19CF6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40" w:type="dxa"/>
            <w:vMerge w:val="continue"/>
            <w:noWrap w:val="0"/>
            <w:vAlign w:val="center"/>
          </w:tcPr>
          <w:p w14:paraId="687506C8">
            <w:pPr>
              <w:rPr>
                <w:rFonts w:hint="eastAsia" w:ascii="宋体" w:hAnsi="宋体" w:eastAsia="宋体" w:cs="宋体"/>
                <w:color w:val="auto"/>
                <w:sz w:val="22"/>
                <w:szCs w:val="22"/>
                <w:highlight w:val="none"/>
                <w:u w:val="none"/>
              </w:rPr>
            </w:pPr>
          </w:p>
        </w:tc>
        <w:tc>
          <w:tcPr>
            <w:tcW w:w="1125" w:type="dxa"/>
            <w:shd w:val="clear" w:color="auto" w:fill="auto"/>
            <w:noWrap w:val="0"/>
            <w:vAlign w:val="center"/>
          </w:tcPr>
          <w:p w14:paraId="69228CD7">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拟投入资源配备计划</w:t>
            </w:r>
          </w:p>
          <w:p w14:paraId="740ABF70">
            <w:pPr>
              <w:spacing w:line="480" w:lineRule="exact"/>
              <w:jc w:val="center"/>
              <w:rPr>
                <w:rFonts w:hint="eastAsia" w:ascii="宋体" w:hAnsi="宋体" w:eastAsia="宋体" w:cs="宋体"/>
                <w:kern w:val="2"/>
                <w:sz w:val="22"/>
                <w:szCs w:val="22"/>
                <w:highlight w:val="none"/>
                <w:lang w:val="en-US" w:eastAsia="en-US" w:bidi="ar-SA"/>
              </w:rPr>
            </w:pPr>
            <w:r>
              <w:rPr>
                <w:rFonts w:hint="eastAsia" w:ascii="宋体" w:hAnsi="宋体" w:eastAsia="宋体" w:cs="宋体"/>
                <w:sz w:val="22"/>
                <w:szCs w:val="22"/>
                <w:highlight w:val="none"/>
              </w:rPr>
              <w:t>（</w:t>
            </w:r>
            <w:r>
              <w:rPr>
                <w:rFonts w:ascii="宋体" w:hAnsi="宋体" w:eastAsia="宋体" w:cs="宋体"/>
                <w:sz w:val="22"/>
                <w:szCs w:val="22"/>
                <w:highlight w:val="none"/>
              </w:rPr>
              <w:t>5</w:t>
            </w:r>
            <w:r>
              <w:rPr>
                <w:rFonts w:hint="eastAsia" w:ascii="宋体" w:hAnsi="宋体" w:eastAsia="宋体" w:cs="宋体"/>
                <w:sz w:val="22"/>
                <w:szCs w:val="22"/>
                <w:highlight w:val="none"/>
              </w:rPr>
              <w:t>分）</w:t>
            </w:r>
          </w:p>
        </w:tc>
        <w:tc>
          <w:tcPr>
            <w:tcW w:w="7170" w:type="dxa"/>
            <w:shd w:val="clear" w:color="auto" w:fill="auto"/>
            <w:noWrap w:val="0"/>
            <w:vAlign w:val="center"/>
          </w:tcPr>
          <w:p w14:paraId="7A2EABB0">
            <w:pPr>
              <w:numPr>
                <w:ilvl w:val="0"/>
                <w:numId w:val="0"/>
              </w:num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根据①机械设备安排；②劳动力、人员、进场时间安排；③主要物资调配计划进行打分；</w:t>
            </w:r>
          </w:p>
          <w:p w14:paraId="02106BD4">
            <w:pPr>
              <w:numPr>
                <w:ilvl w:val="0"/>
                <w:numId w:val="3"/>
              </w:num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本项方案内容全面覆盖上述要求，</w:t>
            </w:r>
            <w:r>
              <w:rPr>
                <w:rFonts w:hint="eastAsia" w:ascii="宋体" w:hAnsi="宋体" w:cs="宋体"/>
                <w:sz w:val="22"/>
                <w:szCs w:val="22"/>
                <w:highlight w:val="none"/>
                <w:lang w:val="en-US" w:eastAsia="zh-CN"/>
              </w:rPr>
              <w:t>机械设备配置合理、先进，数量满足项目需求；劳动力、人员岗位、进场时间、物资供应安排可行、具体，与本项目施工进度相匹配的，得</w:t>
            </w:r>
            <w:r>
              <w:rPr>
                <w:rFonts w:hint="eastAsia" w:ascii="宋体" w:hAnsi="宋体" w:eastAsia="宋体" w:cs="宋体"/>
                <w:kern w:val="2"/>
                <w:sz w:val="22"/>
                <w:szCs w:val="22"/>
                <w:highlight w:val="none"/>
                <w:lang w:val="en-US" w:eastAsia="zh-CN" w:bidi="ar-SA"/>
              </w:rPr>
              <w:t>5</w:t>
            </w:r>
            <w:r>
              <w:rPr>
                <w:rFonts w:hint="eastAsia" w:ascii="宋体" w:hAnsi="宋体" w:eastAsia="宋体" w:cs="宋体"/>
                <w:kern w:val="2"/>
                <w:sz w:val="22"/>
                <w:szCs w:val="22"/>
                <w:highlight w:val="none"/>
                <w:lang w:val="en-US" w:eastAsia="en-US" w:bidi="ar-SA"/>
              </w:rPr>
              <w:t>分</w:t>
            </w:r>
            <w:r>
              <w:rPr>
                <w:rFonts w:hint="eastAsia" w:ascii="宋体" w:hAnsi="宋体" w:eastAsia="宋体" w:cs="宋体"/>
                <w:kern w:val="2"/>
                <w:sz w:val="22"/>
                <w:szCs w:val="22"/>
                <w:highlight w:val="none"/>
                <w:lang w:val="en-US" w:eastAsia="zh-CN" w:bidi="ar-SA"/>
              </w:rPr>
              <w:t>；</w:t>
            </w:r>
          </w:p>
          <w:p w14:paraId="3E5EC372">
            <w:pPr>
              <w:numPr>
                <w:ilvl w:val="0"/>
                <w:numId w:val="0"/>
              </w:num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2、本项方案内容无漏项但方案存在缺陷的，得3分；</w:t>
            </w:r>
          </w:p>
          <w:p w14:paraId="1D3B293C">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3、方案内容存在不符合项目需求的，或方案有漏项的，得1分；</w:t>
            </w:r>
          </w:p>
          <w:p w14:paraId="161498B9">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4、</w:t>
            </w:r>
            <w:r>
              <w:rPr>
                <w:rFonts w:hint="eastAsia" w:ascii="宋体" w:hAnsi="宋体" w:eastAsia="宋体" w:cs="宋体"/>
                <w:kern w:val="2"/>
                <w:sz w:val="22"/>
                <w:szCs w:val="22"/>
                <w:highlight w:val="none"/>
                <w:lang w:val="en-US" w:eastAsia="en-US" w:bidi="ar-SA"/>
              </w:rPr>
              <w:t>未提供方案，得0分。</w:t>
            </w:r>
          </w:p>
          <w:p w14:paraId="058A6693">
            <w:pPr>
              <w:numPr>
                <w:ilvl w:val="0"/>
                <w:numId w:val="0"/>
              </w:numPr>
              <w:tabs>
                <w:tab w:val="left" w:pos="9720"/>
              </w:tabs>
              <w:autoSpaceDE w:val="0"/>
              <w:autoSpaceDN w:val="0"/>
              <w:adjustRightInd w:val="0"/>
              <w:spacing w:line="360" w:lineRule="exact"/>
              <w:ind w:leftChars="0" w:right="-36" w:rightChars="-17"/>
              <w:jc w:val="left"/>
              <w:rPr>
                <w:rFonts w:hint="eastAsia" w:ascii="宋体" w:hAnsi="宋体" w:eastAsia="宋体" w:cs="宋体"/>
                <w:b/>
                <w:bCs/>
                <w:kern w:val="2"/>
                <w:sz w:val="22"/>
                <w:szCs w:val="22"/>
                <w:highlight w:val="none"/>
                <w:lang w:val="en-US" w:eastAsia="en-US" w:bidi="ar-SA"/>
              </w:rPr>
            </w:pPr>
            <w:r>
              <w:rPr>
                <w:rFonts w:hint="eastAsia" w:ascii="宋体" w:hAnsi="宋体" w:eastAsia="宋体" w:cs="宋体"/>
                <w:b/>
                <w:bCs/>
                <w:kern w:val="2"/>
                <w:sz w:val="22"/>
                <w:szCs w:val="22"/>
                <w:highlight w:val="none"/>
                <w:lang w:val="en-US" w:eastAsia="en-US" w:bidi="ar-SA"/>
              </w:rPr>
              <w:t>注:</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缺陷</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方案内容与项目需求不一致</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存在相互矛盾内容</w:t>
            </w:r>
            <w:r>
              <w:rPr>
                <w:rFonts w:hint="eastAsia" w:ascii="宋体" w:hAnsi="宋体" w:eastAsia="宋体" w:cs="宋体"/>
                <w:b/>
                <w:bCs/>
                <w:kern w:val="2"/>
                <w:sz w:val="22"/>
                <w:szCs w:val="22"/>
                <w:highlight w:val="none"/>
                <w:lang w:val="en-US" w:eastAsia="zh-CN" w:bidi="ar-SA"/>
              </w:rPr>
              <w:t xml:space="preserve"> c单项内容仅有框架标题 d复制招标文件内容的要求 e内容中出现前后描述不一致现象或文字叙述出现错误</w:t>
            </w:r>
            <w:r>
              <w:rPr>
                <w:rFonts w:hint="eastAsia" w:ascii="宋体" w:hAnsi="宋体" w:eastAsia="宋体" w:cs="宋体"/>
                <w:b/>
                <w:bCs/>
                <w:kern w:val="2"/>
                <w:sz w:val="22"/>
                <w:szCs w:val="22"/>
                <w:highlight w:val="none"/>
                <w:lang w:val="en-US" w:eastAsia="en-US" w:bidi="ar-SA"/>
              </w:rPr>
              <w:t>。</w:t>
            </w:r>
          </w:p>
          <w:p w14:paraId="2B2BD688">
            <w:pPr>
              <w:numPr>
                <w:ilvl w:val="0"/>
                <w:numId w:val="0"/>
              </w:numPr>
              <w:spacing w:line="420" w:lineRule="exact"/>
              <w:jc w:val="left"/>
              <w:rPr>
                <w:rFonts w:hint="default" w:ascii="宋体" w:hAnsi="宋体" w:eastAsia="宋体" w:cs="宋体"/>
                <w:kern w:val="2"/>
                <w:sz w:val="22"/>
                <w:szCs w:val="22"/>
                <w:highlight w:val="none"/>
                <w:lang w:val="en-US" w:eastAsia="zh-CN" w:bidi="ar-SA"/>
              </w:rPr>
            </w:pP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不符合项目需求</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存在与本项目执行无关的内容</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存在相关内容在实际操作中不能运用</w:t>
            </w:r>
            <w:r>
              <w:rPr>
                <w:rFonts w:hint="eastAsia" w:ascii="宋体" w:hAnsi="宋体" w:eastAsia="宋体" w:cs="宋体"/>
                <w:b/>
                <w:bCs/>
                <w:kern w:val="2"/>
                <w:sz w:val="22"/>
                <w:szCs w:val="22"/>
                <w:highlight w:val="none"/>
                <w:lang w:val="en-US" w:eastAsia="zh-CN" w:bidi="ar-SA"/>
              </w:rPr>
              <w:t xml:space="preserve"> c内容涉及适用的行业规范及标准(方法)出现错误 d实施地点区域错误，实施时间错误 e与履行合同存在差异性。</w:t>
            </w:r>
          </w:p>
        </w:tc>
        <w:tc>
          <w:tcPr>
            <w:tcW w:w="765" w:type="dxa"/>
            <w:shd w:val="clear" w:color="auto" w:fill="auto"/>
            <w:noWrap w:val="0"/>
            <w:vAlign w:val="center"/>
          </w:tcPr>
          <w:p w14:paraId="3773B0D1">
            <w:pPr>
              <w:spacing w:line="360" w:lineRule="auto"/>
              <w:jc w:val="center"/>
              <w:rPr>
                <w:rFonts w:hint="default" w:ascii="宋体" w:hAnsi="宋体" w:eastAsia="宋体" w:cs="宋体"/>
                <w:color w:val="auto"/>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0-5分</w:t>
            </w:r>
          </w:p>
        </w:tc>
      </w:tr>
      <w:tr w14:paraId="117C7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40" w:type="dxa"/>
            <w:vMerge w:val="continue"/>
            <w:noWrap w:val="0"/>
            <w:vAlign w:val="center"/>
          </w:tcPr>
          <w:p w14:paraId="0C0080C1">
            <w:pPr>
              <w:rPr>
                <w:rFonts w:hint="eastAsia" w:ascii="宋体" w:hAnsi="宋体" w:eastAsia="宋体" w:cs="宋体"/>
                <w:color w:val="auto"/>
                <w:sz w:val="22"/>
                <w:szCs w:val="22"/>
                <w:highlight w:val="none"/>
                <w:u w:val="none"/>
              </w:rPr>
            </w:pPr>
          </w:p>
        </w:tc>
        <w:tc>
          <w:tcPr>
            <w:tcW w:w="1125" w:type="dxa"/>
            <w:shd w:val="clear" w:color="auto" w:fill="auto"/>
            <w:noWrap w:val="0"/>
            <w:vAlign w:val="center"/>
          </w:tcPr>
          <w:p w14:paraId="61AF593C">
            <w:pPr>
              <w:spacing w:line="480" w:lineRule="exact"/>
              <w:jc w:val="center"/>
              <w:rPr>
                <w:rFonts w:hint="eastAsia" w:ascii="宋体" w:hAnsi="宋体" w:eastAsia="宋体" w:cs="宋体"/>
                <w:kern w:val="2"/>
                <w:sz w:val="22"/>
                <w:szCs w:val="22"/>
                <w:highlight w:val="none"/>
                <w:lang w:val="en-US" w:eastAsia="en-US" w:bidi="ar-SA"/>
              </w:rPr>
            </w:pPr>
            <w:r>
              <w:rPr>
                <w:rFonts w:hint="eastAsia" w:ascii="宋体" w:hAnsi="宋体" w:eastAsia="宋体" w:cs="宋体"/>
                <w:sz w:val="22"/>
                <w:szCs w:val="22"/>
                <w:highlight w:val="none"/>
              </w:rPr>
              <w:t>施工进度表或网络计划图（</w:t>
            </w:r>
            <w:r>
              <w:rPr>
                <w:rFonts w:ascii="宋体" w:hAnsi="宋体" w:eastAsia="宋体" w:cs="宋体"/>
                <w:sz w:val="22"/>
                <w:szCs w:val="22"/>
                <w:highlight w:val="none"/>
              </w:rPr>
              <w:t>5</w:t>
            </w:r>
            <w:r>
              <w:rPr>
                <w:rFonts w:hint="eastAsia" w:ascii="宋体" w:hAnsi="宋体" w:eastAsia="宋体" w:cs="宋体"/>
                <w:sz w:val="22"/>
                <w:szCs w:val="22"/>
                <w:highlight w:val="none"/>
              </w:rPr>
              <w:t>分）</w:t>
            </w:r>
          </w:p>
        </w:tc>
        <w:tc>
          <w:tcPr>
            <w:tcW w:w="7170" w:type="dxa"/>
            <w:shd w:val="clear" w:color="auto" w:fill="auto"/>
            <w:noWrap w:val="0"/>
            <w:vAlign w:val="center"/>
          </w:tcPr>
          <w:p w14:paraId="79491EF4">
            <w:pPr>
              <w:numPr>
                <w:ilvl w:val="0"/>
                <w:numId w:val="0"/>
              </w:num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根据施工进度表或网络计划图进行打分：</w:t>
            </w:r>
          </w:p>
          <w:p w14:paraId="4DB23C1F">
            <w:pPr>
              <w:numPr>
                <w:ilvl w:val="0"/>
                <w:numId w:val="0"/>
              </w:num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1.关键线路清晰、准确、完整，计划编制全面合理、可行，工序划分详实，节点工期匹配项目实际，满足磋商文件对工期的要求的得 5 分；</w:t>
            </w:r>
          </w:p>
          <w:p w14:paraId="47F67991">
            <w:pPr>
              <w:numPr>
                <w:ilvl w:val="0"/>
                <w:numId w:val="0"/>
              </w:num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2.关键线路基本准确，计划编制基本可行，具体计划内容有部分少量缺失，部分工序节点安排针对性不足的，3分；</w:t>
            </w:r>
          </w:p>
          <w:p w14:paraId="7A5117D3">
            <w:pPr>
              <w:numPr>
                <w:ilvl w:val="0"/>
                <w:numId w:val="0"/>
              </w:num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3.施工进度表或网络计划图内容有较多缺失，阐述粗糙，仅简单罗列工序，关键逻辑不完整的得 1 分；</w:t>
            </w:r>
          </w:p>
          <w:p w14:paraId="07F784F8">
            <w:pPr>
              <w:numPr>
                <w:ilvl w:val="0"/>
                <w:numId w:val="0"/>
              </w:num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4.缺项得0分。</w:t>
            </w:r>
          </w:p>
        </w:tc>
        <w:tc>
          <w:tcPr>
            <w:tcW w:w="765" w:type="dxa"/>
            <w:shd w:val="clear" w:color="auto" w:fill="auto"/>
            <w:noWrap w:val="0"/>
            <w:vAlign w:val="center"/>
          </w:tcPr>
          <w:p w14:paraId="73327A5E">
            <w:pPr>
              <w:spacing w:line="360" w:lineRule="auto"/>
              <w:jc w:val="center"/>
              <w:rPr>
                <w:rFonts w:hint="eastAsia" w:ascii="宋体" w:hAnsi="宋体" w:eastAsia="宋体" w:cs="宋体"/>
                <w:color w:val="auto"/>
                <w:kern w:val="2"/>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0-5分</w:t>
            </w:r>
          </w:p>
        </w:tc>
      </w:tr>
      <w:tr w14:paraId="7937D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40" w:type="dxa"/>
            <w:vMerge w:val="continue"/>
            <w:noWrap w:val="0"/>
            <w:vAlign w:val="center"/>
          </w:tcPr>
          <w:p w14:paraId="082F2CEA">
            <w:pPr>
              <w:rPr>
                <w:rFonts w:hint="eastAsia" w:ascii="宋体" w:hAnsi="宋体" w:eastAsia="宋体" w:cs="宋体"/>
                <w:color w:val="auto"/>
                <w:sz w:val="22"/>
                <w:szCs w:val="22"/>
                <w:highlight w:val="none"/>
                <w:u w:val="none"/>
              </w:rPr>
            </w:pPr>
          </w:p>
        </w:tc>
        <w:tc>
          <w:tcPr>
            <w:tcW w:w="1125" w:type="dxa"/>
            <w:shd w:val="clear" w:color="auto" w:fill="auto"/>
            <w:noWrap w:val="0"/>
            <w:vAlign w:val="center"/>
          </w:tcPr>
          <w:p w14:paraId="4D2F5501">
            <w:pPr>
              <w:spacing w:line="480" w:lineRule="exact"/>
              <w:jc w:val="center"/>
              <w:rPr>
                <w:rFonts w:hint="eastAsia" w:ascii="宋体" w:hAnsi="宋体" w:eastAsia="宋体" w:cs="宋体"/>
                <w:kern w:val="2"/>
                <w:sz w:val="22"/>
                <w:szCs w:val="22"/>
                <w:highlight w:val="none"/>
                <w:lang w:val="en-US" w:eastAsia="en-US" w:bidi="ar-SA"/>
              </w:rPr>
            </w:pPr>
            <w:r>
              <w:rPr>
                <w:rFonts w:hint="eastAsia" w:ascii="宋体" w:hAnsi="宋体" w:eastAsia="宋体" w:cs="宋体"/>
                <w:sz w:val="22"/>
                <w:szCs w:val="22"/>
                <w:highlight w:val="none"/>
              </w:rPr>
              <w:t>技术创新的应用实施措施（</w:t>
            </w:r>
            <w:r>
              <w:rPr>
                <w:rFonts w:ascii="宋体" w:hAnsi="宋体" w:eastAsia="宋体" w:cs="宋体"/>
                <w:sz w:val="22"/>
                <w:szCs w:val="22"/>
                <w:highlight w:val="none"/>
              </w:rPr>
              <w:t>5</w:t>
            </w:r>
            <w:r>
              <w:rPr>
                <w:rFonts w:hint="eastAsia" w:ascii="宋体" w:hAnsi="宋体" w:eastAsia="宋体" w:cs="宋体"/>
                <w:sz w:val="22"/>
                <w:szCs w:val="22"/>
                <w:highlight w:val="none"/>
              </w:rPr>
              <w:t>分）</w:t>
            </w:r>
          </w:p>
        </w:tc>
        <w:tc>
          <w:tcPr>
            <w:tcW w:w="7170" w:type="dxa"/>
            <w:shd w:val="clear" w:color="auto" w:fill="auto"/>
            <w:noWrap w:val="0"/>
            <w:vAlign w:val="center"/>
          </w:tcPr>
          <w:p w14:paraId="1BAB1640">
            <w:p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根据①节能减排；②绿色施工；③工艺创新等技术创新的应用实施措施进行打分；</w:t>
            </w:r>
          </w:p>
          <w:p w14:paraId="45D9444B">
            <w:p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1、本项方案内容全面覆盖上述要求，节能减排、绿色施工、工艺创新等技术创新的应用实施措施符合工程情况，具有针对性、可行性、经济适用性的得5分；</w:t>
            </w:r>
          </w:p>
          <w:p w14:paraId="329B39EA">
            <w:pPr>
              <w:numPr>
                <w:ilvl w:val="0"/>
                <w:numId w:val="0"/>
              </w:num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2、本项方案内容无漏项但方案存在缺陷的，得3分；</w:t>
            </w:r>
          </w:p>
          <w:p w14:paraId="56EAFE52">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3、方案内容存在不符合项目需求的，或方案有漏项的，得1分；</w:t>
            </w:r>
          </w:p>
          <w:p w14:paraId="1278CF83">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4、</w:t>
            </w:r>
            <w:r>
              <w:rPr>
                <w:rFonts w:hint="eastAsia" w:ascii="宋体" w:hAnsi="宋体" w:eastAsia="宋体" w:cs="宋体"/>
                <w:kern w:val="2"/>
                <w:sz w:val="22"/>
                <w:szCs w:val="22"/>
                <w:highlight w:val="none"/>
                <w:lang w:val="en-US" w:eastAsia="en-US" w:bidi="ar-SA"/>
              </w:rPr>
              <w:t>未提供方案，得0分。</w:t>
            </w:r>
          </w:p>
          <w:p w14:paraId="4FD289CB">
            <w:pPr>
              <w:numPr>
                <w:ilvl w:val="0"/>
                <w:numId w:val="0"/>
              </w:numPr>
              <w:tabs>
                <w:tab w:val="left" w:pos="9720"/>
              </w:tabs>
              <w:autoSpaceDE w:val="0"/>
              <w:autoSpaceDN w:val="0"/>
              <w:adjustRightInd w:val="0"/>
              <w:spacing w:line="360" w:lineRule="exact"/>
              <w:ind w:leftChars="0" w:right="-36" w:rightChars="-17"/>
              <w:jc w:val="left"/>
              <w:rPr>
                <w:rFonts w:hint="eastAsia" w:ascii="宋体" w:hAnsi="宋体" w:eastAsia="宋体" w:cs="宋体"/>
                <w:b/>
                <w:bCs/>
                <w:kern w:val="2"/>
                <w:sz w:val="22"/>
                <w:szCs w:val="22"/>
                <w:highlight w:val="none"/>
                <w:lang w:val="en-US" w:eastAsia="en-US" w:bidi="ar-SA"/>
              </w:rPr>
            </w:pPr>
            <w:r>
              <w:rPr>
                <w:rFonts w:hint="eastAsia" w:ascii="宋体" w:hAnsi="宋体" w:eastAsia="宋体" w:cs="宋体"/>
                <w:b/>
                <w:bCs/>
                <w:kern w:val="2"/>
                <w:sz w:val="22"/>
                <w:szCs w:val="22"/>
                <w:highlight w:val="none"/>
                <w:lang w:val="en-US" w:eastAsia="en-US" w:bidi="ar-SA"/>
              </w:rPr>
              <w:t>注:</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缺陷</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方案内容与项目需求不一致</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存在相互矛盾内容</w:t>
            </w:r>
            <w:r>
              <w:rPr>
                <w:rFonts w:hint="eastAsia" w:ascii="宋体" w:hAnsi="宋体" w:eastAsia="宋体" w:cs="宋体"/>
                <w:b/>
                <w:bCs/>
                <w:kern w:val="2"/>
                <w:sz w:val="22"/>
                <w:szCs w:val="22"/>
                <w:highlight w:val="none"/>
                <w:lang w:val="en-US" w:eastAsia="zh-CN" w:bidi="ar-SA"/>
              </w:rPr>
              <w:t xml:space="preserve"> c单项内容仅有框架标题 d复制招标文件内容的要求 e内容中出现前后描述不一致现象或文字叙述出现错误</w:t>
            </w:r>
            <w:r>
              <w:rPr>
                <w:rFonts w:hint="eastAsia" w:ascii="宋体" w:hAnsi="宋体" w:eastAsia="宋体" w:cs="宋体"/>
                <w:b/>
                <w:bCs/>
                <w:kern w:val="2"/>
                <w:sz w:val="22"/>
                <w:szCs w:val="22"/>
                <w:highlight w:val="none"/>
                <w:lang w:val="en-US" w:eastAsia="en-US" w:bidi="ar-SA"/>
              </w:rPr>
              <w:t>。</w:t>
            </w:r>
          </w:p>
          <w:p w14:paraId="2E64D0DA">
            <w:p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不符合项目需求</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存在与本项目执行无关的内容</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存在相关内容在实际操作中不能运用</w:t>
            </w:r>
            <w:r>
              <w:rPr>
                <w:rFonts w:hint="eastAsia" w:ascii="宋体" w:hAnsi="宋体" w:eastAsia="宋体" w:cs="宋体"/>
                <w:b/>
                <w:bCs/>
                <w:kern w:val="2"/>
                <w:sz w:val="22"/>
                <w:szCs w:val="22"/>
                <w:highlight w:val="none"/>
                <w:lang w:val="en-US" w:eastAsia="zh-CN" w:bidi="ar-SA"/>
              </w:rPr>
              <w:t xml:space="preserve"> c内容涉及适用的行业规范及标准(方法)出现错误 d实施地点区域错误，实施时间错误 e与履行合同存在差异性。</w:t>
            </w:r>
          </w:p>
        </w:tc>
        <w:tc>
          <w:tcPr>
            <w:tcW w:w="765" w:type="dxa"/>
            <w:shd w:val="clear" w:color="auto" w:fill="auto"/>
            <w:noWrap w:val="0"/>
            <w:vAlign w:val="center"/>
          </w:tcPr>
          <w:p w14:paraId="520DE316">
            <w:pPr>
              <w:spacing w:line="360" w:lineRule="auto"/>
              <w:jc w:val="center"/>
              <w:rPr>
                <w:rFonts w:hint="eastAsia" w:ascii="宋体" w:hAnsi="宋体" w:eastAsia="宋体" w:cs="宋体"/>
                <w:color w:val="auto"/>
                <w:kern w:val="2"/>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0-5分</w:t>
            </w:r>
          </w:p>
        </w:tc>
      </w:tr>
      <w:tr w14:paraId="2C36C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40" w:type="dxa"/>
            <w:vMerge w:val="continue"/>
            <w:noWrap w:val="0"/>
            <w:vAlign w:val="center"/>
          </w:tcPr>
          <w:p w14:paraId="283D0B36">
            <w:pPr>
              <w:rPr>
                <w:rFonts w:hint="eastAsia" w:ascii="宋体" w:hAnsi="宋体" w:eastAsia="宋体" w:cs="宋体"/>
                <w:color w:val="auto"/>
                <w:sz w:val="22"/>
                <w:szCs w:val="22"/>
                <w:highlight w:val="none"/>
                <w:u w:val="none"/>
              </w:rPr>
            </w:pPr>
          </w:p>
        </w:tc>
        <w:tc>
          <w:tcPr>
            <w:tcW w:w="1125" w:type="dxa"/>
            <w:shd w:val="clear" w:color="auto" w:fill="auto"/>
            <w:noWrap w:val="0"/>
            <w:vAlign w:val="center"/>
          </w:tcPr>
          <w:p w14:paraId="7CCC8007">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风险管理措施</w:t>
            </w:r>
          </w:p>
          <w:p w14:paraId="3548D38A">
            <w:pPr>
              <w:spacing w:line="480" w:lineRule="exact"/>
              <w:jc w:val="center"/>
              <w:rPr>
                <w:rFonts w:hint="eastAsia" w:ascii="宋体" w:hAnsi="宋体" w:eastAsia="宋体" w:cs="宋体"/>
                <w:color w:val="auto"/>
                <w:kern w:val="2"/>
                <w:sz w:val="22"/>
                <w:szCs w:val="22"/>
                <w:highlight w:val="none"/>
                <w:u w:val="none"/>
                <w:lang w:val="en-US" w:eastAsia="en-US" w:bidi="ar-SA"/>
              </w:rPr>
            </w:pPr>
            <w:r>
              <w:rPr>
                <w:rFonts w:hint="eastAsia" w:ascii="宋体" w:hAnsi="宋体" w:eastAsia="宋体" w:cs="宋体"/>
                <w:sz w:val="22"/>
                <w:szCs w:val="22"/>
                <w:highlight w:val="none"/>
              </w:rPr>
              <w:t>（</w:t>
            </w:r>
            <w:r>
              <w:rPr>
                <w:rFonts w:hint="eastAsia" w:ascii="宋体" w:hAnsi="宋体" w:cs="宋体"/>
                <w:sz w:val="22"/>
                <w:szCs w:val="22"/>
                <w:highlight w:val="none"/>
                <w:lang w:val="en-US" w:eastAsia="zh-CN"/>
              </w:rPr>
              <w:t>5</w:t>
            </w:r>
            <w:r>
              <w:rPr>
                <w:rFonts w:hint="eastAsia" w:ascii="宋体" w:hAnsi="宋体" w:eastAsia="宋体" w:cs="宋体"/>
                <w:sz w:val="22"/>
                <w:szCs w:val="22"/>
                <w:highlight w:val="none"/>
              </w:rPr>
              <w:t>分）</w:t>
            </w:r>
          </w:p>
        </w:tc>
        <w:tc>
          <w:tcPr>
            <w:tcW w:w="7170" w:type="dxa"/>
            <w:shd w:val="clear" w:color="auto" w:fill="auto"/>
            <w:noWrap w:val="0"/>
            <w:vAlign w:val="center"/>
          </w:tcPr>
          <w:p w14:paraId="35981DF4">
            <w:pPr>
              <w:numPr>
                <w:ilvl w:val="0"/>
                <w:numId w:val="0"/>
              </w:num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根据①风险防控管理措施；②风险预控措施；③风险控制要点定位；④各阶段风险控制措施；⑤应急措施 进行打分；</w:t>
            </w:r>
          </w:p>
          <w:p w14:paraId="3EAC6548">
            <w:pPr>
              <w:numPr>
                <w:ilvl w:val="0"/>
                <w:numId w:val="0"/>
              </w:numPr>
              <w:spacing w:line="420" w:lineRule="exact"/>
              <w:jc w:val="left"/>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1.本项方案内容全面覆盖上述要求，风险防控管理措施齐全，风险预控符合规范要求，风险控制要点定位准确，各阶段风险控制及应急措施得力的得5分；</w:t>
            </w:r>
          </w:p>
          <w:p w14:paraId="5C530B51">
            <w:pPr>
              <w:numPr>
                <w:ilvl w:val="0"/>
                <w:numId w:val="0"/>
              </w:num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2、本项方案内容无漏项但方案存在缺陷的，得3分；</w:t>
            </w:r>
          </w:p>
          <w:p w14:paraId="247B5ED3">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3、方案内容存在不符合项目需求的，或方案有漏项的，得1分；</w:t>
            </w:r>
          </w:p>
          <w:p w14:paraId="0283DDF9">
            <w:pPr>
              <w:spacing w:line="420" w:lineRule="exact"/>
              <w:jc w:val="left"/>
              <w:rPr>
                <w:rFonts w:hint="eastAsia" w:ascii="宋体" w:hAnsi="宋体" w:eastAsia="宋体" w:cs="宋体"/>
                <w:kern w:val="2"/>
                <w:sz w:val="22"/>
                <w:szCs w:val="22"/>
                <w:highlight w:val="none"/>
                <w:lang w:val="en-US" w:eastAsia="en-US" w:bidi="ar-SA"/>
              </w:rPr>
            </w:pPr>
            <w:r>
              <w:rPr>
                <w:rFonts w:hint="eastAsia" w:ascii="宋体" w:hAnsi="宋体" w:eastAsia="宋体" w:cs="宋体"/>
                <w:kern w:val="2"/>
                <w:sz w:val="22"/>
                <w:szCs w:val="22"/>
                <w:highlight w:val="none"/>
                <w:lang w:val="en-US" w:eastAsia="zh-CN" w:bidi="ar-SA"/>
              </w:rPr>
              <w:t>4、</w:t>
            </w:r>
            <w:r>
              <w:rPr>
                <w:rFonts w:hint="eastAsia" w:ascii="宋体" w:hAnsi="宋体" w:eastAsia="宋体" w:cs="宋体"/>
                <w:kern w:val="2"/>
                <w:sz w:val="22"/>
                <w:szCs w:val="22"/>
                <w:highlight w:val="none"/>
                <w:lang w:val="en-US" w:eastAsia="en-US" w:bidi="ar-SA"/>
              </w:rPr>
              <w:t>未提供方案，得0分。</w:t>
            </w:r>
          </w:p>
          <w:p w14:paraId="64DCEE5A">
            <w:pPr>
              <w:numPr>
                <w:ilvl w:val="0"/>
                <w:numId w:val="0"/>
              </w:numPr>
              <w:tabs>
                <w:tab w:val="left" w:pos="9720"/>
              </w:tabs>
              <w:autoSpaceDE w:val="0"/>
              <w:autoSpaceDN w:val="0"/>
              <w:adjustRightInd w:val="0"/>
              <w:spacing w:line="360" w:lineRule="exact"/>
              <w:ind w:leftChars="0" w:right="-36" w:rightChars="-17"/>
              <w:jc w:val="left"/>
              <w:rPr>
                <w:rFonts w:hint="eastAsia" w:ascii="宋体" w:hAnsi="宋体" w:eastAsia="宋体" w:cs="宋体"/>
                <w:b/>
                <w:bCs/>
                <w:kern w:val="2"/>
                <w:sz w:val="22"/>
                <w:szCs w:val="22"/>
                <w:highlight w:val="none"/>
                <w:lang w:val="en-US" w:eastAsia="en-US" w:bidi="ar-SA"/>
              </w:rPr>
            </w:pPr>
            <w:r>
              <w:rPr>
                <w:rFonts w:hint="eastAsia" w:ascii="宋体" w:hAnsi="宋体" w:eastAsia="宋体" w:cs="宋体"/>
                <w:b/>
                <w:bCs/>
                <w:kern w:val="2"/>
                <w:sz w:val="22"/>
                <w:szCs w:val="22"/>
                <w:highlight w:val="none"/>
                <w:lang w:val="en-US" w:eastAsia="en-US" w:bidi="ar-SA"/>
              </w:rPr>
              <w:t>注:</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缺陷</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方案内容与项目需求不一致</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存在相互矛盾内容</w:t>
            </w:r>
            <w:r>
              <w:rPr>
                <w:rFonts w:hint="eastAsia" w:ascii="宋体" w:hAnsi="宋体" w:eastAsia="宋体" w:cs="宋体"/>
                <w:b/>
                <w:bCs/>
                <w:kern w:val="2"/>
                <w:sz w:val="22"/>
                <w:szCs w:val="22"/>
                <w:highlight w:val="none"/>
                <w:lang w:val="en-US" w:eastAsia="zh-CN" w:bidi="ar-SA"/>
              </w:rPr>
              <w:t xml:space="preserve"> c单项内容仅有框架标题 d复制招标文件内容的要求 e内容中出现前后描述不一致现象或文字叙述出现错误</w:t>
            </w:r>
            <w:r>
              <w:rPr>
                <w:rFonts w:hint="eastAsia" w:ascii="宋体" w:hAnsi="宋体" w:eastAsia="宋体" w:cs="宋体"/>
                <w:b/>
                <w:bCs/>
                <w:kern w:val="2"/>
                <w:sz w:val="22"/>
                <w:szCs w:val="22"/>
                <w:highlight w:val="none"/>
                <w:lang w:val="en-US" w:eastAsia="en-US" w:bidi="ar-SA"/>
              </w:rPr>
              <w:t>。</w:t>
            </w:r>
          </w:p>
          <w:p w14:paraId="6DFFFCD6">
            <w:pPr>
              <w:spacing w:line="420" w:lineRule="exact"/>
              <w:jc w:val="left"/>
              <w:rPr>
                <w:rFonts w:hint="eastAsia" w:ascii="宋体" w:hAnsi="宋体" w:eastAsia="宋体" w:cs="宋体"/>
                <w:color w:val="auto"/>
                <w:kern w:val="2"/>
                <w:sz w:val="22"/>
                <w:szCs w:val="22"/>
                <w:highlight w:val="none"/>
                <w:u w:val="none"/>
                <w:lang w:val="en-US" w:eastAsia="zh-CN" w:bidi="ar-SA"/>
              </w:rPr>
            </w:pP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不符合项目需求</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存在与本项目执行无关的内容</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存在相关内容在实际操作中不能运用</w:t>
            </w:r>
            <w:r>
              <w:rPr>
                <w:rFonts w:hint="eastAsia" w:ascii="宋体" w:hAnsi="宋体" w:eastAsia="宋体" w:cs="宋体"/>
                <w:b/>
                <w:bCs/>
                <w:kern w:val="2"/>
                <w:sz w:val="22"/>
                <w:szCs w:val="22"/>
                <w:highlight w:val="none"/>
                <w:lang w:val="en-US" w:eastAsia="zh-CN" w:bidi="ar-SA"/>
              </w:rPr>
              <w:t xml:space="preserve"> c内容涉及适用的行业规范及标准(方法)出现错误 d实施地点区域错误，实施时间错误 e与履行合同存在差异性。</w:t>
            </w:r>
          </w:p>
        </w:tc>
        <w:tc>
          <w:tcPr>
            <w:tcW w:w="765" w:type="dxa"/>
            <w:shd w:val="clear" w:color="auto" w:fill="auto"/>
            <w:noWrap w:val="0"/>
            <w:vAlign w:val="center"/>
          </w:tcPr>
          <w:p w14:paraId="525436EC">
            <w:pPr>
              <w:spacing w:line="360" w:lineRule="auto"/>
              <w:jc w:val="center"/>
              <w:rPr>
                <w:rFonts w:hint="eastAsia" w:ascii="宋体" w:hAnsi="宋体" w:eastAsia="宋体" w:cs="宋体"/>
                <w:color w:val="auto"/>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0-5</w:t>
            </w:r>
            <w:r>
              <w:rPr>
                <w:rFonts w:hint="eastAsia" w:ascii="宋体" w:hAnsi="宋体" w:eastAsia="宋体" w:cs="宋体"/>
                <w:color w:val="auto"/>
                <w:sz w:val="22"/>
                <w:szCs w:val="22"/>
                <w:highlight w:val="none"/>
                <w:u w:val="none"/>
                <w:lang w:bidi="ar-SA"/>
              </w:rPr>
              <w:t>分</w:t>
            </w:r>
          </w:p>
        </w:tc>
      </w:tr>
      <w:tr w14:paraId="166A0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40" w:type="dxa"/>
            <w:vMerge w:val="restart"/>
            <w:noWrap w:val="0"/>
            <w:vAlign w:val="center"/>
          </w:tcPr>
          <w:p w14:paraId="3C2D7EA6">
            <w:pPr>
              <w:snapToGrid w:val="0"/>
              <w:spacing w:line="440" w:lineRule="exact"/>
              <w:jc w:val="center"/>
              <w:rPr>
                <w:rFonts w:hint="eastAsia" w:ascii="宋体" w:hAnsi="宋体" w:eastAsia="宋体" w:cs="宋体"/>
                <w:b/>
                <w:bCs/>
                <w:color w:val="auto"/>
                <w:sz w:val="22"/>
                <w:szCs w:val="22"/>
                <w:highlight w:val="none"/>
                <w:u w:val="none"/>
                <w:lang w:bidi="ar-SA"/>
              </w:rPr>
            </w:pPr>
            <w:r>
              <w:rPr>
                <w:rFonts w:hint="eastAsia" w:ascii="宋体" w:hAnsi="宋体" w:eastAsia="宋体" w:cs="宋体"/>
                <w:b/>
                <w:bCs/>
                <w:color w:val="auto"/>
                <w:kern w:val="0"/>
                <w:sz w:val="22"/>
                <w:szCs w:val="22"/>
                <w:highlight w:val="none"/>
                <w:u w:val="none"/>
                <w:lang w:val="en-US" w:eastAsia="zh-CN" w:bidi="ar-SA"/>
              </w:rPr>
              <w:t>综合标</w:t>
            </w:r>
            <w:r>
              <w:rPr>
                <w:rFonts w:hint="eastAsia" w:ascii="宋体" w:hAnsi="宋体" w:eastAsia="宋体" w:cs="宋体"/>
                <w:b/>
                <w:bCs/>
                <w:color w:val="auto"/>
                <w:kern w:val="0"/>
                <w:sz w:val="22"/>
                <w:szCs w:val="22"/>
                <w:highlight w:val="none"/>
                <w:u w:val="none"/>
                <w:lang w:bidi="ar-SA"/>
              </w:rPr>
              <w:t>（</w:t>
            </w:r>
            <w:r>
              <w:rPr>
                <w:rFonts w:hint="eastAsia" w:ascii="宋体" w:hAnsi="宋体" w:eastAsia="宋体" w:cs="宋体"/>
                <w:b/>
                <w:bCs/>
                <w:color w:val="auto"/>
                <w:kern w:val="0"/>
                <w:sz w:val="22"/>
                <w:szCs w:val="22"/>
                <w:highlight w:val="none"/>
                <w:u w:val="none"/>
                <w:lang w:val="en-US" w:eastAsia="zh-CN" w:bidi="ar-SA"/>
              </w:rPr>
              <w:t>20</w:t>
            </w:r>
            <w:r>
              <w:rPr>
                <w:rFonts w:hint="eastAsia" w:ascii="宋体" w:hAnsi="宋体" w:eastAsia="宋体" w:cs="宋体"/>
                <w:b/>
                <w:bCs/>
                <w:color w:val="auto"/>
                <w:kern w:val="0"/>
                <w:sz w:val="22"/>
                <w:szCs w:val="22"/>
                <w:highlight w:val="none"/>
                <w:u w:val="none"/>
                <w:lang w:bidi="ar-SA"/>
              </w:rPr>
              <w:t>分）</w:t>
            </w:r>
          </w:p>
        </w:tc>
        <w:tc>
          <w:tcPr>
            <w:tcW w:w="1125" w:type="dxa"/>
            <w:noWrap w:val="0"/>
            <w:vAlign w:val="center"/>
          </w:tcPr>
          <w:p w14:paraId="0042E068">
            <w:pPr>
              <w:widowControl/>
              <w:shd w:val="clear" w:color="auto" w:fill="FFFFFF"/>
              <w:spacing w:line="360" w:lineRule="auto"/>
              <w:jc w:val="center"/>
              <w:rPr>
                <w:rFonts w:hint="eastAsia" w:ascii="宋体" w:hAnsi="宋体" w:eastAsia="宋体" w:cs="宋体"/>
                <w:bCs/>
                <w:color w:val="auto"/>
                <w:kern w:val="0"/>
                <w:sz w:val="22"/>
                <w:szCs w:val="22"/>
                <w:highlight w:val="none"/>
                <w:u w:val="none"/>
                <w:lang w:bidi="ar-SA"/>
              </w:rPr>
            </w:pPr>
            <w:r>
              <w:rPr>
                <w:rFonts w:hint="eastAsia" w:ascii="宋体" w:hAnsi="宋体" w:eastAsia="宋体" w:cs="宋体"/>
                <w:bCs/>
                <w:color w:val="auto"/>
                <w:kern w:val="0"/>
                <w:sz w:val="22"/>
                <w:szCs w:val="22"/>
                <w:highlight w:val="none"/>
                <w:u w:val="none"/>
                <w:lang w:bidi="ar-SA"/>
              </w:rPr>
              <w:t>企业业绩</w:t>
            </w:r>
          </w:p>
          <w:p w14:paraId="3ED053B4">
            <w:pPr>
              <w:widowControl/>
              <w:shd w:val="clear" w:color="auto" w:fill="FFFFFF"/>
              <w:spacing w:line="360" w:lineRule="auto"/>
              <w:jc w:val="center"/>
              <w:rPr>
                <w:rFonts w:hint="eastAsia" w:ascii="宋体" w:hAnsi="宋体" w:eastAsia="宋体" w:cs="宋体"/>
                <w:bCs/>
                <w:color w:val="auto"/>
                <w:kern w:val="0"/>
                <w:sz w:val="22"/>
                <w:szCs w:val="22"/>
                <w:highlight w:val="none"/>
                <w:u w:val="none"/>
                <w:lang w:eastAsia="zh-CN" w:bidi="ar-SA"/>
              </w:rPr>
            </w:pPr>
            <w:r>
              <w:rPr>
                <w:rFonts w:hint="eastAsia" w:ascii="宋体" w:hAnsi="宋体" w:eastAsia="宋体" w:cs="宋体"/>
                <w:bCs/>
                <w:color w:val="auto"/>
                <w:kern w:val="0"/>
                <w:sz w:val="22"/>
                <w:szCs w:val="22"/>
                <w:highlight w:val="none"/>
                <w:u w:val="none"/>
                <w:lang w:eastAsia="zh-CN" w:bidi="ar-SA"/>
              </w:rPr>
              <w:t>（</w:t>
            </w:r>
            <w:r>
              <w:rPr>
                <w:rFonts w:hint="eastAsia" w:ascii="宋体" w:hAnsi="宋体" w:eastAsia="宋体" w:cs="宋体"/>
                <w:bCs/>
                <w:color w:val="auto"/>
                <w:kern w:val="0"/>
                <w:sz w:val="22"/>
                <w:szCs w:val="22"/>
                <w:highlight w:val="none"/>
                <w:u w:val="none"/>
                <w:lang w:val="en-US" w:eastAsia="zh-CN" w:bidi="ar-SA"/>
              </w:rPr>
              <w:t>6分</w:t>
            </w:r>
            <w:r>
              <w:rPr>
                <w:rFonts w:hint="eastAsia" w:ascii="宋体" w:hAnsi="宋体" w:eastAsia="宋体" w:cs="宋体"/>
                <w:bCs/>
                <w:color w:val="auto"/>
                <w:kern w:val="0"/>
                <w:sz w:val="22"/>
                <w:szCs w:val="22"/>
                <w:highlight w:val="none"/>
                <w:u w:val="none"/>
                <w:lang w:eastAsia="zh-CN" w:bidi="ar-SA"/>
              </w:rPr>
              <w:t>）</w:t>
            </w:r>
          </w:p>
        </w:tc>
        <w:tc>
          <w:tcPr>
            <w:tcW w:w="7170" w:type="dxa"/>
            <w:noWrap w:val="0"/>
            <w:vAlign w:val="top"/>
          </w:tcPr>
          <w:p w14:paraId="7158D919">
            <w:pPr>
              <w:spacing w:line="360" w:lineRule="auto"/>
              <w:rPr>
                <w:rFonts w:hint="default" w:ascii="宋体" w:hAnsi="宋体" w:eastAsia="宋体" w:cs="宋体"/>
                <w:color w:val="auto"/>
                <w:sz w:val="22"/>
                <w:szCs w:val="22"/>
                <w:highlight w:val="none"/>
                <w:u w:val="none"/>
                <w:lang w:val="en-US" w:eastAsia="zh-CN" w:bidi="ar-SA"/>
              </w:rPr>
            </w:pPr>
            <w:r>
              <w:rPr>
                <w:rFonts w:hint="default" w:ascii="宋体" w:hAnsi="宋体" w:eastAsia="宋体" w:cs="宋体"/>
                <w:color w:val="auto"/>
                <w:sz w:val="22"/>
                <w:szCs w:val="22"/>
                <w:highlight w:val="none"/>
                <w:u w:val="none"/>
                <w:lang w:val="en-US" w:eastAsia="zh-CN" w:bidi="ar-SA"/>
              </w:rPr>
              <w:t>自202</w:t>
            </w:r>
            <w:r>
              <w:rPr>
                <w:rFonts w:hint="eastAsia" w:ascii="宋体" w:hAnsi="宋体" w:eastAsia="宋体" w:cs="宋体"/>
                <w:color w:val="auto"/>
                <w:sz w:val="22"/>
                <w:szCs w:val="22"/>
                <w:highlight w:val="none"/>
                <w:u w:val="none"/>
                <w:lang w:val="en-US" w:eastAsia="zh-CN" w:bidi="ar-SA"/>
              </w:rPr>
              <w:t>3</w:t>
            </w:r>
            <w:r>
              <w:rPr>
                <w:rFonts w:hint="default" w:ascii="宋体" w:hAnsi="宋体" w:eastAsia="宋体" w:cs="宋体"/>
                <w:color w:val="auto"/>
                <w:sz w:val="22"/>
                <w:szCs w:val="22"/>
                <w:highlight w:val="none"/>
                <w:u w:val="none"/>
                <w:lang w:val="en-US" w:eastAsia="zh-CN" w:bidi="ar-SA"/>
              </w:rPr>
              <w:t>年1月1日至今完成的类似项目业绩（以合同协议书签订日期为准），</w:t>
            </w:r>
            <w:r>
              <w:rPr>
                <w:rFonts w:hint="eastAsia" w:ascii="宋体" w:hAnsi="宋体" w:eastAsia="宋体" w:cs="宋体"/>
                <w:color w:val="auto"/>
                <w:sz w:val="22"/>
                <w:szCs w:val="22"/>
                <w:highlight w:val="none"/>
                <w:u w:val="none"/>
                <w:lang w:val="en-US" w:eastAsia="zh-CN" w:bidi="ar-SA"/>
              </w:rPr>
              <w:t>提供</w:t>
            </w:r>
            <w:r>
              <w:rPr>
                <w:rFonts w:hint="default" w:ascii="宋体" w:hAnsi="宋体" w:eastAsia="宋体" w:cs="宋体"/>
                <w:color w:val="auto"/>
                <w:sz w:val="22"/>
                <w:szCs w:val="22"/>
                <w:highlight w:val="none"/>
                <w:u w:val="none"/>
                <w:lang w:val="en-US" w:eastAsia="zh-CN" w:bidi="ar-SA"/>
              </w:rPr>
              <w:t>合同协议书及中标通知书，每提供一份得</w:t>
            </w:r>
            <w:r>
              <w:rPr>
                <w:rFonts w:hint="eastAsia" w:ascii="宋体" w:hAnsi="宋体" w:eastAsia="宋体" w:cs="宋体"/>
                <w:color w:val="auto"/>
                <w:sz w:val="22"/>
                <w:szCs w:val="22"/>
                <w:highlight w:val="none"/>
                <w:u w:val="none"/>
                <w:lang w:val="en-US" w:eastAsia="zh-CN" w:bidi="ar-SA"/>
              </w:rPr>
              <w:t>2</w:t>
            </w:r>
            <w:r>
              <w:rPr>
                <w:rFonts w:hint="default" w:ascii="宋体" w:hAnsi="宋体" w:eastAsia="宋体" w:cs="宋体"/>
                <w:color w:val="auto"/>
                <w:sz w:val="22"/>
                <w:szCs w:val="22"/>
                <w:highlight w:val="none"/>
                <w:u w:val="none"/>
                <w:lang w:val="en-US" w:eastAsia="zh-CN" w:bidi="ar-SA"/>
              </w:rPr>
              <w:t>分，最多得</w:t>
            </w:r>
            <w:r>
              <w:rPr>
                <w:rFonts w:hint="eastAsia" w:ascii="宋体" w:hAnsi="宋体" w:eastAsia="宋体" w:cs="宋体"/>
                <w:color w:val="auto"/>
                <w:sz w:val="22"/>
                <w:szCs w:val="22"/>
                <w:highlight w:val="none"/>
                <w:u w:val="none"/>
                <w:lang w:val="en-US" w:eastAsia="zh-CN" w:bidi="ar-SA"/>
              </w:rPr>
              <w:t>6</w:t>
            </w:r>
            <w:r>
              <w:rPr>
                <w:rFonts w:hint="default" w:ascii="宋体" w:hAnsi="宋体" w:eastAsia="宋体" w:cs="宋体"/>
                <w:color w:val="auto"/>
                <w:sz w:val="22"/>
                <w:szCs w:val="22"/>
                <w:highlight w:val="none"/>
                <w:u w:val="none"/>
                <w:lang w:val="en-US" w:eastAsia="zh-CN" w:bidi="ar-SA"/>
              </w:rPr>
              <w:t>分，未提供者不得分。</w:t>
            </w:r>
          </w:p>
          <w:p w14:paraId="0E96651E">
            <w:pPr>
              <w:spacing w:line="360" w:lineRule="auto"/>
              <w:rPr>
                <w:rFonts w:hint="default" w:ascii="宋体" w:hAnsi="宋体" w:eastAsia="宋体" w:cs="宋体"/>
                <w:color w:val="auto"/>
                <w:sz w:val="22"/>
                <w:szCs w:val="22"/>
                <w:highlight w:val="none"/>
                <w:u w:val="none"/>
                <w:lang w:val="en-US" w:eastAsia="zh-CN" w:bidi="ar-SA"/>
              </w:rPr>
            </w:pPr>
            <w:r>
              <w:rPr>
                <w:rFonts w:hint="default" w:ascii="宋体" w:hAnsi="宋体" w:eastAsia="宋体" w:cs="宋体"/>
                <w:color w:val="auto"/>
                <w:sz w:val="22"/>
                <w:szCs w:val="22"/>
                <w:highlight w:val="none"/>
                <w:u w:val="none"/>
                <w:lang w:val="en-US" w:eastAsia="zh-CN" w:bidi="ar-SA"/>
              </w:rPr>
              <w:t>注：以</w:t>
            </w:r>
            <w:r>
              <w:rPr>
                <w:rFonts w:hint="eastAsia" w:ascii="宋体" w:hAnsi="宋体" w:eastAsia="宋体" w:cs="宋体"/>
                <w:kern w:val="2"/>
                <w:sz w:val="22"/>
                <w:szCs w:val="22"/>
                <w:highlight w:val="none"/>
                <w:lang w:val="en-US" w:eastAsia="zh-CN" w:bidi="ar-SA"/>
              </w:rPr>
              <w:t>响应</w:t>
            </w:r>
            <w:r>
              <w:rPr>
                <w:rFonts w:hint="default" w:ascii="宋体" w:hAnsi="宋体" w:eastAsia="宋体" w:cs="宋体"/>
                <w:color w:val="auto"/>
                <w:sz w:val="22"/>
                <w:szCs w:val="22"/>
                <w:highlight w:val="none"/>
                <w:u w:val="none"/>
                <w:lang w:val="en-US" w:eastAsia="zh-CN" w:bidi="ar-SA"/>
              </w:rPr>
              <w:t>文件中附的合同协议书</w:t>
            </w:r>
            <w:r>
              <w:rPr>
                <w:rFonts w:hint="eastAsia" w:ascii="宋体" w:hAnsi="宋体" w:eastAsia="宋体" w:cs="宋体"/>
                <w:color w:val="auto"/>
                <w:sz w:val="22"/>
                <w:szCs w:val="22"/>
                <w:highlight w:val="none"/>
                <w:u w:val="none"/>
                <w:lang w:val="en-US" w:eastAsia="zh-CN" w:bidi="ar-SA"/>
              </w:rPr>
              <w:t>和</w:t>
            </w:r>
            <w:r>
              <w:rPr>
                <w:rFonts w:hint="default" w:ascii="宋体" w:hAnsi="宋体" w:eastAsia="宋体" w:cs="宋体"/>
                <w:color w:val="auto"/>
                <w:sz w:val="22"/>
                <w:szCs w:val="22"/>
                <w:highlight w:val="none"/>
                <w:u w:val="none"/>
                <w:lang w:val="en-US" w:eastAsia="zh-CN" w:bidi="ar-SA"/>
              </w:rPr>
              <w:t>中标通知书扫描件为准，否则不得分。</w:t>
            </w:r>
          </w:p>
        </w:tc>
        <w:tc>
          <w:tcPr>
            <w:tcW w:w="765" w:type="dxa"/>
            <w:noWrap w:val="0"/>
            <w:vAlign w:val="center"/>
          </w:tcPr>
          <w:p w14:paraId="4D70A0FC">
            <w:pPr>
              <w:snapToGrid w:val="0"/>
              <w:spacing w:line="440" w:lineRule="exact"/>
              <w:jc w:val="center"/>
              <w:rPr>
                <w:rFonts w:hint="eastAsia" w:ascii="宋体" w:hAnsi="宋体" w:eastAsia="宋体" w:cs="宋体"/>
                <w:color w:val="auto"/>
                <w:sz w:val="22"/>
                <w:szCs w:val="22"/>
                <w:highlight w:val="none"/>
                <w:u w:val="none"/>
                <w:lang w:bidi="ar-SA"/>
              </w:rPr>
            </w:pPr>
            <w:r>
              <w:rPr>
                <w:rFonts w:hint="eastAsia" w:ascii="宋体" w:hAnsi="宋体" w:eastAsia="宋体" w:cs="宋体"/>
                <w:color w:val="auto"/>
                <w:sz w:val="22"/>
                <w:szCs w:val="22"/>
                <w:highlight w:val="none"/>
                <w:u w:val="none"/>
                <w:lang w:val="en-US" w:eastAsia="zh-CN" w:bidi="ar-SA"/>
              </w:rPr>
              <w:t>0-6</w:t>
            </w:r>
            <w:r>
              <w:rPr>
                <w:rFonts w:hint="eastAsia" w:ascii="宋体" w:hAnsi="宋体" w:eastAsia="宋体" w:cs="宋体"/>
                <w:color w:val="auto"/>
                <w:sz w:val="22"/>
                <w:szCs w:val="22"/>
                <w:highlight w:val="none"/>
                <w:u w:val="none"/>
                <w:lang w:bidi="ar-SA"/>
              </w:rPr>
              <w:t>分</w:t>
            </w:r>
          </w:p>
        </w:tc>
      </w:tr>
      <w:tr w14:paraId="2EA00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140" w:type="dxa"/>
            <w:vMerge w:val="continue"/>
            <w:noWrap w:val="0"/>
            <w:vAlign w:val="center"/>
          </w:tcPr>
          <w:p w14:paraId="719F8FF6">
            <w:pPr>
              <w:rPr>
                <w:rFonts w:hint="eastAsia" w:ascii="宋体" w:hAnsi="宋体" w:eastAsia="宋体" w:cs="宋体"/>
                <w:color w:val="auto"/>
                <w:sz w:val="22"/>
                <w:szCs w:val="22"/>
                <w:highlight w:val="none"/>
                <w:u w:val="none"/>
              </w:rPr>
            </w:pPr>
          </w:p>
        </w:tc>
        <w:tc>
          <w:tcPr>
            <w:tcW w:w="1125" w:type="dxa"/>
            <w:noWrap w:val="0"/>
            <w:vAlign w:val="center"/>
          </w:tcPr>
          <w:p w14:paraId="75166C35">
            <w:pPr>
              <w:spacing w:line="440" w:lineRule="exact"/>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项目经理业绩</w:t>
            </w:r>
          </w:p>
          <w:p w14:paraId="255EC20C">
            <w:pPr>
              <w:spacing w:line="440" w:lineRule="exact"/>
              <w:jc w:val="center"/>
              <w:rPr>
                <w:rFonts w:hint="eastAsia" w:ascii="宋体" w:hAnsi="宋体" w:eastAsia="宋体" w:cs="宋体"/>
                <w:color w:val="auto"/>
                <w:sz w:val="22"/>
                <w:szCs w:val="22"/>
                <w:highlight w:val="none"/>
                <w:u w:val="none"/>
                <w:lang w:bidi="ar-SA"/>
              </w:rPr>
            </w:pPr>
            <w:r>
              <w:rPr>
                <w:rFonts w:hint="eastAsia" w:asciiTheme="minorEastAsia" w:hAnsiTheme="minorEastAsia" w:eastAsiaTheme="minorEastAsia" w:cstheme="minorEastAsia"/>
                <w:color w:val="auto"/>
                <w:sz w:val="22"/>
                <w:szCs w:val="22"/>
                <w:highlight w:val="none"/>
                <w:lang w:val="en-US" w:eastAsia="zh-CN"/>
              </w:rPr>
              <w:t>（4分）</w:t>
            </w:r>
          </w:p>
        </w:tc>
        <w:tc>
          <w:tcPr>
            <w:tcW w:w="7170" w:type="dxa"/>
            <w:noWrap w:val="0"/>
            <w:vAlign w:val="center"/>
          </w:tcPr>
          <w:p w14:paraId="6CD52A4B">
            <w:pPr>
              <w:spacing w:line="4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项目经理</w:t>
            </w:r>
            <w:r>
              <w:rPr>
                <w:rFonts w:hint="eastAsia" w:asciiTheme="minorEastAsia" w:hAnsiTheme="minorEastAsia" w:eastAsiaTheme="minorEastAsia" w:cstheme="minorEastAsia"/>
                <w:color w:val="auto"/>
                <w:sz w:val="22"/>
                <w:szCs w:val="22"/>
                <w:highlight w:val="none"/>
              </w:rPr>
              <w:t>自</w:t>
            </w:r>
            <w:r>
              <w:rPr>
                <w:rFonts w:hint="eastAsia" w:asciiTheme="minorEastAsia" w:hAnsiTheme="minorEastAsia" w:eastAsiaTheme="minorEastAsia" w:cstheme="minorEastAsia"/>
                <w:color w:val="auto"/>
                <w:sz w:val="22"/>
                <w:szCs w:val="22"/>
                <w:highlight w:val="none"/>
                <w:lang w:val="en-US" w:eastAsia="zh-CN"/>
              </w:rPr>
              <w:t>2023年1月1日</w:t>
            </w:r>
            <w:r>
              <w:rPr>
                <w:rFonts w:hint="eastAsia" w:asciiTheme="minorEastAsia" w:hAnsiTheme="minorEastAsia" w:eastAsiaTheme="minorEastAsia" w:cstheme="minorEastAsia"/>
                <w:color w:val="auto"/>
                <w:sz w:val="22"/>
                <w:szCs w:val="22"/>
                <w:highlight w:val="none"/>
              </w:rPr>
              <w:t>以来</w:t>
            </w:r>
            <w:r>
              <w:rPr>
                <w:rFonts w:hint="default" w:ascii="宋体" w:hAnsi="宋体" w:eastAsia="宋体" w:cs="宋体"/>
                <w:color w:val="auto"/>
                <w:sz w:val="22"/>
                <w:szCs w:val="22"/>
                <w:highlight w:val="none"/>
                <w:u w:val="none"/>
                <w:lang w:val="en-US" w:eastAsia="zh-CN" w:bidi="ar-SA"/>
              </w:rPr>
              <w:t>类似项目业绩（以合同协议书签订日期为准）</w:t>
            </w:r>
            <w:r>
              <w:rPr>
                <w:rFonts w:hint="eastAsia" w:asciiTheme="minorEastAsia" w:hAnsiTheme="minorEastAsia" w:eastAsiaTheme="minorEastAsia" w:cstheme="minorEastAsia"/>
                <w:color w:val="auto"/>
                <w:sz w:val="22"/>
                <w:szCs w:val="22"/>
                <w:highlight w:val="none"/>
              </w:rPr>
              <w:t>，每份得</w:t>
            </w:r>
            <w:r>
              <w:rPr>
                <w:rFonts w:hint="eastAsia" w:asciiTheme="minorEastAsia" w:hAnsiTheme="minorEastAsia" w:eastAsiaTheme="minorEastAsia" w:cstheme="minorEastAsia"/>
                <w:color w:val="auto"/>
                <w:sz w:val="22"/>
                <w:szCs w:val="22"/>
                <w:highlight w:val="none"/>
                <w:lang w:val="en-US" w:eastAsia="zh-CN"/>
              </w:rPr>
              <w:t>2</w:t>
            </w:r>
            <w:r>
              <w:rPr>
                <w:rFonts w:hint="eastAsia" w:asciiTheme="minorEastAsia" w:hAnsiTheme="minorEastAsia" w:eastAsiaTheme="minorEastAsia" w:cstheme="minorEastAsia"/>
                <w:color w:val="auto"/>
                <w:sz w:val="22"/>
                <w:szCs w:val="22"/>
                <w:highlight w:val="none"/>
              </w:rPr>
              <w:t>分。最多得</w:t>
            </w:r>
            <w:r>
              <w:rPr>
                <w:rFonts w:hint="eastAsia" w:asciiTheme="minorEastAsia" w:hAnsiTheme="minorEastAsia" w:eastAsiaTheme="minorEastAsia" w:cstheme="minorEastAsia"/>
                <w:color w:val="auto"/>
                <w:sz w:val="22"/>
                <w:szCs w:val="22"/>
                <w:highlight w:val="none"/>
                <w:lang w:val="en-US" w:eastAsia="zh-CN"/>
              </w:rPr>
              <w:t>4</w:t>
            </w:r>
            <w:r>
              <w:rPr>
                <w:rFonts w:hint="eastAsia" w:asciiTheme="minorEastAsia" w:hAnsiTheme="minorEastAsia" w:eastAsiaTheme="minorEastAsia" w:cstheme="minorEastAsia"/>
                <w:color w:val="auto"/>
                <w:sz w:val="22"/>
                <w:szCs w:val="22"/>
                <w:highlight w:val="none"/>
              </w:rPr>
              <w:t>分。</w:t>
            </w:r>
          </w:p>
          <w:p w14:paraId="3F21DBCF">
            <w:pPr>
              <w:spacing w:line="440" w:lineRule="exact"/>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注：1.以响应文件中附的合同协议书和中标通知书扫描件为准。</w:t>
            </w:r>
          </w:p>
          <w:p w14:paraId="54517840">
            <w:pPr>
              <w:rPr>
                <w:rFonts w:hint="default"/>
                <w:b/>
                <w:bCs w:val="0"/>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2.企业业绩与项目经理业绩相同时不可同时得分。</w:t>
            </w:r>
          </w:p>
        </w:tc>
        <w:tc>
          <w:tcPr>
            <w:tcW w:w="765" w:type="dxa"/>
            <w:noWrap w:val="0"/>
            <w:vAlign w:val="center"/>
          </w:tcPr>
          <w:p w14:paraId="508FFE70">
            <w:pPr>
              <w:snapToGrid w:val="0"/>
              <w:spacing w:line="440" w:lineRule="exact"/>
              <w:jc w:val="center"/>
              <w:rPr>
                <w:rFonts w:hint="eastAsia" w:ascii="宋体" w:hAnsi="宋体" w:eastAsia="宋体" w:cs="宋体"/>
                <w:color w:val="auto"/>
                <w:sz w:val="22"/>
                <w:szCs w:val="22"/>
                <w:highlight w:val="none"/>
                <w:u w:val="none"/>
                <w:lang w:bidi="ar-SA"/>
              </w:rPr>
            </w:pPr>
            <w:r>
              <w:rPr>
                <w:rFonts w:hint="eastAsia" w:ascii="宋体" w:hAnsi="宋体" w:eastAsia="宋体" w:cs="宋体"/>
                <w:color w:val="auto"/>
                <w:sz w:val="22"/>
                <w:szCs w:val="22"/>
                <w:highlight w:val="none"/>
                <w:u w:val="none"/>
                <w:lang w:val="en-US" w:eastAsia="zh-CN" w:bidi="ar-SA"/>
              </w:rPr>
              <w:t>0-4</w:t>
            </w:r>
            <w:r>
              <w:rPr>
                <w:rFonts w:hint="eastAsia" w:ascii="宋体" w:hAnsi="宋体" w:eastAsia="宋体" w:cs="宋体"/>
                <w:color w:val="auto"/>
                <w:sz w:val="22"/>
                <w:szCs w:val="22"/>
                <w:highlight w:val="none"/>
                <w:u w:val="none"/>
                <w:lang w:bidi="ar-SA"/>
              </w:rPr>
              <w:t>分</w:t>
            </w:r>
          </w:p>
        </w:tc>
      </w:tr>
      <w:tr w14:paraId="52A54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140" w:type="dxa"/>
            <w:vMerge w:val="continue"/>
            <w:noWrap w:val="0"/>
            <w:vAlign w:val="center"/>
          </w:tcPr>
          <w:p w14:paraId="27AB9B4E">
            <w:pPr>
              <w:rPr>
                <w:rFonts w:hint="eastAsia" w:ascii="宋体" w:hAnsi="宋体" w:eastAsia="宋体" w:cs="宋体"/>
                <w:color w:val="auto"/>
                <w:sz w:val="22"/>
                <w:szCs w:val="22"/>
                <w:highlight w:val="none"/>
                <w:u w:val="none"/>
              </w:rPr>
            </w:pPr>
          </w:p>
        </w:tc>
        <w:tc>
          <w:tcPr>
            <w:tcW w:w="1125" w:type="dxa"/>
            <w:noWrap w:val="0"/>
            <w:vAlign w:val="center"/>
          </w:tcPr>
          <w:p w14:paraId="10B9584E">
            <w:pPr>
              <w:spacing w:line="260" w:lineRule="exact"/>
              <w:jc w:val="center"/>
              <w:rPr>
                <w:rFonts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履职尽责承诺</w:t>
            </w:r>
          </w:p>
          <w:p w14:paraId="0F43FB81">
            <w:pPr>
              <w:spacing w:line="440" w:lineRule="exact"/>
              <w:jc w:val="center"/>
              <w:rPr>
                <w:rFonts w:hint="eastAsia" w:ascii="宋体" w:hAnsi="宋体" w:cs="宋体"/>
                <w:kern w:val="0"/>
                <w:sz w:val="22"/>
                <w:szCs w:val="22"/>
                <w:highlight w:val="none"/>
                <w:lang w:val="en-US" w:eastAsia="zh-CN"/>
              </w:rPr>
            </w:pPr>
            <w:r>
              <w:rPr>
                <w:rFonts w:hint="eastAsia" w:ascii="宋体" w:hAnsi="宋体" w:eastAsia="宋体" w:cs="宋体"/>
                <w:b w:val="0"/>
                <w:bCs w:val="0"/>
                <w:sz w:val="22"/>
                <w:szCs w:val="22"/>
                <w:highlight w:val="none"/>
              </w:rPr>
              <w:t>（</w:t>
            </w:r>
            <w:r>
              <w:rPr>
                <w:rFonts w:hint="eastAsia" w:ascii="宋体" w:hAnsi="宋体" w:cs="宋体"/>
                <w:b w:val="0"/>
                <w:bCs w:val="0"/>
                <w:sz w:val="22"/>
                <w:szCs w:val="22"/>
                <w:highlight w:val="none"/>
                <w:lang w:val="en-US" w:eastAsia="zh-CN"/>
              </w:rPr>
              <w:t>5</w:t>
            </w:r>
            <w:r>
              <w:rPr>
                <w:rFonts w:hint="eastAsia" w:ascii="宋体" w:hAnsi="宋体" w:eastAsia="宋体" w:cs="宋体"/>
                <w:b w:val="0"/>
                <w:bCs w:val="0"/>
                <w:sz w:val="22"/>
                <w:szCs w:val="22"/>
                <w:highlight w:val="none"/>
              </w:rPr>
              <w:t>分）</w:t>
            </w:r>
          </w:p>
        </w:tc>
        <w:tc>
          <w:tcPr>
            <w:tcW w:w="7170" w:type="dxa"/>
            <w:noWrap w:val="0"/>
            <w:vAlign w:val="center"/>
          </w:tcPr>
          <w:p w14:paraId="7B9583EB">
            <w:pPr>
              <w:spacing w:line="360" w:lineRule="auto"/>
              <w:rPr>
                <w:rFonts w:hint="default" w:ascii="宋体" w:hAnsi="宋体" w:eastAsia="宋体" w:cs="宋体"/>
                <w:color w:val="auto"/>
                <w:sz w:val="22"/>
                <w:szCs w:val="22"/>
                <w:highlight w:val="none"/>
                <w:u w:val="none"/>
                <w:lang w:val="en-US" w:eastAsia="zh-CN" w:bidi="ar-SA"/>
              </w:rPr>
            </w:pPr>
            <w:r>
              <w:rPr>
                <w:rFonts w:hint="eastAsia" w:ascii="宋体" w:hAnsi="宋体" w:eastAsia="宋体" w:cs="宋体"/>
                <w:sz w:val="22"/>
                <w:szCs w:val="22"/>
                <w:highlight w:val="none"/>
                <w:lang w:val="en-US" w:eastAsia="zh-CN"/>
              </w:rPr>
              <w:t>根据供应商的履职尽责承诺①技术措施落实到位的承诺；②措施落实不到位对应的处置、追责承诺；③项目关键岗位人员履职及人员管理承诺；④</w:t>
            </w:r>
            <w:r>
              <w:rPr>
                <w:rFonts w:hint="eastAsia" w:ascii="宋体" w:hAnsi="宋体" w:eastAsia="宋体" w:cs="宋体"/>
                <w:color w:val="auto"/>
                <w:sz w:val="22"/>
                <w:szCs w:val="22"/>
                <w:highlight w:val="none"/>
                <w:u w:val="none"/>
                <w:lang w:val="en-US" w:eastAsia="zh-CN" w:bidi="ar-SA"/>
              </w:rPr>
              <w:t>落实农民工工资承诺 进行打分</w:t>
            </w:r>
          </w:p>
          <w:p w14:paraId="0A2E8AF7">
            <w:pPr>
              <w:spacing w:line="360" w:lineRule="auto"/>
              <w:rPr>
                <w:rFonts w:hint="eastAsia" w:ascii="宋体" w:hAnsi="宋体" w:eastAsia="宋体" w:cs="宋体"/>
                <w:color w:val="auto"/>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1、以上承诺及措施全面、详实、可行、合法有效，承诺内容贴合本项目实际，约束条款完整可执行的得 5 分；</w:t>
            </w:r>
          </w:p>
          <w:p w14:paraId="36582631">
            <w:pPr>
              <w:spacing w:line="360" w:lineRule="auto"/>
              <w:rPr>
                <w:rFonts w:hint="eastAsia" w:ascii="宋体" w:hAnsi="宋体" w:eastAsia="宋体" w:cs="宋体"/>
                <w:color w:val="auto"/>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2、以上承诺全覆盖但是仅有简单承诺框架，无具体针对性措施或针对性措施过于简单笼统的，得3 分；</w:t>
            </w:r>
          </w:p>
          <w:p w14:paraId="4476669E">
            <w:pPr>
              <w:spacing w:line="360" w:lineRule="auto"/>
              <w:rPr>
                <w:rFonts w:hint="eastAsia" w:ascii="宋体" w:hAnsi="宋体" w:eastAsia="宋体" w:cs="宋体"/>
                <w:color w:val="auto"/>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3、履职尽责承诺内容有漏项的，得 1 分；</w:t>
            </w:r>
          </w:p>
          <w:p w14:paraId="49CB024F">
            <w:pPr>
              <w:spacing w:line="360" w:lineRule="auto"/>
              <w:rPr>
                <w:rFonts w:hint="eastAsia" w:ascii="宋体" w:hAnsi="宋体" w:eastAsia="宋体" w:cs="宋体"/>
                <w:kern w:val="2"/>
                <w:sz w:val="22"/>
                <w:szCs w:val="22"/>
                <w:highlight w:val="none"/>
                <w:lang w:val="en-US" w:eastAsia="zh-CN" w:bidi="ar-SA"/>
              </w:rPr>
            </w:pPr>
            <w:r>
              <w:rPr>
                <w:rFonts w:hint="eastAsia" w:ascii="宋体" w:hAnsi="宋体" w:eastAsia="宋体" w:cs="宋体"/>
                <w:color w:val="auto"/>
                <w:sz w:val="22"/>
                <w:szCs w:val="22"/>
                <w:highlight w:val="none"/>
                <w:u w:val="none"/>
                <w:lang w:val="en-US" w:eastAsia="zh-CN" w:bidi="ar-SA"/>
              </w:rPr>
              <w:t>4、未提供不得分。</w:t>
            </w:r>
          </w:p>
        </w:tc>
        <w:tc>
          <w:tcPr>
            <w:tcW w:w="765" w:type="dxa"/>
            <w:noWrap w:val="0"/>
            <w:vAlign w:val="center"/>
          </w:tcPr>
          <w:p w14:paraId="13204431">
            <w:pPr>
              <w:snapToGrid w:val="0"/>
              <w:spacing w:line="360" w:lineRule="auto"/>
              <w:jc w:val="center"/>
              <w:rPr>
                <w:rFonts w:hint="default" w:ascii="宋体" w:hAnsi="宋体" w:eastAsia="宋体" w:cs="宋体"/>
                <w:color w:val="auto"/>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0-5分</w:t>
            </w:r>
          </w:p>
        </w:tc>
      </w:tr>
      <w:tr w14:paraId="4B054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140" w:type="dxa"/>
            <w:vMerge w:val="continue"/>
            <w:noWrap w:val="0"/>
            <w:vAlign w:val="center"/>
          </w:tcPr>
          <w:p w14:paraId="71E36657">
            <w:pPr>
              <w:rPr>
                <w:rFonts w:hint="eastAsia" w:ascii="宋体" w:hAnsi="宋体" w:eastAsia="宋体" w:cs="宋体"/>
                <w:color w:val="auto"/>
                <w:sz w:val="22"/>
                <w:szCs w:val="22"/>
                <w:highlight w:val="none"/>
                <w:u w:val="none"/>
              </w:rPr>
            </w:pPr>
          </w:p>
        </w:tc>
        <w:tc>
          <w:tcPr>
            <w:tcW w:w="1125" w:type="dxa"/>
            <w:noWrap w:val="0"/>
            <w:vAlign w:val="center"/>
          </w:tcPr>
          <w:p w14:paraId="5A34EF0E">
            <w:pPr>
              <w:spacing w:line="360" w:lineRule="exact"/>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eastAsia="zh-CN"/>
              </w:rPr>
              <w:t>缺陷责任期</w:t>
            </w:r>
            <w:r>
              <w:rPr>
                <w:rFonts w:hint="eastAsia" w:ascii="宋体" w:hAnsi="宋体" w:cs="宋体"/>
                <w:sz w:val="22"/>
                <w:szCs w:val="22"/>
                <w:highlight w:val="none"/>
                <w:lang w:val="en-US" w:eastAsia="zh-CN"/>
              </w:rPr>
              <w:t>服务方案</w:t>
            </w:r>
          </w:p>
          <w:p w14:paraId="49DBEDD2">
            <w:pPr>
              <w:spacing w:line="360" w:lineRule="exact"/>
              <w:jc w:val="center"/>
              <w:rPr>
                <w:rFonts w:hint="eastAsia" w:ascii="宋体" w:hAnsi="宋体" w:cs="宋体"/>
                <w:kern w:val="0"/>
                <w:sz w:val="22"/>
                <w:szCs w:val="22"/>
                <w:highlight w:val="none"/>
                <w:lang w:val="en-US" w:eastAsia="zh-CN"/>
              </w:rPr>
            </w:pPr>
            <w:r>
              <w:rPr>
                <w:rFonts w:hint="eastAsia" w:ascii="宋体" w:hAnsi="宋体" w:eastAsia="宋体" w:cs="宋体"/>
                <w:sz w:val="22"/>
                <w:szCs w:val="22"/>
                <w:highlight w:val="none"/>
                <w:lang w:eastAsia="zh-CN"/>
              </w:rPr>
              <w:t>（</w:t>
            </w:r>
            <w:r>
              <w:rPr>
                <w:rFonts w:hint="eastAsia" w:ascii="宋体" w:hAnsi="宋体" w:cs="宋体"/>
                <w:sz w:val="22"/>
                <w:szCs w:val="22"/>
                <w:highlight w:val="none"/>
                <w:lang w:val="en-US" w:eastAsia="zh-CN"/>
              </w:rPr>
              <w:t>5</w:t>
            </w:r>
            <w:r>
              <w:rPr>
                <w:rFonts w:hint="eastAsia" w:ascii="宋体" w:hAnsi="宋体" w:eastAsia="宋体" w:cs="宋体"/>
                <w:sz w:val="22"/>
                <w:szCs w:val="22"/>
                <w:highlight w:val="none"/>
                <w:lang w:val="en-US" w:eastAsia="zh-CN"/>
              </w:rPr>
              <w:t>分</w:t>
            </w:r>
            <w:r>
              <w:rPr>
                <w:rFonts w:hint="eastAsia" w:ascii="宋体" w:hAnsi="宋体" w:eastAsia="宋体" w:cs="宋体"/>
                <w:sz w:val="22"/>
                <w:szCs w:val="22"/>
                <w:highlight w:val="none"/>
                <w:lang w:eastAsia="zh-CN"/>
              </w:rPr>
              <w:t>）</w:t>
            </w:r>
          </w:p>
        </w:tc>
        <w:tc>
          <w:tcPr>
            <w:tcW w:w="7170" w:type="dxa"/>
            <w:noWrap w:val="0"/>
            <w:vAlign w:val="center"/>
          </w:tcPr>
          <w:p w14:paraId="3679E0DE">
            <w:pPr>
              <w:spacing w:line="360" w:lineRule="auto"/>
              <w:rPr>
                <w:rFonts w:hint="default" w:ascii="宋体" w:hAnsi="宋体" w:eastAsia="宋体" w:cs="宋体"/>
                <w:color w:val="auto"/>
                <w:sz w:val="22"/>
                <w:szCs w:val="22"/>
                <w:highlight w:val="none"/>
                <w:u w:val="none"/>
                <w:lang w:val="en-US" w:eastAsia="zh-CN" w:bidi="ar-SA"/>
              </w:rPr>
            </w:pPr>
            <w:r>
              <w:rPr>
                <w:rFonts w:hint="default" w:ascii="宋体" w:hAnsi="宋体" w:eastAsia="宋体" w:cs="宋体"/>
                <w:color w:val="auto"/>
                <w:sz w:val="22"/>
                <w:szCs w:val="22"/>
                <w:highlight w:val="none"/>
                <w:u w:val="none"/>
                <w:lang w:val="en-US" w:eastAsia="zh-CN" w:bidi="ar-SA"/>
              </w:rPr>
              <w:t>根据供应商的缺陷责任期服务方案进行打分：①缺陷责任期组织机构、专职维保人员落实到位承诺；②缺陷响应、故障排查及维修处置流程承诺；③缺陷责任期服务保障、回访巡检工作承诺；④维保不到位对应的处置、追责承诺，进行打分。</w:t>
            </w:r>
          </w:p>
          <w:p w14:paraId="477805C9">
            <w:pPr>
              <w:spacing w:line="360" w:lineRule="auto"/>
              <w:rPr>
                <w:rFonts w:hint="eastAsia" w:ascii="宋体" w:hAnsi="宋体" w:eastAsia="宋体" w:cs="宋体"/>
                <w:color w:val="auto"/>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1、</w:t>
            </w:r>
            <w:r>
              <w:rPr>
                <w:rFonts w:hint="default" w:ascii="宋体" w:hAnsi="宋体" w:eastAsia="宋体" w:cs="宋体"/>
                <w:color w:val="auto"/>
                <w:sz w:val="22"/>
                <w:szCs w:val="22"/>
                <w:highlight w:val="none"/>
                <w:u w:val="none"/>
                <w:lang w:val="en-US" w:eastAsia="zh-CN" w:bidi="ar-SA"/>
              </w:rPr>
              <w:t>以上方案及承诺全面、详实、可行、合法有效，方案内容贴合本项目实际，约束条款完整可执行的</w:t>
            </w:r>
            <w:r>
              <w:rPr>
                <w:rFonts w:hint="eastAsia" w:ascii="宋体" w:hAnsi="宋体" w:eastAsia="宋体" w:cs="宋体"/>
                <w:color w:val="auto"/>
                <w:sz w:val="22"/>
                <w:szCs w:val="22"/>
                <w:highlight w:val="none"/>
                <w:u w:val="none"/>
                <w:lang w:val="en-US" w:eastAsia="zh-CN" w:bidi="ar-SA"/>
              </w:rPr>
              <w:t>，</w:t>
            </w:r>
            <w:r>
              <w:rPr>
                <w:rFonts w:hint="default" w:ascii="宋体" w:hAnsi="宋体" w:eastAsia="宋体" w:cs="宋体"/>
                <w:color w:val="auto"/>
                <w:sz w:val="22"/>
                <w:szCs w:val="22"/>
                <w:highlight w:val="none"/>
                <w:u w:val="none"/>
                <w:lang w:val="en-US" w:eastAsia="zh-CN" w:bidi="ar-SA"/>
              </w:rPr>
              <w:t>得 5 分</w:t>
            </w:r>
            <w:r>
              <w:rPr>
                <w:rFonts w:hint="eastAsia" w:ascii="宋体" w:hAnsi="宋体" w:eastAsia="宋体" w:cs="宋体"/>
                <w:color w:val="auto"/>
                <w:sz w:val="22"/>
                <w:szCs w:val="22"/>
                <w:highlight w:val="none"/>
                <w:u w:val="none"/>
                <w:lang w:val="en-US" w:eastAsia="zh-CN" w:bidi="ar-SA"/>
              </w:rPr>
              <w:t>；</w:t>
            </w:r>
          </w:p>
          <w:p w14:paraId="197C1424">
            <w:pPr>
              <w:spacing w:line="360" w:lineRule="auto"/>
              <w:rPr>
                <w:rFonts w:hint="eastAsia" w:ascii="宋体" w:hAnsi="宋体" w:eastAsia="宋体" w:cs="宋体"/>
                <w:color w:val="auto"/>
                <w:sz w:val="22"/>
                <w:szCs w:val="22"/>
                <w:highlight w:val="none"/>
                <w:u w:val="none"/>
                <w:lang w:val="en-US" w:eastAsia="en-US" w:bidi="ar-SA"/>
              </w:rPr>
            </w:pPr>
            <w:r>
              <w:rPr>
                <w:rFonts w:hint="eastAsia" w:ascii="宋体" w:hAnsi="宋体" w:eastAsia="宋体" w:cs="宋体"/>
                <w:color w:val="auto"/>
                <w:sz w:val="22"/>
                <w:szCs w:val="22"/>
                <w:highlight w:val="none"/>
                <w:u w:val="none"/>
                <w:lang w:val="en-US" w:eastAsia="zh-CN" w:bidi="ar-SA"/>
              </w:rPr>
              <w:t>2、本项方案内容无漏项但方案存在缺陷的，得3分；</w:t>
            </w:r>
          </w:p>
          <w:p w14:paraId="441B7381">
            <w:pPr>
              <w:spacing w:line="360" w:lineRule="auto"/>
              <w:rPr>
                <w:rFonts w:hint="eastAsia" w:ascii="宋体" w:hAnsi="宋体" w:eastAsia="宋体" w:cs="宋体"/>
                <w:color w:val="auto"/>
                <w:sz w:val="22"/>
                <w:szCs w:val="22"/>
                <w:highlight w:val="none"/>
                <w:u w:val="none"/>
                <w:lang w:val="en-US" w:eastAsia="en-US" w:bidi="ar-SA"/>
              </w:rPr>
            </w:pPr>
            <w:r>
              <w:rPr>
                <w:rFonts w:hint="eastAsia" w:ascii="宋体" w:hAnsi="宋体" w:eastAsia="宋体" w:cs="宋体"/>
                <w:color w:val="auto"/>
                <w:sz w:val="22"/>
                <w:szCs w:val="22"/>
                <w:highlight w:val="none"/>
                <w:u w:val="none"/>
                <w:lang w:val="en-US" w:eastAsia="zh-CN" w:bidi="ar-SA"/>
              </w:rPr>
              <w:t>3、方案内容存在不符合项目需求的，或方案有漏项的，得1分；</w:t>
            </w:r>
          </w:p>
          <w:p w14:paraId="59E7945D">
            <w:pPr>
              <w:spacing w:line="360" w:lineRule="auto"/>
              <w:rPr>
                <w:rFonts w:hint="eastAsia" w:ascii="宋体" w:hAnsi="宋体" w:eastAsia="宋体" w:cs="宋体"/>
                <w:color w:val="auto"/>
                <w:sz w:val="22"/>
                <w:szCs w:val="22"/>
                <w:highlight w:val="none"/>
                <w:u w:val="none"/>
                <w:lang w:val="en-US" w:eastAsia="en-US" w:bidi="ar-SA"/>
              </w:rPr>
            </w:pPr>
            <w:r>
              <w:rPr>
                <w:rFonts w:hint="eastAsia" w:ascii="宋体" w:hAnsi="宋体" w:eastAsia="宋体" w:cs="宋体"/>
                <w:color w:val="auto"/>
                <w:sz w:val="22"/>
                <w:szCs w:val="22"/>
                <w:highlight w:val="none"/>
                <w:u w:val="none"/>
                <w:lang w:val="en-US" w:eastAsia="zh-CN" w:bidi="ar-SA"/>
              </w:rPr>
              <w:t>4、</w:t>
            </w:r>
            <w:r>
              <w:rPr>
                <w:rFonts w:hint="eastAsia" w:ascii="宋体" w:hAnsi="宋体" w:eastAsia="宋体" w:cs="宋体"/>
                <w:color w:val="auto"/>
                <w:sz w:val="22"/>
                <w:szCs w:val="22"/>
                <w:highlight w:val="none"/>
                <w:u w:val="none"/>
                <w:lang w:val="en-US" w:eastAsia="en-US" w:bidi="ar-SA"/>
              </w:rPr>
              <w:t>未提供方案，得0分。</w:t>
            </w:r>
          </w:p>
          <w:p w14:paraId="7A00D6D0">
            <w:pPr>
              <w:numPr>
                <w:ilvl w:val="0"/>
                <w:numId w:val="0"/>
              </w:numPr>
              <w:tabs>
                <w:tab w:val="left" w:pos="9720"/>
              </w:tabs>
              <w:autoSpaceDE w:val="0"/>
              <w:autoSpaceDN w:val="0"/>
              <w:adjustRightInd w:val="0"/>
              <w:spacing w:line="360" w:lineRule="exact"/>
              <w:ind w:leftChars="0" w:right="-36" w:rightChars="-17"/>
              <w:jc w:val="left"/>
              <w:rPr>
                <w:rFonts w:hint="eastAsia" w:ascii="宋体" w:hAnsi="宋体" w:eastAsia="宋体" w:cs="宋体"/>
                <w:b/>
                <w:bCs/>
                <w:kern w:val="2"/>
                <w:sz w:val="22"/>
                <w:szCs w:val="22"/>
                <w:highlight w:val="none"/>
                <w:lang w:val="en-US" w:eastAsia="en-US" w:bidi="ar-SA"/>
              </w:rPr>
            </w:pPr>
            <w:r>
              <w:rPr>
                <w:rFonts w:hint="eastAsia" w:ascii="宋体" w:hAnsi="宋体" w:eastAsia="宋体" w:cs="宋体"/>
                <w:b/>
                <w:bCs/>
                <w:kern w:val="2"/>
                <w:sz w:val="22"/>
                <w:szCs w:val="22"/>
                <w:highlight w:val="none"/>
                <w:lang w:val="en-US" w:eastAsia="en-US" w:bidi="ar-SA"/>
              </w:rPr>
              <w:t>注:</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缺陷</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方案内容与项目需求不一致</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存在相互矛盾内容</w:t>
            </w:r>
            <w:r>
              <w:rPr>
                <w:rFonts w:hint="eastAsia" w:ascii="宋体" w:hAnsi="宋体" w:eastAsia="宋体" w:cs="宋体"/>
                <w:b/>
                <w:bCs/>
                <w:kern w:val="2"/>
                <w:sz w:val="22"/>
                <w:szCs w:val="22"/>
                <w:highlight w:val="none"/>
                <w:lang w:val="en-US" w:eastAsia="zh-CN" w:bidi="ar-SA"/>
              </w:rPr>
              <w:t xml:space="preserve"> c单项内容仅有框架标题 d复制招标文件内容的要求 e内容中出现前后描述不一致现象或文字叙述出现错误</w:t>
            </w:r>
            <w:r>
              <w:rPr>
                <w:rFonts w:hint="eastAsia" w:ascii="宋体" w:hAnsi="宋体" w:eastAsia="宋体" w:cs="宋体"/>
                <w:b/>
                <w:bCs/>
                <w:kern w:val="2"/>
                <w:sz w:val="22"/>
                <w:szCs w:val="22"/>
                <w:highlight w:val="none"/>
                <w:lang w:val="en-US" w:eastAsia="en-US" w:bidi="ar-SA"/>
              </w:rPr>
              <w:t>。</w:t>
            </w:r>
          </w:p>
          <w:p w14:paraId="702A7B5D">
            <w:pPr>
              <w:numPr>
                <w:ilvl w:val="0"/>
                <w:numId w:val="0"/>
              </w:numPr>
              <w:rPr>
                <w:rFonts w:hint="default" w:ascii="宋体" w:hAnsi="宋体" w:eastAsia="宋体" w:cs="宋体"/>
                <w:sz w:val="22"/>
                <w:szCs w:val="22"/>
                <w:highlight w:val="none"/>
                <w:lang w:val="en-US" w:eastAsia="zh-CN"/>
              </w:rPr>
            </w:pP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不符合项目需求</w:t>
            </w:r>
            <w:r>
              <w:rPr>
                <w:rFonts w:hint="eastAsia" w:ascii="宋体" w:hAnsi="宋体" w:eastAsia="宋体" w:cs="宋体"/>
                <w:b/>
                <w:bCs/>
                <w:kern w:val="2"/>
                <w:sz w:val="22"/>
                <w:szCs w:val="22"/>
                <w:highlight w:val="none"/>
                <w:lang w:val="en-US" w:eastAsia="zh-CN" w:bidi="ar-SA"/>
              </w:rPr>
              <w:t>”</w:t>
            </w:r>
            <w:r>
              <w:rPr>
                <w:rFonts w:hint="eastAsia" w:ascii="宋体" w:hAnsi="宋体" w:eastAsia="宋体" w:cs="宋体"/>
                <w:b/>
                <w:bCs/>
                <w:kern w:val="2"/>
                <w:sz w:val="22"/>
                <w:szCs w:val="22"/>
                <w:highlight w:val="none"/>
                <w:lang w:val="en-US" w:eastAsia="en-US" w:bidi="ar-SA"/>
              </w:rPr>
              <w:t>是指</w:t>
            </w:r>
            <w:r>
              <w:rPr>
                <w:rFonts w:hint="eastAsia" w:ascii="宋体" w:hAnsi="宋体" w:eastAsia="宋体" w:cs="宋体"/>
                <w:b/>
                <w:bCs/>
                <w:kern w:val="2"/>
                <w:sz w:val="22"/>
                <w:szCs w:val="22"/>
                <w:highlight w:val="none"/>
                <w:lang w:val="en-US" w:eastAsia="zh-CN" w:bidi="ar-SA"/>
              </w:rPr>
              <w:t xml:space="preserve"> a</w:t>
            </w:r>
            <w:r>
              <w:rPr>
                <w:rFonts w:hint="eastAsia" w:ascii="宋体" w:hAnsi="宋体" w:eastAsia="宋体" w:cs="宋体"/>
                <w:b/>
                <w:bCs/>
                <w:kern w:val="2"/>
                <w:sz w:val="22"/>
                <w:szCs w:val="22"/>
                <w:highlight w:val="none"/>
                <w:lang w:val="en-US" w:eastAsia="en-US" w:bidi="ar-SA"/>
              </w:rPr>
              <w:t>存在与本项目执行无关的内容</w:t>
            </w:r>
            <w:r>
              <w:rPr>
                <w:rFonts w:hint="eastAsia" w:ascii="宋体" w:hAnsi="宋体" w:eastAsia="宋体" w:cs="宋体"/>
                <w:b/>
                <w:bCs/>
                <w:kern w:val="2"/>
                <w:sz w:val="22"/>
                <w:szCs w:val="22"/>
                <w:highlight w:val="none"/>
                <w:lang w:val="en-US" w:eastAsia="zh-CN" w:bidi="ar-SA"/>
              </w:rPr>
              <w:t xml:space="preserve"> b</w:t>
            </w:r>
            <w:r>
              <w:rPr>
                <w:rFonts w:hint="eastAsia" w:ascii="宋体" w:hAnsi="宋体" w:eastAsia="宋体" w:cs="宋体"/>
                <w:b/>
                <w:bCs/>
                <w:kern w:val="2"/>
                <w:sz w:val="22"/>
                <w:szCs w:val="22"/>
                <w:highlight w:val="none"/>
                <w:lang w:val="en-US" w:eastAsia="en-US" w:bidi="ar-SA"/>
              </w:rPr>
              <w:t>存在相关内容在实际操作中不能运用</w:t>
            </w:r>
            <w:r>
              <w:rPr>
                <w:rFonts w:hint="eastAsia" w:ascii="宋体" w:hAnsi="宋体" w:eastAsia="宋体" w:cs="宋体"/>
                <w:b/>
                <w:bCs/>
                <w:kern w:val="2"/>
                <w:sz w:val="22"/>
                <w:szCs w:val="22"/>
                <w:highlight w:val="none"/>
                <w:lang w:val="en-US" w:eastAsia="zh-CN" w:bidi="ar-SA"/>
              </w:rPr>
              <w:t xml:space="preserve"> c内容涉及适用的行业规范及标准(方法)出现错误 d实施地点区域错误，实施时间错误 e与履行合同存在差异性。</w:t>
            </w:r>
          </w:p>
        </w:tc>
        <w:tc>
          <w:tcPr>
            <w:tcW w:w="765" w:type="dxa"/>
            <w:noWrap w:val="0"/>
            <w:vAlign w:val="center"/>
          </w:tcPr>
          <w:p w14:paraId="678F7E88">
            <w:pPr>
              <w:snapToGrid w:val="0"/>
              <w:spacing w:line="360" w:lineRule="auto"/>
              <w:jc w:val="center"/>
              <w:rPr>
                <w:rFonts w:hint="eastAsia" w:ascii="宋体" w:hAnsi="宋体" w:eastAsia="宋体" w:cs="宋体"/>
                <w:color w:val="auto"/>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0-5</w:t>
            </w:r>
            <w:r>
              <w:rPr>
                <w:rFonts w:hint="eastAsia" w:ascii="宋体" w:hAnsi="宋体" w:eastAsia="宋体" w:cs="宋体"/>
                <w:color w:val="auto"/>
                <w:sz w:val="22"/>
                <w:szCs w:val="22"/>
                <w:highlight w:val="none"/>
                <w:u w:val="none"/>
                <w:lang w:bidi="ar-SA"/>
              </w:rPr>
              <w:t>分</w:t>
            </w:r>
          </w:p>
        </w:tc>
      </w:tr>
      <w:tr w14:paraId="10D30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0200" w:type="dxa"/>
            <w:gridSpan w:val="4"/>
            <w:noWrap w:val="0"/>
            <w:vAlign w:val="center"/>
          </w:tcPr>
          <w:p w14:paraId="31393946">
            <w:pPr>
              <w:snapToGrid w:val="0"/>
              <w:spacing w:line="360" w:lineRule="auto"/>
              <w:jc w:val="left"/>
              <w:rPr>
                <w:rFonts w:hint="eastAsia" w:ascii="宋体" w:hAnsi="宋体" w:eastAsia="宋体" w:cs="宋体"/>
                <w:color w:val="auto"/>
                <w:sz w:val="22"/>
                <w:szCs w:val="22"/>
                <w:highlight w:val="none"/>
                <w:u w:val="none"/>
                <w:lang w:val="en-US" w:eastAsia="zh-CN" w:bidi="ar-SA"/>
              </w:rPr>
            </w:pPr>
            <w:r>
              <w:rPr>
                <w:rFonts w:hint="eastAsia" w:ascii="宋体" w:hAnsi="宋体" w:eastAsia="宋体" w:cs="宋体"/>
                <w:color w:val="auto"/>
                <w:sz w:val="22"/>
                <w:szCs w:val="22"/>
                <w:highlight w:val="none"/>
                <w:u w:val="none"/>
                <w:lang w:val="en-US" w:eastAsia="zh-CN" w:bidi="ar-SA"/>
              </w:rPr>
              <w:t>注：供应商综合得分=报价部分+技术部分+商务部分。</w:t>
            </w:r>
          </w:p>
        </w:tc>
      </w:tr>
    </w:tbl>
    <w:p w14:paraId="5CBFB8DA">
      <w:pPr>
        <w:pStyle w:val="14"/>
        <w:jc w:val="both"/>
        <w:rPr>
          <w:rFonts w:hint="eastAsia"/>
          <w:b/>
          <w:bCs/>
          <w:sz w:val="32"/>
          <w:szCs w:val="40"/>
          <w:lang w:val="en-US" w:eastAsia="zh-CN"/>
        </w:rPr>
      </w:pPr>
    </w:p>
    <w:p w14:paraId="78D8A57D">
      <w:pPr>
        <w:pStyle w:val="14"/>
        <w:jc w:val="center"/>
        <w:rPr>
          <w:rFonts w:hint="eastAsia"/>
          <w:b/>
          <w:bCs/>
          <w:sz w:val="32"/>
          <w:szCs w:val="40"/>
          <w:lang w:val="en-US" w:eastAsia="zh-CN"/>
        </w:rPr>
      </w:pPr>
    </w:p>
    <w:p w14:paraId="4FD14FDC">
      <w:pPr>
        <w:rPr>
          <w:rFonts w:hint="eastAsia"/>
          <w:highlight w:val="none"/>
          <w:lang w:val="en-US" w:eastAsia="zh-CN"/>
        </w:rPr>
      </w:pPr>
      <w:bookmarkStart w:id="135" w:name="_Toc20179"/>
    </w:p>
    <w:p w14:paraId="0D188051">
      <w:pPr>
        <w:rPr>
          <w:rFonts w:hint="eastAsia"/>
          <w:highlight w:val="none"/>
          <w:lang w:val="en-US" w:eastAsia="zh-CN"/>
        </w:rPr>
      </w:pPr>
    </w:p>
    <w:p w14:paraId="1B8C231A">
      <w:pPr>
        <w:rPr>
          <w:rFonts w:hint="eastAsia"/>
          <w:highlight w:val="none"/>
          <w:lang w:val="en-US" w:eastAsia="zh-CN"/>
        </w:rPr>
      </w:pPr>
    </w:p>
    <w:p w14:paraId="1C0F1E70">
      <w:pPr>
        <w:rPr>
          <w:rFonts w:hint="eastAsia"/>
          <w:highlight w:val="none"/>
          <w:lang w:val="en-US" w:eastAsia="zh-CN"/>
        </w:rPr>
      </w:pPr>
    </w:p>
    <w:p w14:paraId="5FA859B1">
      <w:pPr>
        <w:rPr>
          <w:rFonts w:hint="eastAsia"/>
          <w:highlight w:val="none"/>
          <w:lang w:val="en-US" w:eastAsia="zh-CN"/>
        </w:rPr>
      </w:pPr>
    </w:p>
    <w:p w14:paraId="5A1E689C">
      <w:pPr>
        <w:rPr>
          <w:rFonts w:hint="eastAsia"/>
          <w:highlight w:val="none"/>
          <w:lang w:val="en-US" w:eastAsia="zh-CN"/>
        </w:rPr>
      </w:pPr>
    </w:p>
    <w:p w14:paraId="109BCC15">
      <w:pPr>
        <w:rPr>
          <w:rFonts w:hint="eastAsia"/>
          <w:highlight w:val="none"/>
          <w:lang w:val="en-US" w:eastAsia="zh-CN"/>
        </w:rPr>
      </w:pPr>
    </w:p>
    <w:p w14:paraId="0EF68016">
      <w:pPr>
        <w:rPr>
          <w:rFonts w:hint="eastAsia"/>
          <w:highlight w:val="none"/>
          <w:lang w:val="en-US" w:eastAsia="zh-CN"/>
        </w:rPr>
      </w:pPr>
    </w:p>
    <w:p w14:paraId="5A67ACF4">
      <w:pPr>
        <w:rPr>
          <w:rFonts w:hint="eastAsia"/>
          <w:highlight w:val="none"/>
          <w:lang w:val="en-US" w:eastAsia="zh-CN"/>
        </w:rPr>
      </w:pPr>
    </w:p>
    <w:p w14:paraId="623ED724">
      <w:pPr>
        <w:rPr>
          <w:rFonts w:hint="eastAsia"/>
          <w:highlight w:val="none"/>
          <w:lang w:val="en-US" w:eastAsia="zh-CN"/>
        </w:rPr>
      </w:pPr>
    </w:p>
    <w:p w14:paraId="33A9BC36">
      <w:pPr>
        <w:rPr>
          <w:rFonts w:hint="eastAsia"/>
          <w:highlight w:val="none"/>
          <w:lang w:val="en-US" w:eastAsia="zh-CN"/>
        </w:rPr>
      </w:pPr>
    </w:p>
    <w:p w14:paraId="47FCC7A7">
      <w:pPr>
        <w:rPr>
          <w:rFonts w:hint="eastAsia"/>
          <w:highlight w:val="none"/>
          <w:lang w:val="en-US" w:eastAsia="zh-CN"/>
        </w:rPr>
      </w:pPr>
    </w:p>
    <w:p w14:paraId="249F4C6A">
      <w:pPr>
        <w:pStyle w:val="2"/>
        <w:bidi w:val="0"/>
        <w:spacing w:line="240" w:lineRule="auto"/>
        <w:jc w:val="center"/>
        <w:rPr>
          <w:rFonts w:hint="default"/>
          <w:highlight w:val="yellow"/>
          <w:lang w:val="en-US" w:eastAsia="zh-CN"/>
        </w:rPr>
      </w:pPr>
      <w:r>
        <w:rPr>
          <w:rFonts w:hint="eastAsia"/>
          <w:highlight w:val="none"/>
          <w:lang w:val="en-US" w:eastAsia="zh-CN"/>
        </w:rPr>
        <w:t>第五章 技术标准及要求</w:t>
      </w:r>
      <w:bookmarkEnd w:id="135"/>
    </w:p>
    <w:p w14:paraId="1C55C4F7">
      <w:pPr>
        <w:pStyle w:val="13"/>
        <w:spacing w:line="360" w:lineRule="auto"/>
        <w:ind w:left="0" w:leftChars="0" w:firstLine="562" w:firstLineChars="200"/>
        <w:rPr>
          <w:rFonts w:hint="default" w:ascii="宋体" w:hAnsi="宋体" w:eastAsiaTheme="minorEastAsia" w:cstheme="minorBidi"/>
          <w:b/>
          <w:bCs/>
          <w:kern w:val="2"/>
          <w:sz w:val="28"/>
          <w:szCs w:val="28"/>
          <w:highlight w:val="none"/>
          <w:lang w:val="en-US" w:eastAsia="zh-CN" w:bidi="ar-SA"/>
        </w:rPr>
      </w:pPr>
      <w:r>
        <w:rPr>
          <w:rFonts w:hint="eastAsia" w:cstheme="minorBidi"/>
          <w:b/>
          <w:bCs/>
          <w:kern w:val="2"/>
          <w:sz w:val="28"/>
          <w:szCs w:val="28"/>
          <w:highlight w:val="none"/>
          <w:lang w:val="en-US" w:eastAsia="zh-CN" w:bidi="ar-SA"/>
        </w:rPr>
        <w:t>一、</w:t>
      </w:r>
      <w:r>
        <w:rPr>
          <w:rFonts w:hint="eastAsia" w:ascii="宋体" w:hAnsi="宋体" w:eastAsiaTheme="minorEastAsia" w:cstheme="minorBidi"/>
          <w:b/>
          <w:bCs/>
          <w:kern w:val="2"/>
          <w:sz w:val="28"/>
          <w:szCs w:val="28"/>
          <w:highlight w:val="none"/>
          <w:lang w:val="en-US" w:eastAsia="zh-CN" w:bidi="ar-SA"/>
        </w:rPr>
        <w:t>项目概况</w:t>
      </w:r>
    </w:p>
    <w:p w14:paraId="1B96D742">
      <w:pPr>
        <w:pStyle w:val="13"/>
        <w:spacing w:line="360" w:lineRule="auto"/>
        <w:ind w:left="0" w:leftChars="0" w:firstLine="560" w:firstLineChars="200"/>
        <w:rPr>
          <w:rFonts w:hint="eastAsia" w:ascii="宋体" w:hAnsi="宋体" w:eastAsiaTheme="minorEastAsia" w:cstheme="minorBidi"/>
          <w:kern w:val="2"/>
          <w:sz w:val="28"/>
          <w:szCs w:val="28"/>
          <w:highlight w:val="none"/>
          <w:lang w:val="en-US" w:eastAsia="zh-CN" w:bidi="ar-SA"/>
        </w:rPr>
      </w:pPr>
      <w:r>
        <w:rPr>
          <w:rFonts w:hint="eastAsia" w:ascii="宋体" w:hAnsi="宋体" w:eastAsiaTheme="minorEastAsia" w:cstheme="minorBidi"/>
          <w:kern w:val="2"/>
          <w:sz w:val="28"/>
          <w:szCs w:val="28"/>
          <w:highlight w:val="none"/>
          <w:lang w:val="en-US" w:eastAsia="zh-CN" w:bidi="ar-SA"/>
        </w:rPr>
        <w:t>本工程为灵宝市阳平镇政府专职消防队建设项目，主要内容为阳平镇消防站办公楼改造、新建门卫室、车库、室外工程等。</w:t>
      </w:r>
    </w:p>
    <w:p w14:paraId="7CEE085A">
      <w:pPr>
        <w:pStyle w:val="13"/>
        <w:numPr>
          <w:ilvl w:val="0"/>
          <w:numId w:val="4"/>
        </w:numPr>
        <w:spacing w:line="360" w:lineRule="auto"/>
        <w:ind w:left="0" w:leftChars="0" w:firstLine="562" w:firstLineChars="200"/>
        <w:rPr>
          <w:rFonts w:hint="eastAsia" w:ascii="宋体" w:hAnsi="宋体" w:eastAsiaTheme="minorEastAsia" w:cstheme="minorBidi"/>
          <w:b/>
          <w:bCs/>
          <w:kern w:val="2"/>
          <w:sz w:val="28"/>
          <w:szCs w:val="28"/>
          <w:highlight w:val="none"/>
          <w:lang w:val="en-US" w:eastAsia="zh-CN" w:bidi="ar-SA"/>
        </w:rPr>
      </w:pPr>
      <w:r>
        <w:rPr>
          <w:rFonts w:hint="eastAsia" w:ascii="宋体" w:hAnsi="宋体" w:eastAsiaTheme="minorEastAsia" w:cstheme="minorBidi"/>
          <w:b/>
          <w:bCs/>
          <w:kern w:val="2"/>
          <w:sz w:val="28"/>
          <w:szCs w:val="28"/>
          <w:highlight w:val="none"/>
          <w:lang w:val="en-US" w:eastAsia="zh-CN" w:bidi="ar-SA"/>
        </w:rPr>
        <w:t>编制依据</w:t>
      </w:r>
    </w:p>
    <w:p w14:paraId="155BC7D8">
      <w:pPr>
        <w:pStyle w:val="13"/>
        <w:numPr>
          <w:ilvl w:val="0"/>
          <w:numId w:val="0"/>
        </w:numPr>
        <w:spacing w:line="360" w:lineRule="auto"/>
        <w:ind w:firstLine="560" w:firstLineChars="200"/>
        <w:rPr>
          <w:rFonts w:hint="eastAsia" w:ascii="宋体" w:hAnsi="宋体" w:eastAsiaTheme="minorEastAsia" w:cstheme="minorBidi"/>
          <w:kern w:val="2"/>
          <w:sz w:val="28"/>
          <w:szCs w:val="28"/>
          <w:highlight w:val="none"/>
          <w:lang w:val="en-US" w:eastAsia="zh-CN" w:bidi="ar-SA"/>
        </w:rPr>
      </w:pPr>
      <w:r>
        <w:rPr>
          <w:rFonts w:hint="eastAsia" w:cstheme="minorBidi"/>
          <w:kern w:val="2"/>
          <w:sz w:val="28"/>
          <w:szCs w:val="28"/>
          <w:highlight w:val="none"/>
          <w:lang w:val="en-US" w:eastAsia="zh-CN" w:bidi="ar-SA"/>
        </w:rPr>
        <w:t>1、</w:t>
      </w:r>
      <w:r>
        <w:rPr>
          <w:rFonts w:hint="eastAsia" w:ascii="宋体" w:hAnsi="宋体" w:eastAsiaTheme="minorEastAsia" w:cstheme="minorBidi"/>
          <w:kern w:val="2"/>
          <w:sz w:val="28"/>
          <w:szCs w:val="28"/>
          <w:highlight w:val="none"/>
          <w:lang w:val="en-US" w:eastAsia="zh-CN" w:bidi="ar-SA"/>
        </w:rPr>
        <w:t>《建设工程工程量清单计价标准》GB/T50500-2024</w:t>
      </w:r>
      <w:r>
        <w:rPr>
          <w:rFonts w:hint="eastAsia" w:cstheme="minorBidi"/>
          <w:kern w:val="2"/>
          <w:sz w:val="28"/>
          <w:szCs w:val="28"/>
          <w:highlight w:val="none"/>
          <w:lang w:val="en-US" w:eastAsia="zh-CN" w:bidi="ar-SA"/>
        </w:rPr>
        <w:t>、</w:t>
      </w:r>
    </w:p>
    <w:p w14:paraId="7D6F3464">
      <w:pPr>
        <w:pStyle w:val="13"/>
        <w:numPr>
          <w:ilvl w:val="0"/>
          <w:numId w:val="0"/>
        </w:numPr>
        <w:spacing w:line="360" w:lineRule="auto"/>
        <w:ind w:firstLine="560" w:firstLineChars="200"/>
        <w:rPr>
          <w:rFonts w:hint="eastAsia" w:ascii="宋体" w:hAnsi="宋体" w:eastAsiaTheme="minorEastAsia" w:cstheme="minorBidi"/>
          <w:kern w:val="2"/>
          <w:sz w:val="28"/>
          <w:szCs w:val="28"/>
          <w:highlight w:val="none"/>
          <w:lang w:val="en-US" w:eastAsia="zh-CN" w:bidi="ar-SA"/>
        </w:rPr>
      </w:pPr>
      <w:r>
        <w:rPr>
          <w:rFonts w:hint="eastAsia" w:ascii="宋体" w:hAnsi="宋体" w:eastAsiaTheme="minorEastAsia" w:cstheme="minorBidi"/>
          <w:kern w:val="2"/>
          <w:sz w:val="28"/>
          <w:szCs w:val="28"/>
          <w:highlight w:val="none"/>
          <w:lang w:val="en-US" w:eastAsia="zh-CN" w:bidi="ar-SA"/>
        </w:rPr>
        <w:t>《河南省房屋建筑与装饰工程预算定额》(HA</w:t>
      </w:r>
      <w:r>
        <w:rPr>
          <w:rFonts w:hint="eastAsia" w:cstheme="minorBidi"/>
          <w:kern w:val="2"/>
          <w:sz w:val="28"/>
          <w:szCs w:val="28"/>
          <w:highlight w:val="none"/>
          <w:lang w:val="en-US" w:eastAsia="zh-CN" w:bidi="ar-SA"/>
        </w:rPr>
        <w:t xml:space="preserve"> </w:t>
      </w:r>
      <w:r>
        <w:rPr>
          <w:rFonts w:hint="eastAsia" w:ascii="宋体" w:hAnsi="宋体" w:eastAsiaTheme="minorEastAsia" w:cstheme="minorBidi"/>
          <w:kern w:val="2"/>
          <w:sz w:val="28"/>
          <w:szCs w:val="28"/>
          <w:highlight w:val="none"/>
          <w:lang w:val="en-US" w:eastAsia="zh-CN" w:bidi="ar-SA"/>
        </w:rPr>
        <w:t>01-31-2016)</w:t>
      </w:r>
      <w:r>
        <w:rPr>
          <w:rFonts w:hint="eastAsia" w:cstheme="minorBidi"/>
          <w:kern w:val="2"/>
          <w:sz w:val="28"/>
          <w:szCs w:val="28"/>
          <w:highlight w:val="none"/>
          <w:lang w:val="en-US" w:eastAsia="zh-CN" w:bidi="ar-SA"/>
        </w:rPr>
        <w:t>、</w:t>
      </w:r>
    </w:p>
    <w:p w14:paraId="69FEFB2E">
      <w:pPr>
        <w:pStyle w:val="13"/>
        <w:numPr>
          <w:ilvl w:val="0"/>
          <w:numId w:val="0"/>
        </w:numPr>
        <w:spacing w:line="360" w:lineRule="auto"/>
        <w:ind w:firstLine="560" w:firstLineChars="200"/>
        <w:rPr>
          <w:rFonts w:hint="eastAsia" w:ascii="宋体" w:hAnsi="宋体" w:eastAsiaTheme="minorEastAsia" w:cstheme="minorBidi"/>
          <w:kern w:val="2"/>
          <w:sz w:val="28"/>
          <w:szCs w:val="28"/>
          <w:highlight w:val="none"/>
          <w:lang w:val="en-US" w:eastAsia="zh-CN" w:bidi="ar-SA"/>
        </w:rPr>
      </w:pPr>
      <w:r>
        <w:rPr>
          <w:rFonts w:hint="eastAsia" w:ascii="宋体" w:hAnsi="宋体" w:eastAsiaTheme="minorEastAsia" w:cstheme="minorBidi"/>
          <w:kern w:val="2"/>
          <w:sz w:val="28"/>
          <w:szCs w:val="28"/>
          <w:highlight w:val="none"/>
          <w:lang w:val="en-US" w:eastAsia="zh-CN" w:bidi="ar-SA"/>
        </w:rPr>
        <w:t>《河南省通用安装工程预算定额》(HA</w:t>
      </w:r>
      <w:r>
        <w:rPr>
          <w:rFonts w:hint="eastAsia" w:cstheme="minorBidi"/>
          <w:kern w:val="2"/>
          <w:sz w:val="28"/>
          <w:szCs w:val="28"/>
          <w:highlight w:val="none"/>
          <w:lang w:val="en-US" w:eastAsia="zh-CN" w:bidi="ar-SA"/>
        </w:rPr>
        <w:t xml:space="preserve"> </w:t>
      </w:r>
      <w:r>
        <w:rPr>
          <w:rFonts w:hint="eastAsia" w:ascii="宋体" w:hAnsi="宋体" w:eastAsiaTheme="minorEastAsia" w:cstheme="minorBidi"/>
          <w:kern w:val="2"/>
          <w:sz w:val="28"/>
          <w:szCs w:val="28"/>
          <w:highlight w:val="none"/>
          <w:lang w:val="en-US" w:eastAsia="zh-CN" w:bidi="ar-SA"/>
        </w:rPr>
        <w:t>02-31-2016)</w:t>
      </w:r>
      <w:r>
        <w:rPr>
          <w:rFonts w:hint="eastAsia" w:cstheme="minorBidi"/>
          <w:kern w:val="2"/>
          <w:sz w:val="28"/>
          <w:szCs w:val="28"/>
          <w:highlight w:val="none"/>
          <w:lang w:val="en-US" w:eastAsia="zh-CN" w:bidi="ar-SA"/>
        </w:rPr>
        <w:t>、</w:t>
      </w:r>
    </w:p>
    <w:p w14:paraId="43458696">
      <w:pPr>
        <w:pStyle w:val="13"/>
        <w:spacing w:line="360" w:lineRule="auto"/>
        <w:rPr>
          <w:rFonts w:hint="eastAsia" w:ascii="宋体" w:hAnsi="宋体" w:eastAsiaTheme="minorEastAsia" w:cstheme="minorBidi"/>
          <w:kern w:val="2"/>
          <w:sz w:val="28"/>
          <w:szCs w:val="28"/>
          <w:highlight w:val="none"/>
          <w:lang w:val="en-US" w:eastAsia="zh-CN" w:bidi="ar-SA"/>
        </w:rPr>
      </w:pPr>
      <w:r>
        <w:rPr>
          <w:rFonts w:hint="eastAsia" w:ascii="宋体" w:hAnsi="宋体" w:eastAsiaTheme="minorEastAsia" w:cstheme="minorBidi"/>
          <w:kern w:val="2"/>
          <w:sz w:val="28"/>
          <w:szCs w:val="28"/>
          <w:highlight w:val="none"/>
          <w:lang w:val="en-US" w:eastAsia="zh-CN" w:bidi="ar-SA"/>
        </w:rPr>
        <w:t>《河南省市政工程预算定额》(HA</w:t>
      </w:r>
      <w:r>
        <w:rPr>
          <w:rFonts w:hint="eastAsia" w:cstheme="minorBidi"/>
          <w:kern w:val="2"/>
          <w:sz w:val="28"/>
          <w:szCs w:val="28"/>
          <w:highlight w:val="none"/>
          <w:lang w:val="en-US" w:eastAsia="zh-CN" w:bidi="ar-SA"/>
        </w:rPr>
        <w:t xml:space="preserve"> </w:t>
      </w:r>
      <w:r>
        <w:rPr>
          <w:rFonts w:hint="eastAsia" w:ascii="宋体" w:hAnsi="宋体" w:eastAsiaTheme="minorEastAsia" w:cstheme="minorBidi"/>
          <w:kern w:val="2"/>
          <w:sz w:val="28"/>
          <w:szCs w:val="28"/>
          <w:highlight w:val="none"/>
          <w:lang w:val="en-US" w:eastAsia="zh-CN" w:bidi="ar-SA"/>
        </w:rPr>
        <w:t>A1-31-2016)</w:t>
      </w:r>
      <w:r>
        <w:rPr>
          <w:rFonts w:hint="eastAsia" w:cstheme="minorBidi"/>
          <w:kern w:val="2"/>
          <w:sz w:val="28"/>
          <w:szCs w:val="28"/>
          <w:highlight w:val="none"/>
          <w:lang w:val="en-US" w:eastAsia="zh-CN" w:bidi="ar-SA"/>
        </w:rPr>
        <w:t>、</w:t>
      </w:r>
    </w:p>
    <w:p w14:paraId="4BA6E24A">
      <w:pPr>
        <w:pStyle w:val="13"/>
        <w:spacing w:line="360" w:lineRule="auto"/>
        <w:ind w:left="0" w:leftChars="0" w:firstLine="560" w:firstLineChars="200"/>
        <w:rPr>
          <w:rFonts w:hint="eastAsia" w:ascii="宋体" w:hAnsi="宋体" w:eastAsiaTheme="minorEastAsia" w:cstheme="minorBidi"/>
          <w:kern w:val="2"/>
          <w:sz w:val="28"/>
          <w:szCs w:val="28"/>
          <w:highlight w:val="none"/>
          <w:lang w:val="en-US" w:eastAsia="zh-CN" w:bidi="ar-SA"/>
        </w:rPr>
      </w:pPr>
      <w:r>
        <w:rPr>
          <w:rFonts w:hint="eastAsia" w:ascii="宋体" w:hAnsi="宋体" w:eastAsiaTheme="minorEastAsia" w:cstheme="minorBidi"/>
          <w:kern w:val="2"/>
          <w:sz w:val="28"/>
          <w:szCs w:val="28"/>
          <w:highlight w:val="none"/>
          <w:lang w:val="en-US" w:eastAsia="zh-CN" w:bidi="ar-SA"/>
        </w:rPr>
        <w:t>《河南省建设工程工程量清单综合单价(2008)E园林绿化工程》及其配套费用文件编制</w:t>
      </w:r>
      <w:r>
        <w:rPr>
          <w:rFonts w:hint="eastAsia" w:cstheme="minorBidi"/>
          <w:kern w:val="2"/>
          <w:sz w:val="28"/>
          <w:szCs w:val="28"/>
          <w:highlight w:val="none"/>
          <w:lang w:val="en-US" w:eastAsia="zh-CN" w:bidi="ar-SA"/>
        </w:rPr>
        <w:t>；</w:t>
      </w:r>
    </w:p>
    <w:p w14:paraId="6CE60B65">
      <w:pPr>
        <w:pStyle w:val="13"/>
        <w:spacing w:line="360" w:lineRule="auto"/>
        <w:ind w:left="0" w:leftChars="0" w:firstLine="560" w:firstLineChars="200"/>
        <w:rPr>
          <w:rFonts w:hint="eastAsia" w:cstheme="minorBidi"/>
          <w:kern w:val="2"/>
          <w:sz w:val="28"/>
          <w:szCs w:val="28"/>
          <w:highlight w:val="none"/>
          <w:lang w:val="en-US" w:eastAsia="zh-CN" w:bidi="ar-SA"/>
        </w:rPr>
      </w:pPr>
      <w:r>
        <w:rPr>
          <w:rFonts w:hint="eastAsia" w:cstheme="minorBidi"/>
          <w:kern w:val="2"/>
          <w:sz w:val="28"/>
          <w:szCs w:val="28"/>
          <w:highlight w:val="none"/>
          <w:lang w:val="en-US" w:eastAsia="zh-CN" w:bidi="ar-SA"/>
        </w:rPr>
        <w:t>2、施工图纸及与建设项目有关的文件、规范、技术资料；</w:t>
      </w:r>
    </w:p>
    <w:p w14:paraId="27097D5F">
      <w:pPr>
        <w:pStyle w:val="13"/>
        <w:spacing w:line="360" w:lineRule="auto"/>
        <w:ind w:left="0" w:leftChars="0" w:firstLine="560" w:firstLineChars="200"/>
        <w:rPr>
          <w:rFonts w:hint="default" w:ascii="宋体" w:hAnsi="宋体" w:eastAsiaTheme="minorEastAsia" w:cstheme="minorBidi"/>
          <w:kern w:val="2"/>
          <w:sz w:val="24"/>
          <w:szCs w:val="24"/>
          <w:highlight w:val="none"/>
          <w:lang w:val="en-US" w:eastAsia="zh-CN" w:bidi="ar-SA"/>
        </w:rPr>
      </w:pPr>
      <w:r>
        <w:rPr>
          <w:rFonts w:hint="eastAsia" w:ascii="宋体" w:hAnsi="宋体" w:eastAsiaTheme="minorEastAsia" w:cstheme="minorBidi"/>
          <w:kern w:val="2"/>
          <w:sz w:val="28"/>
          <w:szCs w:val="28"/>
          <w:highlight w:val="none"/>
          <w:lang w:val="en-US" w:eastAsia="zh-CN" w:bidi="ar-SA"/>
        </w:rPr>
        <w:t>3、材料价格调整参考三门峡市住房和城乡建设局2026年发布第一期《三门峡工程标准造价信息》</w:t>
      </w:r>
      <w:r>
        <w:rPr>
          <w:rFonts w:hint="eastAsia" w:cstheme="minorBidi"/>
          <w:kern w:val="2"/>
          <w:sz w:val="28"/>
          <w:szCs w:val="28"/>
          <w:highlight w:val="none"/>
          <w:lang w:val="en-US" w:eastAsia="zh-CN" w:bidi="ar-SA"/>
        </w:rPr>
        <w:t>及市场价；</w:t>
      </w:r>
    </w:p>
    <w:p w14:paraId="7ADB43C7">
      <w:pPr>
        <w:pStyle w:val="13"/>
        <w:spacing w:line="360" w:lineRule="auto"/>
        <w:ind w:left="0" w:leftChars="0" w:firstLine="560" w:firstLineChars="200"/>
        <w:rPr>
          <w:rFonts w:hint="eastAsia" w:cstheme="minorBidi"/>
          <w:kern w:val="2"/>
          <w:sz w:val="28"/>
          <w:szCs w:val="28"/>
          <w:highlight w:val="none"/>
          <w:lang w:val="en-US" w:eastAsia="zh-CN" w:bidi="ar-SA"/>
        </w:rPr>
      </w:pPr>
      <w:r>
        <w:rPr>
          <w:rFonts w:hint="eastAsia" w:cstheme="minorBidi"/>
          <w:kern w:val="2"/>
          <w:sz w:val="28"/>
          <w:szCs w:val="28"/>
          <w:highlight w:val="none"/>
          <w:lang w:val="en-US" w:eastAsia="zh-CN" w:bidi="ar-SA"/>
        </w:rPr>
        <w:t>4、</w:t>
      </w:r>
      <w:r>
        <w:rPr>
          <w:rFonts w:hint="eastAsia" w:ascii="宋体" w:hAnsi="宋体" w:eastAsiaTheme="minorEastAsia" w:cstheme="minorBidi"/>
          <w:kern w:val="2"/>
          <w:sz w:val="28"/>
          <w:szCs w:val="28"/>
          <w:highlight w:val="none"/>
          <w:lang w:val="en-US" w:eastAsia="zh-CN" w:bidi="ar-SA"/>
        </w:rPr>
        <w:t>夜间施工增加费、二次搬运费、冬雨季施工增加费全额计取</w:t>
      </w:r>
      <w:r>
        <w:rPr>
          <w:rFonts w:hint="eastAsia" w:cstheme="minorBidi"/>
          <w:kern w:val="2"/>
          <w:sz w:val="28"/>
          <w:szCs w:val="28"/>
          <w:highlight w:val="none"/>
          <w:lang w:val="en-US" w:eastAsia="zh-CN" w:bidi="ar-SA"/>
        </w:rPr>
        <w:t>；</w:t>
      </w:r>
    </w:p>
    <w:p w14:paraId="47D44EE6">
      <w:pPr>
        <w:pStyle w:val="13"/>
        <w:spacing w:line="360" w:lineRule="auto"/>
        <w:ind w:left="0" w:leftChars="0" w:firstLine="560" w:firstLineChars="200"/>
        <w:rPr>
          <w:rFonts w:hint="eastAsia" w:cstheme="minorBidi"/>
          <w:kern w:val="2"/>
          <w:sz w:val="28"/>
          <w:szCs w:val="28"/>
          <w:highlight w:val="none"/>
          <w:lang w:val="en-US" w:eastAsia="zh-CN" w:bidi="ar-SA"/>
        </w:rPr>
      </w:pPr>
      <w:r>
        <w:rPr>
          <w:rFonts w:hint="eastAsia" w:ascii="宋体" w:hAnsi="宋体" w:eastAsiaTheme="minorEastAsia" w:cstheme="minorBidi"/>
          <w:kern w:val="2"/>
          <w:sz w:val="28"/>
          <w:szCs w:val="28"/>
          <w:highlight w:val="none"/>
          <w:lang w:val="en-US" w:eastAsia="zh-CN" w:bidi="ar-SA"/>
        </w:rPr>
        <w:t>5</w:t>
      </w:r>
      <w:r>
        <w:rPr>
          <w:rFonts w:hint="eastAsia" w:cstheme="minorBidi"/>
          <w:kern w:val="2"/>
          <w:sz w:val="28"/>
          <w:szCs w:val="28"/>
          <w:highlight w:val="none"/>
          <w:lang w:val="en-US" w:eastAsia="zh-CN" w:bidi="ar-SA"/>
        </w:rPr>
        <w:t>、</w:t>
      </w:r>
      <w:r>
        <w:rPr>
          <w:rFonts w:hint="eastAsia" w:ascii="宋体" w:hAnsi="宋体" w:eastAsiaTheme="minorEastAsia" w:cstheme="minorBidi"/>
          <w:kern w:val="2"/>
          <w:sz w:val="28"/>
          <w:szCs w:val="28"/>
          <w:highlight w:val="none"/>
          <w:lang w:val="en-US" w:eastAsia="zh-CN" w:bidi="ar-SA"/>
        </w:rPr>
        <w:t>价格指数按第18期价格指数规定计取数</w:t>
      </w:r>
      <w:r>
        <w:rPr>
          <w:rFonts w:hint="eastAsia" w:cstheme="minorBidi"/>
          <w:kern w:val="2"/>
          <w:sz w:val="28"/>
          <w:szCs w:val="28"/>
          <w:highlight w:val="none"/>
          <w:lang w:val="en-US" w:eastAsia="zh-CN" w:bidi="ar-SA"/>
        </w:rPr>
        <w:t>；</w:t>
      </w:r>
    </w:p>
    <w:p w14:paraId="289F2B66">
      <w:pPr>
        <w:pStyle w:val="13"/>
        <w:spacing w:line="360" w:lineRule="auto"/>
        <w:ind w:left="0" w:leftChars="0" w:firstLine="560" w:firstLineChars="200"/>
        <w:rPr>
          <w:rFonts w:hint="eastAsia" w:cstheme="minorBidi"/>
          <w:kern w:val="2"/>
          <w:sz w:val="28"/>
          <w:szCs w:val="28"/>
          <w:highlight w:val="none"/>
          <w:lang w:val="en-US" w:eastAsia="zh-CN" w:bidi="ar-SA"/>
        </w:rPr>
      </w:pPr>
      <w:r>
        <w:rPr>
          <w:rFonts w:hint="eastAsia" w:ascii="宋体" w:hAnsi="宋体" w:eastAsiaTheme="minorEastAsia" w:cstheme="minorBidi"/>
          <w:kern w:val="2"/>
          <w:sz w:val="28"/>
          <w:szCs w:val="28"/>
          <w:highlight w:val="none"/>
          <w:lang w:val="en-US" w:eastAsia="zh-CN" w:bidi="ar-SA"/>
        </w:rPr>
        <w:t>6</w:t>
      </w:r>
      <w:r>
        <w:rPr>
          <w:rFonts w:hint="eastAsia" w:cstheme="minorBidi"/>
          <w:kern w:val="2"/>
          <w:sz w:val="28"/>
          <w:szCs w:val="28"/>
          <w:highlight w:val="none"/>
          <w:lang w:val="en-US" w:eastAsia="zh-CN" w:bidi="ar-SA"/>
        </w:rPr>
        <w:t>、</w:t>
      </w:r>
      <w:r>
        <w:rPr>
          <w:rFonts w:hint="eastAsia" w:ascii="宋体" w:hAnsi="宋体" w:eastAsiaTheme="minorEastAsia" w:cstheme="minorBidi"/>
          <w:kern w:val="2"/>
          <w:sz w:val="28"/>
          <w:szCs w:val="28"/>
          <w:highlight w:val="none"/>
          <w:lang w:val="en-US" w:eastAsia="zh-CN" w:bidi="ar-SA"/>
        </w:rPr>
        <w:t>税金按规定费率9%计取</w:t>
      </w:r>
      <w:r>
        <w:rPr>
          <w:rFonts w:hint="eastAsia" w:cstheme="minorBidi"/>
          <w:kern w:val="2"/>
          <w:sz w:val="28"/>
          <w:szCs w:val="28"/>
          <w:highlight w:val="none"/>
          <w:lang w:val="en-US" w:eastAsia="zh-CN" w:bidi="ar-SA"/>
        </w:rPr>
        <w:t>；</w:t>
      </w:r>
    </w:p>
    <w:p w14:paraId="1FAA37C7">
      <w:pPr>
        <w:pStyle w:val="13"/>
        <w:spacing w:line="360" w:lineRule="auto"/>
        <w:ind w:left="0" w:leftChars="0" w:firstLine="560" w:firstLineChars="200"/>
        <w:rPr>
          <w:rFonts w:hint="eastAsia" w:ascii="宋体" w:hAnsi="宋体" w:eastAsiaTheme="minorEastAsia" w:cstheme="minorBidi"/>
          <w:b w:val="0"/>
          <w:bCs w:val="0"/>
          <w:kern w:val="2"/>
          <w:sz w:val="28"/>
          <w:szCs w:val="28"/>
          <w:highlight w:val="none"/>
          <w:lang w:val="en-US" w:eastAsia="zh-CN" w:bidi="ar-SA"/>
        </w:rPr>
      </w:pPr>
      <w:r>
        <w:rPr>
          <w:rFonts w:hint="eastAsia" w:cstheme="minorBidi"/>
          <w:b w:val="0"/>
          <w:bCs w:val="0"/>
          <w:kern w:val="2"/>
          <w:sz w:val="28"/>
          <w:szCs w:val="28"/>
          <w:highlight w:val="none"/>
          <w:lang w:val="en-US" w:eastAsia="zh-CN" w:bidi="ar-SA"/>
        </w:rPr>
        <w:t>7、</w:t>
      </w:r>
      <w:r>
        <w:rPr>
          <w:rFonts w:hint="eastAsia" w:ascii="宋体" w:hAnsi="宋体" w:eastAsiaTheme="minorEastAsia" w:cstheme="minorBidi"/>
          <w:b w:val="0"/>
          <w:bCs w:val="0"/>
          <w:kern w:val="2"/>
          <w:sz w:val="28"/>
          <w:szCs w:val="28"/>
          <w:highlight w:val="none"/>
          <w:lang w:val="en-US" w:eastAsia="zh-CN" w:bidi="ar-SA"/>
        </w:rPr>
        <w:t>其它执行国家及省市的有关规定。</w:t>
      </w:r>
    </w:p>
    <w:p w14:paraId="2F6B7B1C">
      <w:pPr>
        <w:pStyle w:val="13"/>
        <w:spacing w:line="360" w:lineRule="auto"/>
        <w:ind w:left="0" w:leftChars="0" w:firstLine="562" w:firstLineChars="200"/>
        <w:rPr>
          <w:rFonts w:hint="eastAsia" w:ascii="宋体" w:hAnsi="宋体" w:eastAsiaTheme="minorEastAsia" w:cstheme="minorBidi"/>
          <w:b/>
          <w:bCs/>
          <w:kern w:val="2"/>
          <w:sz w:val="28"/>
          <w:szCs w:val="28"/>
          <w:highlight w:val="none"/>
          <w:lang w:val="en-US" w:eastAsia="zh-CN" w:bidi="ar-SA"/>
        </w:rPr>
      </w:pPr>
      <w:r>
        <w:rPr>
          <w:rFonts w:hint="eastAsia" w:cstheme="minorBidi"/>
          <w:b/>
          <w:bCs/>
          <w:kern w:val="2"/>
          <w:sz w:val="28"/>
          <w:szCs w:val="28"/>
          <w:highlight w:val="none"/>
          <w:lang w:val="en-US" w:eastAsia="zh-CN" w:bidi="ar-SA"/>
        </w:rPr>
        <w:t>三、</w:t>
      </w:r>
      <w:r>
        <w:rPr>
          <w:rFonts w:hint="eastAsia" w:ascii="宋体" w:hAnsi="宋体" w:eastAsiaTheme="minorEastAsia" w:cstheme="minorBidi"/>
          <w:b/>
          <w:bCs/>
          <w:kern w:val="2"/>
          <w:sz w:val="28"/>
          <w:szCs w:val="28"/>
          <w:highlight w:val="none"/>
          <w:lang w:val="en-US" w:eastAsia="zh-CN" w:bidi="ar-SA"/>
        </w:rPr>
        <w:t>其他说明</w:t>
      </w:r>
    </w:p>
    <w:p w14:paraId="4DF607CA">
      <w:pPr>
        <w:pStyle w:val="13"/>
        <w:spacing w:line="360" w:lineRule="auto"/>
        <w:ind w:left="0" w:leftChars="0" w:firstLine="560" w:firstLineChars="200"/>
        <w:rPr>
          <w:rFonts w:hint="eastAsia" w:ascii="宋体" w:hAnsi="宋体" w:eastAsiaTheme="minorEastAsia" w:cstheme="minorBidi"/>
          <w:kern w:val="2"/>
          <w:sz w:val="28"/>
          <w:szCs w:val="28"/>
          <w:highlight w:val="none"/>
          <w:lang w:val="en-US" w:eastAsia="zh-CN" w:bidi="ar-SA"/>
        </w:rPr>
      </w:pPr>
      <w:r>
        <w:rPr>
          <w:rFonts w:hint="eastAsia" w:ascii="宋体" w:hAnsi="宋体" w:eastAsiaTheme="minorEastAsia" w:cstheme="minorBidi"/>
          <w:kern w:val="2"/>
          <w:sz w:val="28"/>
          <w:szCs w:val="28"/>
          <w:highlight w:val="none"/>
          <w:lang w:val="en-US" w:eastAsia="zh-CN" w:bidi="ar-SA"/>
        </w:rPr>
        <w:t>1</w:t>
      </w:r>
      <w:r>
        <w:rPr>
          <w:rFonts w:hint="eastAsia" w:cstheme="minorBidi"/>
          <w:kern w:val="2"/>
          <w:sz w:val="28"/>
          <w:szCs w:val="28"/>
          <w:highlight w:val="none"/>
          <w:lang w:val="en-US" w:eastAsia="zh-CN" w:bidi="ar-SA"/>
        </w:rPr>
        <w:t>、</w:t>
      </w:r>
      <w:r>
        <w:rPr>
          <w:rFonts w:hint="eastAsia" w:ascii="宋体" w:hAnsi="宋体" w:eastAsiaTheme="minorEastAsia" w:cstheme="minorBidi"/>
          <w:kern w:val="2"/>
          <w:sz w:val="28"/>
          <w:szCs w:val="28"/>
          <w:highlight w:val="none"/>
          <w:lang w:val="en-US" w:eastAsia="zh-CN" w:bidi="ar-SA"/>
        </w:rPr>
        <w:t>前期土方暂按200000元计入专业工程暂估价。</w:t>
      </w:r>
    </w:p>
    <w:p w14:paraId="1F0A2C8D">
      <w:pPr>
        <w:pStyle w:val="14"/>
        <w:spacing w:line="360" w:lineRule="auto"/>
        <w:ind w:firstLine="500" w:firstLineChars="200"/>
        <w:jc w:val="both"/>
        <w:rPr>
          <w:rFonts w:hint="eastAsia" w:ascii="宋体" w:hAnsi="宋体"/>
          <w:sz w:val="25"/>
          <w:szCs w:val="25"/>
          <w:highlight w:val="yellow"/>
          <w:lang w:val="en-US" w:eastAsia="zh-CN"/>
        </w:rPr>
      </w:pPr>
      <w:bookmarkStart w:id="136" w:name="_Toc27351"/>
      <w:bookmarkStart w:id="137" w:name="_Toc31025"/>
    </w:p>
    <w:p w14:paraId="02F8B31D">
      <w:pPr>
        <w:pStyle w:val="14"/>
        <w:spacing w:line="360" w:lineRule="auto"/>
        <w:ind w:firstLine="500" w:firstLineChars="200"/>
        <w:jc w:val="both"/>
        <w:rPr>
          <w:rFonts w:hint="eastAsia" w:ascii="宋体" w:hAnsi="宋体"/>
          <w:sz w:val="25"/>
          <w:szCs w:val="25"/>
          <w:highlight w:val="yellow"/>
          <w:lang w:val="en-US" w:eastAsia="zh-CN"/>
        </w:rPr>
      </w:pPr>
    </w:p>
    <w:p w14:paraId="281CDA2D">
      <w:pPr>
        <w:pStyle w:val="14"/>
        <w:spacing w:line="360" w:lineRule="auto"/>
        <w:ind w:firstLine="500" w:firstLineChars="200"/>
        <w:jc w:val="both"/>
        <w:rPr>
          <w:rFonts w:hint="eastAsia" w:ascii="宋体" w:hAnsi="宋体"/>
          <w:sz w:val="25"/>
          <w:szCs w:val="25"/>
          <w:highlight w:val="yellow"/>
          <w:lang w:val="en-US" w:eastAsia="zh-CN"/>
        </w:rPr>
      </w:pPr>
    </w:p>
    <w:p w14:paraId="3C0301FF">
      <w:pPr>
        <w:pStyle w:val="14"/>
        <w:spacing w:line="360" w:lineRule="auto"/>
        <w:ind w:firstLine="500" w:firstLineChars="200"/>
        <w:jc w:val="both"/>
        <w:rPr>
          <w:rFonts w:hint="eastAsia" w:ascii="宋体" w:hAnsi="宋体"/>
          <w:sz w:val="25"/>
          <w:szCs w:val="25"/>
          <w:highlight w:val="yellow"/>
          <w:lang w:val="en-US" w:eastAsia="zh-CN"/>
        </w:rPr>
      </w:pPr>
    </w:p>
    <w:p w14:paraId="7E8DC6CA">
      <w:pPr>
        <w:pStyle w:val="14"/>
        <w:spacing w:line="360" w:lineRule="auto"/>
        <w:ind w:firstLine="500" w:firstLineChars="200"/>
        <w:jc w:val="both"/>
        <w:rPr>
          <w:rFonts w:hint="eastAsia" w:ascii="宋体" w:hAnsi="宋体"/>
          <w:sz w:val="25"/>
          <w:szCs w:val="25"/>
          <w:highlight w:val="yellow"/>
          <w:lang w:val="en-US" w:eastAsia="zh-CN"/>
        </w:rPr>
      </w:pPr>
    </w:p>
    <w:p w14:paraId="3996149F">
      <w:pPr>
        <w:pStyle w:val="2"/>
        <w:bidi w:val="0"/>
        <w:spacing w:line="240" w:lineRule="auto"/>
        <w:ind w:firstLine="2209" w:firstLineChars="500"/>
        <w:jc w:val="both"/>
        <w:rPr>
          <w:rFonts w:hint="eastAsia"/>
        </w:rPr>
      </w:pPr>
      <w:r>
        <w:rPr>
          <w:rFonts w:hint="eastAsia"/>
          <w:lang w:val="en-US" w:eastAsia="zh-CN"/>
        </w:rPr>
        <w:t xml:space="preserve">第六章 </w:t>
      </w:r>
      <w:r>
        <w:rPr>
          <w:rFonts w:hint="eastAsia"/>
        </w:rPr>
        <w:t>合同条款及格式</w:t>
      </w:r>
      <w:bookmarkEnd w:id="136"/>
      <w:bookmarkEnd w:id="137"/>
    </w:p>
    <w:p w14:paraId="499C7C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color w:val="auto"/>
          <w:kern w:val="0"/>
          <w:sz w:val="32"/>
          <w:szCs w:val="32"/>
          <w:highlight w:val="none"/>
        </w:rPr>
      </w:pPr>
      <w:bookmarkStart w:id="138" w:name="_Toc5481"/>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仅供参考，</w:t>
      </w:r>
      <w:r>
        <w:rPr>
          <w:rFonts w:hint="eastAsia" w:ascii="宋体" w:hAnsi="宋体" w:cs="宋体"/>
          <w:bCs/>
          <w:color w:val="auto"/>
          <w:sz w:val="24"/>
          <w:highlight w:val="none"/>
        </w:rPr>
        <w:t>以最终招标人与中标人签定的合同条款为准，最终签定合同的主要条款不能与招标文件实质性内容有冲突）</w:t>
      </w:r>
      <w:bookmarkStart w:id="139" w:name="_竣工验收及工程移交"/>
      <w:bookmarkEnd w:id="139"/>
    </w:p>
    <w:p w14:paraId="796D00C3">
      <w:pPr>
        <w:jc w:val="left"/>
        <w:rPr>
          <w:rFonts w:hint="eastAsia" w:ascii="宋体" w:hAnsi="宋体" w:eastAsia="宋体"/>
          <w:b/>
          <w:bCs/>
          <w:color w:val="auto"/>
          <w:sz w:val="30"/>
          <w:szCs w:val="30"/>
          <w:highlight w:val="none"/>
          <w:lang w:eastAsia="zh-CN"/>
        </w:rPr>
      </w:pPr>
      <w:r>
        <w:rPr>
          <w:rFonts w:hint="eastAsia" w:ascii="宋体" w:hAnsi="宋体"/>
          <w:b/>
          <w:bCs/>
          <w:color w:val="auto"/>
          <w:sz w:val="30"/>
          <w:szCs w:val="30"/>
          <w:highlight w:val="none"/>
        </w:rPr>
        <w:t>GF-201</w:t>
      </w:r>
      <w:r>
        <w:rPr>
          <w:rFonts w:hint="eastAsia" w:ascii="宋体" w:hAnsi="宋体"/>
          <w:b/>
          <w:bCs/>
          <w:color w:val="auto"/>
          <w:sz w:val="30"/>
          <w:szCs w:val="30"/>
          <w:highlight w:val="none"/>
          <w:lang w:val="en-US" w:eastAsia="zh-CN"/>
        </w:rPr>
        <w:t>7</w:t>
      </w:r>
      <w:r>
        <w:rPr>
          <w:rFonts w:hint="eastAsia" w:ascii="宋体" w:hAnsi="宋体"/>
          <w:b/>
          <w:bCs/>
          <w:color w:val="auto"/>
          <w:sz w:val="30"/>
          <w:szCs w:val="30"/>
          <w:highlight w:val="none"/>
        </w:rPr>
        <w:t>-02</w:t>
      </w:r>
      <w:r>
        <w:rPr>
          <w:rFonts w:hint="eastAsia" w:ascii="宋体" w:hAnsi="宋体"/>
          <w:b/>
          <w:bCs/>
          <w:color w:val="auto"/>
          <w:sz w:val="30"/>
          <w:szCs w:val="30"/>
          <w:highlight w:val="none"/>
          <w:lang w:val="en-US" w:eastAsia="zh-CN"/>
        </w:rPr>
        <w:t>01</w:t>
      </w:r>
    </w:p>
    <w:p w14:paraId="290AA6B4">
      <w:pPr>
        <w:jc w:val="center"/>
        <w:rPr>
          <w:rFonts w:hint="eastAsia" w:ascii="宋体" w:hAnsi="宋体"/>
          <w:b/>
          <w:bCs/>
          <w:color w:val="auto"/>
          <w:sz w:val="48"/>
          <w:highlight w:val="none"/>
        </w:rPr>
      </w:pPr>
    </w:p>
    <w:p w14:paraId="4C0A3327">
      <w:pPr>
        <w:jc w:val="center"/>
        <w:rPr>
          <w:rFonts w:hint="eastAsia" w:ascii="宋体" w:hAnsi="宋体"/>
          <w:b/>
          <w:bCs/>
          <w:color w:val="auto"/>
          <w:sz w:val="48"/>
          <w:highlight w:val="none"/>
        </w:rPr>
      </w:pPr>
    </w:p>
    <w:p w14:paraId="5F94A304">
      <w:pPr>
        <w:jc w:val="center"/>
        <w:rPr>
          <w:rFonts w:hint="eastAsia" w:ascii="宋体" w:hAnsi="宋体"/>
          <w:b/>
          <w:bCs/>
          <w:color w:val="auto"/>
          <w:sz w:val="48"/>
          <w:highlight w:val="none"/>
        </w:rPr>
      </w:pPr>
    </w:p>
    <w:p w14:paraId="5ED62D39">
      <w:pPr>
        <w:jc w:val="center"/>
        <w:rPr>
          <w:rFonts w:ascii="宋体" w:hAnsi="宋体"/>
          <w:b/>
          <w:bCs/>
          <w:color w:val="auto"/>
          <w:sz w:val="36"/>
          <w:szCs w:val="36"/>
          <w:highlight w:val="none"/>
        </w:rPr>
      </w:pPr>
      <w:r>
        <w:rPr>
          <w:rFonts w:hint="eastAsia" w:ascii="宋体" w:hAnsi="宋体"/>
          <w:b/>
          <w:bCs/>
          <w:color w:val="auto"/>
          <w:sz w:val="36"/>
          <w:szCs w:val="36"/>
          <w:highlight w:val="none"/>
        </w:rPr>
        <w:t>建设项目工程总承包合同示范文本</w:t>
      </w:r>
    </w:p>
    <w:p w14:paraId="7D9B086D">
      <w:pPr>
        <w:jc w:val="center"/>
        <w:rPr>
          <w:rFonts w:hint="eastAsia" w:ascii="宋体" w:hAnsi="宋体"/>
          <w:b/>
          <w:bCs/>
          <w:color w:val="auto"/>
          <w:sz w:val="28"/>
          <w:highlight w:val="none"/>
        </w:rPr>
      </w:pPr>
    </w:p>
    <w:p w14:paraId="247D32AC">
      <w:pPr>
        <w:jc w:val="center"/>
        <w:rPr>
          <w:rFonts w:hint="eastAsia" w:ascii="宋体" w:hAnsi="宋体"/>
          <w:bCs/>
          <w:color w:val="auto"/>
          <w:sz w:val="28"/>
          <w:szCs w:val="28"/>
          <w:highlight w:val="none"/>
        </w:rPr>
      </w:pPr>
      <w:r>
        <w:rPr>
          <w:rFonts w:hint="eastAsia" w:ascii="宋体" w:hAnsi="宋体"/>
          <w:bCs/>
          <w:color w:val="auto"/>
          <w:sz w:val="28"/>
          <w:szCs w:val="28"/>
          <w:highlight w:val="none"/>
        </w:rPr>
        <w:t>（</w:t>
      </w:r>
      <w:r>
        <w:rPr>
          <w:rFonts w:hint="eastAsia" w:ascii="宋体" w:hAnsi="宋体"/>
          <w:bCs/>
          <w:color w:val="auto"/>
          <w:sz w:val="28"/>
          <w:szCs w:val="28"/>
          <w:highlight w:val="none"/>
          <w:lang w:val="en-US" w:eastAsia="zh-CN"/>
        </w:rPr>
        <w:t>示范文本</w:t>
      </w:r>
      <w:r>
        <w:rPr>
          <w:rFonts w:hint="eastAsia" w:ascii="宋体" w:hAnsi="宋体"/>
          <w:bCs/>
          <w:color w:val="auto"/>
          <w:sz w:val="28"/>
          <w:szCs w:val="28"/>
          <w:highlight w:val="none"/>
        </w:rPr>
        <w:t>）</w:t>
      </w:r>
    </w:p>
    <w:p w14:paraId="14F18785">
      <w:pPr>
        <w:jc w:val="center"/>
        <w:rPr>
          <w:rFonts w:hint="eastAsia" w:ascii="宋体" w:hAnsi="宋体"/>
          <w:bCs/>
          <w:color w:val="auto"/>
          <w:sz w:val="28"/>
          <w:highlight w:val="none"/>
        </w:rPr>
      </w:pPr>
    </w:p>
    <w:p w14:paraId="72F6A51D">
      <w:pPr>
        <w:jc w:val="center"/>
        <w:rPr>
          <w:rFonts w:hint="eastAsia" w:ascii="宋体" w:hAnsi="宋体"/>
          <w:bCs/>
          <w:color w:val="auto"/>
          <w:sz w:val="28"/>
          <w:highlight w:val="none"/>
        </w:rPr>
      </w:pPr>
    </w:p>
    <w:p w14:paraId="510F2F71">
      <w:pPr>
        <w:jc w:val="center"/>
        <w:rPr>
          <w:rFonts w:hint="eastAsia" w:ascii="宋体" w:hAnsi="宋体"/>
          <w:bCs/>
          <w:color w:val="auto"/>
          <w:sz w:val="28"/>
          <w:highlight w:val="none"/>
        </w:rPr>
      </w:pPr>
    </w:p>
    <w:p w14:paraId="157F3EAC">
      <w:pPr>
        <w:jc w:val="center"/>
        <w:rPr>
          <w:rFonts w:hint="eastAsia" w:ascii="宋体" w:hAnsi="宋体"/>
          <w:bCs/>
          <w:color w:val="auto"/>
          <w:sz w:val="28"/>
          <w:highlight w:val="none"/>
        </w:rPr>
      </w:pPr>
    </w:p>
    <w:p w14:paraId="2E126BAA">
      <w:pPr>
        <w:jc w:val="center"/>
        <w:rPr>
          <w:rFonts w:hint="eastAsia" w:ascii="宋体" w:hAnsi="宋体"/>
          <w:bCs/>
          <w:color w:val="auto"/>
          <w:sz w:val="28"/>
          <w:highlight w:val="none"/>
        </w:rPr>
      </w:pPr>
    </w:p>
    <w:p w14:paraId="7DECB71B">
      <w:pPr>
        <w:jc w:val="center"/>
        <w:rPr>
          <w:rFonts w:hint="eastAsia" w:ascii="宋体" w:hAnsi="宋体"/>
          <w:bCs/>
          <w:color w:val="auto"/>
          <w:sz w:val="28"/>
          <w:highlight w:val="none"/>
        </w:rPr>
      </w:pPr>
    </w:p>
    <w:p w14:paraId="6C969718">
      <w:pPr>
        <w:jc w:val="center"/>
        <w:rPr>
          <w:rFonts w:hint="eastAsia" w:ascii="宋体" w:hAnsi="宋体"/>
          <w:color w:val="auto"/>
          <w:sz w:val="28"/>
          <w:szCs w:val="28"/>
          <w:highlight w:val="none"/>
        </w:rPr>
      </w:pPr>
    </w:p>
    <w:p w14:paraId="1287D045">
      <w:pPr>
        <w:jc w:val="center"/>
        <w:rPr>
          <w:rFonts w:hint="eastAsia" w:ascii="宋体" w:hAnsi="宋体"/>
          <w:color w:val="auto"/>
          <w:sz w:val="28"/>
          <w:szCs w:val="28"/>
          <w:highlight w:val="none"/>
        </w:rPr>
      </w:pPr>
    </w:p>
    <w:p w14:paraId="494858D3">
      <w:pPr>
        <w:jc w:val="center"/>
        <w:rPr>
          <w:rFonts w:hint="eastAsia" w:ascii="宋体" w:hAnsi="宋体"/>
          <w:color w:val="auto"/>
          <w:sz w:val="28"/>
          <w:szCs w:val="28"/>
          <w:highlight w:val="none"/>
        </w:rPr>
      </w:pPr>
    </w:p>
    <w:p w14:paraId="52F497A4">
      <w:pPr>
        <w:jc w:val="center"/>
        <w:rPr>
          <w:rFonts w:hint="eastAsia" w:ascii="宋体" w:hAnsi="宋体"/>
          <w:color w:val="auto"/>
          <w:sz w:val="28"/>
          <w:szCs w:val="28"/>
          <w:highlight w:val="none"/>
        </w:rPr>
      </w:pPr>
    </w:p>
    <w:p w14:paraId="63DB3B81">
      <w:pPr>
        <w:jc w:val="center"/>
        <w:rPr>
          <w:rFonts w:hint="eastAsia" w:ascii="宋体" w:hAnsi="宋体"/>
          <w:color w:val="auto"/>
          <w:sz w:val="28"/>
          <w:szCs w:val="28"/>
          <w:highlight w:val="none"/>
        </w:rPr>
      </w:pPr>
    </w:p>
    <w:p w14:paraId="72CF8F59">
      <w:pPr>
        <w:jc w:val="center"/>
        <w:rPr>
          <w:rFonts w:hint="eastAsia" w:ascii="宋体" w:hAnsi="宋体"/>
          <w:color w:val="auto"/>
          <w:sz w:val="28"/>
          <w:szCs w:val="28"/>
          <w:highlight w:val="none"/>
        </w:rPr>
      </w:pPr>
    </w:p>
    <w:p w14:paraId="170FE8B1">
      <w:pPr>
        <w:jc w:val="center"/>
        <w:rPr>
          <w:rFonts w:hint="eastAsia" w:ascii="宋体" w:hAnsi="宋体"/>
          <w:color w:val="auto"/>
          <w:sz w:val="28"/>
          <w:szCs w:val="28"/>
          <w:highlight w:val="none"/>
        </w:rPr>
      </w:pPr>
    </w:p>
    <w:p w14:paraId="5C57995D">
      <w:pPr>
        <w:jc w:val="center"/>
        <w:rPr>
          <w:rFonts w:hint="eastAsia" w:ascii="宋体" w:hAnsi="宋体"/>
          <w:color w:val="auto"/>
          <w:sz w:val="28"/>
          <w:szCs w:val="28"/>
          <w:highlight w:val="none"/>
        </w:rPr>
      </w:pPr>
    </w:p>
    <w:p w14:paraId="4E68C135">
      <w:pPr>
        <w:jc w:val="both"/>
        <w:rPr>
          <w:rFonts w:hint="eastAsia" w:ascii="宋体" w:hAnsi="宋体"/>
          <w:color w:val="auto"/>
          <w:sz w:val="28"/>
          <w:szCs w:val="28"/>
          <w:highlight w:val="none"/>
        </w:rPr>
      </w:pPr>
    </w:p>
    <w:tbl>
      <w:tblPr>
        <w:tblStyle w:val="21"/>
        <w:tblW w:w="0" w:type="auto"/>
        <w:jc w:val="center"/>
        <w:tblLayout w:type="fixed"/>
        <w:tblCellMar>
          <w:top w:w="0" w:type="dxa"/>
          <w:left w:w="75" w:type="dxa"/>
          <w:bottom w:w="0" w:type="dxa"/>
          <w:right w:w="75" w:type="dxa"/>
        </w:tblCellMar>
      </w:tblPr>
      <w:tblGrid>
        <w:gridCol w:w="3481"/>
        <w:gridCol w:w="479"/>
      </w:tblGrid>
      <w:tr w14:paraId="1EB5112A">
        <w:tblPrEx>
          <w:tblCellMar>
            <w:top w:w="0" w:type="dxa"/>
            <w:left w:w="75" w:type="dxa"/>
            <w:bottom w:w="0" w:type="dxa"/>
            <w:right w:w="75" w:type="dxa"/>
          </w:tblCellMar>
        </w:tblPrEx>
        <w:trPr>
          <w:cantSplit/>
          <w:trHeight w:val="766" w:hRule="atLeast"/>
          <w:jc w:val="center"/>
        </w:trPr>
        <w:tc>
          <w:tcPr>
            <w:tcW w:w="3481" w:type="dxa"/>
            <w:noWrap w:val="0"/>
            <w:vAlign w:val="center"/>
          </w:tcPr>
          <w:p w14:paraId="308E65A4">
            <w:pPr>
              <w:rPr>
                <w:rFonts w:ascii="宋体"/>
                <w:color w:val="auto"/>
                <w:sz w:val="28"/>
                <w:szCs w:val="28"/>
                <w:highlight w:val="none"/>
              </w:rPr>
            </w:pPr>
            <w:r>
              <w:rPr>
                <w:rFonts w:hint="eastAsia" w:ascii="宋体"/>
                <w:color w:val="auto"/>
                <w:sz w:val="28"/>
                <w:szCs w:val="28"/>
                <w:highlight w:val="none"/>
              </w:rPr>
              <w:t>中华人民共和国建设部</w:t>
            </w:r>
          </w:p>
        </w:tc>
        <w:tc>
          <w:tcPr>
            <w:tcW w:w="479" w:type="dxa"/>
            <w:vMerge w:val="restart"/>
            <w:noWrap w:val="0"/>
            <w:vAlign w:val="center"/>
          </w:tcPr>
          <w:p w14:paraId="35E5F130">
            <w:pPr>
              <w:rPr>
                <w:rFonts w:ascii="宋体"/>
                <w:color w:val="auto"/>
                <w:sz w:val="28"/>
                <w:szCs w:val="28"/>
                <w:highlight w:val="none"/>
              </w:rPr>
            </w:pPr>
            <w:r>
              <w:rPr>
                <w:rFonts w:hint="eastAsia" w:ascii="宋体"/>
                <w:color w:val="auto"/>
                <w:sz w:val="28"/>
                <w:szCs w:val="28"/>
                <w:highlight w:val="none"/>
              </w:rPr>
              <w:t>制定</w:t>
            </w:r>
          </w:p>
        </w:tc>
      </w:tr>
      <w:tr w14:paraId="14F17592">
        <w:tblPrEx>
          <w:tblCellMar>
            <w:top w:w="0" w:type="dxa"/>
            <w:left w:w="75" w:type="dxa"/>
            <w:bottom w:w="0" w:type="dxa"/>
            <w:right w:w="75" w:type="dxa"/>
          </w:tblCellMar>
        </w:tblPrEx>
        <w:trPr>
          <w:cantSplit/>
          <w:jc w:val="center"/>
        </w:trPr>
        <w:tc>
          <w:tcPr>
            <w:tcW w:w="3481" w:type="dxa"/>
            <w:noWrap w:val="0"/>
            <w:vAlign w:val="center"/>
          </w:tcPr>
          <w:p w14:paraId="6FF734B8">
            <w:pPr>
              <w:rPr>
                <w:rFonts w:ascii="宋体"/>
                <w:color w:val="auto"/>
                <w:sz w:val="28"/>
                <w:szCs w:val="28"/>
                <w:highlight w:val="none"/>
              </w:rPr>
            </w:pPr>
            <w:r>
              <w:rPr>
                <w:rFonts w:hint="eastAsia" w:ascii="宋体"/>
                <w:color w:val="auto"/>
                <w:sz w:val="28"/>
                <w:szCs w:val="28"/>
                <w:highlight w:val="none"/>
              </w:rPr>
              <w:t>国家工商行政管理局</w:t>
            </w:r>
          </w:p>
        </w:tc>
        <w:tc>
          <w:tcPr>
            <w:tcW w:w="479" w:type="dxa"/>
            <w:vMerge w:val="continue"/>
            <w:noWrap w:val="0"/>
            <w:vAlign w:val="center"/>
          </w:tcPr>
          <w:p w14:paraId="4EDDAADD">
            <w:pPr>
              <w:widowControl/>
              <w:jc w:val="left"/>
              <w:rPr>
                <w:rFonts w:ascii="宋体"/>
                <w:color w:val="auto"/>
                <w:sz w:val="28"/>
                <w:szCs w:val="28"/>
                <w:highlight w:val="none"/>
              </w:rPr>
            </w:pPr>
          </w:p>
        </w:tc>
      </w:tr>
    </w:tbl>
    <w:p w14:paraId="358611F7">
      <w:pPr>
        <w:pStyle w:val="7"/>
        <w:spacing w:line="251" w:lineRule="auto"/>
        <w:rPr>
          <w:color w:val="auto"/>
          <w:highlight w:val="none"/>
        </w:rPr>
      </w:pPr>
      <w:r>
        <w:rPr>
          <w:rFonts w:ascii="宋体" w:hAnsi="宋体" w:eastAsia="宋体"/>
          <w:bCs w:val="0"/>
          <w:color w:val="000000"/>
          <w:highlight w:val="none"/>
        </w:rPr>
        <w:br w:type="page"/>
      </w:r>
    </w:p>
    <w:p w14:paraId="45913B71">
      <w:pPr>
        <w:spacing w:line="227" w:lineRule="auto"/>
        <w:jc w:val="both"/>
        <w:rPr>
          <w:rFonts w:ascii="Calibri" w:hAnsi="Calibri" w:eastAsia="Calibri" w:cs="Calibri"/>
          <w:color w:val="auto"/>
          <w:sz w:val="20"/>
          <w:szCs w:val="20"/>
          <w:highlight w:val="none"/>
        </w:rPr>
        <w:sectPr>
          <w:footerReference r:id="rId3" w:type="default"/>
          <w:pgSz w:w="11907" w:h="16840"/>
          <w:pgMar w:top="1431" w:right="1417" w:bottom="1417" w:left="1417" w:header="340" w:footer="1361" w:gutter="0"/>
          <w:pgNumType w:fmt="decimal"/>
          <w:cols w:space="720" w:num="1"/>
        </w:sectPr>
      </w:pPr>
    </w:p>
    <w:p w14:paraId="5DD56767">
      <w:pPr>
        <w:pStyle w:val="43"/>
        <w:pageBreakBefore w:val="0"/>
        <w:kinsoku/>
        <w:wordWrap/>
        <w:overflowPunct/>
        <w:topLinePunct w:val="0"/>
        <w:bidi w:val="0"/>
        <w:adjustRightInd w:val="0"/>
        <w:snapToGrid w:val="0"/>
        <w:spacing w:before="0" w:after="0" w:line="360" w:lineRule="auto"/>
        <w:ind w:left="0" w:leftChars="0" w:right="0" w:rightChars="0"/>
        <w:jc w:val="center"/>
        <w:textAlignment w:val="auto"/>
        <w:outlineLvl w:val="0"/>
        <w:rPr>
          <w:rFonts w:ascii="宋体" w:hAnsi="宋体" w:eastAsia="宋体" w:cs="宋体"/>
          <w:b/>
          <w:bCs/>
          <w:color w:val="000000"/>
          <w:kern w:val="0"/>
          <w:sz w:val="18"/>
          <w:highlight w:val="none"/>
          <w:lang w:val="zh-CN"/>
        </w:rPr>
      </w:pPr>
      <w:bookmarkStart w:id="140" w:name="bookmark1"/>
      <w:bookmarkEnd w:id="140"/>
      <w:bookmarkStart w:id="141" w:name="_Toc1597"/>
      <w:bookmarkStart w:id="142" w:name="_Toc1308"/>
      <w:bookmarkStart w:id="143" w:name="_Toc24189"/>
      <w:r>
        <w:rPr>
          <w:rFonts w:hint="eastAsia" w:ascii="华文中宋" w:hAnsi="华文中宋" w:eastAsia="华文中宋" w:cs="Times New Roman"/>
          <w:b/>
          <w:bCs/>
          <w:color w:val="000000"/>
          <w:kern w:val="44"/>
          <w:sz w:val="28"/>
          <w:szCs w:val="48"/>
          <w:highlight w:val="none"/>
          <w:lang w:val="zh-CN"/>
        </w:rPr>
        <w:t>第一部分</w:t>
      </w:r>
      <w:r>
        <w:rPr>
          <w:rFonts w:ascii="华文中宋" w:hAnsi="华文中宋" w:eastAsia="华文中宋" w:cs="Times New Roman"/>
          <w:b/>
          <w:bCs/>
          <w:color w:val="000000"/>
          <w:kern w:val="44"/>
          <w:sz w:val="28"/>
          <w:szCs w:val="48"/>
          <w:highlight w:val="none"/>
          <w:lang w:val="zh-CN"/>
        </w:rPr>
        <w:t xml:space="preserve"> </w:t>
      </w:r>
      <w:r>
        <w:rPr>
          <w:rFonts w:hint="eastAsia" w:ascii="华文中宋" w:hAnsi="华文中宋" w:eastAsia="华文中宋" w:cs="Times New Roman"/>
          <w:b/>
          <w:bCs/>
          <w:color w:val="000000"/>
          <w:kern w:val="44"/>
          <w:sz w:val="28"/>
          <w:szCs w:val="48"/>
          <w:highlight w:val="none"/>
          <w:lang w:val="zh-CN"/>
        </w:rPr>
        <w:t>合同协议书</w:t>
      </w:r>
      <w:bookmarkEnd w:id="141"/>
      <w:bookmarkEnd w:id="142"/>
      <w:bookmarkEnd w:id="143"/>
    </w:p>
    <w:p w14:paraId="18884AFB">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rPr>
          <w:rFonts w:hint="eastAsia"/>
          <w:b/>
          <w:bCs/>
          <w:color w:val="000000"/>
          <w:highlight w:val="none"/>
        </w:rPr>
      </w:pPr>
      <w:r>
        <w:rPr>
          <w:rFonts w:hint="eastAsia"/>
          <w:b/>
          <w:bCs/>
          <w:color w:val="000000"/>
          <w:highlight w:val="none"/>
        </w:rPr>
        <w:t>（本合同条款及格式供参考，以实际签订为准）</w:t>
      </w:r>
    </w:p>
    <w:p w14:paraId="189FCA18">
      <w:pPr>
        <w:pStyle w:val="5"/>
        <w:jc w:val="center"/>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第一部分 合同协议书</w:t>
      </w:r>
    </w:p>
    <w:p w14:paraId="7AE5FE63">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发包人（全称）：</w:t>
      </w:r>
      <w:r>
        <w:rPr>
          <w:rFonts w:hint="eastAsia" w:ascii="宋体" w:hAnsi="宋体" w:eastAsia="宋体" w:cs="宋体"/>
          <w:b/>
          <w:color w:val="auto"/>
          <w:sz w:val="24"/>
          <w:szCs w:val="24"/>
          <w:highlight w:val="none"/>
          <w:u w:val="single"/>
        </w:rPr>
        <w:t></w:t>
      </w:r>
      <w:r>
        <w:rPr>
          <w:rFonts w:hint="eastAsia" w:ascii="宋体" w:hAnsi="宋体" w:eastAsia="宋体" w:cs="宋体"/>
          <w:b/>
          <w:color w:val="auto"/>
          <w:sz w:val="24"/>
          <w:szCs w:val="24"/>
          <w:highlight w:val="none"/>
          <w:u w:val="single"/>
          <w:lang w:val="en-US" w:eastAsia="zh-CN"/>
        </w:rPr>
        <w:t xml:space="preserve">        灵宝市消防救援大队           </w:t>
      </w:r>
      <w:r>
        <w:rPr>
          <w:rFonts w:hint="eastAsia" w:ascii="宋体" w:hAnsi="宋体" w:eastAsia="宋体" w:cs="宋体"/>
          <w:b/>
          <w:color w:val="auto"/>
          <w:sz w:val="24"/>
          <w:szCs w:val="24"/>
          <w:highlight w:val="none"/>
          <w:u w:val="single"/>
        </w:rPr>
        <w:t></w:t>
      </w:r>
    </w:p>
    <w:p w14:paraId="456C38B3">
      <w:pPr>
        <w:spacing w:line="360" w:lineRule="auto"/>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承包人（全称）：</w:t>
      </w:r>
      <w:r>
        <w:rPr>
          <w:rFonts w:hint="eastAsia" w:ascii="宋体" w:hAnsi="宋体" w:eastAsia="宋体" w:cs="宋体"/>
          <w:b/>
          <w:color w:val="auto"/>
          <w:sz w:val="24"/>
          <w:szCs w:val="24"/>
          <w:highlight w:val="none"/>
          <w:u w:val="single"/>
        </w:rPr>
        <w:t>                      </w:t>
      </w:r>
      <w:r>
        <w:rPr>
          <w:rFonts w:hint="eastAsia" w:ascii="宋体" w:hAnsi="宋体" w:cs="宋体"/>
          <w:b/>
          <w:color w:val="auto"/>
          <w:sz w:val="24"/>
          <w:szCs w:val="24"/>
          <w:highlight w:val="none"/>
          <w:u w:val="single"/>
          <w:lang w:val="en-US" w:eastAsia="zh-CN"/>
        </w:rPr>
        <w:t xml:space="preserve"> </w:t>
      </w:r>
    </w:p>
    <w:p w14:paraId="40CACD2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w:t>
      </w:r>
      <w:r>
        <w:rPr>
          <w:rFonts w:hint="eastAsia" w:ascii="宋体" w:hAnsi="宋体" w:eastAsia="宋体" w:cs="宋体"/>
          <w:color w:val="auto"/>
          <w:sz w:val="24"/>
          <w:szCs w:val="24"/>
          <w:highlight w:val="none"/>
          <w:lang w:val="en-US" w:eastAsia="zh-CN"/>
        </w:rPr>
        <w:t>民法典</w:t>
      </w:r>
      <w:r>
        <w:rPr>
          <w:rFonts w:hint="eastAsia" w:ascii="宋体" w:hAnsi="宋体" w:eastAsia="宋体" w:cs="宋体"/>
          <w:color w:val="auto"/>
          <w:sz w:val="24"/>
          <w:szCs w:val="24"/>
          <w:highlight w:val="none"/>
        </w:rPr>
        <w:t>》、《中华人民共和国建筑法》及有关法律规定，遵循平等、自愿、公平和诚实信用的原则，双方就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灵宝市阳平镇政府专职消防队建设项目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工程施工及有关事项协商一致，共同达成如下协议：</w:t>
      </w:r>
    </w:p>
    <w:p w14:paraId="3E6D1CD1">
      <w:pPr>
        <w:pStyle w:val="6"/>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bCs w:val="0"/>
          <w:color w:val="auto"/>
          <w:sz w:val="24"/>
          <w:szCs w:val="24"/>
          <w:highlight w:val="none"/>
        </w:rPr>
        <w:t xml:space="preserve"> </w:t>
      </w:r>
      <w:bookmarkStart w:id="144" w:name="_Toc351203481"/>
      <w:r>
        <w:rPr>
          <w:rFonts w:hint="eastAsia" w:ascii="宋体" w:hAnsi="宋体" w:eastAsia="宋体" w:cs="宋体"/>
          <w:b/>
          <w:bCs w:val="0"/>
          <w:color w:val="auto"/>
          <w:sz w:val="24"/>
          <w:szCs w:val="24"/>
          <w:highlight w:val="none"/>
        </w:rPr>
        <w:t>一、工程概况</w:t>
      </w:r>
      <w:bookmarkEnd w:id="144"/>
    </w:p>
    <w:p w14:paraId="2B1115BF">
      <w:pPr>
        <w:spacing w:line="360" w:lineRule="auto"/>
        <w:ind w:firstLine="470" w:firstLineChars="196"/>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1.工程名称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灵宝市阳平镇政府专职消防队建设项目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E0D9415">
      <w:pPr>
        <w:spacing w:line="360" w:lineRule="auto"/>
        <w:ind w:firstLine="470" w:firstLineChars="1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2.工程地点：</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采购人指定地点</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75CFA7AA">
      <w:pPr>
        <w:spacing w:line="360" w:lineRule="auto"/>
        <w:ind w:firstLine="470" w:firstLineChars="1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3.工程立项批准文号：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bCs/>
          <w:color w:val="auto"/>
          <w:sz w:val="24"/>
          <w:szCs w:val="24"/>
          <w:highlight w:val="none"/>
        </w:rPr>
        <w:t>。</w:t>
      </w:r>
    </w:p>
    <w:p w14:paraId="742BC760">
      <w:pPr>
        <w:spacing w:line="360" w:lineRule="auto"/>
        <w:ind w:firstLine="470" w:firstLineChars="1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4.资金来源：</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财政资金，已落实</w:t>
      </w:r>
      <w:r>
        <w:rPr>
          <w:rFonts w:hint="eastAsia" w:ascii="宋体" w:hAnsi="宋体" w:eastAsia="宋体" w:cs="宋体"/>
          <w:color w:val="auto"/>
          <w:sz w:val="24"/>
          <w:szCs w:val="24"/>
          <w:highlight w:val="none"/>
          <w:u w:val="single"/>
        </w:rPr>
        <w:t xml:space="preserve">       </w:t>
      </w:r>
      <w:r>
        <w:rPr>
          <w:rFonts w:hint="eastAsia" w:ascii="宋体" w:hAnsi="宋体" w:eastAsia="宋体" w:cs="宋体"/>
          <w:bCs/>
          <w:color w:val="auto"/>
          <w:sz w:val="24"/>
          <w:szCs w:val="24"/>
          <w:highlight w:val="none"/>
        </w:rPr>
        <w:t>。</w:t>
      </w:r>
    </w:p>
    <w:p w14:paraId="4154164C">
      <w:pPr>
        <w:spacing w:line="360" w:lineRule="auto"/>
        <w:ind w:firstLine="470" w:firstLineChars="1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5.工程内容：</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本工程为灵宝市阳平镇政府专职消防队建设项目。</w:t>
      </w:r>
      <w:r>
        <w:rPr>
          <w:rFonts w:hint="eastAsia" w:ascii="宋体" w:hAnsi="宋体" w:eastAsia="宋体" w:cs="宋体"/>
          <w:color w:val="auto"/>
          <w:sz w:val="24"/>
          <w:szCs w:val="24"/>
          <w:highlight w:val="none"/>
          <w:u w:val="single"/>
          <w:lang w:val="en-US" w:eastAsia="zh-CN"/>
        </w:rPr>
        <w:t>工程主要内容主要内容为阳平镇消防站办公楼改造、新建门卫室、车库、室外工程等</w:t>
      </w:r>
      <w:r>
        <w:rPr>
          <w:rFonts w:hint="eastAsia" w:ascii="宋体" w:hAnsi="宋体" w:eastAsia="宋体" w:cs="宋体"/>
          <w:color w:val="auto"/>
          <w:sz w:val="24"/>
          <w:szCs w:val="24"/>
          <w:highlight w:val="none"/>
          <w:u w:val="single"/>
          <w:lang w:eastAsia="zh-CN"/>
        </w:rPr>
        <w:t>，具体内容详见工程量清单</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w:t>
      </w:r>
    </w:p>
    <w:p w14:paraId="445A5CA0">
      <w:pPr>
        <w:spacing w:line="360" w:lineRule="auto"/>
        <w:ind w:firstLine="470" w:firstLineChars="196"/>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群体工程应附《承包人承揽工程项目一览表》（附件1）。</w:t>
      </w:r>
    </w:p>
    <w:p w14:paraId="2E9BBA1E">
      <w:pPr>
        <w:spacing w:line="360" w:lineRule="auto"/>
        <w:ind w:firstLine="470" w:firstLineChars="1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6.工程承包范围：</w:t>
      </w:r>
    </w:p>
    <w:p w14:paraId="3443066E">
      <w:pPr>
        <w:spacing w:line="360" w:lineRule="auto"/>
        <w:ind w:firstLine="463" w:firstLineChars="1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本项目磋商文件、工程量清单、图纸等列明的所有内容</w:t>
      </w:r>
      <w:r>
        <w:rPr>
          <w:rFonts w:hint="eastAsia" w:ascii="宋体" w:hAnsi="宋体" w:eastAsia="宋体" w:cs="宋体"/>
          <w:color w:val="auto"/>
          <w:sz w:val="24"/>
          <w:szCs w:val="24"/>
          <w:highlight w:val="none"/>
        </w:rPr>
        <w:t>。</w:t>
      </w:r>
    </w:p>
    <w:p w14:paraId="3B3F3557">
      <w:pPr>
        <w:pStyle w:val="6"/>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bookmarkStart w:id="145" w:name="_Toc351203482"/>
      <w:r>
        <w:rPr>
          <w:rFonts w:hint="eastAsia" w:ascii="宋体" w:hAnsi="宋体" w:eastAsia="宋体" w:cs="宋体"/>
          <w:b/>
          <w:bCs w:val="0"/>
          <w:color w:val="auto"/>
          <w:sz w:val="24"/>
          <w:szCs w:val="24"/>
          <w:highlight w:val="none"/>
        </w:rPr>
        <w:t>二、合同工期</w:t>
      </w:r>
      <w:bookmarkEnd w:id="145"/>
    </w:p>
    <w:p w14:paraId="7F59AE78">
      <w:pPr>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计划开工日期：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日。</w:t>
      </w:r>
    </w:p>
    <w:p w14:paraId="31E45FE5">
      <w:pPr>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计划竣工日期：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日。</w:t>
      </w:r>
    </w:p>
    <w:p w14:paraId="0036CA1C">
      <w:pPr>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工期总日历天数：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240日历天 </w:t>
      </w:r>
      <w:r>
        <w:rPr>
          <w:rFonts w:hint="eastAsia" w:ascii="宋体" w:hAnsi="宋体" w:eastAsia="宋体" w:cs="宋体"/>
          <w:color w:val="auto"/>
          <w:sz w:val="24"/>
          <w:szCs w:val="24"/>
          <w:highlight w:val="none"/>
        </w:rPr>
        <w:t>。工期总日历天数与根据前述计划开竣工日期计算的工期天数不一致的，以工期总日历天数为准。</w:t>
      </w:r>
    </w:p>
    <w:p w14:paraId="03AB2271">
      <w:pPr>
        <w:pStyle w:val="6"/>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bCs w:val="0"/>
          <w:color w:val="auto"/>
          <w:sz w:val="24"/>
          <w:szCs w:val="24"/>
          <w:highlight w:val="none"/>
        </w:rPr>
        <w:t xml:space="preserve"> </w:t>
      </w:r>
      <w:bookmarkStart w:id="146" w:name="_Toc351203483"/>
      <w:r>
        <w:rPr>
          <w:rFonts w:hint="eastAsia" w:ascii="宋体" w:hAnsi="宋体" w:eastAsia="宋体" w:cs="宋体"/>
          <w:b/>
          <w:bCs w:val="0"/>
          <w:color w:val="auto"/>
          <w:sz w:val="24"/>
          <w:szCs w:val="24"/>
          <w:highlight w:val="none"/>
        </w:rPr>
        <w:t>三、质量标准</w:t>
      </w:r>
      <w:bookmarkEnd w:id="146"/>
    </w:p>
    <w:p w14:paraId="531E4A3B">
      <w:pPr>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工程质量符合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达到国家质量验收规范合格标准</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标准。</w:t>
      </w:r>
    </w:p>
    <w:p w14:paraId="69B57E3F">
      <w:pPr>
        <w:pStyle w:val="6"/>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bCs w:val="0"/>
          <w:color w:val="auto"/>
          <w:sz w:val="24"/>
          <w:szCs w:val="24"/>
          <w:highlight w:val="none"/>
        </w:rPr>
        <w:t xml:space="preserve"> </w:t>
      </w:r>
      <w:bookmarkStart w:id="147" w:name="_Toc351203484"/>
      <w:r>
        <w:rPr>
          <w:rFonts w:hint="eastAsia" w:ascii="宋体" w:hAnsi="宋体" w:eastAsia="宋体" w:cs="宋体"/>
          <w:b/>
          <w:bCs w:val="0"/>
          <w:color w:val="auto"/>
          <w:sz w:val="24"/>
          <w:szCs w:val="24"/>
          <w:highlight w:val="none"/>
        </w:rPr>
        <w:t>四、签约合同价与合同价格形式</w:t>
      </w:r>
      <w:bookmarkEnd w:id="147"/>
      <w:r>
        <w:rPr>
          <w:rFonts w:hint="eastAsia" w:ascii="宋体" w:hAnsi="宋体" w:eastAsia="宋体" w:cs="宋体"/>
          <w:b w:val="0"/>
          <w:color w:val="auto"/>
          <w:sz w:val="24"/>
          <w:szCs w:val="24"/>
          <w:highlight w:val="none"/>
        </w:rPr>
        <w:tab/>
      </w:r>
    </w:p>
    <w:p w14:paraId="748F5AE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1.签约合同价为：</w:t>
      </w:r>
    </w:p>
    <w:p w14:paraId="36ABFCE0">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224794F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p w14:paraId="478E9F9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（1）安全文明施工费：</w:t>
      </w:r>
    </w:p>
    <w:p w14:paraId="6D31DB9B">
      <w:pPr>
        <w:spacing w:line="360" w:lineRule="auto"/>
        <w:ind w:firstLine="1080" w:firstLineChars="4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491E8F6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（2）材料和工程设备暂估价金额：</w:t>
      </w:r>
    </w:p>
    <w:p w14:paraId="189F2DE0">
      <w:pPr>
        <w:spacing w:line="360" w:lineRule="auto"/>
        <w:ind w:firstLine="1080" w:firstLineChars="4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679A69A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（3）专业工程暂估价金额：</w:t>
      </w:r>
    </w:p>
    <w:p w14:paraId="46E52DE6">
      <w:pPr>
        <w:spacing w:line="360" w:lineRule="auto"/>
        <w:ind w:firstLine="1080" w:firstLineChars="4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59A1A30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（4）暂列金额：</w:t>
      </w:r>
    </w:p>
    <w:p w14:paraId="78706606">
      <w:pPr>
        <w:spacing w:line="360" w:lineRule="auto"/>
        <w:ind w:firstLine="1080" w:firstLineChars="4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3526D082">
      <w:pPr>
        <w:numPr>
          <w:ilvl w:val="0"/>
          <w:numId w:val="0"/>
        </w:numPr>
        <w:spacing w:line="360" w:lineRule="auto"/>
        <w:ind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合同价格形式：</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固定单价合同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B7EB85B">
      <w:pPr>
        <w:keepNext w:val="0"/>
        <w:keepLines w:val="0"/>
        <w:pageBreakBefore w:val="0"/>
        <w:widowControl/>
        <w:numPr>
          <w:ilvl w:val="0"/>
          <w:numId w:val="0"/>
        </w:numPr>
        <w:kinsoku/>
        <w:wordWrap/>
        <w:overflowPunct/>
        <w:topLinePunct w:val="0"/>
        <w:bidi w:val="0"/>
        <w:adjustRightInd w:val="0"/>
        <w:snapToGrid w:val="0"/>
        <w:spacing w:beforeLines="0" w:afterLines="0" w:line="360" w:lineRule="auto"/>
        <w:ind w:firstLine="480" w:firstLineChars="200"/>
        <w:jc w:val="left"/>
        <w:textAlignment w:val="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3.项目款支付：</w:t>
      </w:r>
      <w:r>
        <w:rPr>
          <w:rFonts w:hint="eastAsia" w:ascii="宋体" w:hAnsi="宋体" w:eastAsia="宋体" w:cs="宋体"/>
          <w:color w:val="auto"/>
          <w:sz w:val="24"/>
          <w:szCs w:val="24"/>
          <w:highlight w:val="none"/>
          <w:u w:val="single"/>
          <w:lang w:val="en-US" w:eastAsia="zh-CN"/>
        </w:rPr>
        <w:t>（1）工程预付款：本合同生效后，发包人按合同总价的 30% 向承包人支付工程预付款。该款项专项用于本工程前期筹备、材料采购、施工人员进场等工程启动开支，承包人不得挪作本合同工程以外用途。 （2）工程进度款：工程进度款按月度周期结算支付。承包人应于每月约定时限内提交当期已完合格工程量报告、付款申请及对应质量验收合格资料，经发包人审核确认后，发包人按当期已完合格工程对应价款的80% 向承包人拨付工程进度款。（3）竣工验收节点付款：本工程全部完工并通过竣工验收合格后，发包人累计支付工程款至结算总价的 90%。 （4）竣工结算付款：竣工结算审核完成且双方共同确认最终结算总价款后，发包人累计支付工程款至结算总价款的 97%。 （5）质量保证金：结算总价款的 3% 预留为工程质量保证金。待本工程缺陷责任期届满，经发包人核查确认工程无质量缺陷、承包人已全面履行全部缺陷修复义务后，发包人将剩余质量保证金向承包人无息返还。</w:t>
      </w:r>
    </w:p>
    <w:p w14:paraId="2181FD88">
      <w:pPr>
        <w:pStyle w:val="6"/>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148" w:name="_Toc351203485"/>
      <w:r>
        <w:rPr>
          <w:rFonts w:hint="eastAsia" w:ascii="宋体" w:hAnsi="宋体" w:eastAsia="宋体" w:cs="宋体"/>
          <w:b/>
          <w:bCs w:val="0"/>
          <w:color w:val="auto"/>
          <w:sz w:val="24"/>
          <w:szCs w:val="24"/>
          <w:highlight w:val="none"/>
        </w:rPr>
        <w:t>五、</w:t>
      </w:r>
      <w:bookmarkEnd w:id="148"/>
      <w:r>
        <w:rPr>
          <w:rFonts w:hint="eastAsia" w:ascii="宋体" w:hAnsi="宋体" w:eastAsia="宋体" w:cs="宋体"/>
          <w:b/>
          <w:bCs w:val="0"/>
          <w:color w:val="auto"/>
          <w:sz w:val="24"/>
          <w:szCs w:val="24"/>
          <w:highlight w:val="none"/>
        </w:rPr>
        <w:t>项目经理</w:t>
      </w:r>
    </w:p>
    <w:p w14:paraId="61FCC2E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承包人项目经理：</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2EC43584">
      <w:pPr>
        <w:pStyle w:val="6"/>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149" w:name="_Toc351203486"/>
      <w:r>
        <w:rPr>
          <w:rFonts w:hint="eastAsia" w:ascii="宋体" w:hAnsi="宋体" w:eastAsia="宋体" w:cs="宋体"/>
          <w:b/>
          <w:bCs w:val="0"/>
          <w:color w:val="auto"/>
          <w:sz w:val="24"/>
          <w:szCs w:val="24"/>
          <w:highlight w:val="none"/>
        </w:rPr>
        <w:t>六、合同文件构成</w:t>
      </w:r>
      <w:bookmarkEnd w:id="149"/>
    </w:p>
    <w:p w14:paraId="1700D9BC">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本协议书与下列文件一起构成合同文件：</w:t>
      </w:r>
    </w:p>
    <w:p w14:paraId="2E454687">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（1）中标通知书（如果有）；</w:t>
      </w:r>
    </w:p>
    <w:p w14:paraId="37A5FF17">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p>
    <w:p w14:paraId="28EDF20B">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（3）专用合同条款及其附件；</w:t>
      </w:r>
    </w:p>
    <w:p w14:paraId="430ABB4D">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（4）通用合同条款；</w:t>
      </w:r>
    </w:p>
    <w:p w14:paraId="57D72508">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（5）技术标准和要求；</w:t>
      </w:r>
    </w:p>
    <w:p w14:paraId="6B227290">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（6）图纸；</w:t>
      </w:r>
    </w:p>
    <w:p w14:paraId="2C32DD5D">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（7）已标价工程量清单或预算书；</w:t>
      </w:r>
    </w:p>
    <w:p w14:paraId="5F086B5D">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（8）其他合同文件。</w:t>
      </w:r>
    </w:p>
    <w:p w14:paraId="037E0334">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在合同订立及履行过程中形成的与合同有关的文件均构成合同文件组成部分。</w:t>
      </w:r>
    </w:p>
    <w:p w14:paraId="4727B026">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4E06A905">
      <w:pPr>
        <w:pStyle w:val="6"/>
        <w:spacing w:before="120" w:after="12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150" w:name="_Toc351203487"/>
      <w:r>
        <w:rPr>
          <w:rFonts w:hint="eastAsia" w:ascii="宋体" w:hAnsi="宋体" w:eastAsia="宋体" w:cs="宋体"/>
          <w:b/>
          <w:bCs w:val="0"/>
          <w:color w:val="auto"/>
          <w:sz w:val="24"/>
          <w:szCs w:val="24"/>
          <w:highlight w:val="none"/>
        </w:rPr>
        <w:t>七、承诺</w:t>
      </w:r>
      <w:bookmarkEnd w:id="150"/>
    </w:p>
    <w:p w14:paraId="491D9F4B">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1.发包人承诺按照法律规定履行项目审批手续、筹集工程建设资金并按照合同约定的期限和方式支付合同价款。</w:t>
      </w:r>
    </w:p>
    <w:p w14:paraId="33643B2B">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30791AB1">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3.发包人和承包人通过招投标形式签订合同的，双方理解并承诺不再就同一工程另行签订与合同实质性内容相背离的协议。</w:t>
      </w:r>
    </w:p>
    <w:p w14:paraId="290C2500">
      <w:pPr>
        <w:spacing w:line="360" w:lineRule="auto"/>
        <w:rPr>
          <w:rFonts w:hint="eastAsia" w:ascii="宋体" w:hAnsi="宋体" w:eastAsia="宋体" w:cs="宋体"/>
          <w:bCs/>
          <w:color w:val="auto"/>
          <w:sz w:val="24"/>
          <w:szCs w:val="24"/>
          <w:highlight w:val="none"/>
        </w:rPr>
      </w:pPr>
      <w:bookmarkStart w:id="151" w:name="_Toc351203488"/>
      <w:r>
        <w:rPr>
          <w:rFonts w:hint="eastAsia" w:ascii="宋体" w:hAnsi="宋体" w:eastAsia="宋体" w:cs="宋体"/>
          <w:b/>
          <w:color w:val="auto"/>
          <w:sz w:val="24"/>
          <w:szCs w:val="24"/>
          <w:highlight w:val="none"/>
        </w:rPr>
        <w:t xml:space="preserve">    八、词语含义</w:t>
      </w:r>
      <w:bookmarkEnd w:id="151"/>
    </w:p>
    <w:p w14:paraId="28FC5DB3">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本协议书中词语含义与第二部分通用合同条款中赋予的含义相同。</w:t>
      </w:r>
    </w:p>
    <w:p w14:paraId="11484CBB">
      <w:pPr>
        <w:pStyle w:val="6"/>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152" w:name="_Toc351203489"/>
      <w:r>
        <w:rPr>
          <w:rFonts w:hint="eastAsia" w:ascii="宋体" w:hAnsi="宋体" w:eastAsia="宋体" w:cs="宋体"/>
          <w:b/>
          <w:bCs w:val="0"/>
          <w:color w:val="auto"/>
          <w:sz w:val="24"/>
          <w:szCs w:val="24"/>
          <w:highlight w:val="none"/>
        </w:rPr>
        <w:t>九、签订时间</w:t>
      </w:r>
      <w:bookmarkEnd w:id="152"/>
    </w:p>
    <w:p w14:paraId="31DFB722">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日签订。</w:t>
      </w:r>
    </w:p>
    <w:p w14:paraId="44B4EC3A">
      <w:pPr>
        <w:pStyle w:val="6"/>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bookmarkStart w:id="153" w:name="_Toc351203490"/>
      <w:r>
        <w:rPr>
          <w:rFonts w:hint="eastAsia" w:ascii="宋体" w:hAnsi="宋体" w:eastAsia="宋体" w:cs="宋体"/>
          <w:b/>
          <w:bCs w:val="0"/>
          <w:color w:val="auto"/>
          <w:sz w:val="24"/>
          <w:szCs w:val="24"/>
          <w:highlight w:val="none"/>
        </w:rPr>
        <w:t>十、签订地点</w:t>
      </w:r>
      <w:bookmarkEnd w:id="153"/>
    </w:p>
    <w:p w14:paraId="4B4F4527">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签订。</w:t>
      </w:r>
    </w:p>
    <w:p w14:paraId="54735FFB">
      <w:pPr>
        <w:pStyle w:val="6"/>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bookmarkStart w:id="154" w:name="_Toc351203491"/>
      <w:r>
        <w:rPr>
          <w:rFonts w:hint="eastAsia" w:ascii="宋体" w:hAnsi="宋体" w:eastAsia="宋体" w:cs="宋体"/>
          <w:b/>
          <w:bCs w:val="0"/>
          <w:color w:val="auto"/>
          <w:sz w:val="24"/>
          <w:szCs w:val="24"/>
          <w:highlight w:val="none"/>
        </w:rPr>
        <w:t>十一、补充协议</w:t>
      </w:r>
      <w:bookmarkEnd w:id="154"/>
    </w:p>
    <w:p w14:paraId="7FFFFDC0">
      <w:pPr>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合同未尽事宜，合同当事人另行签订补充协议，补充协议是合同的组成部分。</w:t>
      </w:r>
    </w:p>
    <w:p w14:paraId="3882DC0B">
      <w:pPr>
        <w:pStyle w:val="6"/>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bookmarkStart w:id="155" w:name="_Toc351203492"/>
      <w:r>
        <w:rPr>
          <w:rFonts w:hint="eastAsia" w:ascii="宋体" w:hAnsi="宋体" w:eastAsia="宋体" w:cs="宋体"/>
          <w:b/>
          <w:bCs w:val="0"/>
          <w:color w:val="auto"/>
          <w:sz w:val="24"/>
          <w:szCs w:val="24"/>
          <w:highlight w:val="none"/>
        </w:rPr>
        <w:t>十二、合同生效</w:t>
      </w:r>
      <w:bookmarkEnd w:id="155"/>
    </w:p>
    <w:p w14:paraId="1947BD0B">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生效。</w:t>
      </w:r>
    </w:p>
    <w:p w14:paraId="5B8A61FC">
      <w:pPr>
        <w:pStyle w:val="6"/>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val="0"/>
          <w:bCs/>
          <w:color w:val="auto"/>
          <w:sz w:val="24"/>
          <w:szCs w:val="24"/>
          <w:highlight w:val="none"/>
        </w:rPr>
        <w:t xml:space="preserve"> </w:t>
      </w:r>
      <w:bookmarkStart w:id="156" w:name="_Toc351203493"/>
      <w:r>
        <w:rPr>
          <w:rFonts w:hint="eastAsia" w:ascii="宋体" w:hAnsi="宋体" w:eastAsia="宋体" w:cs="宋体"/>
          <w:b/>
          <w:bCs w:val="0"/>
          <w:color w:val="auto"/>
          <w:sz w:val="24"/>
          <w:szCs w:val="24"/>
          <w:highlight w:val="none"/>
        </w:rPr>
        <w:t>十三、合同份数</w:t>
      </w:r>
      <w:bookmarkEnd w:id="156"/>
    </w:p>
    <w:p w14:paraId="5A96253F">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本合同一式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份，均具有同等法律效力，发包人执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份，承包人执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份。</w:t>
      </w:r>
    </w:p>
    <w:p w14:paraId="56A3A395">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  (公章)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(公章)                    </w:t>
      </w:r>
    </w:p>
    <w:p w14:paraId="779554F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法定代表人或其委托代理人：</w:t>
      </w:r>
    </w:p>
    <w:p w14:paraId="20E8B18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（签字）</w:t>
      </w:r>
    </w:p>
    <w:p w14:paraId="4A2BE5CB">
      <w:pPr>
        <w:tabs>
          <w:tab w:val="left" w:pos="441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p>
    <w:p w14:paraId="38A424F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3D99A61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p>
    <w:p w14:paraId="298AE7D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       </w:t>
      </w:r>
    </w:p>
    <w:p w14:paraId="59BCCE7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p>
    <w:p w14:paraId="2152606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p>
    <w:p w14:paraId="5DF0BA1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   </w:t>
      </w:r>
    </w:p>
    <w:p w14:paraId="51C0022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p>
    <w:p w14:paraId="7F70BDF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p>
    <w:p w14:paraId="434FC771">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账  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p>
    <w:p w14:paraId="48AD02D1">
      <w:pPr>
        <w:spacing w:line="360" w:lineRule="auto"/>
        <w:ind w:firstLine="480" w:firstLineChars="200"/>
        <w:rPr>
          <w:rFonts w:hint="eastAsia" w:ascii="宋体" w:hAnsi="宋体" w:eastAsia="宋体" w:cs="宋体"/>
          <w:color w:val="auto"/>
          <w:sz w:val="24"/>
          <w:szCs w:val="24"/>
          <w:highlight w:val="none"/>
          <w:u w:val="single"/>
        </w:rPr>
      </w:pPr>
    </w:p>
    <w:p w14:paraId="6126B081">
      <w:pPr>
        <w:spacing w:line="360" w:lineRule="auto"/>
        <w:ind w:firstLine="480" w:firstLineChars="200"/>
        <w:rPr>
          <w:rFonts w:hint="eastAsia" w:ascii="宋体" w:hAnsi="宋体" w:eastAsia="宋体" w:cs="宋体"/>
          <w:color w:val="auto"/>
          <w:sz w:val="24"/>
          <w:szCs w:val="24"/>
          <w:highlight w:val="none"/>
          <w:u w:val="single"/>
        </w:rPr>
      </w:pPr>
    </w:p>
    <w:p w14:paraId="4063412A">
      <w:pPr>
        <w:spacing w:line="360" w:lineRule="auto"/>
        <w:ind w:firstLine="480" w:firstLineChars="200"/>
        <w:rPr>
          <w:rFonts w:hint="eastAsia" w:ascii="宋体" w:hAnsi="宋体" w:eastAsia="宋体" w:cs="宋体"/>
          <w:color w:val="auto"/>
          <w:sz w:val="24"/>
          <w:szCs w:val="24"/>
          <w:highlight w:val="none"/>
          <w:u w:val="single"/>
        </w:rPr>
      </w:pPr>
    </w:p>
    <w:p w14:paraId="32FEE5CC">
      <w:pPr>
        <w:spacing w:line="360" w:lineRule="auto"/>
        <w:ind w:firstLine="480" w:firstLineChars="200"/>
        <w:rPr>
          <w:rFonts w:hint="eastAsia" w:ascii="宋体" w:hAnsi="宋体" w:eastAsia="宋体" w:cs="宋体"/>
          <w:color w:val="auto"/>
          <w:sz w:val="24"/>
          <w:szCs w:val="24"/>
          <w:highlight w:val="none"/>
          <w:u w:val="single"/>
        </w:rPr>
      </w:pPr>
    </w:p>
    <w:p w14:paraId="019D228B">
      <w:pPr>
        <w:spacing w:line="360" w:lineRule="auto"/>
        <w:ind w:firstLine="480" w:firstLineChars="200"/>
        <w:rPr>
          <w:rFonts w:hint="eastAsia" w:ascii="宋体" w:hAnsi="宋体" w:eastAsia="宋体" w:cs="宋体"/>
          <w:color w:val="auto"/>
          <w:sz w:val="24"/>
          <w:szCs w:val="24"/>
          <w:highlight w:val="none"/>
          <w:u w:val="single"/>
        </w:rPr>
      </w:pPr>
    </w:p>
    <w:p w14:paraId="09589851">
      <w:pPr>
        <w:spacing w:line="360" w:lineRule="auto"/>
        <w:ind w:firstLine="480" w:firstLineChars="200"/>
        <w:rPr>
          <w:rFonts w:hint="eastAsia" w:ascii="宋体" w:hAnsi="宋体" w:eastAsia="宋体" w:cs="宋体"/>
          <w:color w:val="auto"/>
          <w:sz w:val="24"/>
          <w:szCs w:val="24"/>
          <w:highlight w:val="none"/>
          <w:u w:val="single"/>
        </w:rPr>
      </w:pPr>
    </w:p>
    <w:p w14:paraId="5E679C46">
      <w:pPr>
        <w:spacing w:line="360" w:lineRule="auto"/>
        <w:ind w:firstLine="480" w:firstLineChars="200"/>
        <w:rPr>
          <w:rFonts w:hint="eastAsia" w:ascii="宋体" w:hAnsi="宋体" w:eastAsia="宋体" w:cs="宋体"/>
          <w:color w:val="auto"/>
          <w:sz w:val="24"/>
          <w:szCs w:val="24"/>
          <w:highlight w:val="none"/>
          <w:u w:val="single"/>
        </w:rPr>
      </w:pPr>
    </w:p>
    <w:p w14:paraId="371343EF">
      <w:pPr>
        <w:spacing w:line="360" w:lineRule="auto"/>
        <w:ind w:firstLine="480" w:firstLineChars="200"/>
        <w:rPr>
          <w:rFonts w:hint="eastAsia" w:ascii="宋体" w:hAnsi="宋体" w:eastAsia="宋体" w:cs="宋体"/>
          <w:color w:val="auto"/>
          <w:sz w:val="24"/>
          <w:szCs w:val="24"/>
          <w:highlight w:val="none"/>
          <w:u w:val="single"/>
        </w:rPr>
      </w:pPr>
    </w:p>
    <w:p w14:paraId="19E1DB16">
      <w:pPr>
        <w:spacing w:line="360" w:lineRule="auto"/>
        <w:ind w:firstLine="480" w:firstLineChars="200"/>
        <w:rPr>
          <w:rFonts w:hint="eastAsia" w:ascii="宋体" w:hAnsi="宋体" w:eastAsia="宋体" w:cs="宋体"/>
          <w:color w:val="auto"/>
          <w:sz w:val="24"/>
          <w:szCs w:val="24"/>
          <w:highlight w:val="none"/>
          <w:u w:val="single"/>
        </w:rPr>
      </w:pPr>
    </w:p>
    <w:p w14:paraId="5FFAFFBA">
      <w:pPr>
        <w:spacing w:line="360" w:lineRule="auto"/>
        <w:ind w:firstLine="480" w:firstLineChars="200"/>
        <w:rPr>
          <w:rFonts w:hint="eastAsia" w:ascii="宋体" w:hAnsi="宋体" w:eastAsia="宋体" w:cs="宋体"/>
          <w:color w:val="auto"/>
          <w:sz w:val="24"/>
          <w:szCs w:val="24"/>
          <w:highlight w:val="none"/>
          <w:u w:val="single"/>
        </w:rPr>
      </w:pPr>
    </w:p>
    <w:p w14:paraId="0AB584D2">
      <w:pPr>
        <w:spacing w:line="360" w:lineRule="auto"/>
        <w:rPr>
          <w:rFonts w:hint="eastAsia" w:ascii="宋体" w:hAnsi="宋体" w:eastAsia="宋体" w:cs="宋体"/>
          <w:color w:val="auto"/>
          <w:sz w:val="24"/>
          <w:szCs w:val="24"/>
          <w:highlight w:val="none"/>
          <w:u w:val="single"/>
        </w:rPr>
      </w:pPr>
    </w:p>
    <w:p w14:paraId="3A4FFB11">
      <w:pPr>
        <w:pStyle w:val="5"/>
        <w:ind w:firstLine="3132" w:firstLineChars="1300"/>
        <w:jc w:val="both"/>
        <w:rPr>
          <w:rFonts w:hint="eastAsia" w:ascii="宋体" w:hAnsi="宋体" w:eastAsia="宋体" w:cs="宋体"/>
          <w:color w:val="auto"/>
          <w:sz w:val="24"/>
          <w:szCs w:val="24"/>
          <w:highlight w:val="none"/>
        </w:rPr>
      </w:pPr>
      <w:bookmarkStart w:id="157" w:name="_Toc351203494"/>
      <w:r>
        <w:rPr>
          <w:rFonts w:hint="eastAsia" w:ascii="宋体" w:hAnsi="宋体" w:eastAsia="宋体" w:cs="宋体"/>
          <w:color w:val="auto"/>
          <w:sz w:val="24"/>
          <w:szCs w:val="24"/>
          <w:highlight w:val="none"/>
        </w:rPr>
        <w:t>第二部分 通用合同条款</w:t>
      </w:r>
      <w:bookmarkEnd w:id="157"/>
      <w:bookmarkStart w:id="158" w:name="_Toc337558727"/>
    </w:p>
    <w:bookmarkEnd w:id="158"/>
    <w:p w14:paraId="1D48372F">
      <w:pPr>
        <w:snapToGrid w:val="0"/>
        <w:spacing w:line="360" w:lineRule="auto"/>
        <w:ind w:firstLine="759"/>
        <w:rPr>
          <w:rFonts w:ascii="宋体" w:hAnsi="宋体" w:eastAsia="宋体" w:cs="Times New Roman"/>
          <w:b w:val="0"/>
          <w:bCs/>
          <w:sz w:val="24"/>
          <w:szCs w:val="24"/>
          <w:highlight w:val="none"/>
        </w:rPr>
      </w:pPr>
      <w:bookmarkStart w:id="159" w:name="_Toc351203632"/>
      <w:r>
        <w:rPr>
          <w:rFonts w:hint="eastAsia" w:ascii="宋体" w:hAnsi="宋体" w:eastAsia="宋体" w:cs="Times New Roman"/>
          <w:b w:val="0"/>
          <w:bCs/>
          <w:sz w:val="24"/>
          <w:szCs w:val="24"/>
          <w:highlight w:val="none"/>
        </w:rPr>
        <w:t>本合同通用条款采用中华人民共和国住房和城乡建设部、国家工商行政管理局制定的《建设工程施工合同（示范文本）》（GF-201</w:t>
      </w:r>
      <w:r>
        <w:rPr>
          <w:rFonts w:hint="eastAsia" w:ascii="宋体" w:hAnsi="宋体" w:eastAsia="宋体" w:cs="Times New Roman"/>
          <w:b w:val="0"/>
          <w:bCs/>
          <w:sz w:val="24"/>
          <w:szCs w:val="24"/>
          <w:highlight w:val="none"/>
          <w:lang w:val="en-US" w:eastAsia="zh-CN"/>
        </w:rPr>
        <w:t>7</w:t>
      </w:r>
      <w:r>
        <w:rPr>
          <w:rFonts w:hint="eastAsia" w:ascii="宋体" w:hAnsi="宋体" w:eastAsia="宋体" w:cs="Times New Roman"/>
          <w:b w:val="0"/>
          <w:bCs/>
          <w:sz w:val="24"/>
          <w:szCs w:val="24"/>
          <w:highlight w:val="none"/>
        </w:rPr>
        <w:t>-0201）第二部分《通用条款》。</w:t>
      </w:r>
    </w:p>
    <w:p w14:paraId="55C92DE0">
      <w:pPr>
        <w:spacing w:line="480" w:lineRule="exact"/>
        <w:ind w:firstLine="235" w:firstLineChars="98"/>
        <w:jc w:val="left"/>
        <w:rPr>
          <w:rFonts w:ascii="宋体" w:hAnsi="宋体" w:eastAsia="宋体"/>
          <w:b w:val="0"/>
          <w:bCs/>
          <w:sz w:val="24"/>
          <w:szCs w:val="24"/>
          <w:highlight w:val="none"/>
        </w:rPr>
      </w:pPr>
      <w:r>
        <w:rPr>
          <w:rFonts w:hint="eastAsia" w:ascii="宋体" w:hAnsi="宋体" w:eastAsia="宋体" w:cs="宋体"/>
          <w:b w:val="0"/>
          <w:bCs/>
          <w:sz w:val="24"/>
          <w:szCs w:val="24"/>
          <w:highlight w:val="none"/>
        </w:rPr>
        <w:t>（备注：以上合同格式招标人和中标单位可根据实际情况自行增加或递减合同的相应条款和约束内容）</w:t>
      </w:r>
    </w:p>
    <w:p w14:paraId="009F35E2">
      <w:pPr>
        <w:pStyle w:val="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r>
        <w:rPr>
          <w:rFonts w:hint="eastAsia" w:ascii="宋体" w:hAnsi="宋体" w:eastAsia="宋体" w:cs="宋体"/>
          <w:color w:val="auto"/>
          <w:sz w:val="24"/>
          <w:szCs w:val="24"/>
          <w:highlight w:val="none"/>
        </w:rPr>
        <w:t>第三部分 专用合同条款</w:t>
      </w:r>
      <w:bookmarkEnd w:id="159"/>
    </w:p>
    <w:p w14:paraId="3F2FF340">
      <w:p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160" w:name="_Toc351203633"/>
      <w:bookmarkStart w:id="161" w:name="_Toc21737"/>
      <w:r>
        <w:rPr>
          <w:rFonts w:hint="eastAsia" w:ascii="宋体" w:hAnsi="宋体" w:eastAsia="宋体" w:cs="宋体"/>
          <w:b/>
          <w:bCs w:val="0"/>
          <w:color w:val="auto"/>
          <w:sz w:val="24"/>
          <w:szCs w:val="24"/>
          <w:highlight w:val="none"/>
        </w:rPr>
        <w:t>1</w:t>
      </w:r>
      <w:bookmarkStart w:id="162" w:name="_Toc296891196"/>
      <w:bookmarkStart w:id="163" w:name="_Toc296890984"/>
      <w:bookmarkStart w:id="164" w:name="_Toc292559361"/>
      <w:bookmarkStart w:id="165" w:name="_Toc296503156"/>
      <w:bookmarkStart w:id="166" w:name="_Toc296347155"/>
      <w:bookmarkStart w:id="167" w:name="_Toc297120456"/>
      <w:bookmarkStart w:id="168" w:name="_Toc292559866"/>
      <w:bookmarkStart w:id="169" w:name="_Toc296346657"/>
      <w:bookmarkStart w:id="170" w:name="_Toc296944495"/>
      <w:bookmarkStart w:id="171" w:name="_Toc297048342"/>
      <w:r>
        <w:rPr>
          <w:rFonts w:hint="eastAsia" w:ascii="宋体" w:hAnsi="宋体" w:eastAsia="宋体" w:cs="宋体"/>
          <w:b/>
          <w:bCs w:val="0"/>
          <w:color w:val="auto"/>
          <w:sz w:val="24"/>
          <w:szCs w:val="24"/>
          <w:highlight w:val="none"/>
        </w:rPr>
        <w:t>. 一般约定</w:t>
      </w:r>
      <w:bookmarkEnd w:id="160"/>
      <w:bookmarkEnd w:id="161"/>
    </w:p>
    <w:bookmarkEnd w:id="162"/>
    <w:bookmarkEnd w:id="163"/>
    <w:bookmarkEnd w:id="164"/>
    <w:bookmarkEnd w:id="165"/>
    <w:bookmarkEnd w:id="166"/>
    <w:bookmarkEnd w:id="167"/>
    <w:bookmarkEnd w:id="168"/>
    <w:bookmarkEnd w:id="169"/>
    <w:bookmarkEnd w:id="170"/>
    <w:bookmarkEnd w:id="171"/>
    <w:p w14:paraId="0DF2B069">
      <w:pPr>
        <w:spacing w:after="120" w:line="360" w:lineRule="auto"/>
        <w:ind w:firstLine="480" w:firstLineChars="200"/>
        <w:outlineLvl w:val="0"/>
        <w:rPr>
          <w:rFonts w:hint="eastAsia" w:ascii="宋体" w:hAnsi="宋体" w:eastAsia="宋体" w:cs="宋体"/>
          <w:color w:val="auto"/>
          <w:sz w:val="24"/>
          <w:szCs w:val="24"/>
          <w:highlight w:val="none"/>
        </w:rPr>
      </w:pPr>
      <w:bookmarkStart w:id="172" w:name="_Toc6140"/>
      <w:r>
        <w:rPr>
          <w:rFonts w:hint="eastAsia" w:ascii="宋体" w:hAnsi="宋体" w:eastAsia="宋体" w:cs="宋体"/>
          <w:color w:val="auto"/>
          <w:sz w:val="24"/>
          <w:szCs w:val="24"/>
          <w:highlight w:val="none"/>
        </w:rPr>
        <w:t>1.1 词语定义</w:t>
      </w:r>
      <w:bookmarkEnd w:id="172"/>
    </w:p>
    <w:p w14:paraId="66F19A18">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1.1.1合同</w:t>
      </w:r>
    </w:p>
    <w:p w14:paraId="3FB75494">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1.1.1.10其他合同文件包括：</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磋商</w:t>
      </w:r>
      <w:r>
        <w:rPr>
          <w:rFonts w:hint="eastAsia" w:ascii="宋体" w:hAnsi="宋体" w:eastAsia="宋体" w:cs="宋体"/>
          <w:color w:val="auto"/>
          <w:sz w:val="24"/>
          <w:szCs w:val="24"/>
          <w:highlight w:val="none"/>
          <w:u w:val="single"/>
        </w:rPr>
        <w:t>文件、</w:t>
      </w:r>
      <w:r>
        <w:rPr>
          <w:rFonts w:hint="eastAsia" w:ascii="宋体" w:hAnsi="宋体" w:eastAsia="宋体" w:cs="宋体"/>
          <w:color w:val="auto"/>
          <w:sz w:val="24"/>
          <w:szCs w:val="24"/>
          <w:highlight w:val="none"/>
          <w:u w:val="single"/>
          <w:lang w:val="en-US" w:eastAsia="zh-CN"/>
        </w:rPr>
        <w:t>响应</w:t>
      </w:r>
      <w:r>
        <w:rPr>
          <w:rFonts w:hint="eastAsia" w:ascii="宋体" w:hAnsi="宋体" w:eastAsia="宋体" w:cs="宋体"/>
          <w:color w:val="auto"/>
          <w:sz w:val="24"/>
          <w:szCs w:val="24"/>
          <w:highlight w:val="none"/>
          <w:u w:val="single"/>
        </w:rPr>
        <w:t>文件、</w:t>
      </w:r>
      <w:r>
        <w:rPr>
          <w:rFonts w:hint="eastAsia" w:ascii="宋体" w:hAnsi="宋体" w:eastAsia="宋体" w:cs="宋体"/>
          <w:color w:val="auto"/>
          <w:sz w:val="24"/>
          <w:szCs w:val="24"/>
          <w:highlight w:val="none"/>
          <w:u w:val="single"/>
          <w:lang w:val="en-US" w:eastAsia="zh-CN"/>
        </w:rPr>
        <w:t>成交</w:t>
      </w:r>
      <w:r>
        <w:rPr>
          <w:rFonts w:hint="eastAsia" w:ascii="宋体" w:hAnsi="宋体" w:eastAsia="宋体" w:cs="宋体"/>
          <w:color w:val="auto"/>
          <w:sz w:val="24"/>
          <w:szCs w:val="24"/>
          <w:highlight w:val="none"/>
          <w:u w:val="single"/>
        </w:rPr>
        <w:t>通知书、工程量清单、合同补充协议、履行合同过程中双方书面确认的对合同内容有实质性影响的的会议纪要、签证、设计变更等。</w:t>
      </w:r>
    </w:p>
    <w:p w14:paraId="5C51D4C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合同当事人及其他相关方</w:t>
      </w:r>
    </w:p>
    <w:p w14:paraId="4978C3C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1.1.2.4监理人：</w:t>
      </w:r>
    </w:p>
    <w:p w14:paraId="1B13310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w:t>
      </w:r>
    </w:p>
    <w:p w14:paraId="6808FE9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12290E2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2CA6077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753DDEC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11AA369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1.1.2.5 设计人：</w:t>
      </w:r>
    </w:p>
    <w:p w14:paraId="64EFE01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w:t>
      </w:r>
    </w:p>
    <w:p w14:paraId="73C5A2C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5B4FDEC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2700BC6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w:t>
      </w:r>
    </w:p>
    <w:p w14:paraId="318940F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46BD3FB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工程和设备</w:t>
      </w:r>
    </w:p>
    <w:p w14:paraId="3FAA8C2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1.1.3.7 作为施工现场组成部分的其他场所包括：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D09A23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1.1.3.9 永久占地包括：</w:t>
      </w:r>
      <w:r>
        <w:rPr>
          <w:rFonts w:hint="eastAsia" w:ascii="宋体" w:hAnsi="宋体" w:eastAsia="宋体" w:cs="宋体"/>
          <w:color w:val="auto"/>
          <w:sz w:val="24"/>
          <w:szCs w:val="24"/>
          <w:highlight w:val="none"/>
          <w:u w:val="single"/>
        </w:rPr>
        <w:t xml:space="preserve">  依据设计图纸确定</w:t>
      </w:r>
      <w:r>
        <w:rPr>
          <w:rFonts w:hint="eastAsia" w:ascii="宋体" w:hAnsi="宋体" w:eastAsia="宋体" w:cs="宋体"/>
          <w:color w:val="auto"/>
          <w:kern w:val="0"/>
          <w:sz w:val="24"/>
          <w:szCs w:val="24"/>
          <w:highlight w:val="none"/>
        </w:rPr>
        <w:t>。</w:t>
      </w:r>
    </w:p>
    <w:p w14:paraId="4E7EE99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1.1.3.10 临时占地包括：</w:t>
      </w:r>
      <w:r>
        <w:rPr>
          <w:rFonts w:hint="eastAsia" w:ascii="宋体" w:hAnsi="宋体" w:eastAsia="宋体" w:cs="宋体"/>
          <w:color w:val="auto"/>
          <w:sz w:val="24"/>
          <w:szCs w:val="24"/>
          <w:highlight w:val="none"/>
          <w:u w:val="single"/>
        </w:rPr>
        <w:t xml:space="preserve">  双方在合同履行过程中确定</w:t>
      </w:r>
      <w:r>
        <w:rPr>
          <w:rFonts w:hint="eastAsia" w:ascii="宋体" w:hAnsi="宋体" w:eastAsia="宋体" w:cs="宋体"/>
          <w:color w:val="auto"/>
          <w:kern w:val="0"/>
          <w:sz w:val="24"/>
          <w:szCs w:val="24"/>
          <w:highlight w:val="none"/>
        </w:rPr>
        <w:t>。</w:t>
      </w:r>
    </w:p>
    <w:p w14:paraId="08DE8FF7">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p>
    <w:p w14:paraId="3270AEE9">
      <w:pPr>
        <w:autoSpaceDE w:val="0"/>
        <w:autoSpaceDN w:val="0"/>
        <w:adjustRightInd w:val="0"/>
        <w:spacing w:line="360" w:lineRule="auto"/>
        <w:ind w:left="596" w:leftChars="28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适用于合同的其他规范性文件：</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w:t>
      </w:r>
    </w:p>
    <w:p w14:paraId="0BB13670">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标准和规范</w:t>
      </w:r>
    </w:p>
    <w:p w14:paraId="479AECE1">
      <w:pPr>
        <w:spacing w:line="360" w:lineRule="auto"/>
        <w:ind w:left="596"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1.4.1适用于工程的标准规范包括：</w:t>
      </w:r>
      <w:r>
        <w:rPr>
          <w:rFonts w:hint="eastAsia" w:ascii="宋体" w:hAnsi="宋体" w:eastAsia="宋体" w:cs="宋体"/>
          <w:color w:val="auto"/>
          <w:sz w:val="24"/>
          <w:szCs w:val="24"/>
          <w:highlight w:val="none"/>
          <w:u w:val="single"/>
        </w:rPr>
        <w:t>适用于工程的现行强制性国家标准、现行强制性行业标准、工程所在地的现行地方性标准以及工程设计施工图中明确说明的规范规程（包含推荐性标准）。除此之外，特别分项施工质量标准不低于工程设计中有明确质量技术参数要求的分项质量标准</w:t>
      </w:r>
      <w:r>
        <w:rPr>
          <w:rFonts w:hint="eastAsia" w:ascii="宋体" w:hAnsi="宋体" w:eastAsia="宋体" w:cs="宋体"/>
          <w:color w:val="auto"/>
          <w:sz w:val="24"/>
          <w:szCs w:val="24"/>
          <w:highlight w:val="none"/>
        </w:rPr>
        <w:t>。</w:t>
      </w:r>
    </w:p>
    <w:p w14:paraId="60B22B1F">
      <w:pPr>
        <w:spacing w:line="360" w:lineRule="auto"/>
        <w:ind w:firstLine="480" w:firstLineChars="200"/>
        <w:outlineLvl w:val="0"/>
        <w:rPr>
          <w:rFonts w:hint="eastAsia" w:ascii="宋体" w:hAnsi="宋体" w:eastAsia="宋体" w:cs="宋体"/>
          <w:color w:val="auto"/>
          <w:kern w:val="0"/>
          <w:sz w:val="24"/>
          <w:szCs w:val="24"/>
          <w:highlight w:val="none"/>
        </w:rPr>
      </w:pPr>
      <w:bookmarkStart w:id="173" w:name="_Toc25267"/>
      <w:r>
        <w:rPr>
          <w:rFonts w:hint="eastAsia" w:ascii="宋体" w:hAnsi="宋体" w:eastAsia="宋体" w:cs="宋体"/>
          <w:color w:val="auto"/>
          <w:kern w:val="0"/>
          <w:sz w:val="24"/>
          <w:szCs w:val="24"/>
          <w:highlight w:val="none"/>
        </w:rPr>
        <w:t>1.4.2 发包人提供国外标准、规范的名称：</w:t>
      </w:r>
      <w:bookmarkEnd w:id="173"/>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5AACCE6">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发包人提供国外标准、规范的份数：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7FCC65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发包人提供国外标准、规范的名称：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BCC975C">
      <w:pPr>
        <w:spacing w:line="360" w:lineRule="auto"/>
        <w:ind w:left="596"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1.4.3发包人对工程的技术标准和功能要求的特殊要求：</w:t>
      </w:r>
      <w:r>
        <w:rPr>
          <w:rFonts w:hint="eastAsia" w:ascii="宋体" w:hAnsi="宋体" w:eastAsia="宋体" w:cs="宋体"/>
          <w:color w:val="auto"/>
          <w:sz w:val="24"/>
          <w:szCs w:val="24"/>
          <w:highlight w:val="none"/>
          <w:u w:val="single"/>
        </w:rPr>
        <w:t xml:space="preserve">按工程设计中的专项设计技术要求执行  </w:t>
      </w:r>
      <w:r>
        <w:rPr>
          <w:rFonts w:hint="eastAsia" w:ascii="宋体" w:hAnsi="宋体" w:eastAsia="宋体" w:cs="宋体"/>
          <w:color w:val="auto"/>
          <w:sz w:val="24"/>
          <w:szCs w:val="24"/>
          <w:highlight w:val="none"/>
        </w:rPr>
        <w:t>。</w:t>
      </w:r>
    </w:p>
    <w:p w14:paraId="45EE56D0">
      <w:pPr>
        <w:spacing w:after="120" w:line="360" w:lineRule="auto"/>
        <w:ind w:firstLine="480" w:firstLineChars="200"/>
        <w:outlineLvl w:val="0"/>
        <w:rPr>
          <w:rFonts w:hint="eastAsia" w:ascii="宋体" w:hAnsi="宋体" w:eastAsia="宋体" w:cs="宋体"/>
          <w:color w:val="auto"/>
          <w:sz w:val="24"/>
          <w:szCs w:val="24"/>
          <w:highlight w:val="none"/>
        </w:rPr>
      </w:pPr>
      <w:bookmarkStart w:id="174" w:name="_Toc29163"/>
      <w:r>
        <w:rPr>
          <w:rFonts w:hint="eastAsia" w:ascii="宋体" w:hAnsi="宋体" w:eastAsia="宋体" w:cs="宋体"/>
          <w:color w:val="auto"/>
          <w:sz w:val="24"/>
          <w:szCs w:val="24"/>
          <w:highlight w:val="none"/>
        </w:rPr>
        <w:t>1.5 合同文件的优先顺序</w:t>
      </w:r>
      <w:bookmarkEnd w:id="174"/>
    </w:p>
    <w:p w14:paraId="2CA86C6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合同文件组成及优先顺序为：</w:t>
      </w:r>
      <w:r>
        <w:rPr>
          <w:rFonts w:hint="eastAsia" w:ascii="宋体" w:hAnsi="宋体" w:cs="宋体"/>
          <w:color w:val="auto"/>
          <w:sz w:val="24"/>
          <w:szCs w:val="24"/>
          <w:highlight w:val="none"/>
          <w:u w:val="single"/>
          <w:lang w:val="en-US" w:eastAsia="zh-CN"/>
        </w:rPr>
        <w:t xml:space="preserve"> </w:t>
      </w:r>
      <w:r>
        <w:rPr>
          <w:rFonts w:hint="eastAsia" w:cs="宋体" w:asciiTheme="minorEastAsia" w:hAnsiTheme="minorEastAsia"/>
          <w:color w:val="000000" w:themeColor="text1"/>
          <w:sz w:val="22"/>
          <w:szCs w:val="22"/>
          <w:u w:val="single"/>
          <w14:textFill>
            <w14:solidFill>
              <w14:schemeClr w14:val="tx1"/>
            </w14:solidFill>
          </w14:textFill>
        </w:rPr>
        <w:t>执行通用条款</w:t>
      </w:r>
      <w:r>
        <w:rPr>
          <w:rFonts w:hint="eastAsia" w:cs="宋体" w:asciiTheme="minorEastAsia" w:hAnsiTheme="minorEastAsia"/>
          <w:color w:val="000000" w:themeColor="text1"/>
          <w:sz w:val="22"/>
          <w:szCs w:val="22"/>
          <w:u w:val="single"/>
          <w:lang w:val="en-US" w:eastAsia="zh-CN"/>
          <w14:textFill>
            <w14:solidFill>
              <w14:schemeClr w14:val="tx1"/>
            </w14:solidFill>
          </w14:textFill>
        </w:rPr>
        <w:t xml:space="preserve"> </w:t>
      </w:r>
      <w:r>
        <w:rPr>
          <w:rFonts w:hint="eastAsia" w:ascii="宋体" w:hAnsi="宋体" w:eastAsia="宋体" w:cs="宋体"/>
          <w:color w:val="auto"/>
          <w:sz w:val="24"/>
          <w:szCs w:val="24"/>
          <w:highlight w:val="none"/>
        </w:rPr>
        <w:t>。</w:t>
      </w:r>
    </w:p>
    <w:p w14:paraId="0ECF53D1">
      <w:pPr>
        <w:spacing w:after="120" w:line="360" w:lineRule="auto"/>
        <w:ind w:firstLine="480" w:firstLineChars="200"/>
        <w:outlineLvl w:val="0"/>
        <w:rPr>
          <w:rFonts w:hint="eastAsia" w:ascii="宋体" w:hAnsi="宋体" w:eastAsia="宋体" w:cs="宋体"/>
          <w:color w:val="auto"/>
          <w:sz w:val="24"/>
          <w:szCs w:val="24"/>
          <w:highlight w:val="none"/>
        </w:rPr>
      </w:pPr>
      <w:bookmarkStart w:id="175" w:name="_Toc13469"/>
      <w:r>
        <w:rPr>
          <w:rFonts w:hint="eastAsia" w:ascii="宋体" w:hAnsi="宋体" w:eastAsia="宋体" w:cs="宋体"/>
          <w:color w:val="auto"/>
          <w:sz w:val="24"/>
          <w:szCs w:val="24"/>
          <w:highlight w:val="none"/>
        </w:rPr>
        <w:t>1.6 图纸和承包人文件</w:t>
      </w:r>
      <w:bookmarkEnd w:id="175"/>
      <w:r>
        <w:rPr>
          <w:rFonts w:hint="eastAsia" w:ascii="宋体" w:hAnsi="宋体" w:eastAsia="宋体" w:cs="宋体"/>
          <w:color w:val="auto"/>
          <w:sz w:val="24"/>
          <w:szCs w:val="24"/>
          <w:highlight w:val="none"/>
        </w:rPr>
        <w:tab/>
      </w:r>
    </w:p>
    <w:p w14:paraId="2E4F33A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图纸的提供</w:t>
      </w:r>
    </w:p>
    <w:p w14:paraId="57FEDB6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发包人向承包人提供图纸的期限：</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34405E0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发包人向承包人提供图纸的数量：</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6A8FF7C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发包人向承包人提供图纸的内容：</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2A6524F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 承包人文件</w:t>
      </w:r>
    </w:p>
    <w:p w14:paraId="5EDB76C6">
      <w:pPr>
        <w:spacing w:line="360" w:lineRule="auto"/>
        <w:ind w:left="596" w:leftChars="284"/>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需要由承包人提供的文件，包括：</w:t>
      </w:r>
      <w:r>
        <w:rPr>
          <w:rFonts w:hint="eastAsia" w:ascii="宋体" w:hAnsi="宋体" w:eastAsia="宋体" w:cs="宋体"/>
          <w:color w:val="auto"/>
          <w:sz w:val="24"/>
          <w:szCs w:val="24"/>
          <w:highlight w:val="none"/>
          <w:u w:val="single"/>
        </w:rPr>
        <w:t>          </w:t>
      </w:r>
    </w:p>
    <w:p w14:paraId="5B093480">
      <w:pPr>
        <w:spacing w:line="360" w:lineRule="auto"/>
        <w:ind w:left="596" w:leftChars="28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210227A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承包人提供的文件的期限为：</w:t>
      </w:r>
      <w:r>
        <w:rPr>
          <w:rFonts w:hint="eastAsia" w:ascii="宋体" w:hAnsi="宋体" w:eastAsia="宋体" w:cs="宋体"/>
          <w:color w:val="auto"/>
          <w:sz w:val="24"/>
          <w:szCs w:val="24"/>
          <w:highlight w:val="none"/>
          <w:u w:val="single"/>
        </w:rPr>
        <w:t>       </w:t>
      </w:r>
      <w:r>
        <w:rPr>
          <w:rFonts w:hint="eastAsia" w:ascii="宋体" w:hAnsi="宋体" w:eastAsia="宋体" w:cs="宋体"/>
          <w:color w:val="auto"/>
          <w:sz w:val="24"/>
          <w:szCs w:val="24"/>
          <w:highlight w:val="none"/>
        </w:rPr>
        <w:t>；</w:t>
      </w:r>
    </w:p>
    <w:p w14:paraId="392381F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承包人提供的文件的数量为：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6282AD6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承包人提供的文件的形式为：</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4341A22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发包人审批承包人文件的期限：</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6004056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1.6.5 现场图纸准备</w:t>
      </w:r>
    </w:p>
    <w:p w14:paraId="5CDC51F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关于现场图纸准备的约定：</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09B9FA29">
      <w:pPr>
        <w:spacing w:after="120" w:line="360" w:lineRule="auto"/>
        <w:ind w:firstLine="480" w:firstLineChars="200"/>
        <w:outlineLvl w:val="0"/>
        <w:rPr>
          <w:rFonts w:hint="eastAsia" w:ascii="宋体" w:hAnsi="宋体" w:eastAsia="宋体" w:cs="宋体"/>
          <w:color w:val="auto"/>
          <w:sz w:val="24"/>
          <w:szCs w:val="24"/>
          <w:highlight w:val="none"/>
        </w:rPr>
      </w:pPr>
      <w:bookmarkStart w:id="176" w:name="_Toc8233"/>
      <w:r>
        <w:rPr>
          <w:rFonts w:hint="eastAsia" w:ascii="宋体" w:hAnsi="宋体" w:eastAsia="宋体" w:cs="宋体"/>
          <w:color w:val="auto"/>
          <w:sz w:val="24"/>
          <w:szCs w:val="24"/>
          <w:highlight w:val="none"/>
        </w:rPr>
        <w:t>1.7 联络</w:t>
      </w:r>
      <w:bookmarkEnd w:id="176"/>
    </w:p>
    <w:p w14:paraId="2CF5AE36">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1.7.1发包人和承包人应当在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天内将与合同有关的通知、批准、证明、证书、指示、指令、要求、请求、同意、意见、确定和决定等书面函件送达对方当事人。</w:t>
      </w:r>
    </w:p>
    <w:p w14:paraId="2F270B07">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1.7.2 发包人接收文件的地点：</w:t>
      </w:r>
      <w:r>
        <w:rPr>
          <w:rFonts w:hint="eastAsia" w:ascii="宋体" w:hAnsi="宋体" w:eastAsia="宋体" w:cs="宋体"/>
          <w:color w:val="auto"/>
          <w:sz w:val="24"/>
          <w:szCs w:val="24"/>
          <w:highlight w:val="none"/>
          <w:u w:val="single"/>
        </w:rPr>
        <w:t>      </w:t>
      </w:r>
      <w:r>
        <w:rPr>
          <w:rFonts w:hint="eastAsia" w:ascii="宋体" w:hAnsi="宋体" w:eastAsia="宋体" w:cs="宋体"/>
          <w:color w:val="auto"/>
          <w:kern w:val="0"/>
          <w:sz w:val="24"/>
          <w:szCs w:val="24"/>
          <w:highlight w:val="none"/>
        </w:rPr>
        <w:t>；</w:t>
      </w:r>
    </w:p>
    <w:p w14:paraId="22716CCD">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发包人指定的接收人为：</w:t>
      </w:r>
      <w:r>
        <w:rPr>
          <w:rFonts w:hint="eastAsia" w:ascii="宋体" w:hAnsi="宋体" w:eastAsia="宋体" w:cs="宋体"/>
          <w:color w:val="auto"/>
          <w:sz w:val="24"/>
          <w:szCs w:val="24"/>
          <w:highlight w:val="none"/>
          <w:u w:val="single"/>
        </w:rPr>
        <w:t>               </w:t>
      </w:r>
      <w:r>
        <w:rPr>
          <w:rFonts w:hint="eastAsia" w:ascii="宋体" w:hAnsi="宋体" w:eastAsia="宋体" w:cs="宋体"/>
          <w:color w:val="auto"/>
          <w:kern w:val="0"/>
          <w:sz w:val="24"/>
          <w:szCs w:val="24"/>
          <w:highlight w:val="none"/>
        </w:rPr>
        <w:t>。</w:t>
      </w:r>
    </w:p>
    <w:p w14:paraId="1F246749">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承包人接收文件的地点：</w:t>
      </w:r>
      <w:r>
        <w:rPr>
          <w:rFonts w:hint="eastAsia" w:ascii="宋体" w:hAnsi="宋体" w:eastAsia="宋体" w:cs="宋体"/>
          <w:color w:val="auto"/>
          <w:sz w:val="24"/>
          <w:szCs w:val="24"/>
          <w:highlight w:val="none"/>
          <w:u w:val="single"/>
        </w:rPr>
        <w:t>             </w:t>
      </w:r>
      <w:r>
        <w:rPr>
          <w:rFonts w:hint="eastAsia" w:ascii="宋体" w:hAnsi="宋体" w:eastAsia="宋体" w:cs="宋体"/>
          <w:color w:val="auto"/>
          <w:kern w:val="0"/>
          <w:sz w:val="24"/>
          <w:szCs w:val="24"/>
          <w:highlight w:val="none"/>
        </w:rPr>
        <w:t>；</w:t>
      </w:r>
    </w:p>
    <w:p w14:paraId="36FF7088">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承包人指定的接收人为：</w:t>
      </w:r>
      <w:r>
        <w:rPr>
          <w:rFonts w:hint="eastAsia" w:ascii="宋体" w:hAnsi="宋体" w:eastAsia="宋体" w:cs="宋体"/>
          <w:color w:val="auto"/>
          <w:sz w:val="24"/>
          <w:szCs w:val="24"/>
          <w:highlight w:val="none"/>
          <w:u w:val="single"/>
        </w:rPr>
        <w:t>             </w:t>
      </w:r>
      <w:r>
        <w:rPr>
          <w:rFonts w:hint="eastAsia" w:ascii="宋体" w:hAnsi="宋体" w:eastAsia="宋体" w:cs="宋体"/>
          <w:color w:val="auto"/>
          <w:kern w:val="0"/>
          <w:sz w:val="24"/>
          <w:szCs w:val="24"/>
          <w:highlight w:val="none"/>
        </w:rPr>
        <w:t>。</w:t>
      </w:r>
    </w:p>
    <w:p w14:paraId="3D4D42E4">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监理人接收文件的地点：</w:t>
      </w:r>
      <w:r>
        <w:rPr>
          <w:rFonts w:hint="eastAsia" w:ascii="宋体" w:hAnsi="宋体" w:eastAsia="宋体" w:cs="宋体"/>
          <w:color w:val="auto"/>
          <w:sz w:val="24"/>
          <w:szCs w:val="24"/>
          <w:highlight w:val="none"/>
          <w:u w:val="single"/>
        </w:rPr>
        <w:t>            </w:t>
      </w:r>
      <w:r>
        <w:rPr>
          <w:rFonts w:hint="eastAsia" w:ascii="宋体" w:hAnsi="宋体" w:eastAsia="宋体" w:cs="宋体"/>
          <w:color w:val="auto"/>
          <w:kern w:val="0"/>
          <w:sz w:val="24"/>
          <w:szCs w:val="24"/>
          <w:highlight w:val="none"/>
        </w:rPr>
        <w:t>；</w:t>
      </w:r>
    </w:p>
    <w:p w14:paraId="419321EF">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监理人指定的接收人为：</w:t>
      </w:r>
      <w:r>
        <w:rPr>
          <w:rFonts w:hint="eastAsia" w:ascii="宋体" w:hAnsi="宋体" w:eastAsia="宋体" w:cs="宋体"/>
          <w:color w:val="auto"/>
          <w:sz w:val="24"/>
          <w:szCs w:val="24"/>
          <w:highlight w:val="none"/>
          <w:u w:val="single"/>
        </w:rPr>
        <w:t>            </w:t>
      </w:r>
      <w:r>
        <w:rPr>
          <w:rFonts w:hint="eastAsia" w:ascii="宋体" w:hAnsi="宋体" w:eastAsia="宋体" w:cs="宋体"/>
          <w:color w:val="auto"/>
          <w:kern w:val="0"/>
          <w:sz w:val="24"/>
          <w:szCs w:val="24"/>
          <w:highlight w:val="none"/>
        </w:rPr>
        <w:t>。</w:t>
      </w:r>
    </w:p>
    <w:p w14:paraId="389084B7">
      <w:pPr>
        <w:spacing w:after="120" w:line="360" w:lineRule="auto"/>
        <w:ind w:firstLine="480" w:firstLineChars="200"/>
        <w:outlineLvl w:val="0"/>
        <w:rPr>
          <w:rFonts w:hint="eastAsia" w:ascii="宋体" w:hAnsi="宋体" w:eastAsia="宋体" w:cs="宋体"/>
          <w:color w:val="auto"/>
          <w:sz w:val="24"/>
          <w:szCs w:val="24"/>
          <w:highlight w:val="none"/>
        </w:rPr>
      </w:pPr>
      <w:bookmarkStart w:id="177" w:name="_Toc29835"/>
      <w:r>
        <w:rPr>
          <w:rFonts w:hint="eastAsia" w:ascii="宋体" w:hAnsi="宋体" w:eastAsia="宋体" w:cs="宋体"/>
          <w:color w:val="auto"/>
          <w:sz w:val="24"/>
          <w:szCs w:val="24"/>
          <w:highlight w:val="none"/>
        </w:rPr>
        <w:t>1.10 交通运输</w:t>
      </w:r>
      <w:bookmarkEnd w:id="177"/>
    </w:p>
    <w:p w14:paraId="602BBF6E">
      <w:pPr>
        <w:spacing w:line="360" w:lineRule="auto"/>
        <w:ind w:firstLine="480" w:firstLineChars="200"/>
        <w:outlineLvl w:val="0"/>
        <w:rPr>
          <w:rFonts w:hint="eastAsia" w:ascii="宋体" w:hAnsi="宋体" w:eastAsia="宋体" w:cs="宋体"/>
          <w:color w:val="auto"/>
          <w:sz w:val="24"/>
          <w:szCs w:val="24"/>
          <w:highlight w:val="none"/>
        </w:rPr>
      </w:pPr>
      <w:bookmarkStart w:id="178" w:name="_Toc23686"/>
      <w:r>
        <w:rPr>
          <w:rFonts w:hint="eastAsia" w:ascii="宋体" w:hAnsi="宋体" w:eastAsia="宋体" w:cs="宋体"/>
          <w:color w:val="auto"/>
          <w:sz w:val="24"/>
          <w:szCs w:val="24"/>
          <w:highlight w:val="none"/>
        </w:rPr>
        <w:t>1</w:t>
      </w:r>
      <w:bookmarkStart w:id="179" w:name="_Toc304295521"/>
      <w:bookmarkStart w:id="180" w:name="_Toc318581155"/>
      <w:bookmarkStart w:id="181" w:name="_Toc303539100"/>
      <w:bookmarkStart w:id="182" w:name="_Toc300934943"/>
      <w:bookmarkStart w:id="183" w:name="_Toc312677986"/>
      <w:r>
        <w:rPr>
          <w:rFonts w:hint="eastAsia" w:ascii="宋体" w:hAnsi="宋体" w:eastAsia="宋体" w:cs="宋体"/>
          <w:color w:val="auto"/>
          <w:sz w:val="24"/>
          <w:szCs w:val="24"/>
          <w:highlight w:val="none"/>
        </w:rPr>
        <w:t>.10.1 出入现场的权利</w:t>
      </w:r>
      <w:bookmarkEnd w:id="178"/>
    </w:p>
    <w:p w14:paraId="213D0B21">
      <w:pPr>
        <w:spacing w:line="360" w:lineRule="auto"/>
        <w:ind w:left="596"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关于出入现场的权利的约定：</w:t>
      </w:r>
      <w:r>
        <w:rPr>
          <w:rFonts w:hint="eastAsia" w:ascii="宋体" w:hAnsi="宋体" w:eastAsia="宋体" w:cs="宋体"/>
          <w:color w:val="auto"/>
          <w:sz w:val="24"/>
          <w:szCs w:val="24"/>
          <w:highlight w:val="none"/>
          <w:u w:val="single"/>
        </w:rPr>
        <w:t>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179"/>
    <w:bookmarkEnd w:id="180"/>
    <w:bookmarkEnd w:id="181"/>
    <w:bookmarkEnd w:id="182"/>
    <w:bookmarkEnd w:id="183"/>
    <w:p w14:paraId="64B8769D">
      <w:pPr>
        <w:spacing w:line="360" w:lineRule="auto"/>
        <w:ind w:firstLine="480" w:firstLineChars="200"/>
        <w:jc w:val="left"/>
        <w:outlineLvl w:val="0"/>
        <w:rPr>
          <w:rFonts w:hint="eastAsia" w:ascii="宋体" w:hAnsi="宋体" w:eastAsia="宋体" w:cs="宋体"/>
          <w:color w:val="auto"/>
          <w:sz w:val="24"/>
          <w:szCs w:val="24"/>
          <w:highlight w:val="none"/>
        </w:rPr>
      </w:pPr>
      <w:bookmarkStart w:id="184" w:name="_Toc13985"/>
      <w:r>
        <w:rPr>
          <w:rFonts w:hint="eastAsia" w:ascii="宋体" w:hAnsi="宋体" w:eastAsia="宋体" w:cs="宋体"/>
          <w:color w:val="auto"/>
          <w:sz w:val="24"/>
          <w:szCs w:val="24"/>
          <w:highlight w:val="none"/>
        </w:rPr>
        <w:t>1</w:t>
      </w:r>
      <w:bookmarkStart w:id="185" w:name="_Toc304295522"/>
      <w:bookmarkStart w:id="186" w:name="_Toc303539101"/>
      <w:bookmarkStart w:id="187" w:name="_Toc312677987"/>
      <w:bookmarkStart w:id="188" w:name="_Toc300934944"/>
      <w:bookmarkStart w:id="189" w:name="_Toc318581156"/>
      <w:r>
        <w:rPr>
          <w:rFonts w:hint="eastAsia" w:ascii="宋体" w:hAnsi="宋体" w:eastAsia="宋体" w:cs="宋体"/>
          <w:color w:val="auto"/>
          <w:sz w:val="24"/>
          <w:szCs w:val="24"/>
          <w:highlight w:val="none"/>
        </w:rPr>
        <w:t>.10.3 场内交通</w:t>
      </w:r>
      <w:bookmarkEnd w:id="184"/>
    </w:p>
    <w:p w14:paraId="0719A9DE">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关于场外交通和场内交通的边界的约定：</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w:t>
      </w:r>
    </w:p>
    <w:p w14:paraId="302D64F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关于发包人向承包人免费提供满足工程施工需要的场内道路和交通设施的约定：</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bookmarkEnd w:id="185"/>
      <w:bookmarkEnd w:id="186"/>
      <w:bookmarkEnd w:id="187"/>
      <w:bookmarkEnd w:id="188"/>
      <w:bookmarkEnd w:id="189"/>
      <w:r>
        <w:rPr>
          <w:rFonts w:hint="eastAsia" w:ascii="宋体" w:hAnsi="宋体" w:eastAsia="宋体" w:cs="宋体"/>
          <w:color w:val="auto"/>
          <w:sz w:val="24"/>
          <w:szCs w:val="24"/>
          <w:highlight w:val="none"/>
        </w:rPr>
        <w:t xml:space="preserve">  </w:t>
      </w:r>
      <w:bookmarkStart w:id="190" w:name="_Toc318581157"/>
    </w:p>
    <w:p w14:paraId="4790C3E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1.10.4超大件和超重件的运输</w:t>
      </w:r>
    </w:p>
    <w:p w14:paraId="18C9505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承担。</w:t>
      </w:r>
    </w:p>
    <w:bookmarkEnd w:id="190"/>
    <w:p w14:paraId="20057DE2">
      <w:pPr>
        <w:spacing w:after="120" w:line="360" w:lineRule="auto"/>
        <w:ind w:firstLine="480" w:firstLineChars="200"/>
        <w:outlineLvl w:val="0"/>
        <w:rPr>
          <w:rFonts w:hint="eastAsia" w:ascii="宋体" w:hAnsi="宋体" w:eastAsia="宋体" w:cs="宋体"/>
          <w:color w:val="auto"/>
          <w:sz w:val="24"/>
          <w:szCs w:val="24"/>
          <w:highlight w:val="none"/>
        </w:rPr>
      </w:pPr>
      <w:bookmarkStart w:id="191" w:name="_Toc28127"/>
      <w:r>
        <w:rPr>
          <w:rFonts w:hint="eastAsia" w:ascii="宋体" w:hAnsi="宋体" w:eastAsia="宋体" w:cs="宋体"/>
          <w:color w:val="auto"/>
          <w:sz w:val="24"/>
          <w:szCs w:val="24"/>
          <w:highlight w:val="none"/>
        </w:rPr>
        <w:t>1.11 知识产权</w:t>
      </w:r>
      <w:bookmarkEnd w:id="191"/>
    </w:p>
    <w:p w14:paraId="22448B1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299302F">
      <w:pPr>
        <w:spacing w:line="360" w:lineRule="auto"/>
        <w:ind w:left="596"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关于发包人提供的上述文件的使用限制的要求：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0BC9081">
      <w:pPr>
        <w:spacing w:line="360" w:lineRule="auto"/>
        <w:ind w:left="596" w:leftChars="284"/>
        <w:outlineLvl w:val="0"/>
        <w:rPr>
          <w:rFonts w:hint="eastAsia" w:ascii="宋体" w:hAnsi="宋体" w:eastAsia="宋体" w:cs="宋体"/>
          <w:color w:val="auto"/>
          <w:sz w:val="24"/>
          <w:szCs w:val="24"/>
          <w:highlight w:val="none"/>
        </w:rPr>
      </w:pPr>
      <w:bookmarkStart w:id="192" w:name="_Toc17513"/>
      <w:r>
        <w:rPr>
          <w:rFonts w:hint="eastAsia" w:ascii="宋体" w:hAnsi="宋体" w:eastAsia="宋体" w:cs="宋体"/>
          <w:color w:val="auto"/>
          <w:sz w:val="24"/>
          <w:szCs w:val="24"/>
          <w:highlight w:val="none"/>
        </w:rPr>
        <w:t>1.11.2 关于承包人为实施工程所编制文件的著作权的归属：</w:t>
      </w:r>
      <w:bookmarkEnd w:id="192"/>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1D1495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关于承包人提供的上述文件的使用限制的要求：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73D09E4F">
      <w:pPr>
        <w:spacing w:line="360" w:lineRule="auto"/>
        <w:ind w:firstLine="480" w:firstLineChars="200"/>
        <w:outlineLvl w:val="0"/>
        <w:rPr>
          <w:rFonts w:hint="eastAsia" w:ascii="宋体" w:hAnsi="宋体" w:eastAsia="宋体" w:cs="宋体"/>
          <w:color w:val="auto"/>
          <w:kern w:val="0"/>
          <w:sz w:val="24"/>
          <w:szCs w:val="24"/>
          <w:highlight w:val="none"/>
        </w:rPr>
      </w:pPr>
      <w:bookmarkStart w:id="193" w:name="_Toc9518"/>
      <w:r>
        <w:rPr>
          <w:rFonts w:hint="eastAsia" w:ascii="宋体" w:hAnsi="宋体" w:eastAsia="宋体" w:cs="宋体"/>
          <w:color w:val="auto"/>
          <w:sz w:val="24"/>
          <w:szCs w:val="24"/>
          <w:highlight w:val="none"/>
        </w:rPr>
        <w:t>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kern w:val="0"/>
          <w:sz w:val="24"/>
          <w:szCs w:val="24"/>
          <w:highlight w:val="none"/>
        </w:rPr>
        <w:t>。</w:t>
      </w:r>
      <w:bookmarkEnd w:id="193"/>
    </w:p>
    <w:p w14:paraId="68AE278F">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1.13工程量清单错误的修正</w:t>
      </w:r>
    </w:p>
    <w:p w14:paraId="7296B99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出现工程量清单错误时，是否调整合同价格：</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kern w:val="0"/>
          <w:sz w:val="24"/>
          <w:szCs w:val="24"/>
          <w:highlight w:val="none"/>
        </w:rPr>
        <w:t>。</w:t>
      </w:r>
    </w:p>
    <w:p w14:paraId="1406544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允许调整合同价格的工程量偏差范围：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21899376">
      <w:p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194" w:name="_Toc2598"/>
      <w:bookmarkStart w:id="195" w:name="_Toc351203634"/>
      <w:r>
        <w:rPr>
          <w:rFonts w:hint="eastAsia" w:ascii="宋体" w:hAnsi="宋体" w:eastAsia="宋体" w:cs="宋体"/>
          <w:b/>
          <w:bCs w:val="0"/>
          <w:color w:val="auto"/>
          <w:sz w:val="24"/>
          <w:szCs w:val="24"/>
          <w:highlight w:val="none"/>
        </w:rPr>
        <w:t>2</w:t>
      </w:r>
      <w:bookmarkStart w:id="196" w:name="_Toc296503157"/>
      <w:bookmarkStart w:id="197" w:name="_Toc296891197"/>
      <w:bookmarkStart w:id="198" w:name="_Toc296346658"/>
      <w:bookmarkStart w:id="199" w:name="_Toc297120457"/>
      <w:bookmarkStart w:id="200" w:name="_Toc296347156"/>
      <w:bookmarkStart w:id="201" w:name="_Toc296890985"/>
      <w:bookmarkStart w:id="202" w:name="_Toc292559867"/>
      <w:bookmarkStart w:id="203" w:name="_Toc297048343"/>
      <w:bookmarkStart w:id="204" w:name="_Toc296944496"/>
      <w:bookmarkStart w:id="205" w:name="_Toc292559362"/>
      <w:r>
        <w:rPr>
          <w:rFonts w:hint="eastAsia" w:ascii="宋体" w:hAnsi="宋体" w:eastAsia="宋体" w:cs="宋体"/>
          <w:b/>
          <w:bCs w:val="0"/>
          <w:color w:val="auto"/>
          <w:sz w:val="24"/>
          <w:szCs w:val="24"/>
          <w:highlight w:val="none"/>
        </w:rPr>
        <w:t>. 发包人</w:t>
      </w:r>
      <w:bookmarkEnd w:id="194"/>
      <w:bookmarkEnd w:id="195"/>
    </w:p>
    <w:bookmarkEnd w:id="196"/>
    <w:bookmarkEnd w:id="197"/>
    <w:bookmarkEnd w:id="198"/>
    <w:bookmarkEnd w:id="199"/>
    <w:bookmarkEnd w:id="200"/>
    <w:bookmarkEnd w:id="201"/>
    <w:bookmarkEnd w:id="202"/>
    <w:bookmarkEnd w:id="203"/>
    <w:bookmarkEnd w:id="204"/>
    <w:bookmarkEnd w:id="205"/>
    <w:p w14:paraId="587C9E34">
      <w:pPr>
        <w:spacing w:after="120" w:line="360" w:lineRule="auto"/>
        <w:ind w:firstLine="480" w:firstLineChars="200"/>
        <w:outlineLvl w:val="0"/>
        <w:rPr>
          <w:rFonts w:hint="eastAsia" w:ascii="宋体" w:hAnsi="宋体" w:eastAsia="宋体" w:cs="宋体"/>
          <w:color w:val="auto"/>
          <w:sz w:val="24"/>
          <w:szCs w:val="24"/>
          <w:highlight w:val="none"/>
        </w:rPr>
      </w:pPr>
      <w:bookmarkStart w:id="206" w:name="_Toc26643"/>
      <w:r>
        <w:rPr>
          <w:rFonts w:hint="eastAsia" w:ascii="宋体" w:hAnsi="宋体" w:eastAsia="宋体" w:cs="宋体"/>
          <w:color w:val="auto"/>
          <w:sz w:val="24"/>
          <w:szCs w:val="24"/>
          <w:highlight w:val="none"/>
        </w:rPr>
        <w:t>2.2 发包人代表</w:t>
      </w:r>
      <w:bookmarkEnd w:id="206"/>
    </w:p>
    <w:p w14:paraId="525B399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发包人代表：</w:t>
      </w:r>
    </w:p>
    <w:p w14:paraId="5D830D7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20CAB09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2FA8E68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7C9CB76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   </w:t>
      </w:r>
      <w:r>
        <w:rPr>
          <w:rFonts w:hint="eastAsia" w:ascii="宋体" w:hAnsi="宋体" w:eastAsia="宋体" w:cs="宋体"/>
          <w:color w:val="auto"/>
          <w:sz w:val="24"/>
          <w:szCs w:val="24"/>
          <w:highlight w:val="none"/>
        </w:rPr>
        <w:t>；</w:t>
      </w:r>
    </w:p>
    <w:p w14:paraId="63B8BC0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   </w:t>
      </w:r>
      <w:r>
        <w:rPr>
          <w:rFonts w:hint="eastAsia" w:ascii="宋体" w:hAnsi="宋体" w:eastAsia="宋体" w:cs="宋体"/>
          <w:color w:val="auto"/>
          <w:sz w:val="24"/>
          <w:szCs w:val="24"/>
          <w:highlight w:val="none"/>
        </w:rPr>
        <w:t>；</w:t>
      </w:r>
    </w:p>
    <w:p w14:paraId="3F2AEFD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7EC0A9C4">
      <w:pPr>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发包人对发包人代表的授权范围如下：</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7D4F860C">
      <w:pPr>
        <w:spacing w:after="120" w:line="360" w:lineRule="auto"/>
        <w:ind w:firstLine="480" w:firstLineChars="200"/>
        <w:outlineLvl w:val="0"/>
        <w:rPr>
          <w:rFonts w:hint="eastAsia" w:ascii="宋体" w:hAnsi="宋体" w:eastAsia="宋体" w:cs="宋体"/>
          <w:color w:val="auto"/>
          <w:sz w:val="24"/>
          <w:szCs w:val="24"/>
          <w:highlight w:val="none"/>
        </w:rPr>
      </w:pPr>
      <w:bookmarkStart w:id="207" w:name="_Toc32702"/>
      <w:r>
        <w:rPr>
          <w:rFonts w:hint="eastAsia" w:ascii="宋体" w:hAnsi="宋体" w:eastAsia="宋体" w:cs="宋体"/>
          <w:color w:val="auto"/>
          <w:sz w:val="24"/>
          <w:szCs w:val="24"/>
          <w:highlight w:val="none"/>
        </w:rPr>
        <w:t>2.4 施工现场、施工条件和基础资料的提供</w:t>
      </w:r>
      <w:bookmarkEnd w:id="207"/>
    </w:p>
    <w:p w14:paraId="169BE64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提供施工现场</w:t>
      </w:r>
    </w:p>
    <w:p w14:paraId="14C0224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关于发包人移交施工现场的期限要求：</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0093EED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 提供施工条件</w:t>
      </w:r>
    </w:p>
    <w:p w14:paraId="15FA6B9B">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关于发包人应负责提供施工所需要的条件，包括：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444B2A1E">
      <w:pPr>
        <w:spacing w:after="120" w:line="360" w:lineRule="auto"/>
        <w:ind w:firstLine="480" w:firstLineChars="200"/>
        <w:outlineLvl w:val="0"/>
        <w:rPr>
          <w:rFonts w:hint="eastAsia" w:ascii="宋体" w:hAnsi="宋体" w:eastAsia="宋体" w:cs="宋体"/>
          <w:color w:val="auto"/>
          <w:sz w:val="24"/>
          <w:szCs w:val="24"/>
          <w:highlight w:val="none"/>
        </w:rPr>
      </w:pPr>
      <w:bookmarkStart w:id="208" w:name="_Toc23706"/>
      <w:r>
        <w:rPr>
          <w:rFonts w:hint="eastAsia" w:ascii="宋体" w:hAnsi="宋体" w:eastAsia="宋体" w:cs="宋体"/>
          <w:color w:val="auto"/>
          <w:sz w:val="24"/>
          <w:szCs w:val="24"/>
          <w:highlight w:val="none"/>
        </w:rPr>
        <w:t>2.5 资金来源证明及支付担保</w:t>
      </w:r>
      <w:bookmarkEnd w:id="208"/>
    </w:p>
    <w:p w14:paraId="449B15A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D78196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发包人是否提供支付担保：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75EBDEA8">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发包人提供支付担保的形式：</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6506CF89">
      <w:p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209" w:name="_Toc29146"/>
      <w:bookmarkStart w:id="210" w:name="_Toc351203635"/>
      <w:r>
        <w:rPr>
          <w:rFonts w:hint="eastAsia" w:ascii="宋体" w:hAnsi="宋体" w:eastAsia="宋体" w:cs="宋体"/>
          <w:b/>
          <w:bCs w:val="0"/>
          <w:color w:val="auto"/>
          <w:sz w:val="24"/>
          <w:szCs w:val="24"/>
          <w:highlight w:val="none"/>
        </w:rPr>
        <w:t>3</w:t>
      </w:r>
      <w:bookmarkStart w:id="211" w:name="_Toc292559363"/>
      <w:bookmarkStart w:id="212" w:name="_Toc296890986"/>
      <w:bookmarkStart w:id="213" w:name="_Toc296944497"/>
      <w:bookmarkStart w:id="214" w:name="_Toc292559868"/>
      <w:bookmarkStart w:id="215" w:name="_Toc297120458"/>
      <w:bookmarkStart w:id="216" w:name="_Toc296347157"/>
      <w:bookmarkStart w:id="217" w:name="_Toc296346659"/>
      <w:bookmarkStart w:id="218" w:name="_Toc297048344"/>
      <w:bookmarkStart w:id="219" w:name="_Toc296891198"/>
      <w:bookmarkStart w:id="220" w:name="_Toc296503158"/>
      <w:r>
        <w:rPr>
          <w:rFonts w:hint="eastAsia" w:ascii="宋体" w:hAnsi="宋体" w:eastAsia="宋体" w:cs="宋体"/>
          <w:b/>
          <w:bCs w:val="0"/>
          <w:color w:val="auto"/>
          <w:sz w:val="24"/>
          <w:szCs w:val="24"/>
          <w:highlight w:val="none"/>
        </w:rPr>
        <w:t>. 承包人</w:t>
      </w:r>
      <w:bookmarkEnd w:id="209"/>
      <w:bookmarkEnd w:id="210"/>
    </w:p>
    <w:bookmarkEnd w:id="211"/>
    <w:bookmarkEnd w:id="212"/>
    <w:bookmarkEnd w:id="213"/>
    <w:bookmarkEnd w:id="214"/>
    <w:bookmarkEnd w:id="215"/>
    <w:bookmarkEnd w:id="216"/>
    <w:bookmarkEnd w:id="217"/>
    <w:bookmarkEnd w:id="218"/>
    <w:bookmarkEnd w:id="219"/>
    <w:bookmarkEnd w:id="220"/>
    <w:p w14:paraId="10DA299A">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承包人的一般义务</w:t>
      </w:r>
    </w:p>
    <w:p w14:paraId="61C9895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（9）</w:t>
      </w:r>
      <w:r>
        <w:rPr>
          <w:rFonts w:hint="eastAsia" w:ascii="宋体" w:hAnsi="宋体" w:eastAsia="宋体" w:cs="宋体"/>
          <w:color w:val="auto"/>
          <w:sz w:val="24"/>
          <w:szCs w:val="24"/>
          <w:highlight w:val="none"/>
        </w:rPr>
        <w:t>承包人提交的竣工资料的内容：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772340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承包人需要提交的竣工资料套数：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E97BFFB">
      <w:pPr>
        <w:spacing w:line="360" w:lineRule="auto"/>
        <w:ind w:left="638" w:leftChars="30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承包人提交的竣工资料的费用承担：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88227B5">
      <w:pPr>
        <w:spacing w:line="360" w:lineRule="auto"/>
        <w:ind w:left="638" w:leftChars="30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承包人提交的竣工资料移交时间：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25984A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承包人提交的竣工资料形式要求：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5E0367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（10）承包人应履行的其他义务：</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1295F5D4">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项目经理</w:t>
      </w:r>
    </w:p>
    <w:p w14:paraId="5E0D524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3.2.1 </w:t>
      </w:r>
      <w:r>
        <w:rPr>
          <w:rFonts w:hint="eastAsia" w:ascii="宋体" w:hAnsi="宋体" w:eastAsia="宋体" w:cs="宋体"/>
          <w:color w:val="auto"/>
          <w:sz w:val="24"/>
          <w:szCs w:val="24"/>
          <w:highlight w:val="none"/>
        </w:rPr>
        <w:t>项目经理：</w:t>
      </w:r>
    </w:p>
    <w:p w14:paraId="6DB65D6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0642464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613EED3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建造师执业资格等级：</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0E9DEDA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建造师注册证书号：</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16F8E63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建造师执业印章号：</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39E4D14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安全生产考核合格证书号：</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1EE76F3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5D3858F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4AFB0F6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3A6FBA8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承包人对项目经理的授权范围如下：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F64836F">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关于项目经理每月在施工现场的时间要求：</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w:t>
      </w:r>
    </w:p>
    <w:p w14:paraId="04C91D16">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1DB674E">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项目经理未经批准，擅自离开施工现场的违约责任：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D103CA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 承包人擅自更换项目经理的违约责任：</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0B29F187">
      <w:pPr>
        <w:spacing w:line="360" w:lineRule="auto"/>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221" w:name="_Toc10322"/>
      <w:r>
        <w:rPr>
          <w:rFonts w:hint="eastAsia" w:ascii="宋体" w:hAnsi="宋体" w:eastAsia="宋体" w:cs="宋体"/>
          <w:color w:val="auto"/>
          <w:sz w:val="24"/>
          <w:szCs w:val="24"/>
          <w:highlight w:val="none"/>
        </w:rPr>
        <w:t>3.2.4 承包人无正当理由拒绝更换项目经理的违约责任：</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bookmarkEnd w:id="221"/>
    </w:p>
    <w:p w14:paraId="1E228BFD">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承包人人员</w:t>
      </w:r>
    </w:p>
    <w:p w14:paraId="5C6B4F4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承包人提交项目管理机构及施工现场管理人员安排报告的期限：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60E3E15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 承包人无正当理由拒绝撤换主要施工管理人员的违约责任：</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63FA59D4">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A33D65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3.3.5承包人擅自更换主要施工管理人员的违约责任：</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676CDC0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承包人主要施工管理人员擅自离开施工现场的违约责任：</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3804ABD2">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222" w:name="_Toc297048345"/>
      <w:bookmarkStart w:id="223" w:name="_Toc296347158"/>
      <w:bookmarkStart w:id="224" w:name="_Toc292559869"/>
      <w:bookmarkStart w:id="225" w:name="_Toc297216151"/>
      <w:bookmarkStart w:id="226" w:name="_Toc304295523"/>
      <w:bookmarkStart w:id="227" w:name="_Toc296944498"/>
      <w:bookmarkStart w:id="228" w:name="_Toc296503159"/>
      <w:bookmarkStart w:id="229" w:name="_Toc296346660"/>
      <w:bookmarkStart w:id="230" w:name="_Toc292559364"/>
      <w:bookmarkStart w:id="231" w:name="_Toc303539102"/>
      <w:bookmarkStart w:id="232" w:name="_Toc300934945"/>
      <w:bookmarkStart w:id="233" w:name="_Toc296891199"/>
      <w:bookmarkStart w:id="234" w:name="_Toc296890987"/>
      <w:bookmarkStart w:id="235" w:name="_Toc297123492"/>
      <w:bookmarkStart w:id="236" w:name="_Toc312677988"/>
      <w:bookmarkStart w:id="237" w:name="_Toc297120459"/>
      <w:r>
        <w:rPr>
          <w:rFonts w:hint="eastAsia" w:ascii="宋体" w:hAnsi="宋体" w:eastAsia="宋体" w:cs="宋体"/>
          <w:color w:val="auto"/>
          <w:sz w:val="24"/>
          <w:szCs w:val="24"/>
          <w:highlight w:val="none"/>
        </w:rPr>
        <w:t>.5 分包</w:t>
      </w:r>
    </w:p>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14:paraId="56065A2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238" w:name="_Toc304295524"/>
      <w:bookmarkStart w:id="239" w:name="_Toc303539103"/>
      <w:bookmarkStart w:id="240" w:name="_Toc296346661"/>
      <w:bookmarkStart w:id="241" w:name="_Toc297123493"/>
      <w:bookmarkStart w:id="242" w:name="_Toc296891200"/>
      <w:bookmarkStart w:id="243" w:name="_Toc297120460"/>
      <w:bookmarkStart w:id="244" w:name="_Toc292559365"/>
      <w:bookmarkStart w:id="245" w:name="_Toc296347159"/>
      <w:bookmarkStart w:id="246" w:name="_Toc292559870"/>
      <w:bookmarkStart w:id="247" w:name="_Toc296890988"/>
      <w:bookmarkStart w:id="248" w:name="_Toc300934946"/>
      <w:bookmarkStart w:id="249" w:name="_Toc297048346"/>
      <w:bookmarkStart w:id="250" w:name="_Toc296503160"/>
      <w:bookmarkStart w:id="251" w:name="_Toc296944499"/>
      <w:bookmarkStart w:id="252" w:name="_Toc297216152"/>
      <w:bookmarkStart w:id="253" w:name="_Toc318581158"/>
      <w:bookmarkStart w:id="254" w:name="_Toc312677989"/>
      <w:r>
        <w:rPr>
          <w:rFonts w:hint="eastAsia" w:ascii="宋体" w:hAnsi="宋体" w:eastAsia="宋体" w:cs="宋体"/>
          <w:color w:val="auto"/>
          <w:sz w:val="24"/>
          <w:szCs w:val="24"/>
          <w:highlight w:val="none"/>
        </w:rPr>
        <w:t>.5.1 分包的一般约定</w:t>
      </w:r>
    </w:p>
    <w:p w14:paraId="30BEB33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禁止分包的工程包括：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FC6A38B">
      <w:pPr>
        <w:spacing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主体结构、关键性工作的范围：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Start w:id="255" w:name="_Toc297123494"/>
      <w:bookmarkStart w:id="256" w:name="_Toc296346662"/>
      <w:bookmarkStart w:id="257" w:name="_Toc296347160"/>
      <w:bookmarkStart w:id="258" w:name="_Toc296944500"/>
      <w:bookmarkStart w:id="259" w:name="_Toc304295525"/>
      <w:bookmarkStart w:id="260" w:name="_Toc300934947"/>
      <w:bookmarkStart w:id="261" w:name="_Toc296503161"/>
      <w:bookmarkStart w:id="262" w:name="_Toc296890989"/>
      <w:bookmarkStart w:id="263" w:name="_Toc297048347"/>
      <w:bookmarkStart w:id="264" w:name="_Toc297120461"/>
      <w:bookmarkStart w:id="265" w:name="_Toc297216153"/>
      <w:bookmarkStart w:id="266" w:name="_Toc303539104"/>
      <w:bookmarkStart w:id="267" w:name="_Toc296891201"/>
    </w:p>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14:paraId="1BD9884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268" w:name="_Toc318581159"/>
      <w:bookmarkStart w:id="269" w:name="_Toc312677990"/>
      <w:r>
        <w:rPr>
          <w:rFonts w:hint="eastAsia" w:ascii="宋体" w:hAnsi="宋体" w:eastAsia="宋体" w:cs="宋体"/>
          <w:color w:val="auto"/>
          <w:sz w:val="24"/>
          <w:szCs w:val="24"/>
          <w:highlight w:val="none"/>
        </w:rPr>
        <w:t>.5.2分包的确定</w:t>
      </w:r>
    </w:p>
    <w:p w14:paraId="7E73114A">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94B285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其他关于分包的约定：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BF016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 分包合同价款</w:t>
      </w:r>
    </w:p>
    <w:p w14:paraId="01DCC30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268"/>
    <w:bookmarkEnd w:id="269"/>
    <w:p w14:paraId="7B7D3850">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 工程照管与成品、半成品保护</w:t>
      </w:r>
    </w:p>
    <w:p w14:paraId="330BD6B7">
      <w:pPr>
        <w:spacing w:before="120" w:after="120" w:line="360" w:lineRule="auto"/>
        <w:ind w:firstLine="480" w:firstLineChars="200"/>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承包人负责照管工程及工程相关的材料、工程设备的起始时间：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6428111">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 履约担保</w:t>
      </w:r>
    </w:p>
    <w:p w14:paraId="3A766A3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0BAC73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承包人提供履约担保的形式、金额及期限的：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56D5A08C">
      <w:p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270" w:name="_Toc30001"/>
      <w:bookmarkStart w:id="271" w:name="_Toc351203636"/>
      <w:r>
        <w:rPr>
          <w:rFonts w:hint="eastAsia" w:ascii="宋体" w:hAnsi="宋体" w:eastAsia="宋体" w:cs="宋体"/>
          <w:b/>
          <w:bCs w:val="0"/>
          <w:color w:val="auto"/>
          <w:sz w:val="24"/>
          <w:szCs w:val="24"/>
          <w:highlight w:val="none"/>
        </w:rPr>
        <w:t>4</w:t>
      </w:r>
      <w:bookmarkStart w:id="272" w:name="_Toc296890990"/>
      <w:bookmarkStart w:id="273" w:name="_Toc296944501"/>
      <w:bookmarkStart w:id="274" w:name="_Toc296347161"/>
      <w:bookmarkStart w:id="275" w:name="_Toc297120462"/>
      <w:bookmarkStart w:id="276" w:name="_Toc296891202"/>
      <w:bookmarkStart w:id="277" w:name="_Toc292559366"/>
      <w:bookmarkStart w:id="278" w:name="_Toc292559871"/>
      <w:bookmarkStart w:id="279" w:name="_Toc296503162"/>
      <w:bookmarkStart w:id="280" w:name="_Toc297048348"/>
      <w:bookmarkStart w:id="281" w:name="_Toc296346663"/>
      <w:bookmarkStart w:id="282" w:name="_Toc267251413"/>
      <w:r>
        <w:rPr>
          <w:rFonts w:hint="eastAsia" w:ascii="宋体" w:hAnsi="宋体" w:eastAsia="宋体" w:cs="宋体"/>
          <w:b/>
          <w:bCs w:val="0"/>
          <w:color w:val="auto"/>
          <w:sz w:val="24"/>
          <w:szCs w:val="24"/>
          <w:highlight w:val="none"/>
        </w:rPr>
        <w:t>. 监</w:t>
      </w:r>
      <w:bookmarkEnd w:id="272"/>
      <w:bookmarkEnd w:id="273"/>
      <w:bookmarkEnd w:id="274"/>
      <w:bookmarkEnd w:id="275"/>
      <w:bookmarkEnd w:id="276"/>
      <w:bookmarkEnd w:id="277"/>
      <w:bookmarkEnd w:id="278"/>
      <w:bookmarkEnd w:id="279"/>
      <w:bookmarkEnd w:id="280"/>
      <w:bookmarkEnd w:id="281"/>
      <w:bookmarkEnd w:id="282"/>
      <w:r>
        <w:rPr>
          <w:rFonts w:hint="eastAsia" w:ascii="宋体" w:hAnsi="宋体" w:eastAsia="宋体" w:cs="宋体"/>
          <w:b/>
          <w:bCs w:val="0"/>
          <w:color w:val="auto"/>
          <w:sz w:val="24"/>
          <w:szCs w:val="24"/>
          <w:highlight w:val="none"/>
        </w:rPr>
        <w:t>理人</w:t>
      </w:r>
      <w:bookmarkEnd w:id="270"/>
      <w:bookmarkEnd w:id="271"/>
    </w:p>
    <w:p w14:paraId="48B8BC23">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4.1监理人的一般规定</w:t>
      </w:r>
    </w:p>
    <w:p w14:paraId="4456A1A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44ED51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关于监理人的监理权限：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A59FAC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关于监理人在施工现场的办公场所、生活场所的提供和费用承担的约定：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30397E62">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监理人员</w:t>
      </w:r>
    </w:p>
    <w:p w14:paraId="57FFE35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总监理工程师：</w:t>
      </w:r>
    </w:p>
    <w:p w14:paraId="04BD406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53C3601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2515630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监理工程师执业资格证书号：</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4184E54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7F1B33C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512F5CB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156A620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关于监理人的其他约定：</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284FD447">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 商定或确定</w:t>
      </w:r>
    </w:p>
    <w:p w14:paraId="6C65A121">
      <w:pPr>
        <w:spacing w:line="360" w:lineRule="auto"/>
        <w:ind w:firstLine="480" w:firstLineChars="200"/>
        <w:rPr>
          <w:rFonts w:hint="eastAsia" w:ascii="宋体" w:hAnsi="宋体" w:eastAsia="宋体" w:cs="宋体"/>
          <w:color w:val="auto"/>
          <w:sz w:val="24"/>
          <w:szCs w:val="24"/>
          <w:highlight w:val="none"/>
        </w:rPr>
      </w:pPr>
      <w:bookmarkStart w:id="283" w:name="_Toc267251418"/>
      <w:r>
        <w:rPr>
          <w:rFonts w:hint="eastAsia" w:ascii="宋体" w:hAnsi="宋体" w:eastAsia="宋体" w:cs="宋体"/>
          <w:color w:val="auto"/>
          <w:sz w:val="24"/>
          <w:szCs w:val="24"/>
          <w:highlight w:val="none"/>
        </w:rPr>
        <w:t>在发包人和承包人不能通过协商达成一致意见时，发包人授权监理人对以下事项进行确定：</w:t>
      </w:r>
    </w:p>
    <w:p w14:paraId="7381BC3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660A45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404D87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C73ED78">
      <w:p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284" w:name="_Toc1261"/>
      <w:bookmarkStart w:id="285" w:name="_Toc351203637"/>
      <w:r>
        <w:rPr>
          <w:rFonts w:hint="eastAsia" w:ascii="宋体" w:hAnsi="宋体" w:eastAsia="宋体" w:cs="宋体"/>
          <w:b/>
          <w:bCs w:val="0"/>
          <w:color w:val="auto"/>
          <w:sz w:val="24"/>
          <w:szCs w:val="24"/>
          <w:highlight w:val="none"/>
        </w:rPr>
        <w:t>5</w:t>
      </w:r>
      <w:bookmarkEnd w:id="283"/>
      <w:bookmarkStart w:id="286" w:name="_Toc296503163"/>
      <w:bookmarkStart w:id="287" w:name="_Toc296890991"/>
      <w:bookmarkStart w:id="288" w:name="_Toc296944502"/>
      <w:bookmarkStart w:id="289" w:name="_Toc296347162"/>
      <w:bookmarkStart w:id="290" w:name="_Toc297048349"/>
      <w:bookmarkStart w:id="291" w:name="_Toc296891203"/>
      <w:bookmarkStart w:id="292" w:name="_Toc296346664"/>
      <w:bookmarkStart w:id="293" w:name="_Toc292559872"/>
      <w:bookmarkStart w:id="294" w:name="_Toc297120463"/>
      <w:bookmarkStart w:id="295" w:name="_Toc292559367"/>
      <w:r>
        <w:rPr>
          <w:rFonts w:hint="eastAsia" w:ascii="宋体" w:hAnsi="宋体" w:eastAsia="宋体" w:cs="宋体"/>
          <w:b/>
          <w:bCs w:val="0"/>
          <w:color w:val="auto"/>
          <w:sz w:val="24"/>
          <w:szCs w:val="24"/>
          <w:highlight w:val="none"/>
        </w:rPr>
        <w:t>. 工程质量</w:t>
      </w:r>
      <w:bookmarkEnd w:id="284"/>
      <w:bookmarkEnd w:id="285"/>
    </w:p>
    <w:p w14:paraId="02090D7D">
      <w:pPr>
        <w:spacing w:after="120" w:line="360" w:lineRule="auto"/>
        <w:ind w:firstLine="480" w:firstLineChars="200"/>
        <w:outlineLvl w:val="0"/>
        <w:rPr>
          <w:rFonts w:hint="eastAsia" w:ascii="宋体" w:hAnsi="宋体" w:eastAsia="宋体" w:cs="宋体"/>
          <w:color w:val="auto"/>
          <w:sz w:val="24"/>
          <w:szCs w:val="24"/>
          <w:highlight w:val="none"/>
        </w:rPr>
      </w:pPr>
      <w:bookmarkStart w:id="296" w:name="_Toc23841"/>
      <w:r>
        <w:rPr>
          <w:rFonts w:hint="eastAsia" w:ascii="宋体" w:hAnsi="宋体" w:eastAsia="宋体" w:cs="宋体"/>
          <w:color w:val="auto"/>
          <w:sz w:val="24"/>
          <w:szCs w:val="24"/>
          <w:highlight w:val="none"/>
        </w:rPr>
        <w:t>5.1 质量要求</w:t>
      </w:r>
      <w:bookmarkEnd w:id="296"/>
    </w:p>
    <w:p w14:paraId="5F1008C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bookmarkStart w:id="297" w:name="_Toc303539106"/>
      <w:bookmarkStart w:id="298" w:name="_Toc297216155"/>
      <w:bookmarkStart w:id="299" w:name="_Toc312677997"/>
      <w:bookmarkStart w:id="300" w:name="_Toc318581164"/>
      <w:bookmarkStart w:id="301" w:name="_Toc300934949"/>
      <w:bookmarkStart w:id="302" w:name="_Toc304295527"/>
      <w:bookmarkStart w:id="303" w:name="_Toc297123496"/>
      <w:r>
        <w:rPr>
          <w:rFonts w:hint="eastAsia" w:ascii="宋体" w:hAnsi="宋体" w:eastAsia="宋体" w:cs="宋体"/>
          <w:color w:val="auto"/>
          <w:sz w:val="24"/>
          <w:szCs w:val="24"/>
          <w:highlight w:val="none"/>
        </w:rPr>
        <w:t>.1.1 特殊质量标准和要求：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FCDA62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关于工程奖项的约定：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0AA87FC">
      <w:pPr>
        <w:spacing w:after="120" w:line="360" w:lineRule="auto"/>
        <w:ind w:firstLine="480" w:firstLineChars="200"/>
        <w:outlineLvl w:val="0"/>
        <w:rPr>
          <w:rFonts w:hint="eastAsia" w:ascii="宋体" w:hAnsi="宋体" w:eastAsia="宋体" w:cs="宋体"/>
          <w:color w:val="auto"/>
          <w:sz w:val="24"/>
          <w:szCs w:val="24"/>
          <w:highlight w:val="none"/>
        </w:rPr>
      </w:pPr>
      <w:bookmarkStart w:id="304" w:name="_Toc16123"/>
      <w:r>
        <w:rPr>
          <w:rFonts w:hint="eastAsia" w:ascii="宋体" w:hAnsi="宋体" w:eastAsia="宋体" w:cs="宋体"/>
          <w:color w:val="auto"/>
          <w:sz w:val="24"/>
          <w:szCs w:val="24"/>
          <w:highlight w:val="none"/>
        </w:rPr>
        <w:t>5.3 隐蔽工程检查</w:t>
      </w:r>
      <w:bookmarkEnd w:id="304"/>
    </w:p>
    <w:p w14:paraId="6F5133B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5.3.2承包人提前通知监理人隐蔽工程检查的期限的约定：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4FA23DD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监理人不能按时进行检查时，应提前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小时提交书面延期要求。</w:t>
      </w:r>
    </w:p>
    <w:p w14:paraId="4327B17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p>
    <w:p w14:paraId="05589B0E">
      <w:p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305" w:name="_Toc351203638"/>
      <w:bookmarkStart w:id="306" w:name="_Toc6138"/>
      <w:r>
        <w:rPr>
          <w:rFonts w:hint="eastAsia" w:ascii="宋体" w:hAnsi="宋体" w:eastAsia="宋体" w:cs="宋体"/>
          <w:b/>
          <w:bCs w:val="0"/>
          <w:color w:val="auto"/>
          <w:sz w:val="24"/>
          <w:szCs w:val="24"/>
          <w:highlight w:val="none"/>
        </w:rPr>
        <w:t>6. 安全文明施工与环境保护</w:t>
      </w:r>
      <w:bookmarkEnd w:id="305"/>
      <w:bookmarkEnd w:id="306"/>
    </w:p>
    <w:p w14:paraId="17D7B382">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6.1安全文明施工</w:t>
      </w:r>
    </w:p>
    <w:p w14:paraId="0F30644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 项目安全生产的达标目标及相应事项的约定：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D926E0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 关于治安保卫的特别约定：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9A871E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关于编制施工场地治安管理计划的约定：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93170D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 文明施工</w:t>
      </w:r>
    </w:p>
    <w:p w14:paraId="51349EC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2C817C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6.1.6 关于安全文明施工费支付比例和支付期限的约定：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bookmarkEnd w:id="297"/>
    <w:bookmarkEnd w:id="298"/>
    <w:bookmarkEnd w:id="299"/>
    <w:bookmarkEnd w:id="300"/>
    <w:bookmarkEnd w:id="301"/>
    <w:bookmarkEnd w:id="302"/>
    <w:bookmarkEnd w:id="303"/>
    <w:p w14:paraId="576C2914">
      <w:p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307" w:name="_Toc351203639"/>
      <w:bookmarkStart w:id="308" w:name="_Toc6026"/>
      <w:r>
        <w:rPr>
          <w:rFonts w:hint="eastAsia" w:ascii="宋体" w:hAnsi="宋体" w:eastAsia="宋体" w:cs="宋体"/>
          <w:b/>
          <w:bCs w:val="0"/>
          <w:color w:val="auto"/>
          <w:sz w:val="24"/>
          <w:szCs w:val="24"/>
          <w:highlight w:val="none"/>
        </w:rPr>
        <w:t>7. 工期和进度</w:t>
      </w:r>
      <w:bookmarkEnd w:id="307"/>
      <w:bookmarkEnd w:id="308"/>
    </w:p>
    <w:p w14:paraId="7668EEBB">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施工组织设计</w:t>
      </w:r>
    </w:p>
    <w:p w14:paraId="435A42D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7.1.1 合</w:t>
      </w:r>
      <w:r>
        <w:rPr>
          <w:rFonts w:hint="eastAsia" w:ascii="宋体" w:hAnsi="宋体" w:eastAsia="宋体" w:cs="宋体"/>
          <w:color w:val="auto"/>
          <w:kern w:val="0"/>
          <w:sz w:val="24"/>
          <w:szCs w:val="24"/>
          <w:highlight w:val="none"/>
        </w:rPr>
        <w:t>同当事人约定的施工组织设计应包括的其他内容：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F7C707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7.1.2 </w:t>
      </w:r>
      <w:r>
        <w:rPr>
          <w:rFonts w:hint="eastAsia" w:ascii="宋体" w:hAnsi="宋体" w:eastAsia="宋体" w:cs="宋体"/>
          <w:color w:val="auto"/>
          <w:kern w:val="0"/>
          <w:sz w:val="24"/>
          <w:szCs w:val="24"/>
          <w:highlight w:val="none"/>
        </w:rPr>
        <w:t>施工组织设计的提交和修改</w:t>
      </w:r>
    </w:p>
    <w:p w14:paraId="37795764">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承包人提交详细施工组织设计的期限的约定：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40A6A1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DEFB97A">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09" w:name="_Toc300934966"/>
      <w:bookmarkStart w:id="310" w:name="_Toc303539123"/>
      <w:bookmarkStart w:id="311" w:name="_Toc312678005"/>
      <w:bookmarkStart w:id="312" w:name="_Toc312677479"/>
      <w:bookmarkStart w:id="313" w:name="_Toc304295541"/>
      <w:bookmarkStart w:id="314" w:name="_Toc297123514"/>
      <w:bookmarkStart w:id="315" w:name="_Toc297216173"/>
      <w:r>
        <w:rPr>
          <w:rFonts w:hint="eastAsia" w:ascii="宋体" w:hAnsi="宋体" w:eastAsia="宋体" w:cs="宋体"/>
          <w:color w:val="auto"/>
          <w:sz w:val="24"/>
          <w:szCs w:val="24"/>
          <w:highlight w:val="none"/>
        </w:rPr>
        <w:t>.2 施工进度计划</w:t>
      </w:r>
    </w:p>
    <w:p w14:paraId="41D1F37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 施工进度计划的修订</w:t>
      </w:r>
    </w:p>
    <w:p w14:paraId="2739A36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9756A49">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开工</w:t>
      </w:r>
    </w:p>
    <w:p w14:paraId="4BF1212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 开工准备</w:t>
      </w:r>
    </w:p>
    <w:p w14:paraId="26A31C02">
      <w:pPr>
        <w:spacing w:line="360" w:lineRule="auto"/>
        <w:ind w:firstLine="645"/>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关于承包人提交</w:t>
      </w:r>
      <w:r>
        <w:rPr>
          <w:rFonts w:hint="eastAsia" w:ascii="宋体" w:hAnsi="宋体" w:eastAsia="宋体" w:cs="宋体"/>
          <w:color w:val="auto"/>
          <w:kern w:val="0"/>
          <w:sz w:val="24"/>
          <w:szCs w:val="24"/>
          <w:highlight w:val="none"/>
        </w:rPr>
        <w:t>工程开工报审表的期限：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DB4E3A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93A427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40F5E58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7.3.2开工通知</w:t>
      </w:r>
    </w:p>
    <w:p w14:paraId="74ECB61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天内发出开工通知的，承包人有权提出价格调整要求，或者解除合同。</w:t>
      </w:r>
    </w:p>
    <w:bookmarkEnd w:id="309"/>
    <w:bookmarkEnd w:id="310"/>
    <w:bookmarkEnd w:id="311"/>
    <w:bookmarkEnd w:id="312"/>
    <w:bookmarkEnd w:id="313"/>
    <w:bookmarkEnd w:id="314"/>
    <w:bookmarkEnd w:id="315"/>
    <w:p w14:paraId="6D6F16B9">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测量放线</w:t>
      </w:r>
    </w:p>
    <w:p w14:paraId="643EE0BB">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67B0F22">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16" w:name="_Toc297216175"/>
      <w:bookmarkStart w:id="317" w:name="_Toc300934968"/>
      <w:bookmarkStart w:id="318" w:name="_Toc304295546"/>
      <w:bookmarkStart w:id="319" w:name="_Toc312677484"/>
      <w:bookmarkStart w:id="320" w:name="_Toc297123516"/>
      <w:bookmarkStart w:id="321" w:name="_Toc312678010"/>
      <w:bookmarkStart w:id="322" w:name="_Toc303539125"/>
      <w:r>
        <w:rPr>
          <w:rFonts w:hint="eastAsia" w:ascii="宋体" w:hAnsi="宋体" w:eastAsia="宋体" w:cs="宋体"/>
          <w:color w:val="auto"/>
          <w:sz w:val="24"/>
          <w:szCs w:val="24"/>
          <w:highlight w:val="none"/>
        </w:rPr>
        <w:t>.5 工期延误</w:t>
      </w:r>
    </w:p>
    <w:bookmarkEnd w:id="316"/>
    <w:bookmarkEnd w:id="317"/>
    <w:bookmarkEnd w:id="318"/>
    <w:bookmarkEnd w:id="319"/>
    <w:bookmarkEnd w:id="320"/>
    <w:bookmarkEnd w:id="321"/>
    <w:bookmarkEnd w:id="322"/>
    <w:p w14:paraId="797E6F9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7.5.1 因发包人原因导致工期延误</w:t>
      </w:r>
    </w:p>
    <w:p w14:paraId="7AB68B3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因发包人原因导致工期延误的其他情形：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7AAB85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23" w:name="_Toc318581169"/>
      <w:bookmarkStart w:id="324" w:name="_Toc312677486"/>
      <w:bookmarkStart w:id="325" w:name="_Toc312678012"/>
      <w:bookmarkStart w:id="326" w:name="_Toc303539127"/>
      <w:bookmarkStart w:id="327" w:name="_Toc300934970"/>
      <w:bookmarkStart w:id="328" w:name="_Toc297123518"/>
      <w:bookmarkStart w:id="329" w:name="_Toc304295548"/>
      <w:bookmarkStart w:id="330" w:name="_Toc297216177"/>
      <w:r>
        <w:rPr>
          <w:rFonts w:hint="eastAsia" w:ascii="宋体" w:hAnsi="宋体" w:eastAsia="宋体" w:cs="宋体"/>
          <w:color w:val="auto"/>
          <w:sz w:val="24"/>
          <w:szCs w:val="24"/>
          <w:highlight w:val="none"/>
        </w:rPr>
        <w:t>.5.2 因承包人原因导致工期延误</w:t>
      </w:r>
    </w:p>
    <w:bookmarkEnd w:id="323"/>
    <w:bookmarkEnd w:id="324"/>
    <w:bookmarkEnd w:id="325"/>
    <w:p w14:paraId="6993D60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w:t>
      </w:r>
      <w:bookmarkStart w:id="331" w:name="_Toc312678013"/>
      <w:bookmarkStart w:id="332" w:name="_Toc312677487"/>
      <w:bookmarkStart w:id="333" w:name="_Toc318581170"/>
      <w:r>
        <w:rPr>
          <w:rFonts w:hint="eastAsia" w:ascii="宋体" w:hAnsi="宋体" w:eastAsia="宋体" w:cs="宋体"/>
          <w:color w:val="auto"/>
          <w:sz w:val="24"/>
          <w:szCs w:val="24"/>
          <w:highlight w:val="none"/>
        </w:rPr>
        <w:t>承包人原因造成工期延误，逾期竣工违约金的计算方法为：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bookmarkEnd w:id="326"/>
      <w:bookmarkEnd w:id="327"/>
      <w:bookmarkEnd w:id="328"/>
      <w:bookmarkEnd w:id="329"/>
      <w:bookmarkEnd w:id="330"/>
      <w:bookmarkEnd w:id="331"/>
      <w:bookmarkEnd w:id="332"/>
    </w:p>
    <w:bookmarkEnd w:id="333"/>
    <w:p w14:paraId="0E94769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因承包人原因造成工期延误，逾</w:t>
      </w:r>
      <w:bookmarkStart w:id="334" w:name="_Toc318581171"/>
      <w:bookmarkStart w:id="335" w:name="_Toc312678014"/>
      <w:r>
        <w:rPr>
          <w:rFonts w:hint="eastAsia" w:ascii="宋体" w:hAnsi="宋体" w:eastAsia="宋体" w:cs="宋体"/>
          <w:color w:val="auto"/>
          <w:sz w:val="24"/>
          <w:szCs w:val="24"/>
          <w:highlight w:val="none"/>
        </w:rPr>
        <w:t>期竣工违约金的上限：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bookmarkEnd w:id="334"/>
    <w:bookmarkEnd w:id="335"/>
    <w:p w14:paraId="7C8E6DB1">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36" w:name="_Toc303539128"/>
      <w:bookmarkStart w:id="337" w:name="_Toc297216178"/>
      <w:bookmarkStart w:id="338" w:name="_Toc312678015"/>
      <w:bookmarkStart w:id="339" w:name="_Toc300934971"/>
      <w:bookmarkStart w:id="340" w:name="_Toc297123519"/>
      <w:bookmarkStart w:id="341" w:name="_Toc304295549"/>
      <w:r>
        <w:rPr>
          <w:rFonts w:hint="eastAsia" w:ascii="宋体" w:hAnsi="宋体" w:eastAsia="宋体" w:cs="宋体"/>
          <w:color w:val="auto"/>
          <w:sz w:val="24"/>
          <w:szCs w:val="24"/>
          <w:highlight w:val="none"/>
        </w:rPr>
        <w:t>.6 不</w:t>
      </w:r>
      <w:bookmarkEnd w:id="336"/>
      <w:bookmarkEnd w:id="337"/>
      <w:bookmarkEnd w:id="338"/>
      <w:bookmarkEnd w:id="339"/>
      <w:bookmarkEnd w:id="340"/>
      <w:bookmarkEnd w:id="341"/>
      <w:r>
        <w:rPr>
          <w:rFonts w:hint="eastAsia" w:ascii="宋体" w:hAnsi="宋体" w:eastAsia="宋体" w:cs="宋体"/>
          <w:color w:val="auto"/>
          <w:sz w:val="24"/>
          <w:szCs w:val="24"/>
          <w:highlight w:val="none"/>
        </w:rPr>
        <w:t>利物质条件</w:t>
      </w:r>
    </w:p>
    <w:p w14:paraId="0BC336EC">
      <w:pPr>
        <w:spacing w:line="360" w:lineRule="auto"/>
        <w:ind w:firstLine="480" w:firstLineChars="200"/>
        <w:jc w:val="left"/>
        <w:rPr>
          <w:rFonts w:hint="eastAsia" w:ascii="宋体" w:hAnsi="宋体" w:eastAsia="宋体" w:cs="宋体"/>
          <w:color w:val="auto"/>
          <w:sz w:val="24"/>
          <w:szCs w:val="24"/>
          <w:highlight w:val="none"/>
        </w:rPr>
      </w:pPr>
      <w:bookmarkStart w:id="342" w:name="_Toc304295550"/>
      <w:bookmarkStart w:id="343" w:name="_Toc312678016"/>
      <w:bookmarkStart w:id="344" w:name="_Toc297216179"/>
      <w:bookmarkStart w:id="345" w:name="_Toc297123520"/>
      <w:bookmarkStart w:id="346" w:name="_Toc318581172"/>
      <w:bookmarkStart w:id="347" w:name="_Toc303539129"/>
      <w:bookmarkStart w:id="348" w:name="_Toc300934972"/>
      <w:r>
        <w:rPr>
          <w:rFonts w:hint="eastAsia" w:ascii="宋体" w:hAnsi="宋体" w:eastAsia="宋体" w:cs="宋体"/>
          <w:color w:val="auto"/>
          <w:sz w:val="24"/>
          <w:szCs w:val="24"/>
          <w:highlight w:val="none"/>
        </w:rPr>
        <w:t>不利物质条件的其他情形和有关约定：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342"/>
    <w:bookmarkEnd w:id="343"/>
    <w:bookmarkEnd w:id="344"/>
    <w:bookmarkEnd w:id="345"/>
    <w:bookmarkEnd w:id="346"/>
    <w:bookmarkEnd w:id="347"/>
    <w:bookmarkEnd w:id="348"/>
    <w:p w14:paraId="3843E4CA">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49" w:name="_Toc297216180"/>
      <w:bookmarkStart w:id="350" w:name="_Toc300934973"/>
      <w:bookmarkStart w:id="351" w:name="_Toc304295551"/>
      <w:bookmarkStart w:id="352" w:name="_Toc297123521"/>
      <w:bookmarkStart w:id="353" w:name="_Toc303539130"/>
      <w:bookmarkStart w:id="354" w:name="_Toc312678017"/>
      <w:r>
        <w:rPr>
          <w:rFonts w:hint="eastAsia" w:ascii="宋体" w:hAnsi="宋体" w:eastAsia="宋体" w:cs="宋体"/>
          <w:color w:val="auto"/>
          <w:sz w:val="24"/>
          <w:szCs w:val="24"/>
          <w:highlight w:val="none"/>
        </w:rPr>
        <w:t>.7异常恶劣的气候条件</w:t>
      </w:r>
    </w:p>
    <w:bookmarkEnd w:id="349"/>
    <w:bookmarkEnd w:id="350"/>
    <w:bookmarkEnd w:id="351"/>
    <w:bookmarkEnd w:id="352"/>
    <w:bookmarkEnd w:id="353"/>
    <w:bookmarkEnd w:id="354"/>
    <w:p w14:paraId="2AB666E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发包人和承包人同意以下情形视为异常恶劣的气候条件：</w:t>
      </w:r>
    </w:p>
    <w:p w14:paraId="2584443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C1F930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7570C6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0F8F09A">
      <w:pPr>
        <w:spacing w:after="120" w:line="360" w:lineRule="auto"/>
        <w:ind w:firstLine="480" w:firstLineChars="200"/>
        <w:outlineLvl w:val="0"/>
        <w:rPr>
          <w:rFonts w:hint="eastAsia" w:ascii="宋体" w:hAnsi="宋体" w:eastAsia="宋体" w:cs="宋体"/>
          <w:color w:val="auto"/>
          <w:sz w:val="24"/>
          <w:szCs w:val="24"/>
          <w:highlight w:val="none"/>
        </w:rPr>
      </w:pPr>
      <w:bookmarkStart w:id="355" w:name="_Toc9890"/>
      <w:r>
        <w:rPr>
          <w:rFonts w:hint="eastAsia" w:ascii="宋体" w:hAnsi="宋体" w:eastAsia="宋体" w:cs="宋体"/>
          <w:color w:val="auto"/>
          <w:sz w:val="24"/>
          <w:szCs w:val="24"/>
          <w:highlight w:val="none"/>
        </w:rPr>
        <w:t>7.9 提前竣工的奖励</w:t>
      </w:r>
      <w:bookmarkEnd w:id="355"/>
    </w:p>
    <w:p w14:paraId="0B1C25A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7.9.2提前竣工的奖励：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6AF3933">
      <w:p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356" w:name="_Toc1964"/>
      <w:bookmarkStart w:id="357" w:name="_Toc351203640"/>
      <w:r>
        <w:rPr>
          <w:rFonts w:hint="eastAsia" w:ascii="宋体" w:hAnsi="宋体" w:eastAsia="宋体" w:cs="宋体"/>
          <w:b/>
          <w:bCs w:val="0"/>
          <w:color w:val="auto"/>
          <w:sz w:val="24"/>
          <w:szCs w:val="24"/>
          <w:highlight w:val="none"/>
        </w:rPr>
        <w:t>8. 材料与设备</w:t>
      </w:r>
      <w:bookmarkEnd w:id="356"/>
      <w:bookmarkEnd w:id="357"/>
    </w:p>
    <w:bookmarkEnd w:id="286"/>
    <w:bookmarkEnd w:id="287"/>
    <w:bookmarkEnd w:id="288"/>
    <w:bookmarkEnd w:id="289"/>
    <w:bookmarkEnd w:id="290"/>
    <w:bookmarkEnd w:id="291"/>
    <w:bookmarkEnd w:id="292"/>
    <w:bookmarkEnd w:id="293"/>
    <w:bookmarkEnd w:id="294"/>
    <w:bookmarkEnd w:id="295"/>
    <w:p w14:paraId="2B510645">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bookmarkStart w:id="358" w:name="_Toc312677493"/>
      <w:bookmarkStart w:id="359" w:name="_Toc296890995"/>
      <w:bookmarkStart w:id="360" w:name="_Toc297048353"/>
      <w:bookmarkStart w:id="361" w:name="_Toc297216186"/>
      <w:bookmarkStart w:id="362" w:name="_Toc297123527"/>
      <w:bookmarkStart w:id="363" w:name="_Toc296944506"/>
      <w:bookmarkStart w:id="364" w:name="_Toc296891207"/>
      <w:bookmarkStart w:id="365" w:name="_Toc312678019"/>
      <w:bookmarkStart w:id="366" w:name="_Toc296346668"/>
      <w:bookmarkStart w:id="367" w:name="_Toc292559372"/>
      <w:bookmarkStart w:id="368" w:name="_Toc292559877"/>
      <w:bookmarkStart w:id="369" w:name="_Toc297120467"/>
      <w:bookmarkStart w:id="370" w:name="_Toc296347166"/>
      <w:bookmarkStart w:id="371" w:name="_Toc303539136"/>
      <w:bookmarkStart w:id="372" w:name="_Toc304295556"/>
      <w:bookmarkStart w:id="373" w:name="_Toc300934979"/>
      <w:bookmarkStart w:id="374" w:name="_Toc280868654"/>
      <w:bookmarkStart w:id="375" w:name="_Toc296503167"/>
      <w:bookmarkStart w:id="376" w:name="_Toc280868655"/>
      <w:bookmarkStart w:id="377" w:name="_Toc267251424"/>
      <w:bookmarkStart w:id="378" w:name="_Toc280868656"/>
      <w:r>
        <w:rPr>
          <w:rFonts w:hint="eastAsia" w:ascii="宋体" w:hAnsi="宋体" w:eastAsia="宋体" w:cs="宋体"/>
          <w:color w:val="auto"/>
          <w:sz w:val="24"/>
          <w:szCs w:val="24"/>
          <w:highlight w:val="none"/>
        </w:rPr>
        <w:t>.4材料与工程设备的保管与使用</w:t>
      </w:r>
    </w:p>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14:paraId="5A2C10F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bookmarkStart w:id="379" w:name="_Toc292559373"/>
      <w:bookmarkStart w:id="380" w:name="_Toc292559878"/>
      <w:bookmarkStart w:id="381" w:name="_Toc312678020"/>
      <w:bookmarkStart w:id="382" w:name="_Toc297048354"/>
      <w:bookmarkStart w:id="383" w:name="_Toc304295557"/>
      <w:bookmarkStart w:id="384" w:name="_Toc296891208"/>
      <w:bookmarkStart w:id="385" w:name="_Toc296347167"/>
      <w:bookmarkStart w:id="386" w:name="_Toc297123528"/>
      <w:bookmarkStart w:id="387" w:name="_Toc297120468"/>
      <w:bookmarkStart w:id="388" w:name="_Toc296503168"/>
      <w:bookmarkStart w:id="389" w:name="_Toc318581173"/>
      <w:bookmarkStart w:id="390" w:name="_Toc300934980"/>
      <w:bookmarkStart w:id="391" w:name="_Toc296346669"/>
      <w:bookmarkStart w:id="392" w:name="_Toc296944507"/>
      <w:bookmarkStart w:id="393" w:name="_Toc312677494"/>
      <w:bookmarkStart w:id="394" w:name="_Toc297216187"/>
      <w:bookmarkStart w:id="395" w:name="_Toc303539137"/>
      <w:bookmarkStart w:id="396" w:name="_Toc296890996"/>
      <w:r>
        <w:rPr>
          <w:rFonts w:hint="eastAsia" w:ascii="宋体" w:hAnsi="宋体" w:eastAsia="宋体" w:cs="宋体"/>
          <w:color w:val="auto"/>
          <w:sz w:val="24"/>
          <w:szCs w:val="24"/>
          <w:highlight w:val="none"/>
        </w:rPr>
        <w:t>.4.1发包人供应的材料设备的保管费用的承担：</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bookmarkEnd w:id="379"/>
      <w:bookmarkEnd w:id="380"/>
    </w:p>
    <w:p w14:paraId="127E70B5">
      <w:pPr>
        <w:spacing w:after="120" w:line="360" w:lineRule="auto"/>
        <w:ind w:firstLine="480" w:firstLineChars="200"/>
        <w:outlineLvl w:val="0"/>
        <w:rPr>
          <w:rFonts w:hint="eastAsia" w:ascii="宋体" w:hAnsi="宋体" w:eastAsia="宋体" w:cs="宋体"/>
          <w:color w:val="auto"/>
          <w:sz w:val="24"/>
          <w:szCs w:val="24"/>
          <w:highlight w:val="none"/>
        </w:rPr>
      </w:pPr>
      <w:bookmarkStart w:id="397" w:name="_Toc21131"/>
      <w:r>
        <w:rPr>
          <w:rFonts w:hint="eastAsia" w:ascii="宋体" w:hAnsi="宋体" w:eastAsia="宋体" w:cs="宋体"/>
          <w:color w:val="auto"/>
          <w:sz w:val="24"/>
          <w:szCs w:val="24"/>
          <w:highlight w:val="none"/>
        </w:rPr>
        <w:t>8.6 样品</w:t>
      </w:r>
      <w:bookmarkEnd w:id="397"/>
    </w:p>
    <w:p w14:paraId="5BAE988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8.6.1</w:t>
      </w:r>
      <w:r>
        <w:rPr>
          <w:rFonts w:hint="eastAsia" w:ascii="宋体" w:hAnsi="宋体" w:eastAsia="宋体" w:cs="宋体"/>
          <w:color w:val="auto"/>
          <w:kern w:val="0"/>
          <w:sz w:val="24"/>
          <w:szCs w:val="24"/>
          <w:highlight w:val="none"/>
        </w:rPr>
        <w:tab/>
      </w:r>
      <w:r>
        <w:rPr>
          <w:rFonts w:hint="eastAsia" w:ascii="宋体" w:hAnsi="宋体" w:eastAsia="宋体" w:cs="宋体"/>
          <w:color w:val="auto"/>
          <w:kern w:val="0"/>
          <w:sz w:val="24"/>
          <w:szCs w:val="24"/>
          <w:highlight w:val="none"/>
        </w:rPr>
        <w:t>样品的报送与封存</w:t>
      </w:r>
    </w:p>
    <w:p w14:paraId="3A145C8E">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需要承包人报送样品的材料或工程设备，样品的种类、名称、规格、数量要求：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2BC2C0C">
      <w:pPr>
        <w:spacing w:after="120" w:line="360" w:lineRule="auto"/>
        <w:ind w:firstLine="480" w:firstLineChars="200"/>
        <w:outlineLvl w:val="0"/>
        <w:rPr>
          <w:rFonts w:hint="eastAsia" w:ascii="宋体" w:hAnsi="宋体" w:eastAsia="宋体" w:cs="宋体"/>
          <w:color w:val="auto"/>
          <w:sz w:val="24"/>
          <w:szCs w:val="24"/>
          <w:highlight w:val="none"/>
        </w:rPr>
      </w:pPr>
      <w:bookmarkStart w:id="398" w:name="_Toc7466"/>
      <w:r>
        <w:rPr>
          <w:rFonts w:hint="eastAsia" w:ascii="宋体" w:hAnsi="宋体" w:eastAsia="宋体" w:cs="宋体"/>
          <w:color w:val="auto"/>
          <w:sz w:val="24"/>
          <w:szCs w:val="24"/>
          <w:highlight w:val="none"/>
        </w:rPr>
        <w:t>8.8 施工设备和临时设施</w:t>
      </w:r>
      <w:bookmarkEnd w:id="398"/>
    </w:p>
    <w:p w14:paraId="5D88D572">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8.8.1 承包人提供的施工设备和临时设施</w:t>
      </w:r>
    </w:p>
    <w:p w14:paraId="2877B88F">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关于修建临时设施费用承担的约定：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14:paraId="479606DE">
      <w:p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399" w:name="_Toc351203641"/>
      <w:bookmarkStart w:id="400" w:name="_Toc7174"/>
      <w:r>
        <w:rPr>
          <w:rFonts w:hint="eastAsia" w:ascii="宋体" w:hAnsi="宋体" w:eastAsia="宋体" w:cs="宋体"/>
          <w:b/>
          <w:bCs w:val="0"/>
          <w:color w:val="auto"/>
          <w:sz w:val="24"/>
          <w:szCs w:val="24"/>
          <w:highlight w:val="none"/>
        </w:rPr>
        <w:t>9</w:t>
      </w:r>
      <w:bookmarkEnd w:id="376"/>
      <w:bookmarkEnd w:id="377"/>
      <w:bookmarkEnd w:id="378"/>
      <w:bookmarkStart w:id="401" w:name="_Toc312677495"/>
      <w:bookmarkStart w:id="402" w:name="_Toc312678021"/>
      <w:bookmarkStart w:id="403" w:name="_Toc303539139"/>
      <w:bookmarkStart w:id="404" w:name="_Toc304295559"/>
      <w:bookmarkStart w:id="405" w:name="_Toc297123533"/>
      <w:bookmarkStart w:id="406" w:name="_Toc297216192"/>
      <w:bookmarkStart w:id="407" w:name="_Toc300934982"/>
      <w:bookmarkStart w:id="408" w:name="_Toc296944512"/>
      <w:bookmarkStart w:id="409" w:name="_Toc267251428"/>
      <w:bookmarkStart w:id="410" w:name="_Toc292559378"/>
      <w:bookmarkStart w:id="411" w:name="_Toc267251427"/>
      <w:bookmarkStart w:id="412" w:name="_Toc297120473"/>
      <w:bookmarkStart w:id="413" w:name="_Toc296503173"/>
      <w:bookmarkStart w:id="414" w:name="_Toc292559883"/>
      <w:bookmarkStart w:id="415" w:name="_Toc296346674"/>
      <w:bookmarkStart w:id="416" w:name="_Toc296347172"/>
      <w:bookmarkStart w:id="417" w:name="_Toc296891001"/>
      <w:bookmarkStart w:id="418" w:name="_Toc296891213"/>
      <w:bookmarkStart w:id="419" w:name="_Toc297048359"/>
      <w:r>
        <w:rPr>
          <w:rFonts w:hint="eastAsia" w:ascii="宋体" w:hAnsi="宋体" w:eastAsia="宋体" w:cs="宋体"/>
          <w:b/>
          <w:bCs w:val="0"/>
          <w:color w:val="auto"/>
          <w:sz w:val="24"/>
          <w:szCs w:val="24"/>
          <w:highlight w:val="none"/>
        </w:rPr>
        <w:t>. 试验与检验</w:t>
      </w:r>
      <w:bookmarkEnd w:id="399"/>
      <w:bookmarkEnd w:id="400"/>
    </w:p>
    <w:bookmarkEnd w:id="401"/>
    <w:bookmarkEnd w:id="402"/>
    <w:bookmarkEnd w:id="403"/>
    <w:bookmarkEnd w:id="404"/>
    <w:bookmarkEnd w:id="405"/>
    <w:bookmarkEnd w:id="406"/>
    <w:bookmarkEnd w:id="407"/>
    <w:p w14:paraId="12BDCA46">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420" w:name="_Toc312677496"/>
      <w:bookmarkStart w:id="421" w:name="_Toc297216193"/>
      <w:bookmarkStart w:id="422" w:name="_Toc303539140"/>
      <w:bookmarkStart w:id="423" w:name="_Toc300934983"/>
      <w:bookmarkStart w:id="424" w:name="_Toc312678022"/>
      <w:bookmarkStart w:id="425" w:name="_Toc297123534"/>
      <w:bookmarkStart w:id="426" w:name="_Toc304295560"/>
      <w:r>
        <w:rPr>
          <w:rFonts w:hint="eastAsia" w:ascii="宋体" w:hAnsi="宋体" w:eastAsia="宋体" w:cs="宋体"/>
          <w:color w:val="auto"/>
          <w:sz w:val="24"/>
          <w:szCs w:val="24"/>
          <w:highlight w:val="none"/>
        </w:rPr>
        <w:t>.1试验设备与试验人员</w:t>
      </w:r>
    </w:p>
    <w:bookmarkEnd w:id="420"/>
    <w:bookmarkEnd w:id="421"/>
    <w:bookmarkEnd w:id="422"/>
    <w:bookmarkEnd w:id="423"/>
    <w:bookmarkEnd w:id="424"/>
    <w:bookmarkEnd w:id="425"/>
    <w:bookmarkEnd w:id="426"/>
    <w:p w14:paraId="46A69B1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427" w:name="_Toc304295561"/>
      <w:bookmarkStart w:id="428" w:name="_Toc297123535"/>
      <w:bookmarkStart w:id="429" w:name="_Toc303539141"/>
      <w:bookmarkStart w:id="430" w:name="_Toc297216194"/>
      <w:bookmarkStart w:id="431" w:name="_Toc312677497"/>
      <w:bookmarkStart w:id="432" w:name="_Toc312678023"/>
      <w:bookmarkStart w:id="433" w:name="_Toc300934984"/>
      <w:bookmarkStart w:id="434" w:name="_Toc318581174"/>
      <w:r>
        <w:rPr>
          <w:rFonts w:hint="eastAsia" w:ascii="宋体" w:hAnsi="宋体" w:eastAsia="宋体" w:cs="宋体"/>
          <w:color w:val="auto"/>
          <w:sz w:val="24"/>
          <w:szCs w:val="24"/>
          <w:highlight w:val="none"/>
        </w:rPr>
        <w:t>.1.2 试验设备</w:t>
      </w:r>
    </w:p>
    <w:p w14:paraId="5045A1E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施工现场需要配置的试验场所：</w:t>
      </w:r>
      <w:bookmarkEnd w:id="427"/>
      <w:bookmarkEnd w:id="428"/>
      <w:bookmarkEnd w:id="429"/>
      <w:bookmarkEnd w:id="430"/>
      <w:bookmarkEnd w:id="431"/>
      <w:bookmarkEnd w:id="432"/>
      <w:bookmarkEnd w:id="433"/>
      <w:bookmarkStart w:id="435" w:name="_Toc304295562"/>
      <w:bookmarkStart w:id="436" w:name="_Toc297123536"/>
      <w:bookmarkStart w:id="437" w:name="_Toc297216195"/>
      <w:bookmarkStart w:id="438" w:name="_Toc300934985"/>
      <w:bookmarkStart w:id="439" w:name="_Toc312678024"/>
      <w:bookmarkStart w:id="440" w:name="_Toc312677498"/>
      <w:bookmarkStart w:id="441" w:name="_Toc303539142"/>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233A093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施工现场需要配备的试验设备：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385924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施工现场需要具备的其他试验条件：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A943E2F">
      <w:pPr>
        <w:spacing w:after="120" w:line="360" w:lineRule="auto"/>
        <w:ind w:firstLine="480" w:firstLineChars="200"/>
        <w:outlineLvl w:val="0"/>
        <w:rPr>
          <w:rFonts w:hint="eastAsia" w:ascii="宋体" w:hAnsi="宋体" w:eastAsia="宋体" w:cs="宋体"/>
          <w:color w:val="auto"/>
          <w:sz w:val="24"/>
          <w:szCs w:val="24"/>
          <w:highlight w:val="none"/>
        </w:rPr>
      </w:pPr>
      <w:bookmarkStart w:id="442" w:name="_Toc8698"/>
      <w:r>
        <w:rPr>
          <w:rFonts w:hint="eastAsia" w:ascii="宋体" w:hAnsi="宋体" w:eastAsia="宋体" w:cs="宋体"/>
          <w:color w:val="auto"/>
          <w:sz w:val="24"/>
          <w:szCs w:val="24"/>
          <w:highlight w:val="none"/>
        </w:rPr>
        <w:t>9.4 现场工艺试验</w:t>
      </w:r>
      <w:bookmarkEnd w:id="442"/>
      <w:r>
        <w:rPr>
          <w:rFonts w:hint="eastAsia" w:ascii="宋体" w:hAnsi="宋体" w:eastAsia="宋体" w:cs="宋体"/>
          <w:color w:val="auto"/>
          <w:sz w:val="24"/>
          <w:szCs w:val="24"/>
          <w:highlight w:val="none"/>
        </w:rPr>
        <w:t xml:space="preserve"> </w:t>
      </w:r>
    </w:p>
    <w:p w14:paraId="23F1708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现场工艺试验的有关约定：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434"/>
    <w:bookmarkEnd w:id="435"/>
    <w:bookmarkEnd w:id="436"/>
    <w:bookmarkEnd w:id="437"/>
    <w:bookmarkEnd w:id="438"/>
    <w:bookmarkEnd w:id="439"/>
    <w:bookmarkEnd w:id="440"/>
    <w:bookmarkEnd w:id="441"/>
    <w:p w14:paraId="01F504FF">
      <w:p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443" w:name="_Toc27766"/>
      <w:bookmarkStart w:id="444" w:name="_Toc351203642"/>
      <w:r>
        <w:rPr>
          <w:rFonts w:hint="eastAsia" w:ascii="宋体" w:hAnsi="宋体" w:eastAsia="宋体" w:cs="宋体"/>
          <w:b/>
          <w:bCs w:val="0"/>
          <w:color w:val="auto"/>
          <w:sz w:val="24"/>
          <w:szCs w:val="24"/>
          <w:highlight w:val="none"/>
        </w:rPr>
        <w:t>1</w:t>
      </w:r>
      <w:bookmarkEnd w:id="408"/>
      <w:bookmarkEnd w:id="409"/>
      <w:bookmarkEnd w:id="410"/>
      <w:bookmarkEnd w:id="411"/>
      <w:bookmarkEnd w:id="412"/>
      <w:bookmarkEnd w:id="413"/>
      <w:bookmarkEnd w:id="414"/>
      <w:bookmarkEnd w:id="415"/>
      <w:bookmarkEnd w:id="416"/>
      <w:bookmarkEnd w:id="417"/>
      <w:bookmarkEnd w:id="418"/>
      <w:bookmarkEnd w:id="419"/>
      <w:bookmarkStart w:id="445" w:name="_Toc304295566"/>
      <w:bookmarkStart w:id="446" w:name="_Toc297048379"/>
      <w:bookmarkStart w:id="447" w:name="_Toc292559903"/>
      <w:bookmarkStart w:id="448" w:name="_Toc296944532"/>
      <w:bookmarkStart w:id="449" w:name="_Toc297120493"/>
      <w:bookmarkStart w:id="450" w:name="_Toc296891021"/>
      <w:bookmarkStart w:id="451" w:name="_Toc296346694"/>
      <w:bookmarkStart w:id="452" w:name="_Toc303539146"/>
      <w:bookmarkStart w:id="453" w:name="_Toc292559398"/>
      <w:bookmarkStart w:id="454" w:name="_Toc297216199"/>
      <w:bookmarkStart w:id="455" w:name="_Toc296891233"/>
      <w:bookmarkStart w:id="456" w:name="_Toc296503193"/>
      <w:bookmarkStart w:id="457" w:name="_Toc297123540"/>
      <w:bookmarkStart w:id="458" w:name="_Toc300934989"/>
      <w:bookmarkStart w:id="459" w:name="_Toc296347192"/>
      <w:bookmarkStart w:id="460" w:name="_Toc312677499"/>
      <w:bookmarkStart w:id="461" w:name="_Toc312678025"/>
      <w:bookmarkStart w:id="462" w:name="_Toc267251440"/>
      <w:bookmarkStart w:id="463" w:name="_Toc267251439"/>
      <w:bookmarkStart w:id="464" w:name="_Toc267251435"/>
      <w:bookmarkStart w:id="465" w:name="_Toc267251437"/>
      <w:bookmarkStart w:id="466" w:name="_Toc267251441"/>
      <w:bookmarkStart w:id="467" w:name="_Toc267251433"/>
      <w:bookmarkStart w:id="468" w:name="_Toc267251442"/>
      <w:r>
        <w:rPr>
          <w:rFonts w:hint="eastAsia" w:ascii="宋体" w:hAnsi="宋体" w:eastAsia="宋体" w:cs="宋体"/>
          <w:b/>
          <w:bCs w:val="0"/>
          <w:color w:val="auto"/>
          <w:sz w:val="24"/>
          <w:szCs w:val="24"/>
          <w:highlight w:val="none"/>
        </w:rPr>
        <w:t>0. 变更</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bookmarkEnd w:id="460"/>
    <w:bookmarkEnd w:id="461"/>
    <w:p w14:paraId="27079ED8">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469" w:name="_Toc292559904"/>
      <w:bookmarkStart w:id="470" w:name="_Toc297048380"/>
      <w:bookmarkStart w:id="471" w:name="_Toc296347193"/>
      <w:bookmarkStart w:id="472" w:name="_Toc296891022"/>
      <w:bookmarkStart w:id="473" w:name="_Toc292559399"/>
      <w:bookmarkStart w:id="474" w:name="_Toc304295567"/>
      <w:bookmarkStart w:id="475" w:name="_Toc297123541"/>
      <w:bookmarkStart w:id="476" w:name="_Toc300934990"/>
      <w:bookmarkStart w:id="477" w:name="_Toc297120494"/>
      <w:bookmarkStart w:id="478" w:name="_Toc296944533"/>
      <w:bookmarkStart w:id="479" w:name="_Toc296891234"/>
      <w:bookmarkStart w:id="480" w:name="_Toc296346695"/>
      <w:bookmarkStart w:id="481" w:name="_Toc303539147"/>
      <w:bookmarkStart w:id="482" w:name="_Toc297216200"/>
      <w:bookmarkStart w:id="483" w:name="_Toc312678026"/>
      <w:bookmarkStart w:id="484" w:name="_Toc296503194"/>
      <w:bookmarkStart w:id="485" w:name="_Toc312677500"/>
      <w:r>
        <w:rPr>
          <w:rFonts w:hint="eastAsia" w:ascii="宋体" w:hAnsi="宋体" w:eastAsia="宋体" w:cs="宋体"/>
          <w:color w:val="auto"/>
          <w:sz w:val="24"/>
          <w:szCs w:val="24"/>
          <w:highlight w:val="none"/>
        </w:rPr>
        <w:t>0.1变更的范围</w:t>
      </w:r>
    </w:p>
    <w:p w14:paraId="1FA780F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3FECFE7">
      <w:pPr>
        <w:spacing w:after="120" w:line="360" w:lineRule="auto"/>
        <w:ind w:firstLine="480" w:firstLineChars="200"/>
        <w:outlineLvl w:val="0"/>
        <w:rPr>
          <w:rFonts w:hint="eastAsia" w:ascii="宋体" w:hAnsi="宋体" w:eastAsia="宋体" w:cs="宋体"/>
          <w:color w:val="auto"/>
          <w:sz w:val="24"/>
          <w:szCs w:val="24"/>
          <w:highlight w:val="none"/>
        </w:rPr>
      </w:pPr>
      <w:bookmarkStart w:id="486" w:name="_Toc3116"/>
      <w:r>
        <w:rPr>
          <w:rFonts w:hint="eastAsia" w:ascii="宋体" w:hAnsi="宋体" w:eastAsia="宋体" w:cs="宋体"/>
          <w:color w:val="auto"/>
          <w:sz w:val="24"/>
          <w:szCs w:val="24"/>
          <w:highlight w:val="none"/>
        </w:rPr>
        <w:t>10.4 变更估价</w:t>
      </w:r>
      <w:bookmarkEnd w:id="486"/>
    </w:p>
    <w:p w14:paraId="360CDEC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10.4.1 变更估价原则</w:t>
      </w:r>
    </w:p>
    <w:p w14:paraId="3F982A89">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A0FDE28">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Start w:id="487" w:name="_Toc296503197"/>
      <w:bookmarkStart w:id="488" w:name="_Toc296346698"/>
      <w:bookmarkStart w:id="489" w:name="_Toc297123544"/>
      <w:bookmarkStart w:id="490" w:name="_Toc292559402"/>
      <w:bookmarkStart w:id="491" w:name="_Toc303539150"/>
      <w:bookmarkStart w:id="492" w:name="_Toc296347196"/>
      <w:bookmarkStart w:id="493" w:name="_Toc292559907"/>
      <w:bookmarkStart w:id="494" w:name="_Toc296891237"/>
      <w:bookmarkStart w:id="495" w:name="_Toc297120497"/>
      <w:bookmarkStart w:id="496" w:name="_Toc297216203"/>
      <w:bookmarkStart w:id="497" w:name="_Toc296891025"/>
      <w:bookmarkStart w:id="498" w:name="_Toc296944536"/>
      <w:bookmarkStart w:id="499" w:name="_Toc300934993"/>
      <w:bookmarkStart w:id="500" w:name="_Toc297048383"/>
      <w:bookmarkStart w:id="501" w:name="_Toc304295570"/>
      <w:bookmarkStart w:id="502" w:name="_Toc312678029"/>
      <w:bookmarkStart w:id="503" w:name="_Toc312677503"/>
      <w:r>
        <w:rPr>
          <w:rFonts w:hint="eastAsia" w:ascii="宋体" w:hAnsi="宋体" w:eastAsia="宋体" w:cs="宋体"/>
          <w:color w:val="auto"/>
          <w:sz w:val="24"/>
          <w:szCs w:val="24"/>
          <w:highlight w:val="none"/>
        </w:rPr>
        <w:t>0.5承</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Start w:id="504" w:name="_Toc292559408"/>
      <w:bookmarkStart w:id="505" w:name="_Toc297216204"/>
      <w:bookmarkStart w:id="506" w:name="_Toc296944542"/>
      <w:bookmarkStart w:id="507" w:name="_Toc296891031"/>
      <w:bookmarkStart w:id="508" w:name="_Toc296346704"/>
      <w:bookmarkStart w:id="509" w:name="_Toc303539151"/>
      <w:bookmarkStart w:id="510" w:name="_Toc297123545"/>
      <w:bookmarkStart w:id="511" w:name="_Toc292559913"/>
      <w:bookmarkStart w:id="512" w:name="_Toc296347202"/>
      <w:bookmarkStart w:id="513" w:name="_Toc296503203"/>
      <w:bookmarkStart w:id="514" w:name="_Toc297048389"/>
      <w:bookmarkStart w:id="515" w:name="_Toc300934994"/>
      <w:bookmarkStart w:id="516" w:name="_Toc296891243"/>
      <w:bookmarkStart w:id="517" w:name="_Toc297120503"/>
      <w:r>
        <w:rPr>
          <w:rFonts w:hint="eastAsia" w:ascii="宋体" w:hAnsi="宋体" w:eastAsia="宋体" w:cs="宋体"/>
          <w:color w:val="auto"/>
          <w:sz w:val="24"/>
          <w:szCs w:val="24"/>
          <w:highlight w:val="none"/>
        </w:rPr>
        <w:t>包人的合理化建议</w:t>
      </w:r>
    </w:p>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14:paraId="5BBA156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监理人审查承包人合理化建议的期限：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7D9D10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657C0B7">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w:t>
      </w:r>
      <w:bookmarkStart w:id="518" w:name="_Toc312677504"/>
      <w:bookmarkStart w:id="519" w:name="_Toc297216205"/>
      <w:bookmarkStart w:id="520" w:name="_Toc303539152"/>
      <w:bookmarkStart w:id="521" w:name="_Toc296503204"/>
      <w:bookmarkStart w:id="522" w:name="_Toc296891244"/>
      <w:bookmarkStart w:id="523" w:name="_Toc312678030"/>
      <w:bookmarkStart w:id="524" w:name="_Toc292559409"/>
      <w:bookmarkStart w:id="525" w:name="_Toc297120504"/>
      <w:bookmarkStart w:id="526" w:name="_Toc296347203"/>
      <w:bookmarkStart w:id="527" w:name="_Toc296944543"/>
      <w:bookmarkStart w:id="528" w:name="_Toc318581175"/>
      <w:bookmarkStart w:id="529" w:name="_Toc300934995"/>
      <w:bookmarkStart w:id="530" w:name="_Toc297048390"/>
      <w:bookmarkStart w:id="531" w:name="_Toc296346705"/>
      <w:bookmarkStart w:id="532" w:name="_Toc296891032"/>
      <w:bookmarkStart w:id="533" w:name="_Toc292559914"/>
      <w:bookmarkStart w:id="534" w:name="_Toc297123546"/>
      <w:bookmarkStart w:id="535" w:name="_Toc304295571"/>
      <w:r>
        <w:rPr>
          <w:rFonts w:hint="eastAsia" w:ascii="宋体" w:hAnsi="宋体" w:eastAsia="宋体" w:cs="宋体"/>
          <w:color w:val="auto"/>
          <w:sz w:val="24"/>
          <w:szCs w:val="24"/>
          <w:highlight w:val="none"/>
        </w:rPr>
        <w:t>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14:paraId="2368671B">
      <w:pPr>
        <w:spacing w:after="120" w:line="360" w:lineRule="auto"/>
        <w:ind w:firstLine="480" w:firstLineChars="200"/>
        <w:outlineLvl w:val="0"/>
        <w:rPr>
          <w:rFonts w:hint="eastAsia" w:ascii="宋体" w:hAnsi="宋体" w:eastAsia="宋体" w:cs="宋体"/>
          <w:color w:val="auto"/>
          <w:sz w:val="24"/>
          <w:szCs w:val="24"/>
          <w:highlight w:val="none"/>
        </w:rPr>
      </w:pPr>
      <w:bookmarkStart w:id="536" w:name="_Toc13052"/>
      <w:r>
        <w:rPr>
          <w:rFonts w:hint="eastAsia" w:ascii="宋体" w:hAnsi="宋体" w:eastAsia="宋体" w:cs="宋体"/>
          <w:color w:val="auto"/>
          <w:sz w:val="24"/>
          <w:szCs w:val="24"/>
          <w:highlight w:val="none"/>
        </w:rPr>
        <w:t>1</w:t>
      </w:r>
      <w:bookmarkStart w:id="537" w:name="_Toc312677507"/>
      <w:bookmarkStart w:id="538" w:name="_Toc292559909"/>
      <w:bookmarkStart w:id="539" w:name="_Toc300934997"/>
      <w:bookmarkStart w:id="540" w:name="_Toc296944538"/>
      <w:bookmarkStart w:id="541" w:name="_Toc292559404"/>
      <w:bookmarkStart w:id="542" w:name="_Toc297120499"/>
      <w:bookmarkStart w:id="543" w:name="_Toc297048385"/>
      <w:bookmarkStart w:id="544" w:name="_Toc296891239"/>
      <w:bookmarkStart w:id="545" w:name="_Toc304295574"/>
      <w:bookmarkStart w:id="546" w:name="_Toc303539154"/>
      <w:bookmarkStart w:id="547" w:name="_Toc312678033"/>
      <w:bookmarkStart w:id="548" w:name="_Toc296347198"/>
      <w:bookmarkStart w:id="549" w:name="_Toc297216207"/>
      <w:bookmarkStart w:id="550" w:name="_Toc296346700"/>
      <w:bookmarkStart w:id="551" w:name="_Toc297123548"/>
      <w:bookmarkStart w:id="552" w:name="_Toc296891027"/>
      <w:bookmarkStart w:id="553" w:name="_Toc296503199"/>
      <w:r>
        <w:rPr>
          <w:rFonts w:hint="eastAsia" w:ascii="宋体" w:hAnsi="宋体" w:eastAsia="宋体" w:cs="宋体"/>
          <w:color w:val="auto"/>
          <w:sz w:val="24"/>
          <w:szCs w:val="24"/>
          <w:highlight w:val="none"/>
        </w:rPr>
        <w:t>0.7 暂估价</w:t>
      </w:r>
      <w:bookmarkEnd w:id="536"/>
    </w:p>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14:paraId="59C45E7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暂</w:t>
      </w:r>
      <w:bookmarkStart w:id="554" w:name="_Toc312677508"/>
      <w:bookmarkStart w:id="555" w:name="_Toc312678034"/>
      <w:bookmarkStart w:id="556" w:name="_Toc318581176"/>
      <w:r>
        <w:rPr>
          <w:rFonts w:hint="eastAsia" w:ascii="宋体" w:hAnsi="宋体" w:eastAsia="宋体" w:cs="宋体"/>
          <w:color w:val="auto"/>
          <w:kern w:val="0"/>
          <w:sz w:val="24"/>
          <w:szCs w:val="24"/>
          <w:highlight w:val="none"/>
        </w:rPr>
        <w:t>估价材料和工程设备的明细详见附件11：《</w:t>
      </w:r>
      <w:r>
        <w:rPr>
          <w:rFonts w:hint="eastAsia" w:ascii="宋体" w:hAnsi="宋体" w:eastAsia="宋体" w:cs="宋体"/>
          <w:color w:val="auto"/>
          <w:sz w:val="24"/>
          <w:szCs w:val="24"/>
          <w:highlight w:val="none"/>
        </w:rPr>
        <w:t>暂估价一览表》</w:t>
      </w:r>
      <w:r>
        <w:rPr>
          <w:rFonts w:hint="eastAsia" w:ascii="宋体" w:hAnsi="宋体" w:eastAsia="宋体" w:cs="宋体"/>
          <w:color w:val="auto"/>
          <w:kern w:val="0"/>
          <w:sz w:val="24"/>
          <w:szCs w:val="24"/>
          <w:highlight w:val="none"/>
        </w:rPr>
        <w:t>。</w:t>
      </w:r>
    </w:p>
    <w:bookmarkEnd w:id="554"/>
    <w:bookmarkEnd w:id="555"/>
    <w:bookmarkEnd w:id="556"/>
    <w:p w14:paraId="2F4210F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557" w:name="_Toc312678035"/>
      <w:bookmarkStart w:id="558" w:name="_Toc318581177"/>
      <w:bookmarkStart w:id="559" w:name="_Toc312677509"/>
      <w:r>
        <w:rPr>
          <w:rFonts w:hint="eastAsia" w:ascii="宋体" w:hAnsi="宋体" w:eastAsia="宋体" w:cs="宋体"/>
          <w:color w:val="auto"/>
          <w:sz w:val="24"/>
          <w:szCs w:val="24"/>
          <w:highlight w:val="none"/>
        </w:rPr>
        <w:t>0.7.1 依法必须招标的暂估价项目</w:t>
      </w:r>
    </w:p>
    <w:bookmarkEnd w:id="557"/>
    <w:bookmarkEnd w:id="558"/>
    <w:bookmarkEnd w:id="559"/>
    <w:p w14:paraId="714B5D5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对于依法必须招标的暂估价项目的确认和批准采取第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种方式确定。</w:t>
      </w:r>
    </w:p>
    <w:p w14:paraId="1AA7AF2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10.7.2 不属于依法必须招标的暂估价项目</w:t>
      </w:r>
    </w:p>
    <w:p w14:paraId="5EA1CE1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对于不属于依法必须招标的暂估价项目的确认和批准采取第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种方式确定。</w:t>
      </w:r>
    </w:p>
    <w:p w14:paraId="30E7693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第3种方式：</w:t>
      </w:r>
      <w:r>
        <w:rPr>
          <w:rFonts w:hint="eastAsia" w:ascii="宋体" w:hAnsi="宋体" w:eastAsia="宋体" w:cs="宋体"/>
          <w:color w:val="auto"/>
          <w:kern w:val="0"/>
          <w:sz w:val="24"/>
          <w:szCs w:val="24"/>
          <w:highlight w:val="none"/>
        </w:rPr>
        <w:t>承包人直接实施的暂估价项目</w:t>
      </w:r>
    </w:p>
    <w:p w14:paraId="61FE0C5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承包人直接实施的暂估价项目的约定：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798A57A">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10.8 暂列金额</w:t>
      </w:r>
    </w:p>
    <w:p w14:paraId="020B126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合同当事人关于暂列金额使用的约定：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72BDF06C">
      <w:p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560" w:name="_Toc25189"/>
      <w:bookmarkStart w:id="561" w:name="_Toc351203643"/>
      <w:r>
        <w:rPr>
          <w:rFonts w:hint="eastAsia" w:ascii="宋体" w:hAnsi="宋体" w:eastAsia="宋体" w:cs="宋体"/>
          <w:b/>
          <w:bCs w:val="0"/>
          <w:color w:val="auto"/>
          <w:sz w:val="24"/>
          <w:szCs w:val="24"/>
          <w:highlight w:val="none"/>
        </w:rPr>
        <w:t>11. 价格调整</w:t>
      </w:r>
      <w:bookmarkEnd w:id="560"/>
      <w:bookmarkEnd w:id="561"/>
    </w:p>
    <w:p w14:paraId="0B9B931B">
      <w:pPr>
        <w:spacing w:after="120" w:line="360" w:lineRule="auto"/>
        <w:ind w:firstLine="480" w:firstLineChars="200"/>
        <w:rPr>
          <w:rFonts w:hint="eastAsia" w:ascii="宋体" w:hAnsi="宋体" w:eastAsia="宋体" w:cs="宋体"/>
          <w:color w:val="auto"/>
          <w:sz w:val="24"/>
          <w:szCs w:val="24"/>
          <w:highlight w:val="none"/>
        </w:rPr>
      </w:pPr>
      <w:bookmarkStart w:id="562" w:name="_Toc296891241"/>
      <w:bookmarkStart w:id="563" w:name="_Toc296891029"/>
      <w:bookmarkStart w:id="564" w:name="_Toc296503201"/>
      <w:bookmarkStart w:id="565" w:name="_Toc297120501"/>
      <w:bookmarkStart w:id="566" w:name="_Toc297216209"/>
      <w:bookmarkStart w:id="567" w:name="_Toc300935000"/>
      <w:bookmarkStart w:id="568" w:name="_Toc292559406"/>
      <w:bookmarkStart w:id="569" w:name="_Toc297123550"/>
      <w:bookmarkStart w:id="570" w:name="_Toc297048387"/>
      <w:bookmarkStart w:id="571" w:name="_Toc292559911"/>
      <w:bookmarkStart w:id="572" w:name="_Toc296346702"/>
      <w:bookmarkStart w:id="573" w:name="_Toc296944540"/>
      <w:bookmarkStart w:id="574" w:name="_Toc303539157"/>
      <w:bookmarkStart w:id="575" w:name="_Toc304295577"/>
      <w:bookmarkStart w:id="576" w:name="_Toc312678039"/>
      <w:bookmarkStart w:id="577" w:name="_Toc296347200"/>
      <w:r>
        <w:rPr>
          <w:rFonts w:hint="eastAsia" w:ascii="宋体" w:hAnsi="宋体" w:eastAsia="宋体" w:cs="宋体"/>
          <w:color w:val="auto"/>
          <w:sz w:val="24"/>
          <w:szCs w:val="24"/>
          <w:highlight w:val="none"/>
        </w:rPr>
        <w:t>11.1 市场价格波动引起的调整</w:t>
      </w:r>
    </w:p>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14:paraId="7F5AFEB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660C45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种方式对合同价格进行调整：</w:t>
      </w:r>
    </w:p>
    <w:p w14:paraId="0591176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第1种方式：采用价格指数进行价格调整。</w:t>
      </w:r>
    </w:p>
    <w:p w14:paraId="0EF8DF65">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关于各可调因子、定值和变值权重，以及基本价格指数及其来源的约定：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1B8B331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第2种方式：采用造价信息进行价格调整。</w:t>
      </w:r>
    </w:p>
    <w:p w14:paraId="781D257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（2）关于基准价格的约定：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9BD6F8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4D226A0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5FBE341B">
      <w:pPr>
        <w:spacing w:line="360" w:lineRule="auto"/>
        <w:ind w:firstLine="64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1CB8ACF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第3种方式：其他价格调整方式：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462"/>
    <w:bookmarkEnd w:id="463"/>
    <w:bookmarkEnd w:id="464"/>
    <w:bookmarkEnd w:id="465"/>
    <w:bookmarkEnd w:id="466"/>
    <w:bookmarkEnd w:id="467"/>
    <w:p w14:paraId="12C33C16">
      <w:pPr>
        <w:numPr>
          <w:ilvl w:val="0"/>
          <w:numId w:val="5"/>
        </w:num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578" w:name="_Toc297123552"/>
      <w:bookmarkStart w:id="579" w:name="_Toc303539159"/>
      <w:bookmarkStart w:id="580" w:name="_Toc1931"/>
      <w:bookmarkStart w:id="581" w:name="_Toc300935002"/>
      <w:bookmarkStart w:id="582" w:name="_Toc312678040"/>
      <w:bookmarkStart w:id="583" w:name="_Toc351203644"/>
      <w:bookmarkStart w:id="584" w:name="_Toc297216211"/>
      <w:bookmarkStart w:id="585" w:name="_Toc304295579"/>
      <w:r>
        <w:rPr>
          <w:rFonts w:hint="eastAsia" w:ascii="宋体" w:hAnsi="宋体" w:eastAsia="宋体" w:cs="宋体"/>
          <w:b/>
          <w:bCs w:val="0"/>
          <w:color w:val="auto"/>
          <w:sz w:val="24"/>
          <w:szCs w:val="24"/>
          <w:highlight w:val="none"/>
        </w:rPr>
        <w:t>合同价格、计量与支付</w:t>
      </w:r>
      <w:bookmarkEnd w:id="578"/>
      <w:bookmarkEnd w:id="579"/>
      <w:bookmarkEnd w:id="580"/>
      <w:bookmarkEnd w:id="581"/>
      <w:bookmarkEnd w:id="582"/>
      <w:bookmarkEnd w:id="583"/>
      <w:bookmarkEnd w:id="584"/>
      <w:bookmarkEnd w:id="585"/>
      <w:bookmarkStart w:id="586" w:name="_Toc292559411"/>
      <w:bookmarkStart w:id="587" w:name="_Toc267251461"/>
      <w:bookmarkStart w:id="588" w:name="_Toc292559916"/>
      <w:bookmarkStart w:id="589" w:name="_Toc296944545"/>
      <w:bookmarkStart w:id="590" w:name="_Toc297048392"/>
      <w:bookmarkStart w:id="591" w:name="_Toc296891034"/>
      <w:bookmarkStart w:id="592" w:name="_Toc296503206"/>
      <w:bookmarkStart w:id="593" w:name="_Toc296347205"/>
      <w:bookmarkStart w:id="594" w:name="_Toc296346707"/>
      <w:bookmarkStart w:id="595" w:name="_Toc296891246"/>
      <w:bookmarkStart w:id="596" w:name="_Toc297120506"/>
      <w:bookmarkStart w:id="597" w:name="_Toc300935003"/>
      <w:bookmarkStart w:id="598" w:name="_Toc303539160"/>
      <w:bookmarkStart w:id="599" w:name="_Toc312678041"/>
      <w:bookmarkStart w:id="600" w:name="_Toc297216212"/>
      <w:bookmarkStart w:id="601" w:name="_Toc297123553"/>
      <w:bookmarkStart w:id="602" w:name="_Toc304295580"/>
    </w:p>
    <w:p w14:paraId="2FF3FDDE">
      <w:pPr>
        <w:numPr>
          <w:ilvl w:val="0"/>
          <w:numId w:val="0"/>
        </w:numPr>
        <w:autoSpaceDE w:val="0"/>
        <w:autoSpaceDN w:val="0"/>
        <w:adjustRightInd w:val="0"/>
        <w:spacing w:line="360" w:lineRule="auto"/>
        <w:ind w:firstLine="480" w:firstLineChars="200"/>
        <w:jc w:val="left"/>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合</w:t>
      </w:r>
      <w:bookmarkEnd w:id="586"/>
      <w:bookmarkEnd w:id="587"/>
      <w:bookmarkEnd w:id="588"/>
      <w:r>
        <w:rPr>
          <w:rFonts w:hint="eastAsia" w:ascii="宋体" w:hAnsi="宋体" w:eastAsia="宋体" w:cs="宋体"/>
          <w:color w:val="auto"/>
          <w:sz w:val="24"/>
          <w:szCs w:val="24"/>
          <w:highlight w:val="none"/>
        </w:rPr>
        <w:t>同价</w:t>
      </w:r>
      <w:bookmarkEnd w:id="589"/>
      <w:bookmarkEnd w:id="590"/>
      <w:bookmarkEnd w:id="591"/>
      <w:bookmarkEnd w:id="592"/>
      <w:bookmarkEnd w:id="593"/>
      <w:bookmarkEnd w:id="594"/>
      <w:bookmarkEnd w:id="595"/>
      <w:bookmarkEnd w:id="596"/>
      <w:r>
        <w:rPr>
          <w:rFonts w:hint="eastAsia" w:ascii="宋体" w:hAnsi="宋体" w:eastAsia="宋体" w:cs="宋体"/>
          <w:color w:val="auto"/>
          <w:sz w:val="24"/>
          <w:szCs w:val="24"/>
          <w:highlight w:val="none"/>
        </w:rPr>
        <w:t>格形式</w:t>
      </w:r>
    </w:p>
    <w:bookmarkEnd w:id="597"/>
    <w:bookmarkEnd w:id="598"/>
    <w:bookmarkEnd w:id="599"/>
    <w:bookmarkEnd w:id="600"/>
    <w:bookmarkEnd w:id="601"/>
    <w:bookmarkEnd w:id="602"/>
    <w:p w14:paraId="252354D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w:t>
      </w:r>
    </w:p>
    <w:p w14:paraId="08219DA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综合单价包含的风险范围：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E88B94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CABD5A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AB5D0E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w:t>
      </w:r>
    </w:p>
    <w:p w14:paraId="4E46DD6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98F60D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A2A9D7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F66386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EA70C35">
      <w:pPr>
        <w:spacing w:after="120" w:line="360" w:lineRule="auto"/>
        <w:ind w:firstLine="480" w:firstLineChars="200"/>
        <w:rPr>
          <w:rFonts w:hint="eastAsia" w:ascii="宋体" w:hAnsi="宋体" w:eastAsia="宋体" w:cs="宋体"/>
          <w:color w:val="auto"/>
          <w:sz w:val="24"/>
          <w:szCs w:val="24"/>
          <w:highlight w:val="none"/>
        </w:rPr>
      </w:pPr>
      <w:bookmarkStart w:id="603" w:name="_Toc300935004"/>
      <w:bookmarkStart w:id="604" w:name="_Toc312678042"/>
      <w:bookmarkStart w:id="605" w:name="_Toc303539161"/>
      <w:bookmarkStart w:id="606" w:name="_Toc304295581"/>
      <w:bookmarkStart w:id="607" w:name="_Toc297216213"/>
      <w:bookmarkStart w:id="608" w:name="_Toc297123554"/>
      <w:bookmarkStart w:id="609" w:name="_Toc296891035"/>
      <w:bookmarkStart w:id="610" w:name="_Toc296944546"/>
      <w:bookmarkStart w:id="611" w:name="_Toc297120507"/>
      <w:bookmarkStart w:id="612" w:name="_Toc296503207"/>
      <w:bookmarkStart w:id="613" w:name="_Toc292559412"/>
      <w:bookmarkStart w:id="614" w:name="_Toc296347206"/>
      <w:bookmarkStart w:id="615" w:name="_Toc297048393"/>
      <w:bookmarkStart w:id="616" w:name="_Toc292559917"/>
      <w:bookmarkStart w:id="617" w:name="_Toc296891247"/>
      <w:bookmarkStart w:id="618" w:name="_Toc296346708"/>
      <w:r>
        <w:rPr>
          <w:rFonts w:hint="eastAsia" w:ascii="宋体" w:hAnsi="宋体" w:eastAsia="宋体" w:cs="宋体"/>
          <w:color w:val="auto"/>
          <w:sz w:val="24"/>
          <w:szCs w:val="24"/>
          <w:highlight w:val="none"/>
        </w:rPr>
        <w:t>12.2 预付款</w:t>
      </w:r>
    </w:p>
    <w:bookmarkEnd w:id="603"/>
    <w:bookmarkEnd w:id="604"/>
    <w:bookmarkEnd w:id="605"/>
    <w:bookmarkEnd w:id="606"/>
    <w:bookmarkEnd w:id="607"/>
    <w:bookmarkEnd w:id="608"/>
    <w:p w14:paraId="3C8CDF0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 预付款的支付</w:t>
      </w:r>
    </w:p>
    <w:p w14:paraId="0EC7DDB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3E19FA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13FF29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792981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12.2.2 预付款担保</w:t>
      </w:r>
    </w:p>
    <w:p w14:paraId="58046B1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承包人提交预付款担保的期限：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479482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预付款担保的形式为：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609"/>
    <w:bookmarkEnd w:id="610"/>
    <w:bookmarkEnd w:id="611"/>
    <w:bookmarkEnd w:id="612"/>
    <w:bookmarkEnd w:id="613"/>
    <w:bookmarkEnd w:id="614"/>
    <w:bookmarkEnd w:id="615"/>
    <w:bookmarkEnd w:id="616"/>
    <w:bookmarkEnd w:id="617"/>
    <w:bookmarkEnd w:id="618"/>
    <w:p w14:paraId="638AE97E">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计量</w:t>
      </w:r>
    </w:p>
    <w:p w14:paraId="03CF4B3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12.3.1 计量原则</w:t>
      </w:r>
    </w:p>
    <w:p w14:paraId="7468449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B9420C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12.3.2 计量周期</w:t>
      </w:r>
    </w:p>
    <w:p w14:paraId="7F756E5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2621D4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12.3.3 单价合同的计量</w:t>
      </w:r>
    </w:p>
    <w:p w14:paraId="15418C4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F47E80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12.3.4 总价合同的计量</w:t>
      </w:r>
    </w:p>
    <w:p w14:paraId="04A2048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关于总价合同计量的约定：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B4924D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12.3.5总价合同采用支付分解表计量支付的，是否适用第</w:t>
      </w:r>
      <w:r>
        <w:rPr>
          <w:rFonts w:hint="eastAsia" w:ascii="宋体" w:hAnsi="宋体" w:eastAsia="宋体" w:cs="宋体"/>
          <w:color w:val="auto"/>
          <w:kern w:val="0"/>
          <w:sz w:val="24"/>
          <w:szCs w:val="24"/>
          <w:highlight w:val="none"/>
        </w:rPr>
        <w:t xml:space="preserve">12.3.4 </w:t>
      </w:r>
      <w:r>
        <w:rPr>
          <w:rFonts w:hint="eastAsia" w:ascii="宋体" w:hAnsi="宋体" w:eastAsia="宋体" w:cs="宋体"/>
          <w:color w:val="auto"/>
          <w:sz w:val="24"/>
          <w:szCs w:val="24"/>
          <w:highlight w:val="none"/>
        </w:rPr>
        <w:t>项</w:t>
      </w:r>
      <w:r>
        <w:rPr>
          <w:rFonts w:hint="eastAsia" w:ascii="宋体" w:hAnsi="宋体" w:eastAsia="宋体" w:cs="宋体"/>
          <w:color w:val="auto"/>
          <w:kern w:val="0"/>
          <w:sz w:val="24"/>
          <w:szCs w:val="24"/>
          <w:highlight w:val="none"/>
        </w:rPr>
        <w:t>〔总价合同的计量〕</w:t>
      </w:r>
      <w:r>
        <w:rPr>
          <w:rFonts w:hint="eastAsia" w:ascii="宋体" w:hAnsi="宋体" w:eastAsia="宋体" w:cs="宋体"/>
          <w:color w:val="auto"/>
          <w:sz w:val="24"/>
          <w:szCs w:val="24"/>
          <w:highlight w:val="none"/>
        </w:rPr>
        <w:t>约定进行计量：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AD49C4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12.3.6 其他价格形式合同的计量</w:t>
      </w:r>
    </w:p>
    <w:p w14:paraId="0ECD628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0141A17">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工程进度款支付</w:t>
      </w:r>
    </w:p>
    <w:p w14:paraId="46BDFBD4">
      <w:pPr>
        <w:spacing w:line="360" w:lineRule="auto"/>
        <w:ind w:firstLine="480" w:firstLineChars="200"/>
        <w:jc w:val="left"/>
        <w:rPr>
          <w:rFonts w:hint="eastAsia" w:ascii="宋体" w:hAnsi="宋体" w:eastAsia="宋体" w:cs="宋体"/>
          <w:color w:val="auto"/>
          <w:sz w:val="24"/>
          <w:szCs w:val="24"/>
          <w:highlight w:val="none"/>
        </w:rPr>
      </w:pPr>
      <w:bookmarkStart w:id="619" w:name="_Toc296347210"/>
      <w:bookmarkStart w:id="620" w:name="_Toc297048397"/>
      <w:bookmarkStart w:id="621" w:name="_Toc297120511"/>
      <w:bookmarkStart w:id="622" w:name="_Toc296944550"/>
      <w:bookmarkStart w:id="623" w:name="_Toc296346712"/>
      <w:bookmarkStart w:id="624" w:name="_Toc300935006"/>
      <w:bookmarkStart w:id="625" w:name="_Toc296891039"/>
      <w:bookmarkStart w:id="626" w:name="_Toc292559921"/>
      <w:bookmarkStart w:id="627" w:name="_Toc297123556"/>
      <w:bookmarkStart w:id="628" w:name="_Toc303539163"/>
      <w:bookmarkStart w:id="629" w:name="_Toc296503211"/>
      <w:bookmarkStart w:id="630" w:name="_Toc292559416"/>
      <w:bookmarkStart w:id="631" w:name="_Toc297216215"/>
      <w:bookmarkStart w:id="632" w:name="_Toc296891251"/>
      <w:r>
        <w:rPr>
          <w:rFonts w:hint="eastAsia" w:ascii="宋体" w:hAnsi="宋体" w:eastAsia="宋体" w:cs="宋体"/>
          <w:color w:val="auto"/>
          <w:sz w:val="24"/>
          <w:szCs w:val="24"/>
          <w:highlight w:val="none"/>
        </w:rPr>
        <w:t>12.4.1 付款周期</w:t>
      </w:r>
    </w:p>
    <w:p w14:paraId="32558D1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关于付款周期的约定：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B9B5F4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12.4.2 进度付款申请单的编制</w:t>
      </w:r>
    </w:p>
    <w:p w14:paraId="1B93C75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关于进度付款申请单编制的约定：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030C6C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r>
        <w:rPr>
          <w:rFonts w:hint="eastAsia" w:ascii="宋体" w:hAnsi="宋体" w:eastAsia="宋体" w:cs="宋体"/>
          <w:color w:val="auto"/>
          <w:sz w:val="24"/>
          <w:szCs w:val="24"/>
          <w:highlight w:val="none"/>
        </w:rPr>
        <w:t>2.4.3 进度付款申请单的提交</w:t>
      </w:r>
    </w:p>
    <w:p w14:paraId="111A202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6CD551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2A2FB8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（3）其他价格形式合同进度付款申请单提交的约定：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6E26C4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12.4.4 进度款审核和支付</w:t>
      </w:r>
    </w:p>
    <w:p w14:paraId="2559E18E">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（1）监理人审查并报送发包人的期限：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659BBE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发包人完成审批并签发进度款支付证书的期限：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353F4B4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（2）发包人支付进度款的期限：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01482F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发包人逾期支付进度款的违约金的计算方式：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49D87E1">
      <w:pPr>
        <w:spacing w:line="360" w:lineRule="auto"/>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12.4.6 支付分解表的编制</w:t>
      </w:r>
    </w:p>
    <w:p w14:paraId="582EE5F3">
      <w:pPr>
        <w:spacing w:line="360" w:lineRule="auto"/>
        <w:ind w:left="4799" w:leftChars="228" w:hanging="4320" w:hangingChars="18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27F9F8A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3、单价合同的总价项目支付分解表的编制与审批：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bookmarkEnd w:id="468"/>
    <w:p w14:paraId="4527CDA4">
      <w:p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633" w:name="_Toc3969"/>
      <w:bookmarkStart w:id="634" w:name="_Toc351203645"/>
      <w:bookmarkStart w:id="635" w:name="_Toc297216223"/>
      <w:bookmarkStart w:id="636" w:name="_Toc296503219"/>
      <w:bookmarkStart w:id="637" w:name="_Toc292559424"/>
      <w:bookmarkStart w:id="638" w:name="_Toc296347218"/>
      <w:bookmarkStart w:id="639" w:name="_Toc303539172"/>
      <w:bookmarkStart w:id="640" w:name="_Toc296891047"/>
      <w:bookmarkStart w:id="641" w:name="_Toc300935015"/>
      <w:bookmarkStart w:id="642" w:name="_Toc297123564"/>
      <w:bookmarkStart w:id="643" w:name="_Toc296346720"/>
      <w:bookmarkStart w:id="644" w:name="_Toc297048405"/>
      <w:bookmarkStart w:id="645" w:name="_Toc296944558"/>
      <w:bookmarkStart w:id="646" w:name="_Toc292559929"/>
      <w:bookmarkStart w:id="647" w:name="_Toc304295593"/>
      <w:bookmarkStart w:id="648" w:name="_Toc312678053"/>
      <w:bookmarkStart w:id="649" w:name="_Toc297120519"/>
      <w:bookmarkStart w:id="650" w:name="_Toc296891259"/>
      <w:r>
        <w:rPr>
          <w:rFonts w:hint="eastAsia" w:ascii="宋体" w:hAnsi="宋体" w:eastAsia="宋体" w:cs="宋体"/>
          <w:b/>
          <w:bCs w:val="0"/>
          <w:color w:val="auto"/>
          <w:sz w:val="24"/>
          <w:szCs w:val="24"/>
          <w:highlight w:val="none"/>
        </w:rPr>
        <w:t>13. 验收和工程试车</w:t>
      </w:r>
      <w:bookmarkEnd w:id="633"/>
      <w:bookmarkEnd w:id="634"/>
    </w:p>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14:paraId="5FF01BD7">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分部分项工程验收</w:t>
      </w:r>
    </w:p>
    <w:p w14:paraId="313910D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13.1.2监理人不能按时进行验收时，应提前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小时提交书面延期要求。</w:t>
      </w:r>
    </w:p>
    <w:p w14:paraId="4BC34586">
      <w:pPr>
        <w:spacing w:line="360" w:lineRule="auto"/>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p>
    <w:p w14:paraId="666D7666">
      <w:pPr>
        <w:spacing w:after="120" w:line="360" w:lineRule="auto"/>
        <w:ind w:firstLine="480" w:firstLineChars="200"/>
        <w:rPr>
          <w:rFonts w:hint="eastAsia" w:ascii="宋体" w:hAnsi="宋体" w:eastAsia="宋体" w:cs="宋体"/>
          <w:color w:val="auto"/>
          <w:sz w:val="24"/>
          <w:szCs w:val="24"/>
          <w:highlight w:val="none"/>
        </w:rPr>
      </w:pPr>
      <w:bookmarkStart w:id="651" w:name="_Toc297048409"/>
      <w:bookmarkStart w:id="652" w:name="_Toc312678056"/>
      <w:bookmarkStart w:id="653" w:name="_Toc296347222"/>
      <w:bookmarkStart w:id="654" w:name="_Toc296944562"/>
      <w:bookmarkStart w:id="655" w:name="_Toc296891051"/>
      <w:bookmarkStart w:id="656" w:name="_Toc303539173"/>
      <w:bookmarkStart w:id="657" w:name="_Toc300935016"/>
      <w:bookmarkStart w:id="658" w:name="_Toc296346724"/>
      <w:bookmarkStart w:id="659" w:name="_Toc292559933"/>
      <w:bookmarkStart w:id="660" w:name="_Toc297123565"/>
      <w:bookmarkStart w:id="661" w:name="_Toc304295596"/>
      <w:bookmarkStart w:id="662" w:name="_Toc296891263"/>
      <w:bookmarkStart w:id="663" w:name="_Toc296503223"/>
      <w:bookmarkStart w:id="664" w:name="_Toc292559428"/>
      <w:bookmarkStart w:id="665" w:name="_Toc297216224"/>
      <w:bookmarkStart w:id="666" w:name="_Toc297120523"/>
      <w:bookmarkStart w:id="667" w:name="_Toc267251474"/>
      <w:bookmarkStart w:id="668" w:name="_Toc267251470"/>
      <w:bookmarkStart w:id="669" w:name="_Toc267251473"/>
      <w:bookmarkStart w:id="670" w:name="_Toc267251472"/>
      <w:bookmarkStart w:id="671" w:name="_Toc267251471"/>
      <w:bookmarkStart w:id="672" w:name="_Toc267251475"/>
      <w:bookmarkStart w:id="673" w:name="_Toc267251476"/>
      <w:r>
        <w:rPr>
          <w:rFonts w:hint="eastAsia" w:ascii="宋体" w:hAnsi="宋体" w:eastAsia="宋体" w:cs="宋体"/>
          <w:color w:val="auto"/>
          <w:sz w:val="24"/>
          <w:szCs w:val="24"/>
          <w:highlight w:val="none"/>
        </w:rPr>
        <w:t>13.2 竣工验收</w:t>
      </w:r>
    </w:p>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14:paraId="6608CA31">
      <w:pPr>
        <w:spacing w:line="360" w:lineRule="auto"/>
        <w:ind w:firstLine="480" w:firstLineChars="200"/>
        <w:jc w:val="left"/>
        <w:rPr>
          <w:rFonts w:hint="eastAsia" w:ascii="宋体" w:hAnsi="宋体" w:eastAsia="宋体" w:cs="宋体"/>
          <w:color w:val="auto"/>
          <w:sz w:val="24"/>
          <w:szCs w:val="24"/>
          <w:highlight w:val="none"/>
        </w:rPr>
      </w:pPr>
      <w:bookmarkStart w:id="674" w:name="_Toc280868704"/>
      <w:bookmarkStart w:id="675" w:name="_Toc280868705"/>
      <w:bookmarkStart w:id="676" w:name="_Toc280868706"/>
      <w:bookmarkStart w:id="677" w:name="_Toc280868707"/>
      <w:bookmarkStart w:id="678" w:name="_Toc280868708"/>
      <w:bookmarkStart w:id="679" w:name="_Toc280868709"/>
      <w:r>
        <w:rPr>
          <w:rFonts w:hint="eastAsia" w:ascii="宋体" w:hAnsi="宋体" w:eastAsia="宋体" w:cs="宋体"/>
          <w:color w:val="auto"/>
          <w:sz w:val="24"/>
          <w:szCs w:val="24"/>
          <w:highlight w:val="none"/>
        </w:rPr>
        <w:t>13.2.2竣工验收程序</w:t>
      </w:r>
    </w:p>
    <w:bookmarkEnd w:id="674"/>
    <w:p w14:paraId="7E2A1964">
      <w:pPr>
        <w:spacing w:line="360" w:lineRule="auto"/>
        <w:ind w:left="4799" w:leftChars="228" w:hanging="4320" w:hangingChars="18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关于竣工验收程序的约定：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1A5A1E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675"/>
    <w:p w14:paraId="3283E01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13.2.5移交、接收全部与部分工程</w:t>
      </w:r>
    </w:p>
    <w:bookmarkEnd w:id="676"/>
    <w:p w14:paraId="20DAA5A2">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承包人向发包人移交工程的期限：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35386BF">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发包人未按本合同约定接收全部或部分工程的，违约金的计算方法为：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677"/>
    <w:p w14:paraId="257FB5F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承包人未按时移交工程的，违约金的计算方法为：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976DF2F">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工程试车</w:t>
      </w:r>
    </w:p>
    <w:bookmarkEnd w:id="678"/>
    <w:p w14:paraId="34BD443D">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13.3.1 试车程序</w:t>
      </w:r>
    </w:p>
    <w:p w14:paraId="6158613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工程试车内容：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642BF6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（1）单机无负荷试车费用由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承担；</w:t>
      </w:r>
    </w:p>
    <w:p w14:paraId="28BE8F4D">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（2）无负荷联动试车费用由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承担。</w:t>
      </w:r>
    </w:p>
    <w:p w14:paraId="7A2C369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13.3.3 投料试车</w:t>
      </w:r>
    </w:p>
    <w:p w14:paraId="4ABDDC1D">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关于投料试车相关事项的约定：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52FC279">
      <w:pPr>
        <w:spacing w:after="120" w:line="360" w:lineRule="auto"/>
        <w:ind w:firstLine="480" w:firstLineChars="200"/>
        <w:outlineLvl w:val="0"/>
        <w:rPr>
          <w:rFonts w:hint="eastAsia" w:ascii="宋体" w:hAnsi="宋体" w:eastAsia="宋体" w:cs="宋体"/>
          <w:color w:val="auto"/>
          <w:sz w:val="24"/>
          <w:szCs w:val="24"/>
          <w:highlight w:val="none"/>
        </w:rPr>
      </w:pPr>
      <w:bookmarkStart w:id="680" w:name="_Toc20362"/>
      <w:r>
        <w:rPr>
          <w:rFonts w:hint="eastAsia" w:ascii="宋体" w:hAnsi="宋体" w:eastAsia="宋体" w:cs="宋体"/>
          <w:color w:val="auto"/>
          <w:sz w:val="24"/>
          <w:szCs w:val="24"/>
          <w:highlight w:val="none"/>
        </w:rPr>
        <w:t>13.6 竣工退场</w:t>
      </w:r>
      <w:bookmarkEnd w:id="680"/>
    </w:p>
    <w:p w14:paraId="672DC6B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13.6.1 竣工退场</w:t>
      </w:r>
    </w:p>
    <w:p w14:paraId="01EA660D">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承包人完成竣工退场的期限：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7D438CEB">
      <w:p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681" w:name="_Toc30784"/>
      <w:bookmarkStart w:id="682" w:name="_Toc351203646"/>
      <w:r>
        <w:rPr>
          <w:rFonts w:hint="eastAsia" w:ascii="宋体" w:hAnsi="宋体" w:eastAsia="宋体" w:cs="宋体"/>
          <w:b/>
          <w:bCs w:val="0"/>
          <w:color w:val="auto"/>
          <w:sz w:val="24"/>
          <w:szCs w:val="24"/>
          <w:highlight w:val="none"/>
        </w:rPr>
        <w:t>14. 竣工结算</w:t>
      </w:r>
      <w:bookmarkEnd w:id="681"/>
      <w:bookmarkEnd w:id="682"/>
    </w:p>
    <w:p w14:paraId="4BB6B656">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竣工结算申请</w:t>
      </w:r>
    </w:p>
    <w:p w14:paraId="0A4BA51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承包人提交竣工结算申请单的期限：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A5EB23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竣工结算申请单应包括的内容：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4555908">
      <w:pPr>
        <w:spacing w:after="120" w:line="360" w:lineRule="auto"/>
        <w:ind w:firstLine="480" w:firstLineChars="200"/>
        <w:outlineLvl w:val="0"/>
        <w:rPr>
          <w:rFonts w:hint="eastAsia" w:ascii="宋体" w:hAnsi="宋体" w:eastAsia="宋体" w:cs="宋体"/>
          <w:color w:val="auto"/>
          <w:sz w:val="24"/>
          <w:szCs w:val="24"/>
          <w:highlight w:val="none"/>
        </w:rPr>
      </w:pPr>
      <w:bookmarkStart w:id="683" w:name="_Toc9686"/>
      <w:r>
        <w:rPr>
          <w:rFonts w:hint="eastAsia" w:ascii="宋体" w:hAnsi="宋体" w:eastAsia="宋体" w:cs="宋体"/>
          <w:color w:val="auto"/>
          <w:sz w:val="24"/>
          <w:szCs w:val="24"/>
          <w:highlight w:val="none"/>
        </w:rPr>
        <w:t>14.2 竣工结算审核</w:t>
      </w:r>
      <w:bookmarkEnd w:id="683"/>
    </w:p>
    <w:p w14:paraId="1421777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E88743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67A6AB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关于竣工付款证书异议部分复核的方式和程序：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5072F57D">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 最终结清</w:t>
      </w:r>
    </w:p>
    <w:p w14:paraId="55E13F4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14.4.1 最终结清申请单</w:t>
      </w:r>
    </w:p>
    <w:p w14:paraId="59E67D6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承包人提交最终结清申请单的份数：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422555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承包人提交最终结算申请单的期限：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2812B52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14.4.2 最终结清证书和支付</w:t>
      </w:r>
    </w:p>
    <w:p w14:paraId="630E929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（1）发包人完成最终结清申请单的审批并颁发最终结清证书的期限：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4A27E6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（2）发包人完成支付的期限：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667"/>
    <w:bookmarkEnd w:id="668"/>
    <w:bookmarkEnd w:id="669"/>
    <w:bookmarkEnd w:id="670"/>
    <w:bookmarkEnd w:id="671"/>
    <w:bookmarkEnd w:id="672"/>
    <w:bookmarkEnd w:id="673"/>
    <w:bookmarkEnd w:id="679"/>
    <w:p w14:paraId="3D43EBAA">
      <w:p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684" w:name="_Toc16222"/>
      <w:bookmarkStart w:id="685" w:name="_Toc351203647"/>
      <w:bookmarkStart w:id="686" w:name="_Toc267251483"/>
      <w:bookmarkStart w:id="687" w:name="_Toc267251482"/>
      <w:bookmarkStart w:id="688" w:name="_Toc267251484"/>
      <w:bookmarkStart w:id="689" w:name="_Toc267251485"/>
      <w:bookmarkStart w:id="690" w:name="_Toc267251490"/>
      <w:bookmarkStart w:id="691" w:name="_Toc267251489"/>
      <w:bookmarkStart w:id="692" w:name="_Toc267251488"/>
      <w:bookmarkStart w:id="693" w:name="_Toc267251486"/>
      <w:bookmarkStart w:id="694" w:name="_Toc267251499"/>
      <w:bookmarkStart w:id="695" w:name="_Toc267251495"/>
      <w:bookmarkStart w:id="696" w:name="_Toc267251502"/>
      <w:bookmarkStart w:id="697" w:name="_Toc267251491"/>
      <w:bookmarkStart w:id="698" w:name="_Toc267251497"/>
      <w:bookmarkStart w:id="699" w:name="_Toc267251503"/>
      <w:bookmarkStart w:id="700" w:name="_Toc267251492"/>
      <w:bookmarkStart w:id="701" w:name="_Toc267251494"/>
      <w:bookmarkStart w:id="702" w:name="_Toc267251493"/>
      <w:bookmarkStart w:id="703" w:name="_Toc267251498"/>
      <w:bookmarkStart w:id="704" w:name="_Toc267251496"/>
      <w:bookmarkStart w:id="705" w:name="_Toc267251501"/>
      <w:bookmarkStart w:id="706" w:name="_Toc267251504"/>
      <w:bookmarkStart w:id="707" w:name="_Toc267251506"/>
      <w:bookmarkStart w:id="708" w:name="_Toc267251507"/>
      <w:bookmarkStart w:id="709" w:name="_Toc267251508"/>
      <w:bookmarkStart w:id="710" w:name="_Toc267251510"/>
      <w:bookmarkStart w:id="711" w:name="_Toc267251515"/>
      <w:bookmarkStart w:id="712" w:name="_Toc267251511"/>
      <w:bookmarkStart w:id="713" w:name="_Toc267251509"/>
      <w:bookmarkStart w:id="714" w:name="_Toc267251513"/>
      <w:bookmarkStart w:id="715" w:name="_Toc267251514"/>
      <w:r>
        <w:rPr>
          <w:rFonts w:hint="eastAsia" w:ascii="宋体" w:hAnsi="宋体" w:eastAsia="宋体" w:cs="宋体"/>
          <w:b/>
          <w:bCs w:val="0"/>
          <w:color w:val="auto"/>
          <w:sz w:val="24"/>
          <w:szCs w:val="24"/>
          <w:highlight w:val="none"/>
        </w:rPr>
        <w:t>15. 缺陷责任期与保修</w:t>
      </w:r>
      <w:bookmarkEnd w:id="684"/>
      <w:bookmarkEnd w:id="685"/>
    </w:p>
    <w:p w14:paraId="42A5F8BF">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15.2缺陷责任期</w:t>
      </w:r>
      <w:bookmarkEnd w:id="686"/>
    </w:p>
    <w:p w14:paraId="1DB1AC2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缺陷责任期的具体期限：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按国家相关规定执行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55D7ABF">
      <w:pPr>
        <w:spacing w:after="120" w:line="360" w:lineRule="auto"/>
        <w:ind w:firstLine="480" w:firstLineChars="200"/>
        <w:outlineLvl w:val="0"/>
        <w:rPr>
          <w:rFonts w:hint="eastAsia" w:ascii="宋体" w:hAnsi="宋体" w:eastAsia="宋体" w:cs="宋体"/>
          <w:color w:val="auto"/>
          <w:sz w:val="24"/>
          <w:szCs w:val="24"/>
          <w:highlight w:val="none"/>
        </w:rPr>
      </w:pPr>
      <w:bookmarkStart w:id="716" w:name="_Toc32667"/>
      <w:r>
        <w:rPr>
          <w:rFonts w:hint="eastAsia" w:ascii="宋体" w:hAnsi="宋体" w:eastAsia="宋体" w:cs="宋体"/>
          <w:color w:val="auto"/>
          <w:sz w:val="24"/>
          <w:szCs w:val="24"/>
          <w:highlight w:val="none"/>
        </w:rPr>
        <w:t>15.3 质量保证金</w:t>
      </w:r>
      <w:bookmarkEnd w:id="716"/>
    </w:p>
    <w:p w14:paraId="00AC5EA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。在工程项目竣工前，承包人按专用合同条款第3.7条提供履约担保的，发包人不得同时预留工程质量保证金。</w:t>
      </w:r>
    </w:p>
    <w:p w14:paraId="3DBB3075">
      <w:pPr>
        <w:spacing w:line="360" w:lineRule="auto"/>
        <w:ind w:firstLine="480" w:firstLineChars="200"/>
        <w:jc w:val="left"/>
        <w:outlineLvl w:val="0"/>
        <w:rPr>
          <w:rFonts w:hint="eastAsia" w:ascii="宋体" w:hAnsi="宋体" w:eastAsia="宋体" w:cs="宋体"/>
          <w:color w:val="auto"/>
          <w:sz w:val="24"/>
          <w:szCs w:val="24"/>
          <w:highlight w:val="none"/>
        </w:rPr>
      </w:pPr>
      <w:bookmarkStart w:id="717" w:name="_Toc32087"/>
      <w:r>
        <w:rPr>
          <w:rFonts w:hint="eastAsia" w:ascii="宋体" w:hAnsi="宋体" w:eastAsia="宋体" w:cs="宋体"/>
          <w:color w:val="auto"/>
          <w:sz w:val="24"/>
          <w:szCs w:val="24"/>
          <w:highlight w:val="none"/>
        </w:rPr>
        <w:t>15.3.1 承包人提供质量保证金的方式</w:t>
      </w:r>
      <w:bookmarkEnd w:id="717"/>
    </w:p>
    <w:p w14:paraId="438C48F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w:t>
      </w:r>
    </w:p>
    <w:p w14:paraId="3AC665D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（1）质量保证金保函，保证金额为：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7D23DEC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%的工程款；</w:t>
      </w:r>
    </w:p>
    <w:p w14:paraId="79B85FA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（3）其他方式: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8A470A5">
      <w:pPr>
        <w:spacing w:line="360" w:lineRule="auto"/>
        <w:ind w:firstLine="480" w:firstLineChars="200"/>
        <w:jc w:val="left"/>
        <w:outlineLvl w:val="0"/>
        <w:rPr>
          <w:rFonts w:hint="eastAsia" w:ascii="宋体" w:hAnsi="宋体" w:eastAsia="宋体" w:cs="宋体"/>
          <w:color w:val="auto"/>
          <w:sz w:val="24"/>
          <w:szCs w:val="24"/>
          <w:highlight w:val="none"/>
        </w:rPr>
      </w:pPr>
      <w:bookmarkStart w:id="718" w:name="_Toc23036"/>
      <w:r>
        <w:rPr>
          <w:rFonts w:hint="eastAsia" w:ascii="宋体" w:hAnsi="宋体" w:eastAsia="宋体" w:cs="宋体"/>
          <w:color w:val="auto"/>
          <w:sz w:val="24"/>
          <w:szCs w:val="24"/>
          <w:highlight w:val="none"/>
        </w:rPr>
        <w:t>15.3.2 质量保证金的扣留</w:t>
      </w:r>
      <w:bookmarkEnd w:id="718"/>
      <w:r>
        <w:rPr>
          <w:rFonts w:hint="eastAsia" w:ascii="宋体" w:hAnsi="宋体" w:eastAsia="宋体" w:cs="宋体"/>
          <w:color w:val="auto"/>
          <w:sz w:val="24"/>
          <w:szCs w:val="24"/>
          <w:highlight w:val="none"/>
        </w:rPr>
        <w:t xml:space="preserve"> </w:t>
      </w:r>
    </w:p>
    <w:p w14:paraId="0D5C2DE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w:t>
      </w:r>
    </w:p>
    <w:p w14:paraId="40F104C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（1）在支付工程进度款时逐次扣留，在此情形下，质量保证金的计算基数不包括预付款的支付、扣回以及价格调整的金额；</w:t>
      </w:r>
    </w:p>
    <w:p w14:paraId="41B21F26">
      <w:pPr>
        <w:autoSpaceDE w:val="0"/>
        <w:autoSpaceDN w:val="0"/>
        <w:adjustRightInd w:val="0"/>
        <w:spacing w:line="360" w:lineRule="auto"/>
        <w:ind w:firstLine="480" w:firstLineChars="200"/>
        <w:jc w:val="left"/>
        <w:outlineLvl w:val="0"/>
        <w:rPr>
          <w:rFonts w:hint="eastAsia" w:ascii="宋体" w:hAnsi="宋体" w:eastAsia="宋体" w:cs="宋体"/>
          <w:color w:val="auto"/>
          <w:kern w:val="0"/>
          <w:sz w:val="24"/>
          <w:szCs w:val="24"/>
          <w:highlight w:val="none"/>
        </w:rPr>
      </w:pPr>
      <w:bookmarkStart w:id="719" w:name="_Toc20210"/>
      <w:r>
        <w:rPr>
          <w:rFonts w:hint="eastAsia" w:ascii="宋体" w:hAnsi="宋体" w:eastAsia="宋体" w:cs="宋体"/>
          <w:color w:val="auto"/>
          <w:kern w:val="0"/>
          <w:sz w:val="24"/>
          <w:szCs w:val="24"/>
          <w:highlight w:val="none"/>
        </w:rPr>
        <w:t>（2）工程竣工结算时一次性扣留质量保证金；</w:t>
      </w:r>
      <w:bookmarkEnd w:id="719"/>
    </w:p>
    <w:p w14:paraId="2E57634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（3）其他扣留方式: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2C88B3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关于质量保证金的补充约定：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bookmarkEnd w:id="687"/>
    <w:bookmarkEnd w:id="688"/>
    <w:p w14:paraId="6387578D">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15.4保修</w:t>
      </w:r>
    </w:p>
    <w:bookmarkEnd w:id="689"/>
    <w:p w14:paraId="37B24CE4">
      <w:pPr>
        <w:spacing w:line="360" w:lineRule="auto"/>
        <w:ind w:firstLine="468" w:firstLineChars="19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15.4.1 保修责任</w:t>
      </w:r>
    </w:p>
    <w:p w14:paraId="20E88FF8">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工程保修期为：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3D22FA2">
      <w:pPr>
        <w:spacing w:line="360" w:lineRule="auto"/>
        <w:ind w:firstLine="468" w:firstLineChars="19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15.4.3 修复通知</w:t>
      </w:r>
    </w:p>
    <w:p w14:paraId="68CB9DE0">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承包人收到保修通知并到达工程现场的合理时间：</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w:t>
      </w:r>
    </w:p>
    <w:bookmarkEnd w:id="690"/>
    <w:bookmarkEnd w:id="691"/>
    <w:bookmarkEnd w:id="692"/>
    <w:bookmarkEnd w:id="693"/>
    <w:p w14:paraId="2FC3DC5A">
      <w:p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720" w:name="_Toc351203648"/>
      <w:bookmarkStart w:id="721" w:name="_Toc27149"/>
      <w:bookmarkStart w:id="722" w:name="_Toc280868717"/>
      <w:bookmarkStart w:id="723" w:name="_Toc280868718"/>
      <w:r>
        <w:rPr>
          <w:rFonts w:hint="eastAsia" w:ascii="宋体" w:hAnsi="宋体" w:eastAsia="宋体" w:cs="宋体"/>
          <w:b/>
          <w:bCs w:val="0"/>
          <w:color w:val="auto"/>
          <w:sz w:val="24"/>
          <w:szCs w:val="24"/>
          <w:highlight w:val="none"/>
        </w:rPr>
        <w:t>16. 违约</w:t>
      </w:r>
      <w:bookmarkEnd w:id="720"/>
      <w:bookmarkEnd w:id="721"/>
    </w:p>
    <w:p w14:paraId="23114014">
      <w:pPr>
        <w:spacing w:after="120" w:line="360" w:lineRule="auto"/>
        <w:ind w:firstLine="480" w:firstLineChars="200"/>
        <w:outlineLvl w:val="0"/>
        <w:rPr>
          <w:rFonts w:hint="eastAsia" w:ascii="宋体" w:hAnsi="宋体" w:eastAsia="宋体" w:cs="宋体"/>
          <w:color w:val="auto"/>
          <w:sz w:val="24"/>
          <w:szCs w:val="24"/>
          <w:highlight w:val="none"/>
        </w:rPr>
      </w:pPr>
      <w:bookmarkStart w:id="724" w:name="_Toc6842"/>
      <w:r>
        <w:rPr>
          <w:rFonts w:hint="eastAsia" w:ascii="宋体" w:hAnsi="宋体" w:eastAsia="宋体" w:cs="宋体"/>
          <w:color w:val="auto"/>
          <w:sz w:val="24"/>
          <w:szCs w:val="24"/>
          <w:highlight w:val="none"/>
        </w:rPr>
        <w:t>16.1 发包人违约</w:t>
      </w:r>
      <w:bookmarkEnd w:id="724"/>
    </w:p>
    <w:p w14:paraId="25DB0C4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16.1.1发包人违约的情形</w:t>
      </w:r>
    </w:p>
    <w:p w14:paraId="3D1EAF49">
      <w:pPr>
        <w:spacing w:line="360" w:lineRule="auto"/>
        <w:ind w:left="1500" w:hanging="1200" w:hangingChars="5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发包人违约的其他情形：</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4D0D6D0">
      <w:pPr>
        <w:spacing w:line="360" w:lineRule="auto"/>
        <w:ind w:left="1500" w:hanging="1200" w:hangingChars="5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16.1.2 发包人违约的责任</w:t>
      </w:r>
    </w:p>
    <w:p w14:paraId="14D3169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发包人违约责任的承担方式和计算方法：</w:t>
      </w:r>
    </w:p>
    <w:p w14:paraId="758F71CE">
      <w:pPr>
        <w:spacing w:line="360" w:lineRule="auto"/>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（1）因发包人原因未能在计划开工日期前7天内下达开工通知的违约责任：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16849E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（2）因发包人原因未能按合同约定支付合同价款的违约责任：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C7902E2">
      <w:pPr>
        <w:spacing w:line="360" w:lineRule="auto"/>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（3）发包人违反第10.1款〔变更的范围〕第（2）项约定，自行实施被取消的工作或转由他人实施的违约责任：</w:t>
      </w:r>
      <w:r>
        <w:rPr>
          <w:rFonts w:hint="eastAsia" w:ascii="宋体" w:hAnsi="宋体" w:eastAsia="宋体" w:cs="宋体"/>
          <w:color w:val="auto"/>
          <w:kern w:val="0"/>
          <w:sz w:val="24"/>
          <w:szCs w:val="24"/>
          <w:highlight w:val="none"/>
          <w:u w:val="single"/>
        </w:rPr>
        <w:t xml:space="preserve">              </w:t>
      </w:r>
    </w:p>
    <w:p w14:paraId="2E9D7882">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3D4FDD9">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9720C98">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（5）因发包人违反合同约定造成暂停施工的违约责任：</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w:t>
      </w:r>
    </w:p>
    <w:p w14:paraId="4689ED3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（6）发包人无正当理由没有在约定期限内发出复工指示，导致承包人无法复工的违约责任：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2CC97E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（7）其他：</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7A9FB3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16.1.3 因发包人违约解除合同</w:t>
      </w:r>
    </w:p>
    <w:p w14:paraId="2B08AA3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承包人按16.1.1项〔发包人违约的情形〕约定暂停施工满</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天后发包人仍不纠正其违约行为并致使合同目的不能实现的，承包人有权解除合同。</w:t>
      </w:r>
    </w:p>
    <w:p w14:paraId="25F73437">
      <w:pPr>
        <w:spacing w:after="120" w:line="360" w:lineRule="auto"/>
        <w:ind w:firstLine="480" w:firstLineChars="200"/>
        <w:outlineLvl w:val="0"/>
        <w:rPr>
          <w:rFonts w:hint="eastAsia" w:ascii="宋体" w:hAnsi="宋体" w:eastAsia="宋体" w:cs="宋体"/>
          <w:color w:val="auto"/>
          <w:sz w:val="24"/>
          <w:szCs w:val="24"/>
          <w:highlight w:val="none"/>
        </w:rPr>
      </w:pPr>
      <w:bookmarkStart w:id="725" w:name="_Toc29415"/>
      <w:r>
        <w:rPr>
          <w:rFonts w:hint="eastAsia" w:ascii="宋体" w:hAnsi="宋体" w:eastAsia="宋体" w:cs="宋体"/>
          <w:color w:val="auto"/>
          <w:sz w:val="24"/>
          <w:szCs w:val="24"/>
          <w:highlight w:val="none"/>
        </w:rPr>
        <w:t>16.2 承包人违约</w:t>
      </w:r>
      <w:bookmarkEnd w:id="725"/>
    </w:p>
    <w:p w14:paraId="435A391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16.2.1 承包人违约的情形</w:t>
      </w:r>
    </w:p>
    <w:p w14:paraId="57019527">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承包人违约的其他情形：</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65D857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16.2.2承包人违约的责任</w:t>
      </w:r>
    </w:p>
    <w:p w14:paraId="4EE5EB3E">
      <w:pPr>
        <w:spacing w:line="360" w:lineRule="auto"/>
        <w:ind w:left="1500" w:hanging="1200" w:hangingChars="5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承包人违约责任的承担方式和计算方法：</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 xml:space="preserve">    </w:t>
      </w:r>
    </w:p>
    <w:p w14:paraId="493839B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16.2.3 因承包人违约解除合同</w:t>
      </w:r>
    </w:p>
    <w:p w14:paraId="52DCAE74">
      <w:pPr>
        <w:spacing w:before="120" w:after="120"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关于承包人违约解除合同的特别约定：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E24DFB3">
      <w:pPr>
        <w:spacing w:before="120" w:after="120"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发包人继续使用承包人在施工现场的材料、设备、临时工程、承包人文件和由承包人或以其名义编制的其他文件的费用承担</w:t>
      </w:r>
      <w:r>
        <w:rPr>
          <w:rFonts w:hint="eastAsia" w:ascii="宋体" w:hAnsi="宋体" w:eastAsia="宋体" w:cs="宋体"/>
          <w:color w:val="auto"/>
          <w:kern w:val="0"/>
          <w:sz w:val="24"/>
          <w:szCs w:val="24"/>
          <w:highlight w:val="none"/>
          <w:lang w:val="en-US" w:eastAsia="zh-CN"/>
        </w:rPr>
        <w:t>方式：</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w:t>
      </w:r>
    </w:p>
    <w:p w14:paraId="260BF6A5">
      <w:p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726" w:name="_Toc351203649"/>
      <w:bookmarkStart w:id="727" w:name="_Toc6961"/>
      <w:r>
        <w:rPr>
          <w:rFonts w:hint="eastAsia" w:ascii="宋体" w:hAnsi="宋体" w:eastAsia="宋体" w:cs="宋体"/>
          <w:b/>
          <w:bCs w:val="0"/>
          <w:color w:val="auto"/>
          <w:sz w:val="24"/>
          <w:szCs w:val="24"/>
          <w:highlight w:val="none"/>
        </w:rPr>
        <w:t>17. 不可抗力</w:t>
      </w:r>
      <w:bookmarkEnd w:id="726"/>
      <w:bookmarkEnd w:id="727"/>
      <w:r>
        <w:rPr>
          <w:rFonts w:hint="eastAsia" w:ascii="宋体" w:hAnsi="宋体" w:eastAsia="宋体" w:cs="宋体"/>
          <w:b/>
          <w:bCs w:val="0"/>
          <w:color w:val="auto"/>
          <w:sz w:val="24"/>
          <w:szCs w:val="24"/>
          <w:highlight w:val="none"/>
        </w:rPr>
        <w:t xml:space="preserve"> </w:t>
      </w:r>
      <w:bookmarkEnd w:id="722"/>
    </w:p>
    <w:p w14:paraId="78EB1553">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不可抗力的确认</w:t>
      </w:r>
    </w:p>
    <w:p w14:paraId="5FB6BA55">
      <w:pPr>
        <w:spacing w:line="360" w:lineRule="auto"/>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829291B">
      <w:pPr>
        <w:spacing w:after="120" w:line="360" w:lineRule="auto"/>
        <w:ind w:firstLine="480" w:firstLineChars="200"/>
        <w:outlineLvl w:val="0"/>
        <w:rPr>
          <w:rFonts w:hint="eastAsia" w:ascii="宋体" w:hAnsi="宋体" w:eastAsia="宋体" w:cs="宋体"/>
          <w:color w:val="auto"/>
          <w:sz w:val="24"/>
          <w:szCs w:val="24"/>
          <w:highlight w:val="none"/>
        </w:rPr>
      </w:pPr>
      <w:bookmarkStart w:id="728" w:name="_Toc400"/>
      <w:r>
        <w:rPr>
          <w:rFonts w:hint="eastAsia" w:ascii="宋体" w:hAnsi="宋体" w:eastAsia="宋体" w:cs="宋体"/>
          <w:color w:val="auto"/>
          <w:sz w:val="24"/>
          <w:szCs w:val="24"/>
          <w:highlight w:val="none"/>
        </w:rPr>
        <w:t>17.4 因不可抗力解除合同</w:t>
      </w:r>
      <w:bookmarkEnd w:id="728"/>
    </w:p>
    <w:p w14:paraId="11055F7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合同解除后，发包人应在商定或确定发包人应支付款项后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天内完成款项的支付。</w:t>
      </w:r>
    </w:p>
    <w:p w14:paraId="183F242D">
      <w:p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729" w:name="_Toc7082"/>
      <w:bookmarkStart w:id="730" w:name="_Toc351203650"/>
      <w:r>
        <w:rPr>
          <w:rFonts w:hint="eastAsia" w:ascii="宋体" w:hAnsi="宋体" w:eastAsia="宋体" w:cs="宋体"/>
          <w:b/>
          <w:bCs w:val="0"/>
          <w:color w:val="auto"/>
          <w:sz w:val="24"/>
          <w:szCs w:val="24"/>
          <w:highlight w:val="none"/>
        </w:rPr>
        <w:t>18. 保险</w:t>
      </w:r>
      <w:bookmarkEnd w:id="729"/>
      <w:bookmarkEnd w:id="730"/>
    </w:p>
    <w:bookmarkEnd w:id="723"/>
    <w:p w14:paraId="16E1AB56">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工程保险</w:t>
      </w:r>
    </w:p>
    <w:p w14:paraId="2E2F712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关于工程保险的特别约定：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D284AAC">
      <w:pPr>
        <w:spacing w:after="120" w:line="360" w:lineRule="auto"/>
        <w:ind w:firstLine="480" w:firstLineChars="200"/>
        <w:outlineLvl w:val="0"/>
        <w:rPr>
          <w:rFonts w:hint="eastAsia" w:ascii="宋体" w:hAnsi="宋体" w:eastAsia="宋体" w:cs="宋体"/>
          <w:color w:val="auto"/>
          <w:sz w:val="24"/>
          <w:szCs w:val="24"/>
          <w:highlight w:val="none"/>
        </w:rPr>
      </w:pPr>
      <w:bookmarkStart w:id="731" w:name="_Toc25835"/>
      <w:r>
        <w:rPr>
          <w:rFonts w:hint="eastAsia" w:ascii="宋体" w:hAnsi="宋体" w:eastAsia="宋体" w:cs="宋体"/>
          <w:color w:val="auto"/>
          <w:sz w:val="24"/>
          <w:szCs w:val="24"/>
          <w:highlight w:val="none"/>
        </w:rPr>
        <w:t>18.3 其他保险</w:t>
      </w:r>
      <w:bookmarkEnd w:id="731"/>
    </w:p>
    <w:p w14:paraId="02B363B0">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关于其他保险的约定：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BA827D9">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承包人是否应为其施工设备等办理财产保险：</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4982721">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18.7 通知义务</w:t>
      </w:r>
    </w:p>
    <w:p w14:paraId="3930A62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关于变更保险合同时的通知义务的约定：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694"/>
    <w:bookmarkEnd w:id="695"/>
    <w:bookmarkEnd w:id="696"/>
    <w:bookmarkEnd w:id="697"/>
    <w:bookmarkEnd w:id="698"/>
    <w:bookmarkEnd w:id="699"/>
    <w:bookmarkEnd w:id="700"/>
    <w:bookmarkEnd w:id="701"/>
    <w:bookmarkEnd w:id="702"/>
    <w:bookmarkEnd w:id="703"/>
    <w:bookmarkEnd w:id="704"/>
    <w:bookmarkEnd w:id="705"/>
    <w:p w14:paraId="74E5C5F1">
      <w:pPr>
        <w:autoSpaceDE w:val="0"/>
        <w:autoSpaceDN w:val="0"/>
        <w:adjustRightInd w:val="0"/>
        <w:spacing w:line="360" w:lineRule="auto"/>
        <w:ind w:firstLine="482" w:firstLineChars="200"/>
        <w:jc w:val="left"/>
        <w:outlineLvl w:val="0"/>
        <w:rPr>
          <w:rFonts w:hint="eastAsia" w:ascii="宋体" w:hAnsi="宋体" w:eastAsia="宋体" w:cs="宋体"/>
          <w:b/>
          <w:bCs w:val="0"/>
          <w:color w:val="auto"/>
          <w:sz w:val="24"/>
          <w:szCs w:val="24"/>
          <w:highlight w:val="none"/>
        </w:rPr>
      </w:pPr>
      <w:bookmarkStart w:id="732" w:name="_Toc351203651"/>
      <w:bookmarkStart w:id="733" w:name="_Toc10820"/>
      <w:r>
        <w:rPr>
          <w:rFonts w:hint="eastAsia" w:ascii="宋体" w:hAnsi="宋体" w:eastAsia="宋体" w:cs="宋体"/>
          <w:b/>
          <w:bCs w:val="0"/>
          <w:color w:val="auto"/>
          <w:sz w:val="24"/>
          <w:szCs w:val="24"/>
          <w:highlight w:val="none"/>
        </w:rPr>
        <w:t>20. 争议解决</w:t>
      </w:r>
      <w:bookmarkEnd w:id="732"/>
      <w:bookmarkEnd w:id="733"/>
    </w:p>
    <w:bookmarkEnd w:id="706"/>
    <w:bookmarkEnd w:id="707"/>
    <w:p w14:paraId="46F77100">
      <w:pPr>
        <w:spacing w:after="120" w:line="360" w:lineRule="auto"/>
        <w:ind w:firstLine="480" w:firstLineChars="200"/>
        <w:outlineLvl w:val="0"/>
        <w:rPr>
          <w:rFonts w:hint="eastAsia" w:ascii="宋体" w:hAnsi="宋体" w:eastAsia="宋体" w:cs="宋体"/>
          <w:color w:val="auto"/>
          <w:sz w:val="24"/>
          <w:szCs w:val="24"/>
          <w:highlight w:val="none"/>
        </w:rPr>
      </w:pPr>
      <w:bookmarkStart w:id="734" w:name="_Toc24"/>
      <w:r>
        <w:rPr>
          <w:rFonts w:hint="eastAsia" w:ascii="宋体" w:hAnsi="宋体" w:eastAsia="宋体" w:cs="宋体"/>
          <w:color w:val="auto"/>
          <w:sz w:val="24"/>
          <w:szCs w:val="24"/>
          <w:highlight w:val="none"/>
        </w:rPr>
        <w:t>20.3 争</w:t>
      </w:r>
      <w:bookmarkEnd w:id="708"/>
      <w:r>
        <w:rPr>
          <w:rFonts w:hint="eastAsia" w:ascii="宋体" w:hAnsi="宋体" w:eastAsia="宋体" w:cs="宋体"/>
          <w:color w:val="auto"/>
          <w:sz w:val="24"/>
          <w:szCs w:val="24"/>
          <w:highlight w:val="none"/>
        </w:rPr>
        <w:t>议评审</w:t>
      </w:r>
      <w:bookmarkEnd w:id="734"/>
    </w:p>
    <w:p w14:paraId="140322FC">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合同当事人是否同意将工程争议提交争议评审小组决定：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4CD09CCB">
      <w:pPr>
        <w:spacing w:line="360" w:lineRule="auto"/>
        <w:ind w:firstLine="480" w:firstLineChars="200"/>
        <w:jc w:val="left"/>
        <w:outlineLvl w:val="0"/>
        <w:rPr>
          <w:rFonts w:hint="eastAsia" w:ascii="宋体" w:hAnsi="宋体" w:eastAsia="宋体" w:cs="宋体"/>
          <w:color w:val="auto"/>
          <w:sz w:val="24"/>
          <w:szCs w:val="24"/>
          <w:highlight w:val="none"/>
        </w:rPr>
      </w:pPr>
      <w:bookmarkStart w:id="735" w:name="_Toc27454"/>
      <w:r>
        <w:rPr>
          <w:rFonts w:hint="eastAsia" w:ascii="宋体" w:hAnsi="宋体" w:eastAsia="宋体" w:cs="宋体"/>
          <w:color w:val="auto"/>
          <w:sz w:val="24"/>
          <w:szCs w:val="24"/>
          <w:highlight w:val="none"/>
        </w:rPr>
        <w:t>20.3.1 争议评审小组的确定</w:t>
      </w:r>
      <w:bookmarkEnd w:id="735"/>
    </w:p>
    <w:p w14:paraId="4958FC24">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争议评审小组成员的确定：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BACE16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441B4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争议评审小组成员的报酬承担方式：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F0A64E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24DADD6">
      <w:pPr>
        <w:autoSpaceDE w:val="0"/>
        <w:autoSpaceDN w:val="0"/>
        <w:adjustRightInd w:val="0"/>
        <w:spacing w:line="360" w:lineRule="auto"/>
        <w:ind w:firstLine="480" w:firstLineChars="200"/>
        <w:jc w:val="left"/>
        <w:outlineLvl w:val="0"/>
        <w:rPr>
          <w:rFonts w:hint="eastAsia" w:ascii="宋体" w:hAnsi="宋体" w:eastAsia="宋体" w:cs="宋体"/>
          <w:color w:val="auto"/>
          <w:kern w:val="0"/>
          <w:sz w:val="24"/>
          <w:szCs w:val="24"/>
          <w:highlight w:val="none"/>
        </w:rPr>
      </w:pPr>
      <w:bookmarkStart w:id="736" w:name="_Toc26965"/>
      <w:r>
        <w:rPr>
          <w:rFonts w:hint="eastAsia" w:ascii="宋体" w:hAnsi="宋体" w:eastAsia="宋体" w:cs="宋体"/>
          <w:color w:val="auto"/>
          <w:kern w:val="0"/>
          <w:sz w:val="24"/>
          <w:szCs w:val="24"/>
          <w:highlight w:val="none"/>
        </w:rPr>
        <w:t>20.3.2 争议评审小组的决定</w:t>
      </w:r>
      <w:bookmarkEnd w:id="736"/>
    </w:p>
    <w:p w14:paraId="22C1035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合同当事人关于本项的约定：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996FFFC">
      <w:pPr>
        <w:spacing w:after="120" w:line="360" w:lineRule="auto"/>
        <w:ind w:firstLine="480" w:firstLineChars="200"/>
        <w:outlineLvl w:val="0"/>
        <w:rPr>
          <w:rFonts w:hint="eastAsia" w:ascii="宋体" w:hAnsi="宋体" w:eastAsia="宋体" w:cs="宋体"/>
          <w:color w:val="auto"/>
          <w:sz w:val="24"/>
          <w:szCs w:val="24"/>
          <w:highlight w:val="none"/>
        </w:rPr>
      </w:pPr>
      <w:bookmarkStart w:id="737" w:name="_Toc24618"/>
      <w:r>
        <w:rPr>
          <w:rFonts w:hint="eastAsia" w:ascii="宋体" w:hAnsi="宋体" w:eastAsia="宋体" w:cs="宋体"/>
          <w:color w:val="auto"/>
          <w:sz w:val="24"/>
          <w:szCs w:val="24"/>
          <w:highlight w:val="none"/>
        </w:rPr>
        <w:t>20.4仲裁或诉讼</w:t>
      </w:r>
      <w:bookmarkEnd w:id="709"/>
      <w:bookmarkEnd w:id="737"/>
    </w:p>
    <w:p w14:paraId="35C6A1E4">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因合同及合同有关事项发生的争议，按下列第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种方式解决：</w:t>
      </w:r>
    </w:p>
    <w:p w14:paraId="0DA7A27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仲裁委员会申请仲裁；</w:t>
      </w:r>
    </w:p>
    <w:p w14:paraId="457DD34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人民法院起诉。</w:t>
      </w:r>
      <w:bookmarkEnd w:id="710"/>
      <w:bookmarkEnd w:id="711"/>
      <w:bookmarkEnd w:id="712"/>
      <w:bookmarkEnd w:id="713"/>
      <w:bookmarkEnd w:id="714"/>
      <w:bookmarkEnd w:id="715"/>
    </w:p>
    <w:p w14:paraId="29A2BEC9">
      <w:pPr>
        <w:pStyle w:val="13"/>
        <w:ind w:left="0" w:leftChars="0" w:firstLine="0" w:firstLineChars="0"/>
        <w:rPr>
          <w:rFonts w:hint="eastAsia"/>
          <w:lang w:val="en-US" w:eastAsia="zh-CN"/>
        </w:rPr>
      </w:pPr>
    </w:p>
    <w:p w14:paraId="7218406C">
      <w:pPr>
        <w:pStyle w:val="13"/>
        <w:ind w:left="0" w:leftChars="0" w:firstLine="0" w:firstLineChars="0"/>
        <w:rPr>
          <w:rFonts w:hint="eastAsia"/>
          <w:lang w:val="en-US" w:eastAsia="zh-CN"/>
        </w:rPr>
      </w:pPr>
    </w:p>
    <w:p w14:paraId="2956DBE3">
      <w:pPr>
        <w:pStyle w:val="13"/>
        <w:ind w:left="0" w:leftChars="0" w:firstLine="0" w:firstLineChars="0"/>
        <w:rPr>
          <w:rFonts w:hint="eastAsia"/>
          <w:lang w:val="en-US" w:eastAsia="zh-CN"/>
        </w:rPr>
      </w:pPr>
    </w:p>
    <w:p w14:paraId="018C62A0">
      <w:pPr>
        <w:pStyle w:val="13"/>
        <w:ind w:left="0" w:leftChars="0" w:firstLine="0" w:firstLineChars="0"/>
        <w:rPr>
          <w:rFonts w:hint="eastAsia"/>
          <w:lang w:val="en-US" w:eastAsia="zh-CN"/>
        </w:rPr>
      </w:pPr>
    </w:p>
    <w:p w14:paraId="3F820D60">
      <w:pPr>
        <w:pStyle w:val="13"/>
        <w:ind w:left="0" w:leftChars="0" w:firstLine="0" w:firstLineChars="0"/>
        <w:rPr>
          <w:rFonts w:hint="eastAsia"/>
          <w:lang w:val="en-US" w:eastAsia="zh-CN"/>
        </w:rPr>
      </w:pPr>
    </w:p>
    <w:p w14:paraId="5CBD9370">
      <w:pPr>
        <w:pStyle w:val="13"/>
        <w:ind w:left="0" w:leftChars="0" w:firstLine="0" w:firstLineChars="0"/>
        <w:rPr>
          <w:rFonts w:hint="eastAsia"/>
          <w:lang w:val="en-US" w:eastAsia="zh-CN"/>
        </w:rPr>
      </w:pPr>
    </w:p>
    <w:p w14:paraId="044E1B2D">
      <w:pPr>
        <w:pStyle w:val="13"/>
        <w:ind w:left="0" w:leftChars="0" w:firstLine="0" w:firstLineChars="0"/>
        <w:rPr>
          <w:rFonts w:hint="eastAsia"/>
          <w:lang w:val="en-US" w:eastAsia="zh-CN"/>
        </w:rPr>
      </w:pPr>
    </w:p>
    <w:p w14:paraId="267F4073">
      <w:pPr>
        <w:rPr>
          <w:rFonts w:hint="eastAsia"/>
          <w:lang w:val="en-US" w:eastAsia="zh-CN"/>
        </w:rPr>
      </w:pPr>
    </w:p>
    <w:p w14:paraId="0DA1E863">
      <w:pPr>
        <w:pStyle w:val="7"/>
        <w:rPr>
          <w:rFonts w:hint="eastAsia"/>
          <w:lang w:val="en-US" w:eastAsia="zh-CN"/>
        </w:rPr>
      </w:pPr>
    </w:p>
    <w:p w14:paraId="55778DC8">
      <w:pPr>
        <w:rPr>
          <w:rFonts w:hint="eastAsia"/>
          <w:lang w:val="en-US" w:eastAsia="zh-CN"/>
        </w:rPr>
      </w:pPr>
    </w:p>
    <w:p w14:paraId="2D4CC0B0">
      <w:pPr>
        <w:pStyle w:val="7"/>
        <w:rPr>
          <w:rFonts w:hint="eastAsia"/>
          <w:lang w:val="en-US" w:eastAsia="zh-CN"/>
        </w:rPr>
      </w:pPr>
    </w:p>
    <w:p w14:paraId="4795AD2B">
      <w:pPr>
        <w:rPr>
          <w:rFonts w:hint="eastAsia"/>
          <w:lang w:val="en-US" w:eastAsia="zh-CN"/>
        </w:rPr>
      </w:pPr>
    </w:p>
    <w:p w14:paraId="53B54016">
      <w:pPr>
        <w:pStyle w:val="7"/>
        <w:rPr>
          <w:rFonts w:hint="eastAsia"/>
          <w:lang w:val="en-US" w:eastAsia="zh-CN"/>
        </w:rPr>
      </w:pPr>
    </w:p>
    <w:p w14:paraId="7F922978">
      <w:pPr>
        <w:rPr>
          <w:rFonts w:hint="eastAsia"/>
          <w:lang w:val="en-US" w:eastAsia="zh-CN"/>
        </w:rPr>
      </w:pPr>
    </w:p>
    <w:p w14:paraId="70EF614D">
      <w:pPr>
        <w:pStyle w:val="7"/>
        <w:rPr>
          <w:rFonts w:hint="eastAsia"/>
          <w:lang w:val="en-US" w:eastAsia="zh-CN"/>
        </w:rPr>
      </w:pPr>
    </w:p>
    <w:p w14:paraId="6E962E2D">
      <w:pPr>
        <w:rPr>
          <w:rFonts w:hint="eastAsia"/>
          <w:lang w:val="en-US" w:eastAsia="zh-CN"/>
        </w:rPr>
      </w:pPr>
    </w:p>
    <w:p w14:paraId="3D1A4D4E">
      <w:pPr>
        <w:pStyle w:val="7"/>
        <w:rPr>
          <w:rFonts w:hint="eastAsia"/>
          <w:lang w:val="en-US" w:eastAsia="zh-CN"/>
        </w:rPr>
      </w:pPr>
    </w:p>
    <w:p w14:paraId="5531000D">
      <w:pPr>
        <w:rPr>
          <w:rFonts w:hint="eastAsia"/>
          <w:lang w:val="en-US" w:eastAsia="zh-CN"/>
        </w:rPr>
      </w:pPr>
    </w:p>
    <w:p w14:paraId="25B82D3C">
      <w:pPr>
        <w:pStyle w:val="7"/>
        <w:rPr>
          <w:rFonts w:hint="eastAsia"/>
          <w:lang w:val="en-US" w:eastAsia="zh-CN"/>
        </w:rPr>
      </w:pPr>
    </w:p>
    <w:p w14:paraId="43E166C3">
      <w:pPr>
        <w:rPr>
          <w:rFonts w:hint="eastAsia"/>
          <w:lang w:val="en-US" w:eastAsia="zh-CN"/>
        </w:rPr>
      </w:pPr>
    </w:p>
    <w:p w14:paraId="751418C3">
      <w:pPr>
        <w:pStyle w:val="7"/>
        <w:rPr>
          <w:rFonts w:hint="eastAsia"/>
          <w:lang w:val="en-US" w:eastAsia="zh-CN"/>
        </w:rPr>
      </w:pPr>
    </w:p>
    <w:p w14:paraId="7F1B7FD0">
      <w:pPr>
        <w:rPr>
          <w:rFonts w:hint="eastAsia"/>
          <w:lang w:val="en-US" w:eastAsia="zh-CN"/>
        </w:rPr>
      </w:pPr>
    </w:p>
    <w:p w14:paraId="12F4A8A0">
      <w:pPr>
        <w:pStyle w:val="7"/>
        <w:rPr>
          <w:rFonts w:hint="eastAsia"/>
          <w:lang w:val="en-US" w:eastAsia="zh-CN"/>
        </w:rPr>
      </w:pPr>
    </w:p>
    <w:p w14:paraId="5D97540C">
      <w:pPr>
        <w:rPr>
          <w:rFonts w:hint="eastAsia"/>
          <w:lang w:val="en-US" w:eastAsia="zh-CN"/>
        </w:rPr>
      </w:pPr>
    </w:p>
    <w:p w14:paraId="3A446CAB">
      <w:pPr>
        <w:pStyle w:val="7"/>
        <w:rPr>
          <w:rFonts w:hint="eastAsia"/>
          <w:lang w:val="en-US" w:eastAsia="zh-CN"/>
        </w:rPr>
      </w:pPr>
    </w:p>
    <w:p w14:paraId="16FE7FFD">
      <w:pPr>
        <w:rPr>
          <w:rFonts w:hint="eastAsia"/>
          <w:lang w:val="en-US" w:eastAsia="zh-CN"/>
        </w:rPr>
      </w:pPr>
    </w:p>
    <w:p w14:paraId="6B7A837D">
      <w:pPr>
        <w:pStyle w:val="7"/>
        <w:rPr>
          <w:rFonts w:hint="eastAsia"/>
          <w:lang w:val="en-US" w:eastAsia="zh-CN"/>
        </w:rPr>
      </w:pPr>
    </w:p>
    <w:p w14:paraId="06CB8F4F">
      <w:pPr>
        <w:rPr>
          <w:rFonts w:hint="eastAsia"/>
          <w:lang w:val="en-US" w:eastAsia="zh-CN"/>
        </w:rPr>
      </w:pPr>
    </w:p>
    <w:p w14:paraId="10F7B810">
      <w:pPr>
        <w:pStyle w:val="7"/>
        <w:rPr>
          <w:rFonts w:hint="eastAsia"/>
          <w:lang w:val="en-US" w:eastAsia="zh-CN"/>
        </w:rPr>
      </w:pPr>
    </w:p>
    <w:p w14:paraId="3179C617">
      <w:pPr>
        <w:rPr>
          <w:rFonts w:hint="eastAsia"/>
          <w:lang w:val="en-US" w:eastAsia="zh-CN"/>
        </w:rPr>
      </w:pPr>
    </w:p>
    <w:p w14:paraId="33C0FD7D">
      <w:pPr>
        <w:pStyle w:val="7"/>
        <w:rPr>
          <w:rFonts w:hint="eastAsia"/>
          <w:lang w:val="en-US" w:eastAsia="zh-CN"/>
        </w:rPr>
      </w:pPr>
    </w:p>
    <w:p w14:paraId="0232A47C">
      <w:pPr>
        <w:rPr>
          <w:rFonts w:hint="eastAsia"/>
          <w:lang w:val="en-US" w:eastAsia="zh-CN"/>
        </w:rPr>
      </w:pPr>
    </w:p>
    <w:p w14:paraId="49B2569F">
      <w:pPr>
        <w:pStyle w:val="7"/>
        <w:rPr>
          <w:rFonts w:hint="eastAsia"/>
          <w:lang w:val="en-US" w:eastAsia="zh-CN"/>
        </w:rPr>
      </w:pPr>
    </w:p>
    <w:p w14:paraId="369F9689">
      <w:pPr>
        <w:rPr>
          <w:rFonts w:hint="eastAsia"/>
          <w:lang w:val="en-US" w:eastAsia="zh-CN"/>
        </w:rPr>
      </w:pPr>
    </w:p>
    <w:p w14:paraId="2DC02B1A">
      <w:pPr>
        <w:pStyle w:val="7"/>
        <w:rPr>
          <w:rFonts w:hint="eastAsia"/>
          <w:lang w:val="en-US" w:eastAsia="zh-CN"/>
        </w:rPr>
      </w:pPr>
    </w:p>
    <w:p w14:paraId="647A6C8D">
      <w:pPr>
        <w:pStyle w:val="2"/>
        <w:bidi w:val="0"/>
        <w:jc w:val="center"/>
        <w:rPr>
          <w:rFonts w:hint="default"/>
          <w:lang w:val="en-US" w:eastAsia="zh-CN"/>
        </w:rPr>
      </w:pPr>
      <w:bookmarkStart w:id="738" w:name="_Toc27481"/>
      <w:r>
        <w:rPr>
          <w:rFonts w:hint="eastAsia"/>
          <w:lang w:val="en-US" w:eastAsia="zh-CN"/>
        </w:rPr>
        <w:t>第七章 电子响应文件格式</w:t>
      </w:r>
      <w:bookmarkEnd w:id="138"/>
      <w:bookmarkEnd w:id="738"/>
    </w:p>
    <w:p w14:paraId="46BA51CC">
      <w:pPr>
        <w:pStyle w:val="14"/>
        <w:numPr>
          <w:ilvl w:val="0"/>
          <w:numId w:val="0"/>
        </w:numPr>
        <w:jc w:val="both"/>
        <w:rPr>
          <w:rFonts w:hint="default" w:ascii="宋体" w:hAnsi="宋体" w:eastAsia="宋体" w:cs="宋体"/>
          <w:b w:val="0"/>
          <w:bCs w:val="0"/>
          <w:color w:val="auto"/>
          <w:sz w:val="36"/>
          <w:szCs w:val="36"/>
          <w:highlight w:val="none"/>
          <w:lang w:val="en-US" w:eastAsia="zh-CN"/>
        </w:rPr>
      </w:pPr>
    </w:p>
    <w:p w14:paraId="06B6EBC0">
      <w:pPr>
        <w:spacing w:line="360" w:lineRule="auto"/>
        <w:ind w:right="-483" w:rightChars="-230" w:firstLine="3360" w:firstLineChars="1200"/>
        <w:rPr>
          <w:rFonts w:hint="eastAsia" w:ascii="宋体" w:hAnsi="宋体" w:eastAsia="宋体"/>
          <w:color w:val="auto"/>
          <w:sz w:val="28"/>
          <w:szCs w:val="28"/>
          <w:highlight w:val="none"/>
        </w:rPr>
      </w:pPr>
    </w:p>
    <w:p w14:paraId="700DABC7">
      <w:pPr>
        <w:spacing w:line="360" w:lineRule="auto"/>
        <w:ind w:right="-483" w:rightChars="-230"/>
        <w:jc w:val="both"/>
        <w:rPr>
          <w:rFonts w:hint="eastAsia" w:ascii="宋体" w:hAnsi="宋体" w:eastAsia="宋体"/>
          <w:b/>
          <w:bCs/>
          <w:color w:val="auto"/>
          <w:sz w:val="28"/>
          <w:szCs w:val="28"/>
          <w:highlight w:val="none"/>
          <w:lang w:eastAsia="zh-CN"/>
        </w:rPr>
      </w:pPr>
      <w:r>
        <w:rPr>
          <w:rFonts w:hint="eastAsia" w:ascii="宋体" w:hAnsi="宋体" w:eastAsia="宋体"/>
          <w:color w:val="auto"/>
          <w:sz w:val="28"/>
          <w:szCs w:val="28"/>
          <w:highlight w:val="none"/>
          <w:u w:val="single"/>
          <w:lang w:val="en-US" w:eastAsia="zh-CN"/>
        </w:rPr>
        <w:t xml:space="preserve">                                                 </w:t>
      </w:r>
      <w:r>
        <w:rPr>
          <w:rFonts w:hint="eastAsia" w:ascii="宋体" w:hAnsi="宋体" w:eastAsia="宋体"/>
          <w:b/>
          <w:bCs/>
          <w:color w:val="auto"/>
          <w:sz w:val="28"/>
          <w:szCs w:val="28"/>
          <w:highlight w:val="none"/>
          <w:lang w:eastAsia="zh-CN"/>
        </w:rPr>
        <w:t>（</w:t>
      </w:r>
      <w:r>
        <w:rPr>
          <w:rFonts w:hint="eastAsia" w:ascii="宋体" w:hAnsi="宋体" w:eastAsia="宋体"/>
          <w:b/>
          <w:bCs/>
          <w:color w:val="auto"/>
          <w:sz w:val="28"/>
          <w:szCs w:val="28"/>
          <w:highlight w:val="none"/>
        </w:rPr>
        <w:t>项目名称</w:t>
      </w:r>
      <w:r>
        <w:rPr>
          <w:rFonts w:hint="eastAsia" w:ascii="宋体" w:hAnsi="宋体" w:eastAsia="宋体"/>
          <w:b/>
          <w:bCs/>
          <w:color w:val="auto"/>
          <w:sz w:val="28"/>
          <w:szCs w:val="28"/>
          <w:highlight w:val="none"/>
          <w:lang w:eastAsia="zh-CN"/>
        </w:rPr>
        <w:t>）</w:t>
      </w:r>
    </w:p>
    <w:p w14:paraId="745CE4D8">
      <w:pPr>
        <w:spacing w:line="360" w:lineRule="auto"/>
        <w:ind w:right="-483" w:rightChars="-230"/>
        <w:rPr>
          <w:rFonts w:hint="default" w:ascii="宋体" w:hAnsi="宋体" w:eastAsia="宋体"/>
          <w:color w:val="auto"/>
          <w:sz w:val="28"/>
          <w:szCs w:val="28"/>
          <w:highlight w:val="none"/>
          <w:u w:val="single"/>
          <w:lang w:val="en-US" w:eastAsia="zh-CN"/>
        </w:rPr>
      </w:pPr>
    </w:p>
    <w:p w14:paraId="7B47B897">
      <w:pPr>
        <w:spacing w:line="360" w:lineRule="auto"/>
        <w:ind w:right="-483" w:rightChars="-230" w:firstLine="3373" w:firstLineChars="600"/>
        <w:jc w:val="both"/>
        <w:rPr>
          <w:rFonts w:hint="eastAsia" w:ascii="宋体" w:hAnsi="宋体" w:eastAsia="宋体"/>
          <w:b/>
          <w:bCs/>
          <w:color w:val="auto"/>
          <w:sz w:val="56"/>
          <w:szCs w:val="56"/>
          <w:highlight w:val="none"/>
        </w:rPr>
      </w:pPr>
    </w:p>
    <w:p w14:paraId="32E58232">
      <w:pPr>
        <w:spacing w:line="360" w:lineRule="auto"/>
        <w:ind w:right="-483" w:rightChars="-230"/>
        <w:jc w:val="center"/>
        <w:rPr>
          <w:b/>
          <w:bCs/>
          <w:color w:val="auto"/>
          <w:sz w:val="56"/>
          <w:szCs w:val="56"/>
          <w:highlight w:val="none"/>
        </w:rPr>
      </w:pPr>
      <w:r>
        <w:rPr>
          <w:rFonts w:hint="eastAsia" w:ascii="宋体" w:hAnsi="宋体" w:eastAsia="宋体"/>
          <w:b/>
          <w:bCs/>
          <w:color w:val="auto"/>
          <w:sz w:val="56"/>
          <w:szCs w:val="56"/>
          <w:highlight w:val="none"/>
          <w:lang w:val="en-US" w:eastAsia="zh-CN"/>
        </w:rPr>
        <w:t>响 应</w:t>
      </w:r>
      <w:r>
        <w:rPr>
          <w:rFonts w:hint="eastAsia" w:ascii="宋体" w:hAnsi="宋体" w:eastAsia="宋体"/>
          <w:b/>
          <w:bCs/>
          <w:color w:val="auto"/>
          <w:sz w:val="56"/>
          <w:szCs w:val="56"/>
          <w:highlight w:val="none"/>
        </w:rPr>
        <w:t xml:space="preserve"> 文 件</w:t>
      </w:r>
    </w:p>
    <w:p w14:paraId="523B0D95">
      <w:pPr>
        <w:spacing w:line="360" w:lineRule="auto"/>
        <w:ind w:left="-283" w:leftChars="-135" w:right="-483" w:rightChars="-230" w:firstLine="4620" w:firstLineChars="1650"/>
        <w:rPr>
          <w:rFonts w:hint="eastAsia" w:ascii="宋体" w:hAnsi="宋体" w:eastAsia="宋体"/>
          <w:color w:val="auto"/>
          <w:sz w:val="28"/>
          <w:szCs w:val="28"/>
          <w:highlight w:val="none"/>
          <w:lang w:val="en-US" w:eastAsia="zh-CN"/>
        </w:rPr>
      </w:pPr>
    </w:p>
    <w:p w14:paraId="30A3232E">
      <w:pPr>
        <w:spacing w:line="360" w:lineRule="auto"/>
        <w:ind w:right="-483" w:rightChars="-230" w:firstLine="3654" w:firstLineChars="1300"/>
        <w:jc w:val="both"/>
        <w:rPr>
          <w:rFonts w:hint="default" w:ascii="宋体" w:hAnsi="宋体" w:eastAsia="宋体"/>
          <w:color w:val="auto"/>
          <w:sz w:val="28"/>
          <w:szCs w:val="28"/>
          <w:highlight w:val="none"/>
          <w:lang w:val="en-US" w:eastAsia="zh-CN"/>
        </w:rPr>
      </w:pPr>
      <w:r>
        <w:rPr>
          <w:rFonts w:hint="eastAsia" w:ascii="宋体" w:hAnsi="宋体" w:eastAsia="宋体"/>
          <w:b/>
          <w:bCs/>
          <w:color w:val="auto"/>
          <w:sz w:val="28"/>
          <w:szCs w:val="28"/>
          <w:highlight w:val="none"/>
        </w:rPr>
        <w:t>项目编号</w:t>
      </w:r>
      <w:r>
        <w:rPr>
          <w:rFonts w:hint="eastAsia" w:ascii="宋体" w:hAnsi="宋体" w:eastAsia="宋体"/>
          <w:b/>
          <w:bCs/>
          <w:color w:val="auto"/>
          <w:sz w:val="28"/>
          <w:szCs w:val="28"/>
          <w:highlight w:val="none"/>
          <w:lang w:val="en-US" w:eastAsia="zh-CN"/>
        </w:rPr>
        <w:t>：</w:t>
      </w:r>
    </w:p>
    <w:p w14:paraId="1D66425E">
      <w:pPr>
        <w:spacing w:line="660" w:lineRule="auto"/>
        <w:rPr>
          <w:rFonts w:ascii="宋体" w:hAnsi="宋体" w:eastAsia="宋体"/>
          <w:color w:val="auto"/>
          <w:sz w:val="28"/>
          <w:szCs w:val="28"/>
          <w:highlight w:val="none"/>
        </w:rPr>
      </w:pPr>
    </w:p>
    <w:p w14:paraId="6ABF518F">
      <w:pPr>
        <w:spacing w:line="480" w:lineRule="auto"/>
        <w:ind w:left="735" w:leftChars="350" w:firstLine="1089" w:firstLineChars="389"/>
        <w:rPr>
          <w:rFonts w:hint="eastAsia" w:ascii="宋体" w:hAnsi="宋体" w:eastAsia="宋体"/>
          <w:color w:val="auto"/>
          <w:sz w:val="28"/>
          <w:szCs w:val="28"/>
          <w:highlight w:val="none"/>
        </w:rPr>
      </w:pPr>
    </w:p>
    <w:p w14:paraId="58F7CF8E">
      <w:pPr>
        <w:spacing w:line="480" w:lineRule="auto"/>
        <w:ind w:left="735" w:leftChars="350" w:firstLine="1089" w:firstLineChars="389"/>
        <w:rPr>
          <w:rFonts w:hint="eastAsia" w:ascii="宋体" w:hAnsi="宋体" w:eastAsia="宋体"/>
          <w:color w:val="auto"/>
          <w:sz w:val="28"/>
          <w:szCs w:val="28"/>
          <w:highlight w:val="none"/>
        </w:rPr>
      </w:pPr>
    </w:p>
    <w:p w14:paraId="6B5A46E8">
      <w:pPr>
        <w:spacing w:line="480" w:lineRule="auto"/>
        <w:ind w:left="735" w:leftChars="350" w:firstLine="1089" w:firstLineChars="389"/>
        <w:rPr>
          <w:rFonts w:hint="eastAsia" w:ascii="宋体" w:hAnsi="宋体" w:eastAsia="宋体"/>
          <w:color w:val="auto"/>
          <w:sz w:val="28"/>
          <w:szCs w:val="28"/>
          <w:highlight w:val="none"/>
        </w:rPr>
      </w:pPr>
    </w:p>
    <w:p w14:paraId="0F2B609B">
      <w:pPr>
        <w:spacing w:line="480" w:lineRule="auto"/>
        <w:ind w:left="735" w:leftChars="350" w:firstLine="1089" w:firstLineChars="389"/>
        <w:rPr>
          <w:rFonts w:hint="eastAsia" w:ascii="宋体" w:hAnsi="宋体" w:eastAsia="宋体"/>
          <w:color w:val="auto"/>
          <w:sz w:val="28"/>
          <w:szCs w:val="28"/>
          <w:highlight w:val="none"/>
        </w:rPr>
      </w:pPr>
    </w:p>
    <w:p w14:paraId="1EEF3A8C">
      <w:pPr>
        <w:widowControl/>
        <w:wordWrap/>
        <w:adjustRightInd w:val="0"/>
        <w:snapToGrid w:val="0"/>
        <w:spacing w:after="0" w:afterLines="0" w:line="480" w:lineRule="auto"/>
        <w:ind w:firstLine="1400" w:firstLineChars="500"/>
        <w:jc w:val="both"/>
        <w:textAlignment w:val="auto"/>
        <w:outlineLvl w:val="0"/>
        <w:rPr>
          <w:rFonts w:hint="default" w:ascii="宋体" w:hAnsi="宋体" w:eastAsia="宋体"/>
          <w:color w:val="auto"/>
          <w:sz w:val="28"/>
          <w:szCs w:val="28"/>
          <w:highlight w:val="none"/>
          <w:lang w:val="en-US" w:eastAsia="zh-CN"/>
        </w:rPr>
      </w:pPr>
      <w:bookmarkStart w:id="739" w:name="_Toc31682"/>
      <w:bookmarkStart w:id="740" w:name="_Toc1993"/>
      <w:r>
        <w:rPr>
          <w:rFonts w:hint="eastAsia" w:ascii="宋体" w:hAnsi="宋体" w:eastAsia="宋体"/>
          <w:color w:val="auto"/>
          <w:sz w:val="28"/>
          <w:szCs w:val="28"/>
          <w:highlight w:val="none"/>
          <w:lang w:val="en-US" w:eastAsia="zh-CN"/>
        </w:rPr>
        <w:t>供应商</w:t>
      </w:r>
      <w:r>
        <w:rPr>
          <w:rFonts w:hint="eastAsia" w:ascii="宋体" w:hAnsi="宋体" w:eastAsia="宋体"/>
          <w:color w:val="auto"/>
          <w:sz w:val="28"/>
          <w:szCs w:val="28"/>
          <w:highlight w:val="none"/>
        </w:rPr>
        <w:t>（企业电子签章）：</w:t>
      </w:r>
      <w:bookmarkEnd w:id="739"/>
      <w:bookmarkEnd w:id="740"/>
      <w:r>
        <w:rPr>
          <w:rFonts w:hint="eastAsia" w:ascii="宋体" w:hAnsi="宋体" w:eastAsia="宋体"/>
          <w:color w:val="auto"/>
          <w:sz w:val="28"/>
          <w:szCs w:val="28"/>
          <w:highlight w:val="none"/>
          <w:u w:val="single"/>
          <w:lang w:val="en-US" w:eastAsia="zh-CN"/>
        </w:rPr>
        <w:t xml:space="preserve">                       </w:t>
      </w:r>
      <w:r>
        <w:rPr>
          <w:rFonts w:hint="eastAsia" w:ascii="宋体" w:hAnsi="宋体" w:eastAsia="宋体"/>
          <w:color w:val="auto"/>
          <w:sz w:val="28"/>
          <w:szCs w:val="28"/>
          <w:highlight w:val="none"/>
          <w:lang w:val="en-US" w:eastAsia="zh-CN"/>
        </w:rPr>
        <w:t xml:space="preserve">            </w:t>
      </w:r>
    </w:p>
    <w:p w14:paraId="25353B46">
      <w:pPr>
        <w:widowControl/>
        <w:wordWrap/>
        <w:adjustRightInd w:val="0"/>
        <w:snapToGrid w:val="0"/>
        <w:spacing w:after="0" w:afterLines="0" w:line="480" w:lineRule="auto"/>
        <w:ind w:firstLine="1400" w:firstLineChars="500"/>
        <w:jc w:val="both"/>
        <w:textAlignment w:val="auto"/>
        <w:outlineLvl w:val="0"/>
        <w:rPr>
          <w:rFonts w:hint="eastAsia" w:ascii="宋体" w:hAnsi="宋体" w:eastAsia="宋体"/>
          <w:color w:val="auto"/>
          <w:sz w:val="28"/>
          <w:szCs w:val="28"/>
          <w:highlight w:val="none"/>
        </w:rPr>
      </w:pPr>
      <w:bookmarkStart w:id="741" w:name="_Toc12488"/>
      <w:bookmarkStart w:id="742" w:name="_Toc17835"/>
      <w:r>
        <w:rPr>
          <w:rFonts w:hint="eastAsia" w:ascii="宋体" w:hAnsi="宋体" w:eastAsia="宋体"/>
          <w:color w:val="auto"/>
          <w:sz w:val="28"/>
          <w:szCs w:val="28"/>
          <w:highlight w:val="none"/>
        </w:rPr>
        <w:t>法定代表人(电子签章)：</w:t>
      </w:r>
      <w:bookmarkEnd w:id="741"/>
      <w:bookmarkEnd w:id="742"/>
      <w:r>
        <w:rPr>
          <w:rFonts w:hint="eastAsia" w:ascii="宋体" w:hAnsi="宋体" w:eastAsia="宋体"/>
          <w:color w:val="auto"/>
          <w:sz w:val="28"/>
          <w:szCs w:val="28"/>
          <w:highlight w:val="none"/>
          <w:u w:val="single"/>
          <w:lang w:val="en-US" w:eastAsia="zh-CN"/>
        </w:rPr>
        <w:t xml:space="preserve">                   </w:t>
      </w:r>
    </w:p>
    <w:p w14:paraId="2B341A10">
      <w:pPr>
        <w:widowControl/>
        <w:wordWrap/>
        <w:adjustRightInd w:val="0"/>
        <w:snapToGrid w:val="0"/>
        <w:spacing w:after="0" w:afterLines="0" w:line="480" w:lineRule="auto"/>
        <w:ind w:firstLine="1400" w:firstLineChars="500"/>
        <w:jc w:val="both"/>
        <w:textAlignment w:val="auto"/>
        <w:outlineLvl w:val="0"/>
        <w:rPr>
          <w:rFonts w:hint="eastAsia" w:ascii="宋体" w:hAnsi="宋体" w:eastAsia="宋体"/>
          <w:color w:val="auto"/>
          <w:sz w:val="28"/>
          <w:szCs w:val="28"/>
          <w:highlight w:val="none"/>
        </w:rPr>
      </w:pPr>
      <w:bookmarkStart w:id="743" w:name="_Toc18536"/>
      <w:bookmarkStart w:id="744" w:name="_Toc20128"/>
      <w:r>
        <w:rPr>
          <w:rFonts w:hint="eastAsia" w:ascii="宋体" w:hAnsi="宋体" w:eastAsia="宋体"/>
          <w:color w:val="auto"/>
          <w:sz w:val="28"/>
          <w:szCs w:val="28"/>
          <w:highlight w:val="none"/>
        </w:rPr>
        <w:t>日</w:t>
      </w:r>
      <w:r>
        <w:rPr>
          <w:rFonts w:hint="eastAsia" w:ascii="宋体" w:hAnsi="宋体" w:eastAsia="宋体"/>
          <w:color w:val="auto"/>
          <w:sz w:val="28"/>
          <w:szCs w:val="28"/>
          <w:highlight w:val="none"/>
          <w:lang w:val="en-US" w:eastAsia="zh-CN"/>
        </w:rPr>
        <w:t xml:space="preserve">       </w:t>
      </w:r>
      <w:r>
        <w:rPr>
          <w:rFonts w:hint="eastAsia" w:ascii="宋体" w:hAnsi="宋体" w:eastAsia="宋体"/>
          <w:color w:val="auto"/>
          <w:sz w:val="28"/>
          <w:szCs w:val="28"/>
          <w:highlight w:val="none"/>
        </w:rPr>
        <w:t>期：</w:t>
      </w:r>
      <w:r>
        <w:rPr>
          <w:rFonts w:hint="eastAsia" w:ascii="宋体" w:hAnsi="宋体" w:eastAsia="宋体"/>
          <w:color w:val="auto"/>
          <w:sz w:val="28"/>
          <w:szCs w:val="28"/>
          <w:highlight w:val="none"/>
          <w:u w:val="single"/>
          <w:lang w:val="en-US" w:eastAsia="zh-CN"/>
        </w:rPr>
        <w:t xml:space="preserve">       </w:t>
      </w:r>
      <w:r>
        <w:rPr>
          <w:rFonts w:hint="eastAsia" w:ascii="宋体" w:hAnsi="宋体" w:eastAsia="宋体"/>
          <w:color w:val="auto"/>
          <w:sz w:val="28"/>
          <w:szCs w:val="28"/>
          <w:highlight w:val="none"/>
        </w:rPr>
        <w:t xml:space="preserve"> 年</w:t>
      </w:r>
      <w:r>
        <w:rPr>
          <w:rFonts w:hint="eastAsia" w:ascii="宋体" w:hAnsi="宋体" w:eastAsia="宋体"/>
          <w:color w:val="auto"/>
          <w:sz w:val="28"/>
          <w:szCs w:val="28"/>
          <w:highlight w:val="none"/>
          <w:u w:val="single"/>
          <w:lang w:val="en-US" w:eastAsia="zh-CN"/>
        </w:rPr>
        <w:t xml:space="preserve">       </w:t>
      </w:r>
      <w:r>
        <w:rPr>
          <w:rFonts w:hint="eastAsia" w:ascii="宋体" w:hAnsi="宋体" w:eastAsia="宋体"/>
          <w:color w:val="auto"/>
          <w:sz w:val="28"/>
          <w:szCs w:val="28"/>
          <w:highlight w:val="none"/>
        </w:rPr>
        <w:t>月</w:t>
      </w:r>
      <w:r>
        <w:rPr>
          <w:rFonts w:hint="eastAsia" w:ascii="宋体" w:hAnsi="宋体" w:eastAsia="宋体"/>
          <w:color w:val="auto"/>
          <w:sz w:val="28"/>
          <w:szCs w:val="28"/>
          <w:highlight w:val="none"/>
          <w:u w:val="single"/>
          <w:lang w:val="en-US" w:eastAsia="zh-CN"/>
        </w:rPr>
        <w:t xml:space="preserve">       </w:t>
      </w:r>
      <w:r>
        <w:rPr>
          <w:rFonts w:hint="eastAsia" w:ascii="宋体" w:hAnsi="宋体" w:eastAsia="宋体"/>
          <w:color w:val="auto"/>
          <w:sz w:val="28"/>
          <w:szCs w:val="28"/>
          <w:highlight w:val="none"/>
        </w:rPr>
        <w:t>日</w:t>
      </w:r>
      <w:bookmarkEnd w:id="743"/>
      <w:bookmarkEnd w:id="744"/>
    </w:p>
    <w:p w14:paraId="38232668">
      <w:pPr>
        <w:ind w:firstLine="3092" w:firstLineChars="1100"/>
        <w:jc w:val="both"/>
        <w:rPr>
          <w:rFonts w:hint="eastAsia" w:ascii="宋体" w:hAnsi="宋体" w:eastAsia="宋体"/>
          <w:b/>
          <w:color w:val="auto"/>
          <w:sz w:val="28"/>
          <w:szCs w:val="28"/>
          <w:highlight w:val="none"/>
        </w:rPr>
      </w:pPr>
    </w:p>
    <w:p w14:paraId="54A8DCDA">
      <w:pPr>
        <w:tabs>
          <w:tab w:val="left" w:pos="0"/>
        </w:tabs>
        <w:spacing w:line="480" w:lineRule="auto"/>
        <w:jc w:val="center"/>
        <w:rPr>
          <w:rFonts w:ascii="宋体" w:hAnsi="宋体" w:eastAsia="宋体"/>
          <w:b/>
          <w:bCs/>
          <w:color w:val="auto"/>
          <w:sz w:val="32"/>
          <w:szCs w:val="32"/>
          <w:highlight w:val="none"/>
        </w:rPr>
      </w:pPr>
      <w:r>
        <w:rPr>
          <w:rFonts w:hint="eastAsia" w:ascii="宋体" w:hAnsi="宋体" w:eastAsia="宋体"/>
          <w:b/>
          <w:bCs/>
          <w:color w:val="auto"/>
          <w:sz w:val="32"/>
          <w:szCs w:val="32"/>
          <w:highlight w:val="none"/>
        </w:rPr>
        <w:t>目  录</w:t>
      </w:r>
    </w:p>
    <w:p w14:paraId="0637CE7B">
      <w:pPr>
        <w:widowControl/>
        <w:tabs>
          <w:tab w:val="left" w:pos="0"/>
        </w:tabs>
        <w:wordWrap/>
        <w:adjustRightInd w:val="0"/>
        <w:snapToGrid w:val="0"/>
        <w:spacing w:before="0" w:beforeLines="0" w:after="0" w:afterLines="0" w:line="360" w:lineRule="auto"/>
        <w:ind w:left="0" w:leftChars="0" w:right="0" w:firstLine="0" w:firstLineChars="0"/>
        <w:jc w:val="center"/>
        <w:textAlignment w:val="auto"/>
        <w:outlineLvl w:val="9"/>
        <w:rPr>
          <w:rFonts w:hint="eastAsia" w:ascii="宋体" w:hAnsi="宋体" w:eastAsia="宋体"/>
          <w:color w:val="auto"/>
          <w:sz w:val="28"/>
          <w:szCs w:val="28"/>
          <w:highlight w:val="none"/>
          <w:lang w:eastAsia="zh-CN"/>
        </w:rPr>
      </w:pPr>
      <w:r>
        <w:rPr>
          <w:rFonts w:hint="eastAsia" w:ascii="宋体" w:hAnsi="宋体" w:eastAsia="宋体"/>
          <w:color w:val="auto"/>
          <w:sz w:val="28"/>
          <w:szCs w:val="28"/>
          <w:highlight w:val="none"/>
          <w:lang w:eastAsia="zh-CN"/>
        </w:rPr>
        <w:t>（</w:t>
      </w:r>
      <w:r>
        <w:rPr>
          <w:rFonts w:hint="eastAsia" w:ascii="宋体" w:hAnsi="宋体" w:eastAsia="宋体"/>
          <w:color w:val="auto"/>
          <w:sz w:val="28"/>
          <w:szCs w:val="28"/>
          <w:highlight w:val="none"/>
          <w:lang w:val="en-US" w:eastAsia="zh-CN"/>
        </w:rPr>
        <w:t>格式自拟</w:t>
      </w:r>
      <w:r>
        <w:rPr>
          <w:rFonts w:hint="eastAsia" w:ascii="宋体" w:hAnsi="宋体" w:eastAsia="宋体"/>
          <w:color w:val="auto"/>
          <w:sz w:val="28"/>
          <w:szCs w:val="28"/>
          <w:highlight w:val="none"/>
          <w:lang w:eastAsia="zh-CN"/>
        </w:rPr>
        <w:t>）</w:t>
      </w:r>
    </w:p>
    <w:p w14:paraId="50063E9B">
      <w:pPr>
        <w:widowControl/>
        <w:tabs>
          <w:tab w:val="left" w:pos="0"/>
        </w:tabs>
        <w:wordWrap/>
        <w:adjustRightInd w:val="0"/>
        <w:snapToGrid w:val="0"/>
        <w:spacing w:before="0" w:beforeLines="0" w:after="0" w:afterLines="0" w:line="360" w:lineRule="auto"/>
        <w:ind w:left="0" w:leftChars="0" w:right="0" w:firstLine="0" w:firstLineChars="0"/>
        <w:jc w:val="left"/>
        <w:textAlignment w:val="auto"/>
        <w:outlineLvl w:val="9"/>
        <w:rPr>
          <w:rFonts w:hint="eastAsia" w:ascii="宋体" w:hAnsi="宋体" w:eastAsia="宋体"/>
          <w:color w:val="auto"/>
          <w:sz w:val="28"/>
          <w:szCs w:val="28"/>
          <w:highlight w:val="none"/>
          <w:lang w:eastAsia="zh-CN"/>
        </w:rPr>
      </w:pPr>
    </w:p>
    <w:p w14:paraId="74853834">
      <w:pPr>
        <w:widowControl/>
        <w:tabs>
          <w:tab w:val="left" w:pos="0"/>
        </w:tabs>
        <w:wordWrap/>
        <w:adjustRightInd w:val="0"/>
        <w:snapToGrid w:val="0"/>
        <w:spacing w:before="0" w:beforeLines="0" w:after="0" w:afterLines="0" w:line="360" w:lineRule="auto"/>
        <w:ind w:left="0" w:leftChars="0" w:right="0" w:firstLine="0" w:firstLineChars="0"/>
        <w:jc w:val="left"/>
        <w:textAlignment w:val="auto"/>
        <w:outlineLvl w:val="9"/>
        <w:rPr>
          <w:rFonts w:hint="eastAsia" w:ascii="宋体" w:hAnsi="宋体" w:eastAsia="宋体"/>
          <w:color w:val="auto"/>
          <w:sz w:val="28"/>
          <w:szCs w:val="28"/>
          <w:highlight w:val="none"/>
          <w:lang w:eastAsia="zh-CN"/>
        </w:rPr>
      </w:pPr>
    </w:p>
    <w:p w14:paraId="5DF84ECB">
      <w:pPr>
        <w:widowControl/>
        <w:tabs>
          <w:tab w:val="left" w:pos="0"/>
        </w:tabs>
        <w:wordWrap/>
        <w:adjustRightInd w:val="0"/>
        <w:snapToGrid w:val="0"/>
        <w:spacing w:before="0" w:beforeLines="0" w:after="0" w:afterLines="0" w:line="360" w:lineRule="auto"/>
        <w:ind w:left="0" w:leftChars="0" w:right="0" w:firstLine="0" w:firstLineChars="0"/>
        <w:jc w:val="left"/>
        <w:textAlignment w:val="auto"/>
        <w:outlineLvl w:val="9"/>
        <w:rPr>
          <w:rFonts w:hint="eastAsia" w:ascii="宋体" w:hAnsi="宋体" w:eastAsia="宋体"/>
          <w:color w:val="auto"/>
          <w:sz w:val="28"/>
          <w:szCs w:val="28"/>
          <w:highlight w:val="none"/>
          <w:lang w:eastAsia="zh-CN"/>
        </w:rPr>
      </w:pPr>
    </w:p>
    <w:p w14:paraId="44682CB5">
      <w:pPr>
        <w:widowControl/>
        <w:tabs>
          <w:tab w:val="left" w:pos="0"/>
        </w:tabs>
        <w:wordWrap/>
        <w:adjustRightInd w:val="0"/>
        <w:snapToGrid w:val="0"/>
        <w:spacing w:before="0" w:beforeLines="0" w:after="0" w:afterLines="0" w:line="360" w:lineRule="auto"/>
        <w:ind w:left="0" w:leftChars="0" w:right="0" w:firstLine="0" w:firstLineChars="0"/>
        <w:jc w:val="left"/>
        <w:textAlignment w:val="auto"/>
        <w:outlineLvl w:val="9"/>
        <w:rPr>
          <w:rFonts w:hint="eastAsia" w:ascii="宋体" w:hAnsi="宋体" w:eastAsia="宋体"/>
          <w:color w:val="auto"/>
          <w:sz w:val="28"/>
          <w:szCs w:val="28"/>
          <w:highlight w:val="none"/>
          <w:lang w:eastAsia="zh-CN"/>
        </w:rPr>
      </w:pPr>
    </w:p>
    <w:p w14:paraId="23B38524">
      <w:pPr>
        <w:widowControl/>
        <w:tabs>
          <w:tab w:val="left" w:pos="0"/>
        </w:tabs>
        <w:wordWrap/>
        <w:adjustRightInd w:val="0"/>
        <w:snapToGrid w:val="0"/>
        <w:spacing w:before="0" w:beforeLines="0" w:after="0" w:afterLines="0" w:line="360" w:lineRule="auto"/>
        <w:ind w:left="0" w:leftChars="0" w:right="0" w:firstLine="0" w:firstLineChars="0"/>
        <w:jc w:val="left"/>
        <w:textAlignment w:val="auto"/>
        <w:outlineLvl w:val="9"/>
        <w:rPr>
          <w:rFonts w:hint="eastAsia" w:ascii="宋体" w:hAnsi="宋体" w:eastAsia="宋体"/>
          <w:color w:val="auto"/>
          <w:sz w:val="28"/>
          <w:szCs w:val="28"/>
          <w:highlight w:val="none"/>
          <w:lang w:eastAsia="zh-CN"/>
        </w:rPr>
      </w:pPr>
    </w:p>
    <w:p w14:paraId="5723B6C4">
      <w:pPr>
        <w:pStyle w:val="20"/>
        <w:rPr>
          <w:rFonts w:hint="eastAsia" w:ascii="宋体" w:hAnsi="宋体" w:eastAsia="宋体"/>
          <w:color w:val="auto"/>
          <w:sz w:val="28"/>
          <w:szCs w:val="28"/>
          <w:highlight w:val="none"/>
          <w:lang w:eastAsia="zh-CN"/>
        </w:rPr>
      </w:pPr>
    </w:p>
    <w:p w14:paraId="08C15260">
      <w:pPr>
        <w:pStyle w:val="39"/>
        <w:rPr>
          <w:rFonts w:hint="eastAsia" w:ascii="宋体" w:hAnsi="宋体" w:eastAsia="宋体"/>
          <w:color w:val="auto"/>
          <w:sz w:val="28"/>
          <w:szCs w:val="28"/>
          <w:highlight w:val="none"/>
          <w:lang w:eastAsia="zh-CN"/>
        </w:rPr>
      </w:pPr>
    </w:p>
    <w:p w14:paraId="5323AAA8">
      <w:pPr>
        <w:rPr>
          <w:rFonts w:hint="eastAsia" w:ascii="宋体" w:hAnsi="宋体" w:eastAsia="宋体"/>
          <w:color w:val="auto"/>
          <w:sz w:val="28"/>
          <w:szCs w:val="28"/>
          <w:highlight w:val="none"/>
          <w:lang w:eastAsia="zh-CN"/>
        </w:rPr>
      </w:pPr>
    </w:p>
    <w:p w14:paraId="695C500D">
      <w:pPr>
        <w:pStyle w:val="20"/>
        <w:rPr>
          <w:rFonts w:hint="eastAsia" w:ascii="宋体" w:hAnsi="宋体" w:eastAsia="宋体"/>
          <w:color w:val="auto"/>
          <w:sz w:val="28"/>
          <w:szCs w:val="28"/>
          <w:highlight w:val="none"/>
          <w:lang w:eastAsia="zh-CN"/>
        </w:rPr>
      </w:pPr>
    </w:p>
    <w:p w14:paraId="417AA67F">
      <w:pPr>
        <w:pStyle w:val="39"/>
        <w:rPr>
          <w:rFonts w:hint="eastAsia" w:ascii="宋体" w:hAnsi="宋体" w:eastAsia="宋体"/>
          <w:color w:val="auto"/>
          <w:sz w:val="28"/>
          <w:szCs w:val="28"/>
          <w:highlight w:val="none"/>
          <w:lang w:eastAsia="zh-CN"/>
        </w:rPr>
      </w:pPr>
    </w:p>
    <w:p w14:paraId="2FE550EA">
      <w:pPr>
        <w:rPr>
          <w:rFonts w:hint="eastAsia" w:ascii="宋体" w:hAnsi="宋体" w:eastAsia="宋体"/>
          <w:color w:val="auto"/>
          <w:sz w:val="28"/>
          <w:szCs w:val="28"/>
          <w:highlight w:val="none"/>
          <w:lang w:eastAsia="zh-CN"/>
        </w:rPr>
      </w:pPr>
    </w:p>
    <w:p w14:paraId="257E4BDD">
      <w:pPr>
        <w:pStyle w:val="39"/>
        <w:ind w:left="0" w:leftChars="0" w:firstLine="0" w:firstLineChars="0"/>
        <w:rPr>
          <w:rFonts w:hint="eastAsia"/>
          <w:lang w:eastAsia="zh-CN"/>
        </w:rPr>
      </w:pPr>
    </w:p>
    <w:p w14:paraId="5DBC8890">
      <w:pPr>
        <w:widowControl/>
        <w:tabs>
          <w:tab w:val="left" w:pos="0"/>
        </w:tabs>
        <w:wordWrap/>
        <w:adjustRightInd w:val="0"/>
        <w:snapToGrid w:val="0"/>
        <w:spacing w:before="0" w:beforeLines="0" w:after="0" w:afterLines="0" w:line="360" w:lineRule="auto"/>
        <w:ind w:left="0" w:leftChars="0" w:right="0" w:firstLine="0" w:firstLineChars="0"/>
        <w:jc w:val="left"/>
        <w:textAlignment w:val="auto"/>
        <w:outlineLvl w:val="9"/>
        <w:rPr>
          <w:rFonts w:hint="eastAsia" w:ascii="宋体" w:hAnsi="宋体" w:eastAsia="宋体"/>
          <w:color w:val="auto"/>
          <w:sz w:val="28"/>
          <w:szCs w:val="28"/>
          <w:highlight w:val="none"/>
          <w:lang w:eastAsia="zh-CN"/>
        </w:rPr>
      </w:pPr>
    </w:p>
    <w:p w14:paraId="41077F9A">
      <w:pPr>
        <w:widowControl/>
        <w:tabs>
          <w:tab w:val="left" w:pos="0"/>
        </w:tabs>
        <w:wordWrap/>
        <w:adjustRightInd w:val="0"/>
        <w:snapToGrid w:val="0"/>
        <w:spacing w:before="0" w:beforeLines="0" w:after="0" w:afterLines="0" w:line="360" w:lineRule="auto"/>
        <w:ind w:left="0" w:leftChars="0" w:right="0" w:firstLine="0" w:firstLineChars="0"/>
        <w:jc w:val="left"/>
        <w:textAlignment w:val="auto"/>
        <w:outlineLvl w:val="9"/>
        <w:rPr>
          <w:rFonts w:hint="eastAsia" w:ascii="宋体" w:hAnsi="宋体" w:eastAsia="宋体"/>
          <w:color w:val="auto"/>
          <w:sz w:val="28"/>
          <w:szCs w:val="28"/>
          <w:highlight w:val="none"/>
          <w:lang w:eastAsia="zh-CN"/>
        </w:rPr>
      </w:pPr>
    </w:p>
    <w:p w14:paraId="6B14C811">
      <w:pPr>
        <w:pStyle w:val="20"/>
        <w:rPr>
          <w:rFonts w:hint="eastAsia"/>
          <w:lang w:eastAsia="zh-CN"/>
        </w:rPr>
      </w:pPr>
    </w:p>
    <w:p w14:paraId="5F2187B1">
      <w:pPr>
        <w:widowControl/>
        <w:tabs>
          <w:tab w:val="left" w:pos="0"/>
        </w:tabs>
        <w:wordWrap/>
        <w:adjustRightInd w:val="0"/>
        <w:snapToGrid w:val="0"/>
        <w:spacing w:before="0" w:beforeLines="0" w:after="0" w:afterLines="0" w:line="360" w:lineRule="auto"/>
        <w:ind w:left="0" w:leftChars="0" w:right="0" w:firstLine="0" w:firstLineChars="0"/>
        <w:jc w:val="left"/>
        <w:textAlignment w:val="auto"/>
        <w:outlineLvl w:val="9"/>
        <w:rPr>
          <w:rFonts w:hint="eastAsia" w:ascii="宋体" w:hAnsi="宋体" w:eastAsia="宋体"/>
          <w:color w:val="auto"/>
          <w:sz w:val="28"/>
          <w:szCs w:val="28"/>
          <w:highlight w:val="none"/>
          <w:lang w:eastAsia="zh-CN"/>
        </w:rPr>
      </w:pPr>
    </w:p>
    <w:p w14:paraId="6A46F796">
      <w:pPr>
        <w:pStyle w:val="13"/>
        <w:rPr>
          <w:rFonts w:hint="eastAsia"/>
          <w:lang w:eastAsia="zh-CN"/>
        </w:rPr>
      </w:pPr>
    </w:p>
    <w:p w14:paraId="732FFB7B">
      <w:pPr>
        <w:widowControl/>
        <w:tabs>
          <w:tab w:val="left" w:pos="0"/>
        </w:tabs>
        <w:wordWrap/>
        <w:adjustRightInd w:val="0"/>
        <w:snapToGrid w:val="0"/>
        <w:spacing w:before="0" w:beforeLines="0" w:after="0" w:afterLines="0" w:line="360" w:lineRule="auto"/>
        <w:ind w:left="0" w:leftChars="0" w:right="0" w:firstLine="0" w:firstLineChars="0"/>
        <w:jc w:val="left"/>
        <w:textAlignment w:val="auto"/>
        <w:outlineLvl w:val="9"/>
        <w:rPr>
          <w:rFonts w:hint="eastAsia" w:ascii="宋体" w:hAnsi="宋体" w:eastAsia="宋体"/>
          <w:color w:val="auto"/>
          <w:sz w:val="28"/>
          <w:szCs w:val="28"/>
          <w:highlight w:val="none"/>
          <w:lang w:eastAsia="zh-CN"/>
        </w:rPr>
      </w:pPr>
    </w:p>
    <w:p w14:paraId="5B048260">
      <w:pPr>
        <w:widowControl/>
        <w:tabs>
          <w:tab w:val="left" w:pos="0"/>
        </w:tabs>
        <w:wordWrap/>
        <w:adjustRightInd w:val="0"/>
        <w:snapToGrid w:val="0"/>
        <w:spacing w:before="0" w:beforeLines="0" w:after="0" w:afterLines="0" w:line="360" w:lineRule="auto"/>
        <w:ind w:left="0" w:leftChars="0" w:right="0" w:firstLine="0" w:firstLineChars="0"/>
        <w:jc w:val="left"/>
        <w:textAlignment w:val="auto"/>
        <w:outlineLvl w:val="9"/>
        <w:rPr>
          <w:rFonts w:hint="eastAsia" w:ascii="宋体" w:hAnsi="宋体" w:eastAsia="宋体"/>
          <w:color w:val="auto"/>
          <w:sz w:val="28"/>
          <w:szCs w:val="28"/>
          <w:highlight w:val="none"/>
          <w:lang w:eastAsia="zh-CN"/>
        </w:rPr>
      </w:pPr>
    </w:p>
    <w:p w14:paraId="2D606FB4">
      <w:pPr>
        <w:widowControl/>
        <w:tabs>
          <w:tab w:val="left" w:pos="0"/>
        </w:tabs>
        <w:wordWrap/>
        <w:adjustRightInd w:val="0"/>
        <w:snapToGrid w:val="0"/>
        <w:spacing w:before="0" w:beforeLines="0" w:after="0" w:afterLines="0" w:line="360" w:lineRule="auto"/>
        <w:ind w:left="0" w:leftChars="0" w:right="0" w:firstLine="0" w:firstLineChars="0"/>
        <w:jc w:val="left"/>
        <w:textAlignment w:val="auto"/>
        <w:outlineLvl w:val="9"/>
        <w:rPr>
          <w:rFonts w:hint="eastAsia" w:ascii="宋体" w:hAnsi="宋体" w:eastAsia="宋体"/>
          <w:color w:val="auto"/>
          <w:sz w:val="28"/>
          <w:szCs w:val="28"/>
          <w:highlight w:val="none"/>
          <w:lang w:eastAsia="zh-CN"/>
        </w:rPr>
      </w:pPr>
    </w:p>
    <w:p w14:paraId="028F910E">
      <w:pPr>
        <w:widowControl/>
        <w:tabs>
          <w:tab w:val="left" w:pos="0"/>
        </w:tabs>
        <w:wordWrap/>
        <w:adjustRightInd w:val="0"/>
        <w:snapToGrid w:val="0"/>
        <w:spacing w:before="0" w:beforeLines="0" w:after="0" w:afterLines="0" w:line="360" w:lineRule="auto"/>
        <w:ind w:left="0" w:leftChars="0" w:right="0" w:firstLine="0" w:firstLineChars="0"/>
        <w:jc w:val="left"/>
        <w:textAlignment w:val="auto"/>
        <w:outlineLvl w:val="9"/>
        <w:rPr>
          <w:rFonts w:hint="eastAsia" w:ascii="宋体" w:hAnsi="宋体" w:eastAsia="宋体"/>
          <w:color w:val="auto"/>
          <w:sz w:val="28"/>
          <w:szCs w:val="28"/>
          <w:highlight w:val="none"/>
          <w:lang w:eastAsia="zh-CN"/>
        </w:rPr>
      </w:pPr>
    </w:p>
    <w:p w14:paraId="7094E83F">
      <w:pPr>
        <w:jc w:val="center"/>
        <w:rPr>
          <w:rFonts w:hint="default" w:ascii="宋体" w:hAnsi="宋体" w:cs="宋体" w:eastAsiaTheme="minorEastAsia"/>
          <w:b/>
          <w:sz w:val="40"/>
          <w:szCs w:val="40"/>
          <w:lang w:val="en-US" w:eastAsia="zh-CN"/>
        </w:rPr>
      </w:pPr>
      <w:r>
        <w:rPr>
          <w:rFonts w:hint="eastAsia" w:ascii="宋体" w:hAnsi="宋体" w:cs="宋体"/>
          <w:b/>
          <w:sz w:val="32"/>
          <w:szCs w:val="32"/>
        </w:rPr>
        <w:t>一、</w:t>
      </w:r>
      <w:r>
        <w:rPr>
          <w:rFonts w:hint="eastAsia" w:ascii="宋体" w:hAnsi="宋体" w:cs="宋体"/>
          <w:b/>
          <w:sz w:val="32"/>
          <w:szCs w:val="32"/>
          <w:lang w:val="en-US" w:eastAsia="en-US"/>
        </w:rPr>
        <w:t>磋商函</w:t>
      </w:r>
      <w:r>
        <w:rPr>
          <w:rFonts w:hint="eastAsia" w:ascii="宋体" w:hAnsi="宋体" w:cs="宋体"/>
          <w:b/>
          <w:sz w:val="32"/>
          <w:szCs w:val="32"/>
          <w:lang w:val="en-US" w:eastAsia="zh-CN"/>
        </w:rPr>
        <w:t>及磋商函附录</w:t>
      </w:r>
    </w:p>
    <w:p w14:paraId="7C322C3E">
      <w:pPr>
        <w:widowControl/>
        <w:spacing w:line="600" w:lineRule="exact"/>
        <w:jc w:val="center"/>
        <w:rPr>
          <w:rFonts w:hint="default" w:ascii="宋体" w:hAnsi="宋体" w:cs="宋体" w:eastAsiaTheme="minorEastAsia"/>
          <w:b/>
          <w:bCs/>
          <w:color w:val="000000"/>
          <w:kern w:val="0"/>
          <w:sz w:val="24"/>
          <w:szCs w:val="24"/>
          <w:lang w:val="en-US" w:eastAsia="zh-CN"/>
        </w:rPr>
      </w:pPr>
      <w:r>
        <w:rPr>
          <w:rFonts w:hint="eastAsia" w:ascii="宋体" w:hAnsi="宋体" w:cs="宋体"/>
          <w:b/>
          <w:bCs/>
          <w:color w:val="000000"/>
          <w:kern w:val="0"/>
          <w:sz w:val="24"/>
          <w:szCs w:val="24"/>
          <w:lang w:val="en-US" w:eastAsia="zh-CN"/>
        </w:rPr>
        <w:t>（一）磋商函</w:t>
      </w:r>
    </w:p>
    <w:p w14:paraId="29DBA5EC">
      <w:pPr>
        <w:widowControl/>
        <w:spacing w:line="600" w:lineRule="exact"/>
        <w:jc w:val="left"/>
        <w:rPr>
          <w:rFonts w:hint="eastAsia" w:ascii="宋体" w:hAnsi="宋体" w:cs="宋体"/>
          <w:color w:val="000000"/>
          <w:kern w:val="0"/>
          <w:sz w:val="24"/>
          <w:szCs w:val="24"/>
          <w:lang w:val="en-US"/>
        </w:rPr>
      </w:pPr>
      <w:r>
        <w:rPr>
          <w:rFonts w:hint="eastAsia" w:ascii="宋体" w:hAnsi="宋体" w:cs="宋体"/>
          <w:color w:val="000000"/>
          <w:kern w:val="0"/>
          <w:sz w:val="24"/>
          <w:szCs w:val="24"/>
          <w:lang w:val="en-US"/>
        </w:rPr>
        <w:t>致</w:t>
      </w:r>
      <w:r>
        <w:rPr>
          <w:rFonts w:hint="eastAsia" w:ascii="宋体" w:hAnsi="宋体" w:cs="宋体"/>
          <w:color w:val="000000"/>
          <w:kern w:val="0"/>
          <w:sz w:val="24"/>
          <w:szCs w:val="24"/>
          <w:u w:val="single" w:color="auto"/>
          <w:lang w:val="en-US"/>
        </w:rPr>
        <w:t xml:space="preserve">      </w:t>
      </w:r>
      <w:r>
        <w:rPr>
          <w:rFonts w:hint="eastAsia" w:ascii="宋体" w:hAnsi="宋体" w:cs="宋体"/>
          <w:color w:val="000000"/>
          <w:kern w:val="0"/>
          <w:sz w:val="24"/>
          <w:szCs w:val="24"/>
          <w:u w:val="single" w:color="auto"/>
          <w:lang w:val="en-US" w:eastAsia="zh-CN"/>
        </w:rPr>
        <w:t xml:space="preserve">            </w:t>
      </w:r>
      <w:r>
        <w:rPr>
          <w:rFonts w:hint="eastAsia" w:ascii="宋体" w:hAnsi="宋体" w:cs="宋体"/>
          <w:color w:val="000000"/>
          <w:kern w:val="0"/>
          <w:sz w:val="24"/>
          <w:szCs w:val="24"/>
          <w:u w:val="single" w:color="auto"/>
          <w:lang w:val="en-US"/>
        </w:rPr>
        <w:t xml:space="preserve">  </w:t>
      </w:r>
      <w:r>
        <w:rPr>
          <w:rFonts w:hint="eastAsia" w:ascii="宋体" w:hAnsi="宋体" w:cs="宋体"/>
          <w:color w:val="000000"/>
          <w:kern w:val="0"/>
          <w:sz w:val="24"/>
          <w:szCs w:val="24"/>
          <w:lang w:val="en-US"/>
        </w:rPr>
        <w:t>（ 采购人名称 ）：</w:t>
      </w:r>
    </w:p>
    <w:p w14:paraId="291E68C4">
      <w:pPr>
        <w:keepNext w:val="0"/>
        <w:keepLines w:val="0"/>
        <w:pageBreakBefore w:val="0"/>
        <w:widowControl/>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cs="宋体" w:eastAsiaTheme="minorEastAsia"/>
          <w:color w:val="000000"/>
          <w:kern w:val="0"/>
          <w:sz w:val="24"/>
          <w:szCs w:val="24"/>
          <w:lang w:eastAsia="zh-CN"/>
        </w:rPr>
      </w:pPr>
      <w:r>
        <w:rPr>
          <w:rFonts w:hint="eastAsia" w:ascii="宋体" w:hAnsi="宋体" w:cs="宋体"/>
          <w:color w:val="000000"/>
          <w:kern w:val="0"/>
          <w:sz w:val="24"/>
          <w:szCs w:val="24"/>
          <w:lang w:val="en-US" w:eastAsia="zh-CN"/>
        </w:rPr>
        <w:t>1、</w:t>
      </w:r>
      <w:r>
        <w:rPr>
          <w:rFonts w:hint="eastAsia" w:ascii="宋体" w:hAnsi="宋体" w:cs="宋体"/>
          <w:color w:val="000000"/>
          <w:kern w:val="0"/>
          <w:sz w:val="24"/>
          <w:szCs w:val="24"/>
        </w:rPr>
        <w:t>根据你方</w:t>
      </w:r>
      <w:r>
        <w:rPr>
          <w:rFonts w:hint="eastAsia" w:ascii="宋体" w:hAnsi="宋体" w:cs="宋体"/>
          <w:color w:val="000000"/>
          <w:kern w:val="0"/>
          <w:sz w:val="24"/>
          <w:szCs w:val="24"/>
          <w:lang w:val="en-US" w:eastAsia="zh-CN"/>
        </w:rPr>
        <w:t>采购</w:t>
      </w:r>
      <w:r>
        <w:rPr>
          <w:rFonts w:hint="eastAsia" w:ascii="宋体" w:hAnsi="宋体" w:cs="宋体"/>
          <w:color w:val="000000"/>
          <w:kern w:val="0"/>
          <w:sz w:val="24"/>
          <w:szCs w:val="24"/>
        </w:rPr>
        <w:t xml:space="preserve">项目编号为 </w:t>
      </w:r>
      <w:r>
        <w:rPr>
          <w:rFonts w:hint="eastAsia" w:ascii="宋体" w:hAnsi="宋体" w:cs="宋体"/>
          <w:color w:val="000000"/>
          <w:kern w:val="0"/>
          <w:sz w:val="24"/>
          <w:szCs w:val="24"/>
          <w:u w:val="single"/>
        </w:rPr>
        <w:t xml:space="preserve"> （项目编号）</w:t>
      </w:r>
      <w:r>
        <w:rPr>
          <w:rFonts w:hint="eastAsia" w:ascii="宋体" w:hAnsi="宋体" w:cs="宋体"/>
          <w:color w:val="000000"/>
          <w:kern w:val="0"/>
          <w:sz w:val="24"/>
          <w:szCs w:val="24"/>
          <w:u w:val="single"/>
          <w:lang w:val="en-US" w:eastAsia="zh-CN"/>
        </w:rPr>
        <w:t xml:space="preserve">   </w:t>
      </w:r>
      <w:r>
        <w:rPr>
          <w:rFonts w:hint="eastAsia" w:ascii="宋体" w:hAnsi="宋体" w:cs="宋体"/>
          <w:color w:val="000000"/>
          <w:kern w:val="0"/>
          <w:sz w:val="24"/>
          <w:szCs w:val="24"/>
          <w:u w:val="single"/>
        </w:rPr>
        <w:t xml:space="preserve"> </w:t>
      </w:r>
      <w:r>
        <w:rPr>
          <w:rFonts w:hint="eastAsia" w:ascii="宋体" w:hAnsi="宋体" w:cs="宋体"/>
          <w:color w:val="000000"/>
          <w:kern w:val="0"/>
          <w:sz w:val="24"/>
          <w:szCs w:val="24"/>
        </w:rPr>
        <w:t>的</w:t>
      </w:r>
      <w:r>
        <w:rPr>
          <w:rFonts w:hint="eastAsia" w:ascii="宋体" w:hAnsi="宋体" w:cs="宋体"/>
          <w:color w:val="000000"/>
          <w:kern w:val="0"/>
          <w:sz w:val="24"/>
          <w:szCs w:val="24"/>
          <w:u w:val="single"/>
        </w:rPr>
        <w:t xml:space="preserve">          （工程项目名称） </w:t>
      </w:r>
      <w:r>
        <w:rPr>
          <w:rFonts w:hint="eastAsia" w:ascii="宋体" w:hAnsi="宋体" w:cs="宋体"/>
          <w:color w:val="000000"/>
          <w:kern w:val="0"/>
          <w:sz w:val="24"/>
          <w:szCs w:val="24"/>
        </w:rPr>
        <w:t>工程的竞争性磋商文件，我方愿以人民币（小写）：</w:t>
      </w:r>
      <w:r>
        <w:rPr>
          <w:rFonts w:hint="eastAsia" w:ascii="宋体" w:hAnsi="宋体" w:cs="宋体"/>
          <w:color w:val="000000"/>
          <w:kern w:val="0"/>
          <w:sz w:val="24"/>
          <w:szCs w:val="24"/>
          <w:u w:val="single"/>
          <w:lang w:val="en-US" w:eastAsia="zh-CN"/>
        </w:rPr>
        <w:t xml:space="preserve">       </w:t>
      </w:r>
      <w:r>
        <w:rPr>
          <w:rFonts w:hint="eastAsia" w:ascii="宋体" w:hAnsi="宋体" w:cs="宋体"/>
          <w:color w:val="000000"/>
          <w:kern w:val="0"/>
          <w:sz w:val="24"/>
          <w:szCs w:val="24"/>
        </w:rPr>
        <w:t>元(大写)：</w:t>
      </w:r>
      <w:r>
        <w:rPr>
          <w:rFonts w:hint="eastAsia" w:ascii="宋体" w:hAnsi="宋体" w:cs="宋体"/>
          <w:color w:val="000000"/>
          <w:kern w:val="0"/>
          <w:sz w:val="24"/>
          <w:szCs w:val="24"/>
          <w:u w:val="single"/>
          <w:lang w:val="en-US" w:eastAsia="zh-CN"/>
        </w:rPr>
        <w:t xml:space="preserve">       </w:t>
      </w:r>
      <w:r>
        <w:rPr>
          <w:rFonts w:hint="eastAsia" w:ascii="宋体" w:hAnsi="宋体" w:cs="宋体"/>
          <w:color w:val="000000"/>
          <w:kern w:val="0"/>
          <w:sz w:val="24"/>
          <w:szCs w:val="24"/>
        </w:rPr>
        <w:t>的磋商报价，</w:t>
      </w:r>
      <w:r>
        <w:rPr>
          <w:rFonts w:hint="eastAsia" w:ascii="宋体" w:hAnsi="宋体" w:cs="宋体"/>
          <w:color w:val="000000"/>
          <w:kern w:val="0"/>
          <w:sz w:val="24"/>
          <w:szCs w:val="24"/>
          <w:lang w:val="en-US" w:eastAsia="zh-CN"/>
        </w:rPr>
        <w:t>计划</w:t>
      </w:r>
      <w:r>
        <w:rPr>
          <w:rFonts w:hint="eastAsia" w:ascii="宋体" w:hAnsi="宋体" w:cs="宋体"/>
          <w:color w:val="000000"/>
          <w:kern w:val="0"/>
          <w:sz w:val="24"/>
          <w:szCs w:val="24"/>
        </w:rPr>
        <w:t>工期</w:t>
      </w:r>
      <w:r>
        <w:rPr>
          <w:rFonts w:hint="eastAsia" w:ascii="宋体" w:hAnsi="宋体" w:cs="宋体"/>
          <w:color w:val="000000"/>
          <w:kern w:val="0"/>
          <w:sz w:val="24"/>
          <w:szCs w:val="24"/>
          <w:u w:val="single"/>
          <w:lang w:val="en-US" w:eastAsia="zh-CN"/>
        </w:rPr>
        <w:t xml:space="preserve">           </w:t>
      </w:r>
      <w:r>
        <w:rPr>
          <w:rFonts w:hint="eastAsia" w:ascii="宋体" w:hAnsi="宋体" w:cs="宋体"/>
          <w:color w:val="000000"/>
          <w:kern w:val="0"/>
          <w:sz w:val="24"/>
          <w:szCs w:val="24"/>
        </w:rPr>
        <w:t>，按合同约定实施和完成</w:t>
      </w:r>
      <w:r>
        <w:rPr>
          <w:rFonts w:hint="eastAsia" w:ascii="宋体" w:hAnsi="宋体" w:cs="宋体"/>
          <w:color w:val="000000"/>
          <w:kern w:val="0"/>
          <w:sz w:val="24"/>
          <w:szCs w:val="24"/>
          <w:lang w:val="en-US" w:eastAsia="zh-CN"/>
        </w:rPr>
        <w:t>本项</w:t>
      </w:r>
      <w:r>
        <w:rPr>
          <w:rFonts w:hint="eastAsia" w:ascii="宋体" w:hAnsi="宋体" w:cs="宋体"/>
          <w:color w:val="000000"/>
          <w:kern w:val="0"/>
          <w:sz w:val="24"/>
          <w:szCs w:val="24"/>
        </w:rPr>
        <w:t>工程，修补工程中的任何缺陷，工程质量达到：</w:t>
      </w:r>
      <w:r>
        <w:rPr>
          <w:rFonts w:hint="eastAsia" w:ascii="宋体" w:hAnsi="宋体" w:cs="宋体"/>
          <w:color w:val="000000"/>
          <w:kern w:val="0"/>
          <w:sz w:val="24"/>
          <w:szCs w:val="24"/>
          <w:u w:val="single"/>
        </w:rPr>
        <w:t xml:space="preserve">              </w:t>
      </w:r>
      <w:r>
        <w:rPr>
          <w:rFonts w:hint="eastAsia" w:ascii="宋体" w:hAnsi="宋体" w:cs="宋体"/>
          <w:color w:val="000000"/>
          <w:kern w:val="0"/>
          <w:sz w:val="24"/>
          <w:szCs w:val="24"/>
          <w:u w:val="none"/>
          <w:lang w:eastAsia="zh-CN"/>
        </w:rPr>
        <w:t>。</w:t>
      </w:r>
    </w:p>
    <w:p w14:paraId="1262A403">
      <w:pPr>
        <w:keepNext w:val="0"/>
        <w:keepLines w:val="0"/>
        <w:pageBreakBefore w:val="0"/>
        <w:widowControl/>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rPr>
        <w:t>1、我方已详细审核全部竞争性磋商文件，包括修改文件（如有）及有关附件，已充分理解并掌握了本采购项目的全部有关情况，认为竞争性磋商文件符合法律、法规的要求，充分体现了公开、公平、公正和诚实信用原则，我方对竞争性磋商文件没有任何异议。同意接受竞争性磋商文件的全部内容和条件。</w:t>
      </w:r>
    </w:p>
    <w:p w14:paraId="162F2674">
      <w:pPr>
        <w:keepNext w:val="0"/>
        <w:keepLines w:val="0"/>
        <w:pageBreakBefore w:val="0"/>
        <w:widowControl/>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lang w:val="en-US" w:eastAsia="zh-CN"/>
        </w:rPr>
        <w:t>2、</w:t>
      </w:r>
      <w:r>
        <w:rPr>
          <w:rFonts w:hint="eastAsia" w:ascii="宋体" w:hAnsi="宋体" w:cs="宋体"/>
          <w:color w:val="000000"/>
          <w:kern w:val="0"/>
          <w:sz w:val="24"/>
          <w:szCs w:val="24"/>
        </w:rPr>
        <w:t>我方承诺在磋商有效期60日历天（从响应文件递交截止时间起）内不修改、撤销响应文件。</w:t>
      </w:r>
    </w:p>
    <w:p w14:paraId="30FFF9BD">
      <w:pPr>
        <w:keepNext w:val="0"/>
        <w:keepLines w:val="0"/>
        <w:pageBreakBefore w:val="0"/>
        <w:widowControl/>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lang w:val="en-US" w:eastAsia="zh-CN"/>
        </w:rPr>
        <w:t>3</w:t>
      </w:r>
      <w:r>
        <w:rPr>
          <w:rFonts w:hint="eastAsia" w:ascii="宋体" w:hAnsi="宋体" w:cs="宋体"/>
          <w:color w:val="000000"/>
          <w:kern w:val="0"/>
          <w:sz w:val="24"/>
          <w:szCs w:val="24"/>
        </w:rPr>
        <w:t>、我方承诺已经具备《中华人民共和国政府采购法》中规定的参加政府采购活动的</w:t>
      </w:r>
      <w:r>
        <w:rPr>
          <w:rFonts w:hint="eastAsia" w:ascii="宋体" w:hAnsi="宋体" w:cs="宋体"/>
          <w:color w:val="000000"/>
          <w:kern w:val="0"/>
          <w:sz w:val="24"/>
          <w:szCs w:val="24"/>
          <w:lang w:eastAsia="zh-CN"/>
        </w:rPr>
        <w:t>供应商</w:t>
      </w:r>
      <w:r>
        <w:rPr>
          <w:rFonts w:hint="eastAsia" w:ascii="宋体" w:hAnsi="宋体" w:cs="宋体"/>
          <w:color w:val="000000"/>
          <w:kern w:val="0"/>
          <w:sz w:val="24"/>
          <w:szCs w:val="24"/>
        </w:rPr>
        <w:t>应当具备的条件。</w:t>
      </w:r>
    </w:p>
    <w:p w14:paraId="5B8C9E39">
      <w:pPr>
        <w:keepNext w:val="0"/>
        <w:keepLines w:val="0"/>
        <w:pageBreakBefore w:val="0"/>
        <w:widowControl/>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lang w:val="en-US" w:eastAsia="zh-CN"/>
        </w:rPr>
        <w:t>4</w:t>
      </w:r>
      <w:r>
        <w:rPr>
          <w:rFonts w:hint="eastAsia" w:ascii="宋体" w:hAnsi="宋体" w:cs="宋体"/>
          <w:color w:val="000000"/>
          <w:kern w:val="0"/>
          <w:sz w:val="24"/>
          <w:szCs w:val="24"/>
        </w:rPr>
        <w:t>、如我方成交，我方承诺在收到成交通知书后，在成交通知书规定的期限内，根据竞争性磋商文件、我方的响应文件及有关澄清承诺书的要求，与采购人订立书面合同，并按照合同约定承担完成合同的责任和义务。</w:t>
      </w:r>
    </w:p>
    <w:p w14:paraId="2F4FCADB">
      <w:pPr>
        <w:keepNext w:val="0"/>
        <w:keepLines w:val="0"/>
        <w:pageBreakBefore w:val="0"/>
        <w:widowControl/>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lang w:val="en-US" w:eastAsia="zh-CN"/>
        </w:rPr>
        <w:t>5</w:t>
      </w:r>
      <w:r>
        <w:rPr>
          <w:rFonts w:hint="eastAsia" w:ascii="宋体" w:hAnsi="宋体" w:cs="宋体"/>
          <w:color w:val="000000"/>
          <w:kern w:val="0"/>
          <w:sz w:val="24"/>
          <w:szCs w:val="24"/>
        </w:rPr>
        <w:t>、我方同意自本项目竞争性磋商文件中规定的磋商有效期内有效，并承诺在磋商有效期内不修改、撤销响应文件。</w:t>
      </w:r>
    </w:p>
    <w:p w14:paraId="00C3A189">
      <w:pPr>
        <w:keepNext w:val="0"/>
        <w:keepLines w:val="0"/>
        <w:pageBreakBefore w:val="0"/>
        <w:widowControl/>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cs="宋体"/>
          <w:color w:val="000000"/>
          <w:kern w:val="0"/>
          <w:sz w:val="24"/>
          <w:szCs w:val="24"/>
        </w:rPr>
      </w:pPr>
      <w:r>
        <w:rPr>
          <w:rFonts w:hint="eastAsia" w:ascii="宋体" w:hAnsi="宋体" w:cs="宋体"/>
          <w:color w:val="000000"/>
          <w:kern w:val="0"/>
          <w:sz w:val="24"/>
          <w:szCs w:val="24"/>
          <w:lang w:val="en-US" w:eastAsia="zh-CN"/>
        </w:rPr>
        <w:t>6</w:t>
      </w:r>
      <w:r>
        <w:rPr>
          <w:rFonts w:hint="eastAsia" w:ascii="宋体" w:hAnsi="宋体" w:cs="宋体"/>
          <w:color w:val="000000"/>
          <w:kern w:val="0"/>
          <w:sz w:val="24"/>
          <w:szCs w:val="24"/>
        </w:rPr>
        <w:t>、我方在此声明，所递交的响应文件及有关资料内容完整、真实和准确。若有违反，我方愿意承担一切后果。</w:t>
      </w:r>
    </w:p>
    <w:p w14:paraId="06EA15BE">
      <w:pPr>
        <w:keepNext w:val="0"/>
        <w:keepLines w:val="0"/>
        <w:pageBreakBefore w:val="0"/>
        <w:widowControl/>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7、磋商代理服务收费参照豫招协[2023]002号河南省招标投标协会关于印发《河南省招标代理服务收费指导意见》规定的收费标准向成交单位收取。采购代理服务费由成交供应商在领取成交通知书时，以现金或转账的方式一次性向缴纳。</w:t>
      </w:r>
    </w:p>
    <w:p w14:paraId="7CCCB9F1">
      <w:pPr>
        <w:keepNext w:val="0"/>
        <w:keepLines w:val="0"/>
        <w:pageBreakBefore w:val="0"/>
        <w:widowControl/>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u w:val="none"/>
          <w:lang w:val="en-US" w:eastAsia="zh-CN"/>
        </w:rPr>
        <w:t>8、</w:t>
      </w:r>
      <w:r>
        <w:rPr>
          <w:rFonts w:hint="eastAsia" w:ascii="宋体" w:hAnsi="宋体" w:cs="宋体"/>
          <w:color w:val="000000"/>
          <w:kern w:val="0"/>
          <w:sz w:val="24"/>
          <w:szCs w:val="24"/>
          <w:u w:val="single"/>
          <w:lang w:val="en-US" w:eastAsia="zh-CN"/>
        </w:rPr>
        <w:t xml:space="preserve">                              </w:t>
      </w:r>
      <w:r>
        <w:rPr>
          <w:rFonts w:hint="eastAsia" w:ascii="宋体" w:hAnsi="宋体" w:cs="宋体"/>
          <w:color w:val="000000"/>
          <w:kern w:val="0"/>
          <w:sz w:val="24"/>
          <w:szCs w:val="24"/>
          <w:lang w:val="en-US" w:eastAsia="zh-CN"/>
        </w:rPr>
        <w:t>（其他补充说明）。</w:t>
      </w:r>
    </w:p>
    <w:p w14:paraId="376BA90C">
      <w:pPr>
        <w:keepNext w:val="0"/>
        <w:keepLines w:val="0"/>
        <w:pageBreakBefore w:val="0"/>
        <w:widowControl/>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cs="宋体"/>
          <w:color w:val="000000"/>
          <w:kern w:val="0"/>
          <w:sz w:val="24"/>
          <w:szCs w:val="24"/>
          <w:lang w:val="en-US" w:eastAsia="zh-CN"/>
        </w:rPr>
      </w:pPr>
    </w:p>
    <w:p w14:paraId="7C86A9BD">
      <w:pPr>
        <w:tabs>
          <w:tab w:val="left" w:pos="6827"/>
        </w:tabs>
        <w:autoSpaceDE w:val="0"/>
        <w:autoSpaceDN w:val="0"/>
        <w:spacing w:before="43" w:line="360" w:lineRule="auto"/>
        <w:ind w:firstLine="484" w:firstLineChars="202"/>
        <w:jc w:val="left"/>
        <w:rPr>
          <w:rFonts w:ascii="宋体" w:hAnsi="宋体" w:eastAsia="宋体" w:cs="宋体"/>
          <w:kern w:val="0"/>
          <w:sz w:val="24"/>
          <w:szCs w:val="28"/>
          <w:u w:val="single"/>
        </w:rPr>
      </w:pPr>
      <w:r>
        <w:rPr>
          <w:rFonts w:hint="eastAsia" w:ascii="宋体" w:hAnsi="宋体" w:eastAsia="宋体" w:cs="宋体"/>
          <w:kern w:val="0"/>
          <w:sz w:val="24"/>
          <w:szCs w:val="28"/>
        </w:rPr>
        <w:t>地 址：</w:t>
      </w:r>
      <w:r>
        <w:rPr>
          <w:rFonts w:hint="eastAsia" w:ascii="宋体" w:hAnsi="宋体" w:eastAsia="宋体" w:cs="宋体"/>
          <w:kern w:val="0"/>
          <w:sz w:val="24"/>
          <w:szCs w:val="28"/>
          <w:u w:val="single"/>
        </w:rPr>
        <w:t xml:space="preserve">                                     </w:t>
      </w:r>
    </w:p>
    <w:p w14:paraId="3CAA85D7">
      <w:pPr>
        <w:tabs>
          <w:tab w:val="left" w:pos="6827"/>
        </w:tabs>
        <w:autoSpaceDE w:val="0"/>
        <w:autoSpaceDN w:val="0"/>
        <w:spacing w:before="43" w:line="360" w:lineRule="auto"/>
        <w:ind w:firstLine="484" w:firstLineChars="202"/>
        <w:jc w:val="left"/>
        <w:rPr>
          <w:rFonts w:ascii="宋体" w:hAnsi="宋体" w:eastAsia="宋体" w:cs="宋体"/>
          <w:kern w:val="0"/>
          <w:sz w:val="24"/>
          <w:szCs w:val="28"/>
          <w:u w:val="single"/>
        </w:rPr>
      </w:pPr>
      <w:r>
        <w:rPr>
          <w:rFonts w:hint="eastAsia" w:ascii="宋体" w:hAnsi="宋体" w:eastAsia="宋体" w:cs="宋体"/>
          <w:kern w:val="0"/>
          <w:sz w:val="24"/>
          <w:szCs w:val="28"/>
        </w:rPr>
        <w:t>邮 编：</w:t>
      </w:r>
      <w:r>
        <w:rPr>
          <w:rFonts w:hint="eastAsia" w:ascii="宋体" w:hAnsi="宋体" w:eastAsia="宋体" w:cs="宋体"/>
          <w:kern w:val="0"/>
          <w:sz w:val="24"/>
          <w:szCs w:val="28"/>
          <w:u w:val="single"/>
        </w:rPr>
        <w:t xml:space="preserve">                                     </w:t>
      </w:r>
    </w:p>
    <w:p w14:paraId="53562A22">
      <w:pPr>
        <w:tabs>
          <w:tab w:val="left" w:pos="6827"/>
        </w:tabs>
        <w:autoSpaceDE w:val="0"/>
        <w:autoSpaceDN w:val="0"/>
        <w:spacing w:before="43" w:line="360" w:lineRule="auto"/>
        <w:ind w:firstLine="484" w:firstLineChars="202"/>
        <w:jc w:val="left"/>
        <w:rPr>
          <w:rFonts w:ascii="宋体" w:hAnsi="宋体" w:eastAsia="宋体" w:cs="宋体"/>
          <w:kern w:val="0"/>
          <w:sz w:val="24"/>
          <w:szCs w:val="28"/>
          <w:u w:val="single"/>
        </w:rPr>
      </w:pPr>
      <w:r>
        <w:rPr>
          <w:rFonts w:hint="eastAsia" w:ascii="宋体" w:hAnsi="宋体" w:eastAsia="宋体" w:cs="宋体"/>
          <w:kern w:val="0"/>
          <w:sz w:val="24"/>
          <w:szCs w:val="28"/>
        </w:rPr>
        <w:t>电 话：</w:t>
      </w:r>
      <w:r>
        <w:rPr>
          <w:rFonts w:hint="eastAsia" w:ascii="宋体" w:hAnsi="宋体" w:eastAsia="宋体" w:cs="宋体"/>
          <w:kern w:val="0"/>
          <w:sz w:val="24"/>
          <w:szCs w:val="28"/>
          <w:u w:val="single"/>
        </w:rPr>
        <w:t xml:space="preserve">                                     </w:t>
      </w:r>
    </w:p>
    <w:p w14:paraId="05477D2D">
      <w:pPr>
        <w:tabs>
          <w:tab w:val="left" w:pos="6827"/>
        </w:tabs>
        <w:autoSpaceDE w:val="0"/>
        <w:autoSpaceDN w:val="0"/>
        <w:spacing w:before="43" w:line="360" w:lineRule="auto"/>
        <w:ind w:firstLine="484" w:firstLineChars="202"/>
        <w:jc w:val="left"/>
        <w:rPr>
          <w:rFonts w:ascii="宋体" w:hAnsi="宋体" w:eastAsia="宋体" w:cs="宋体"/>
          <w:kern w:val="0"/>
          <w:sz w:val="24"/>
          <w:szCs w:val="28"/>
          <w:u w:val="single"/>
        </w:rPr>
      </w:pPr>
      <w:r>
        <w:rPr>
          <w:rFonts w:hint="eastAsia" w:ascii="宋体" w:hAnsi="宋体" w:eastAsia="宋体" w:cs="宋体"/>
          <w:kern w:val="0"/>
          <w:sz w:val="24"/>
          <w:szCs w:val="28"/>
        </w:rPr>
        <w:t>传 真：</w:t>
      </w:r>
      <w:r>
        <w:rPr>
          <w:rFonts w:hint="eastAsia" w:ascii="宋体" w:hAnsi="宋体" w:eastAsia="宋体" w:cs="宋体"/>
          <w:kern w:val="0"/>
          <w:sz w:val="24"/>
          <w:szCs w:val="28"/>
          <w:u w:val="single"/>
        </w:rPr>
        <w:t xml:space="preserve">                                     </w:t>
      </w:r>
    </w:p>
    <w:p w14:paraId="169C2A23">
      <w:pPr>
        <w:tabs>
          <w:tab w:val="left" w:pos="6827"/>
        </w:tabs>
        <w:autoSpaceDE w:val="0"/>
        <w:autoSpaceDN w:val="0"/>
        <w:spacing w:before="43" w:line="360" w:lineRule="auto"/>
        <w:ind w:firstLine="484" w:firstLineChars="202"/>
        <w:jc w:val="left"/>
        <w:rPr>
          <w:rFonts w:ascii="宋体" w:hAnsi="宋体" w:eastAsia="宋体" w:cs="宋体"/>
          <w:kern w:val="0"/>
          <w:sz w:val="24"/>
          <w:szCs w:val="28"/>
        </w:rPr>
      </w:pPr>
      <w:r>
        <w:rPr>
          <w:rFonts w:hint="eastAsia" w:ascii="宋体" w:hAnsi="宋体" w:eastAsia="宋体" w:cs="宋体"/>
          <w:kern w:val="0"/>
          <w:sz w:val="24"/>
          <w:szCs w:val="28"/>
          <w:lang w:eastAsia="zh-CN"/>
        </w:rPr>
        <w:t>供应商</w:t>
      </w:r>
      <w:r>
        <w:rPr>
          <w:rFonts w:hint="eastAsia" w:ascii="宋体" w:hAnsi="宋体" w:eastAsia="宋体" w:cs="宋体"/>
          <w:kern w:val="0"/>
          <w:sz w:val="24"/>
          <w:szCs w:val="28"/>
        </w:rPr>
        <w:t>（</w:t>
      </w:r>
      <w:r>
        <w:rPr>
          <w:rFonts w:hint="eastAsia" w:ascii="宋体" w:hAnsi="宋体" w:eastAsia="宋体" w:cs="宋体"/>
          <w:kern w:val="0"/>
          <w:sz w:val="24"/>
          <w:szCs w:val="28"/>
          <w:lang w:val="en-US" w:eastAsia="zh-CN"/>
        </w:rPr>
        <w:t>企业</w:t>
      </w:r>
      <w:r>
        <w:rPr>
          <w:rFonts w:hint="eastAsia" w:ascii="宋体" w:hAnsi="宋体" w:eastAsia="宋体" w:cs="宋体"/>
          <w:kern w:val="0"/>
          <w:sz w:val="24"/>
          <w:szCs w:val="28"/>
        </w:rPr>
        <w:t>电子签章）：</w:t>
      </w:r>
      <w:r>
        <w:rPr>
          <w:rFonts w:hint="eastAsia" w:ascii="宋体" w:hAnsi="宋体" w:eastAsia="宋体" w:cs="宋体"/>
          <w:kern w:val="0"/>
          <w:sz w:val="24"/>
          <w:szCs w:val="28"/>
          <w:u w:val="single"/>
        </w:rPr>
        <w:t xml:space="preserve">                          </w:t>
      </w:r>
    </w:p>
    <w:p w14:paraId="10A986DF">
      <w:pPr>
        <w:tabs>
          <w:tab w:val="left" w:pos="6827"/>
        </w:tabs>
        <w:autoSpaceDE w:val="0"/>
        <w:autoSpaceDN w:val="0"/>
        <w:spacing w:before="43" w:line="360" w:lineRule="auto"/>
        <w:ind w:firstLine="484" w:firstLineChars="202"/>
        <w:jc w:val="left"/>
        <w:rPr>
          <w:rFonts w:ascii="宋体" w:hAnsi="宋体" w:eastAsia="宋体" w:cs="宋体"/>
          <w:kern w:val="0"/>
          <w:sz w:val="24"/>
          <w:szCs w:val="28"/>
          <w:u w:val="single"/>
        </w:rPr>
      </w:pPr>
      <w:r>
        <w:rPr>
          <w:rFonts w:hint="eastAsia" w:ascii="宋体" w:hAnsi="宋体" w:eastAsia="宋体" w:cs="宋体"/>
          <w:kern w:val="0"/>
          <w:sz w:val="24"/>
          <w:szCs w:val="28"/>
        </w:rPr>
        <w:t>法定代表人（电子签章）：</w:t>
      </w:r>
      <w:r>
        <w:rPr>
          <w:rFonts w:hint="eastAsia" w:ascii="宋体" w:hAnsi="宋体" w:eastAsia="宋体" w:cs="宋体"/>
          <w:kern w:val="0"/>
          <w:sz w:val="24"/>
          <w:szCs w:val="28"/>
          <w:u w:val="single"/>
        </w:rPr>
        <w:t xml:space="preserve">                          </w:t>
      </w:r>
    </w:p>
    <w:p w14:paraId="53F638E1">
      <w:pPr>
        <w:tabs>
          <w:tab w:val="left" w:pos="6827"/>
        </w:tabs>
        <w:autoSpaceDE w:val="0"/>
        <w:autoSpaceDN w:val="0"/>
        <w:spacing w:before="43" w:line="360" w:lineRule="auto"/>
        <w:ind w:firstLine="484" w:firstLineChars="202"/>
        <w:jc w:val="left"/>
        <w:rPr>
          <w:rFonts w:ascii="宋体" w:hAnsi="宋体" w:eastAsia="宋体" w:cs="宋体"/>
          <w:kern w:val="0"/>
          <w:sz w:val="24"/>
          <w:szCs w:val="28"/>
          <w:u w:val="single"/>
        </w:rPr>
      </w:pPr>
      <w:r>
        <w:rPr>
          <w:rFonts w:hint="eastAsia" w:ascii="宋体" w:hAnsi="宋体" w:eastAsia="宋体" w:cs="宋体"/>
          <w:kern w:val="0"/>
          <w:sz w:val="24"/>
          <w:szCs w:val="28"/>
        </w:rPr>
        <w:t>日 期：</w:t>
      </w:r>
      <w:r>
        <w:rPr>
          <w:rFonts w:hint="eastAsia" w:ascii="宋体" w:hAnsi="宋体" w:eastAsia="宋体" w:cs="宋体"/>
          <w:kern w:val="0"/>
          <w:sz w:val="24"/>
          <w:szCs w:val="28"/>
          <w:u w:val="single"/>
        </w:rPr>
        <w:t xml:space="preserve">                                        </w:t>
      </w:r>
    </w:p>
    <w:p w14:paraId="4BEAE9CD">
      <w:pPr>
        <w:widowControl/>
        <w:wordWrap/>
        <w:adjustRightInd w:val="0"/>
        <w:snapToGrid w:val="0"/>
        <w:spacing w:after="0" w:afterLines="0" w:line="480" w:lineRule="exact"/>
        <w:ind w:firstLine="480" w:firstLineChars="200"/>
        <w:jc w:val="both"/>
        <w:textAlignment w:val="auto"/>
        <w:outlineLvl w:val="0"/>
        <w:rPr>
          <w:rFonts w:hint="eastAsia" w:ascii="宋体" w:hAnsi="宋体" w:eastAsia="宋体"/>
          <w:color w:val="auto"/>
          <w:sz w:val="24"/>
          <w:szCs w:val="24"/>
          <w:highlight w:val="none"/>
        </w:rPr>
      </w:pPr>
    </w:p>
    <w:p w14:paraId="4ADBB6B4">
      <w:pPr>
        <w:spacing w:after="0" w:afterLines="0" w:line="480" w:lineRule="exact"/>
        <w:jc w:val="left"/>
        <w:outlineLvl w:val="0"/>
        <w:rPr>
          <w:rFonts w:hint="eastAsia" w:ascii="宋体" w:hAnsi="宋体" w:eastAsia="宋体"/>
          <w:color w:val="auto"/>
          <w:sz w:val="28"/>
          <w:szCs w:val="28"/>
          <w:highlight w:val="none"/>
        </w:rPr>
      </w:pPr>
    </w:p>
    <w:p w14:paraId="3ECF57C3">
      <w:pPr>
        <w:spacing w:after="0" w:afterLines="0" w:line="480" w:lineRule="exact"/>
        <w:jc w:val="left"/>
        <w:outlineLvl w:val="0"/>
        <w:rPr>
          <w:rFonts w:hint="eastAsia" w:ascii="宋体" w:hAnsi="宋体" w:eastAsia="宋体"/>
          <w:color w:val="auto"/>
          <w:sz w:val="28"/>
          <w:szCs w:val="28"/>
          <w:highlight w:val="none"/>
        </w:rPr>
      </w:pPr>
    </w:p>
    <w:p w14:paraId="6EC2F720">
      <w:pPr>
        <w:spacing w:after="0" w:afterLines="0" w:line="480" w:lineRule="exact"/>
        <w:jc w:val="left"/>
        <w:outlineLvl w:val="0"/>
        <w:rPr>
          <w:rFonts w:hint="eastAsia" w:ascii="宋体" w:hAnsi="宋体" w:eastAsia="宋体"/>
          <w:color w:val="auto"/>
          <w:sz w:val="28"/>
          <w:szCs w:val="28"/>
          <w:highlight w:val="none"/>
          <w:lang w:val="en-US" w:eastAsia="zh-CN"/>
        </w:rPr>
      </w:pPr>
      <w:bookmarkStart w:id="745" w:name="_Toc11354"/>
      <w:bookmarkStart w:id="746" w:name="_Toc14173"/>
      <w:bookmarkStart w:id="747" w:name="_Toc10271"/>
    </w:p>
    <w:p w14:paraId="45EF0967">
      <w:pPr>
        <w:spacing w:after="0" w:afterLines="0" w:line="480" w:lineRule="exact"/>
        <w:jc w:val="left"/>
        <w:outlineLvl w:val="0"/>
        <w:rPr>
          <w:rFonts w:hint="eastAsia" w:ascii="宋体" w:hAnsi="宋体" w:eastAsia="宋体"/>
          <w:color w:val="auto"/>
          <w:sz w:val="28"/>
          <w:szCs w:val="28"/>
          <w:highlight w:val="none"/>
          <w:lang w:val="en-US" w:eastAsia="zh-CN"/>
        </w:rPr>
      </w:pPr>
    </w:p>
    <w:p w14:paraId="5304FE32">
      <w:pPr>
        <w:spacing w:after="0" w:afterLines="0" w:line="480" w:lineRule="exact"/>
        <w:jc w:val="left"/>
        <w:outlineLvl w:val="0"/>
        <w:rPr>
          <w:rFonts w:hint="eastAsia" w:ascii="宋体" w:hAnsi="宋体" w:eastAsia="宋体"/>
          <w:color w:val="auto"/>
          <w:sz w:val="28"/>
          <w:szCs w:val="28"/>
          <w:highlight w:val="none"/>
          <w:lang w:val="en-US" w:eastAsia="zh-CN"/>
        </w:rPr>
      </w:pPr>
    </w:p>
    <w:p w14:paraId="06F2DEAD">
      <w:pPr>
        <w:spacing w:after="0" w:afterLines="0" w:line="480" w:lineRule="exact"/>
        <w:jc w:val="left"/>
        <w:outlineLvl w:val="0"/>
        <w:rPr>
          <w:rFonts w:hint="eastAsia" w:ascii="宋体" w:hAnsi="宋体" w:eastAsia="宋体"/>
          <w:color w:val="auto"/>
          <w:sz w:val="28"/>
          <w:szCs w:val="28"/>
          <w:highlight w:val="none"/>
          <w:lang w:val="en-US" w:eastAsia="zh-CN"/>
        </w:rPr>
      </w:pPr>
    </w:p>
    <w:p w14:paraId="70BD3572">
      <w:pPr>
        <w:spacing w:after="0" w:afterLines="0" w:line="480" w:lineRule="exact"/>
        <w:jc w:val="left"/>
        <w:outlineLvl w:val="0"/>
        <w:rPr>
          <w:rFonts w:hint="eastAsia" w:ascii="宋体" w:hAnsi="宋体" w:eastAsia="宋体"/>
          <w:color w:val="auto"/>
          <w:sz w:val="28"/>
          <w:szCs w:val="28"/>
          <w:highlight w:val="none"/>
          <w:lang w:val="en-US" w:eastAsia="zh-CN"/>
        </w:rPr>
      </w:pPr>
    </w:p>
    <w:p w14:paraId="081578BD">
      <w:pPr>
        <w:spacing w:after="0" w:afterLines="0" w:line="480" w:lineRule="exact"/>
        <w:jc w:val="left"/>
        <w:outlineLvl w:val="0"/>
        <w:rPr>
          <w:rFonts w:hint="eastAsia" w:ascii="宋体" w:hAnsi="宋体" w:eastAsia="宋体"/>
          <w:color w:val="auto"/>
          <w:sz w:val="28"/>
          <w:szCs w:val="28"/>
          <w:highlight w:val="none"/>
          <w:lang w:val="en-US" w:eastAsia="zh-CN"/>
        </w:rPr>
      </w:pPr>
    </w:p>
    <w:p w14:paraId="546499D7">
      <w:pPr>
        <w:spacing w:after="0" w:afterLines="0" w:line="480" w:lineRule="exact"/>
        <w:jc w:val="left"/>
        <w:outlineLvl w:val="0"/>
        <w:rPr>
          <w:rFonts w:hint="eastAsia" w:ascii="宋体" w:hAnsi="宋体" w:eastAsia="宋体"/>
          <w:color w:val="auto"/>
          <w:sz w:val="28"/>
          <w:szCs w:val="28"/>
          <w:highlight w:val="none"/>
          <w:lang w:val="en-US" w:eastAsia="zh-CN"/>
        </w:rPr>
      </w:pPr>
    </w:p>
    <w:p w14:paraId="71D28DFC">
      <w:pPr>
        <w:spacing w:after="0" w:afterLines="0" w:line="480" w:lineRule="exact"/>
        <w:jc w:val="left"/>
        <w:outlineLvl w:val="0"/>
        <w:rPr>
          <w:rFonts w:hint="eastAsia" w:ascii="宋体" w:hAnsi="宋体" w:eastAsia="宋体"/>
          <w:color w:val="auto"/>
          <w:sz w:val="28"/>
          <w:szCs w:val="28"/>
          <w:highlight w:val="none"/>
          <w:lang w:val="en-US" w:eastAsia="zh-CN"/>
        </w:rPr>
      </w:pPr>
    </w:p>
    <w:p w14:paraId="2487D95E">
      <w:pPr>
        <w:spacing w:after="0" w:afterLines="0" w:line="480" w:lineRule="exact"/>
        <w:jc w:val="left"/>
        <w:outlineLvl w:val="0"/>
        <w:rPr>
          <w:rFonts w:hint="eastAsia" w:ascii="宋体" w:hAnsi="宋体" w:eastAsia="宋体"/>
          <w:color w:val="auto"/>
          <w:sz w:val="28"/>
          <w:szCs w:val="28"/>
          <w:highlight w:val="none"/>
          <w:lang w:val="en-US" w:eastAsia="zh-CN"/>
        </w:rPr>
      </w:pPr>
    </w:p>
    <w:p w14:paraId="7CE8DE75">
      <w:pPr>
        <w:spacing w:after="0" w:afterLines="0" w:line="480" w:lineRule="exact"/>
        <w:jc w:val="left"/>
        <w:outlineLvl w:val="0"/>
        <w:rPr>
          <w:rFonts w:hint="eastAsia" w:ascii="宋体" w:hAnsi="宋体" w:eastAsia="宋体"/>
          <w:color w:val="auto"/>
          <w:sz w:val="28"/>
          <w:szCs w:val="28"/>
          <w:highlight w:val="none"/>
          <w:lang w:val="en-US" w:eastAsia="zh-CN"/>
        </w:rPr>
      </w:pPr>
    </w:p>
    <w:p w14:paraId="1B0ACEF6">
      <w:pPr>
        <w:spacing w:after="0" w:afterLines="0" w:line="480" w:lineRule="exact"/>
        <w:jc w:val="left"/>
        <w:outlineLvl w:val="0"/>
        <w:rPr>
          <w:rFonts w:hint="eastAsia" w:ascii="宋体" w:hAnsi="宋体" w:eastAsia="宋体"/>
          <w:color w:val="auto"/>
          <w:sz w:val="28"/>
          <w:szCs w:val="28"/>
          <w:highlight w:val="none"/>
          <w:lang w:val="en-US" w:eastAsia="zh-CN"/>
        </w:rPr>
      </w:pPr>
    </w:p>
    <w:bookmarkEnd w:id="745"/>
    <w:p w14:paraId="558B4AF5">
      <w:pPr>
        <w:spacing w:after="0" w:afterLines="0" w:line="480" w:lineRule="exact"/>
        <w:ind w:firstLine="3373" w:firstLineChars="1400"/>
        <w:jc w:val="left"/>
        <w:outlineLvl w:val="0"/>
        <w:rPr>
          <w:rFonts w:hint="eastAsia" w:ascii="宋体" w:hAnsi="宋体" w:cs="宋体"/>
          <w:b/>
          <w:bCs/>
          <w:color w:val="000000"/>
          <w:kern w:val="0"/>
          <w:sz w:val="24"/>
          <w:szCs w:val="24"/>
          <w:lang w:val="en-US" w:eastAsia="zh-CN"/>
        </w:rPr>
      </w:pPr>
      <w:r>
        <w:rPr>
          <w:rFonts w:hint="eastAsia" w:ascii="宋体" w:hAnsi="宋体" w:cs="宋体"/>
          <w:b/>
          <w:bCs/>
          <w:color w:val="000000"/>
          <w:kern w:val="0"/>
          <w:sz w:val="24"/>
          <w:szCs w:val="24"/>
          <w:lang w:val="en-US" w:eastAsia="zh-CN"/>
        </w:rPr>
        <w:t>（二）磋商函附录</w:t>
      </w:r>
      <w:bookmarkEnd w:id="746"/>
      <w:bookmarkEnd w:id="747"/>
    </w:p>
    <w:tbl>
      <w:tblPr>
        <w:tblStyle w:val="21"/>
        <w:tblpPr w:leftFromText="180" w:rightFromText="180" w:vertAnchor="text" w:horzAnchor="page" w:tblpX="1725" w:tblpY="48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7"/>
        <w:gridCol w:w="2374"/>
        <w:gridCol w:w="1782"/>
        <w:gridCol w:w="1956"/>
      </w:tblGrid>
      <w:tr w14:paraId="42820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2407" w:type="dxa"/>
            <w:noWrap w:val="0"/>
            <w:vAlign w:val="center"/>
          </w:tcPr>
          <w:p w14:paraId="15DC7ED6">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项目名称</w:t>
            </w:r>
          </w:p>
        </w:tc>
        <w:tc>
          <w:tcPr>
            <w:tcW w:w="6112" w:type="dxa"/>
            <w:gridSpan w:val="3"/>
            <w:noWrap w:val="0"/>
            <w:vAlign w:val="center"/>
          </w:tcPr>
          <w:p w14:paraId="1023E765">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textAlignment w:val="auto"/>
              <w:rPr>
                <w:rFonts w:ascii="宋体" w:hAnsi="宋体" w:eastAsia="宋体" w:cs="宋体"/>
                <w:color w:val="auto"/>
                <w:kern w:val="2"/>
                <w:sz w:val="24"/>
                <w:szCs w:val="24"/>
                <w:highlight w:val="none"/>
              </w:rPr>
            </w:pPr>
          </w:p>
        </w:tc>
      </w:tr>
      <w:tr w14:paraId="477DC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2407" w:type="dxa"/>
            <w:noWrap w:val="0"/>
            <w:vAlign w:val="center"/>
          </w:tcPr>
          <w:p w14:paraId="2A48AFB8">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项目编号</w:t>
            </w:r>
          </w:p>
        </w:tc>
        <w:tc>
          <w:tcPr>
            <w:tcW w:w="6112" w:type="dxa"/>
            <w:gridSpan w:val="3"/>
            <w:noWrap w:val="0"/>
            <w:vAlign w:val="center"/>
          </w:tcPr>
          <w:p w14:paraId="521BF783">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textAlignment w:val="auto"/>
              <w:rPr>
                <w:rFonts w:ascii="宋体" w:hAnsi="宋体" w:eastAsia="宋体" w:cs="宋体"/>
                <w:color w:val="auto"/>
                <w:kern w:val="2"/>
                <w:sz w:val="24"/>
                <w:szCs w:val="24"/>
                <w:highlight w:val="none"/>
              </w:rPr>
            </w:pPr>
          </w:p>
        </w:tc>
      </w:tr>
      <w:tr w14:paraId="7F5AF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2407" w:type="dxa"/>
            <w:noWrap w:val="0"/>
            <w:vAlign w:val="center"/>
          </w:tcPr>
          <w:p w14:paraId="634C03E4">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供应商名称</w:t>
            </w:r>
          </w:p>
        </w:tc>
        <w:tc>
          <w:tcPr>
            <w:tcW w:w="6112" w:type="dxa"/>
            <w:gridSpan w:val="3"/>
            <w:noWrap w:val="0"/>
            <w:vAlign w:val="center"/>
          </w:tcPr>
          <w:p w14:paraId="44F9B531">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textAlignment w:val="auto"/>
              <w:rPr>
                <w:rFonts w:ascii="宋体" w:hAnsi="宋体" w:eastAsia="宋体" w:cs="宋体"/>
                <w:color w:val="auto"/>
                <w:kern w:val="2"/>
                <w:sz w:val="24"/>
                <w:szCs w:val="24"/>
                <w:highlight w:val="none"/>
              </w:rPr>
            </w:pPr>
          </w:p>
        </w:tc>
      </w:tr>
      <w:tr w14:paraId="4C842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2407" w:type="dxa"/>
            <w:noWrap w:val="0"/>
            <w:vAlign w:val="center"/>
          </w:tcPr>
          <w:p w14:paraId="21202B2B">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供应商地址</w:t>
            </w:r>
          </w:p>
        </w:tc>
        <w:tc>
          <w:tcPr>
            <w:tcW w:w="6112" w:type="dxa"/>
            <w:gridSpan w:val="3"/>
            <w:noWrap w:val="0"/>
            <w:vAlign w:val="center"/>
          </w:tcPr>
          <w:p w14:paraId="09FD413C">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textAlignment w:val="auto"/>
              <w:rPr>
                <w:rFonts w:ascii="宋体" w:hAnsi="宋体" w:eastAsia="宋体" w:cs="宋体"/>
                <w:color w:val="auto"/>
                <w:kern w:val="2"/>
                <w:sz w:val="24"/>
                <w:szCs w:val="24"/>
                <w:highlight w:val="none"/>
              </w:rPr>
            </w:pPr>
          </w:p>
        </w:tc>
      </w:tr>
      <w:tr w14:paraId="11CB3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2407" w:type="dxa"/>
            <w:noWrap w:val="0"/>
            <w:vAlign w:val="center"/>
          </w:tcPr>
          <w:p w14:paraId="70CBF64C">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统一信用代码</w:t>
            </w:r>
          </w:p>
        </w:tc>
        <w:tc>
          <w:tcPr>
            <w:tcW w:w="6112" w:type="dxa"/>
            <w:gridSpan w:val="3"/>
            <w:noWrap w:val="0"/>
            <w:vAlign w:val="center"/>
          </w:tcPr>
          <w:p w14:paraId="28153505">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textAlignment w:val="auto"/>
              <w:rPr>
                <w:rFonts w:ascii="宋体" w:hAnsi="宋体" w:eastAsia="宋体" w:cs="宋体"/>
                <w:color w:val="auto"/>
                <w:kern w:val="2"/>
                <w:sz w:val="24"/>
                <w:szCs w:val="24"/>
                <w:highlight w:val="none"/>
              </w:rPr>
            </w:pPr>
          </w:p>
        </w:tc>
      </w:tr>
      <w:tr w14:paraId="2B0C4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trPr>
        <w:tc>
          <w:tcPr>
            <w:tcW w:w="2407" w:type="dxa"/>
            <w:noWrap w:val="0"/>
            <w:vAlign w:val="center"/>
          </w:tcPr>
          <w:p w14:paraId="665FC4C3">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磋商</w:t>
            </w:r>
            <w:r>
              <w:rPr>
                <w:rFonts w:hint="eastAsia" w:ascii="宋体" w:hAnsi="宋体" w:eastAsia="宋体" w:cs="宋体"/>
                <w:color w:val="auto"/>
                <w:kern w:val="2"/>
                <w:sz w:val="24"/>
                <w:szCs w:val="24"/>
                <w:highlight w:val="none"/>
              </w:rPr>
              <w:t>报价</w:t>
            </w:r>
            <w:r>
              <w:rPr>
                <w:rFonts w:hint="eastAsia" w:ascii="宋体" w:hAnsi="宋体" w:eastAsia="宋体" w:cs="宋体"/>
                <w:color w:val="auto"/>
                <w:kern w:val="2"/>
                <w:sz w:val="24"/>
                <w:szCs w:val="24"/>
                <w:highlight w:val="none"/>
                <w:lang w:eastAsia="zh-CN"/>
              </w:rPr>
              <w:t>（元）</w:t>
            </w:r>
          </w:p>
        </w:tc>
        <w:tc>
          <w:tcPr>
            <w:tcW w:w="6112" w:type="dxa"/>
            <w:gridSpan w:val="3"/>
            <w:noWrap w:val="0"/>
            <w:vAlign w:val="center"/>
          </w:tcPr>
          <w:p w14:paraId="7B83A070">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Lines="0" w:afterAutospacing="0" w:line="360" w:lineRule="auto"/>
              <w:ind w:left="0" w:right="0"/>
              <w:textAlignment w:val="auto"/>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大写：</w:t>
            </w:r>
          </w:p>
          <w:p w14:paraId="184BAF31">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Lines="0" w:afterAutospacing="0" w:line="360" w:lineRule="auto"/>
              <w:ind w:left="0" w:right="0"/>
              <w:textAlignment w:val="auto"/>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小写：</w:t>
            </w:r>
          </w:p>
        </w:tc>
      </w:tr>
      <w:tr w14:paraId="2D97C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2407" w:type="dxa"/>
            <w:noWrap w:val="0"/>
            <w:vAlign w:val="center"/>
          </w:tcPr>
          <w:p w14:paraId="6544E7AF">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项目负责人姓名</w:t>
            </w:r>
          </w:p>
        </w:tc>
        <w:tc>
          <w:tcPr>
            <w:tcW w:w="2374" w:type="dxa"/>
            <w:noWrap w:val="0"/>
            <w:vAlign w:val="center"/>
          </w:tcPr>
          <w:p w14:paraId="2369AAAF">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ascii="宋体" w:hAnsi="宋体" w:eastAsia="宋体" w:cs="宋体"/>
                <w:color w:val="auto"/>
                <w:kern w:val="2"/>
                <w:sz w:val="24"/>
                <w:szCs w:val="24"/>
                <w:highlight w:val="none"/>
              </w:rPr>
            </w:pPr>
          </w:p>
        </w:tc>
        <w:tc>
          <w:tcPr>
            <w:tcW w:w="1782" w:type="dxa"/>
            <w:noWrap w:val="0"/>
            <w:vAlign w:val="center"/>
          </w:tcPr>
          <w:p w14:paraId="19A560AE">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联系方式</w:t>
            </w:r>
          </w:p>
        </w:tc>
        <w:tc>
          <w:tcPr>
            <w:tcW w:w="1956" w:type="dxa"/>
            <w:noWrap w:val="0"/>
            <w:vAlign w:val="center"/>
          </w:tcPr>
          <w:p w14:paraId="155E72F9">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ascii="宋体" w:hAnsi="宋体" w:eastAsia="宋体" w:cs="宋体"/>
                <w:color w:val="auto"/>
                <w:kern w:val="2"/>
                <w:sz w:val="24"/>
                <w:szCs w:val="24"/>
                <w:highlight w:val="none"/>
              </w:rPr>
            </w:pPr>
          </w:p>
        </w:tc>
      </w:tr>
      <w:tr w14:paraId="7F90F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2407" w:type="dxa"/>
            <w:noWrap w:val="0"/>
            <w:vAlign w:val="center"/>
          </w:tcPr>
          <w:p w14:paraId="4FB04510">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工期</w:t>
            </w:r>
          </w:p>
        </w:tc>
        <w:tc>
          <w:tcPr>
            <w:tcW w:w="6112" w:type="dxa"/>
            <w:gridSpan w:val="3"/>
            <w:noWrap w:val="0"/>
            <w:vAlign w:val="center"/>
          </w:tcPr>
          <w:p w14:paraId="6C639488">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ascii="宋体" w:hAnsi="宋体" w:eastAsia="宋体" w:cs="宋体"/>
                <w:color w:val="auto"/>
                <w:kern w:val="2"/>
                <w:sz w:val="24"/>
                <w:szCs w:val="24"/>
                <w:highlight w:val="none"/>
              </w:rPr>
            </w:pPr>
          </w:p>
        </w:tc>
      </w:tr>
      <w:tr w14:paraId="23E4A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2407" w:type="dxa"/>
            <w:noWrap w:val="0"/>
            <w:vAlign w:val="center"/>
          </w:tcPr>
          <w:p w14:paraId="6DB60093">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ascii="宋体" w:hAnsi="宋体" w:eastAsia="宋体" w:cs="宋体"/>
                <w:color w:val="auto"/>
                <w:kern w:val="2"/>
                <w:sz w:val="24"/>
                <w:szCs w:val="24"/>
                <w:highlight w:val="none"/>
              </w:rPr>
            </w:pPr>
            <w:r>
              <w:rPr>
                <w:rFonts w:hint="eastAsia" w:ascii="宋体" w:hAnsi="宋体" w:eastAsia="宋体" w:cs="Calibri"/>
                <w:color w:val="auto"/>
                <w:kern w:val="2"/>
                <w:sz w:val="24"/>
                <w:szCs w:val="24"/>
                <w:highlight w:val="none"/>
              </w:rPr>
              <w:t>质量要求</w:t>
            </w:r>
          </w:p>
        </w:tc>
        <w:tc>
          <w:tcPr>
            <w:tcW w:w="6112" w:type="dxa"/>
            <w:gridSpan w:val="3"/>
            <w:noWrap w:val="0"/>
            <w:vAlign w:val="center"/>
          </w:tcPr>
          <w:p w14:paraId="6DBCFE82">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ascii="宋体" w:hAnsi="宋体" w:eastAsia="宋体" w:cs="宋体"/>
                <w:color w:val="auto"/>
                <w:kern w:val="2"/>
                <w:sz w:val="24"/>
                <w:szCs w:val="24"/>
                <w:highlight w:val="none"/>
              </w:rPr>
            </w:pPr>
          </w:p>
        </w:tc>
      </w:tr>
      <w:tr w14:paraId="6B9EC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2407" w:type="dxa"/>
            <w:noWrap w:val="0"/>
            <w:vAlign w:val="center"/>
          </w:tcPr>
          <w:p w14:paraId="35F0E21C">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val="en-US" w:eastAsia="zh-CN"/>
              </w:rPr>
              <w:t>质保期</w:t>
            </w:r>
          </w:p>
        </w:tc>
        <w:tc>
          <w:tcPr>
            <w:tcW w:w="6112" w:type="dxa"/>
            <w:gridSpan w:val="3"/>
            <w:noWrap w:val="0"/>
            <w:vAlign w:val="center"/>
          </w:tcPr>
          <w:p w14:paraId="6BBC0C1C">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ascii="宋体" w:hAnsi="宋体" w:eastAsia="宋体" w:cs="宋体"/>
                <w:color w:val="auto"/>
                <w:kern w:val="2"/>
                <w:sz w:val="24"/>
                <w:szCs w:val="24"/>
                <w:highlight w:val="none"/>
              </w:rPr>
            </w:pPr>
          </w:p>
        </w:tc>
      </w:tr>
      <w:tr w14:paraId="02D75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2407" w:type="dxa"/>
            <w:noWrap w:val="0"/>
            <w:vAlign w:val="center"/>
          </w:tcPr>
          <w:p w14:paraId="76047FA8">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项目</w:t>
            </w:r>
            <w:r>
              <w:rPr>
                <w:rFonts w:hint="eastAsia" w:ascii="宋体" w:hAnsi="宋体" w:eastAsia="宋体" w:cs="宋体"/>
                <w:color w:val="auto"/>
                <w:kern w:val="2"/>
                <w:sz w:val="24"/>
                <w:szCs w:val="24"/>
                <w:highlight w:val="none"/>
                <w:lang w:eastAsia="zh-CN"/>
              </w:rPr>
              <w:t>地点</w:t>
            </w:r>
          </w:p>
        </w:tc>
        <w:tc>
          <w:tcPr>
            <w:tcW w:w="6112" w:type="dxa"/>
            <w:gridSpan w:val="3"/>
            <w:noWrap w:val="0"/>
            <w:vAlign w:val="center"/>
          </w:tcPr>
          <w:p w14:paraId="7B4D230B">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ascii="宋体" w:hAnsi="宋体" w:eastAsia="宋体" w:cs="宋体"/>
                <w:color w:val="auto"/>
                <w:kern w:val="2"/>
                <w:sz w:val="24"/>
                <w:szCs w:val="24"/>
                <w:highlight w:val="none"/>
              </w:rPr>
            </w:pPr>
          </w:p>
        </w:tc>
      </w:tr>
      <w:tr w14:paraId="01B79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2407" w:type="dxa"/>
            <w:noWrap w:val="0"/>
            <w:vAlign w:val="center"/>
          </w:tcPr>
          <w:p w14:paraId="21419B6B">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磋商</w:t>
            </w:r>
            <w:r>
              <w:rPr>
                <w:rFonts w:hint="eastAsia" w:ascii="宋体" w:hAnsi="宋体" w:eastAsia="宋体" w:cs="宋体"/>
                <w:color w:val="auto"/>
                <w:kern w:val="2"/>
                <w:sz w:val="24"/>
                <w:szCs w:val="24"/>
                <w:highlight w:val="none"/>
              </w:rPr>
              <w:t>有效期</w:t>
            </w:r>
          </w:p>
        </w:tc>
        <w:tc>
          <w:tcPr>
            <w:tcW w:w="6112" w:type="dxa"/>
            <w:gridSpan w:val="3"/>
            <w:noWrap w:val="0"/>
            <w:vAlign w:val="center"/>
          </w:tcPr>
          <w:p w14:paraId="2B1FDC57">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ascii="宋体" w:hAnsi="宋体" w:eastAsia="宋体" w:cs="宋体"/>
                <w:color w:val="auto"/>
                <w:kern w:val="2"/>
                <w:sz w:val="24"/>
                <w:szCs w:val="24"/>
                <w:highlight w:val="none"/>
              </w:rPr>
            </w:pPr>
          </w:p>
        </w:tc>
      </w:tr>
      <w:tr w14:paraId="5007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407" w:type="dxa"/>
            <w:noWrap w:val="0"/>
            <w:vAlign w:val="center"/>
          </w:tcPr>
          <w:p w14:paraId="79979FFC">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备 注</w:t>
            </w:r>
          </w:p>
        </w:tc>
        <w:tc>
          <w:tcPr>
            <w:tcW w:w="6112" w:type="dxa"/>
            <w:gridSpan w:val="3"/>
            <w:noWrap w:val="0"/>
            <w:vAlign w:val="center"/>
          </w:tcPr>
          <w:p w14:paraId="02E4E940">
            <w:pPr>
              <w:keepNext w:val="0"/>
              <w:keepLines w:val="0"/>
              <w:pageBreakBefore w:val="0"/>
              <w:widowControl/>
              <w:kinsoku/>
              <w:wordWrap/>
              <w:overflowPunct/>
              <w:topLinePunct w:val="0"/>
              <w:autoSpaceDE w:val="0"/>
              <w:autoSpaceDN w:val="0"/>
              <w:bidi w:val="0"/>
              <w:adjustRightInd w:val="0"/>
              <w:snapToGrid w:val="0"/>
              <w:spacing w:before="0" w:beforeLines="0" w:beforeAutospacing="0" w:after="0" w:afterAutospacing="0" w:line="360" w:lineRule="auto"/>
              <w:ind w:left="0" w:right="0"/>
              <w:jc w:val="center"/>
              <w:textAlignment w:val="auto"/>
              <w:rPr>
                <w:rFonts w:ascii="宋体" w:hAnsi="宋体" w:eastAsia="宋体" w:cs="宋体"/>
                <w:color w:val="auto"/>
                <w:kern w:val="2"/>
                <w:sz w:val="24"/>
                <w:szCs w:val="24"/>
                <w:highlight w:val="none"/>
              </w:rPr>
            </w:pPr>
          </w:p>
        </w:tc>
      </w:tr>
    </w:tbl>
    <w:p w14:paraId="3230AE7B">
      <w:pPr>
        <w:pStyle w:val="19"/>
        <w:ind w:left="0" w:leftChars="0" w:firstLine="0" w:firstLineChars="0"/>
        <w:rPr>
          <w:color w:val="auto"/>
          <w:highlight w:val="none"/>
        </w:rPr>
      </w:pPr>
    </w:p>
    <w:p w14:paraId="7ABFB3AB">
      <w:pPr>
        <w:autoSpaceDE w:val="0"/>
        <w:autoSpaceDN w:val="0"/>
        <w:spacing w:line="360" w:lineRule="auto"/>
        <w:ind w:firstLine="280" w:firstLineChars="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75910F39">
      <w:pPr>
        <w:widowControl/>
        <w:wordWrap/>
        <w:adjustRightInd w:val="0"/>
        <w:snapToGrid w:val="0"/>
        <w:spacing w:after="0" w:afterLines="0" w:line="480" w:lineRule="exact"/>
        <w:ind w:firstLine="3360" w:firstLineChars="1400"/>
        <w:jc w:val="both"/>
        <w:textAlignment w:val="auto"/>
        <w:outlineLvl w:val="0"/>
        <w:rPr>
          <w:rFonts w:hint="default" w:ascii="宋体" w:hAnsi="宋体" w:eastAsia="宋体"/>
          <w:color w:val="auto"/>
          <w:sz w:val="24"/>
          <w:szCs w:val="24"/>
          <w:highlight w:val="none"/>
          <w:lang w:val="en-US" w:eastAsia="zh-CN"/>
        </w:rPr>
      </w:pPr>
      <w:bookmarkStart w:id="748" w:name="_Toc20484"/>
      <w:bookmarkStart w:id="749" w:name="_Toc29987"/>
      <w:r>
        <w:rPr>
          <w:rFonts w:hint="eastAsia" w:ascii="宋体" w:hAnsi="宋体" w:eastAsia="宋体"/>
          <w:color w:val="auto"/>
          <w:sz w:val="24"/>
          <w:szCs w:val="24"/>
          <w:highlight w:val="none"/>
        </w:rPr>
        <w:t>供应商（企业电子签章）：</w:t>
      </w:r>
      <w:bookmarkEnd w:id="748"/>
      <w:bookmarkEnd w:id="749"/>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lang w:val="en-US" w:eastAsia="zh-CN"/>
        </w:rPr>
        <w:t xml:space="preserve">            </w:t>
      </w:r>
    </w:p>
    <w:p w14:paraId="29AEA477">
      <w:pPr>
        <w:widowControl/>
        <w:wordWrap/>
        <w:adjustRightInd w:val="0"/>
        <w:snapToGrid w:val="0"/>
        <w:spacing w:after="0" w:afterLines="0" w:line="480" w:lineRule="exact"/>
        <w:ind w:firstLine="3360" w:firstLineChars="1400"/>
        <w:jc w:val="both"/>
        <w:textAlignment w:val="auto"/>
        <w:outlineLvl w:val="0"/>
        <w:rPr>
          <w:rFonts w:hint="eastAsia" w:ascii="宋体" w:hAnsi="宋体" w:eastAsia="宋体"/>
          <w:color w:val="auto"/>
          <w:sz w:val="24"/>
          <w:szCs w:val="24"/>
          <w:highlight w:val="none"/>
        </w:rPr>
      </w:pPr>
      <w:bookmarkStart w:id="750" w:name="_Toc13417"/>
      <w:bookmarkStart w:id="751" w:name="_Toc27081"/>
      <w:r>
        <w:rPr>
          <w:rFonts w:hint="eastAsia" w:ascii="宋体" w:hAnsi="宋体" w:eastAsia="宋体"/>
          <w:color w:val="auto"/>
          <w:sz w:val="24"/>
          <w:szCs w:val="24"/>
          <w:highlight w:val="none"/>
        </w:rPr>
        <w:t>法定代表人(</w:t>
      </w:r>
      <w:r>
        <w:rPr>
          <w:rFonts w:hint="eastAsia" w:ascii="宋体" w:hAnsi="宋体" w:eastAsia="宋体"/>
          <w:color w:val="auto"/>
          <w:sz w:val="24"/>
          <w:szCs w:val="24"/>
          <w:highlight w:val="none"/>
          <w:lang w:val="en-US" w:eastAsia="zh-CN"/>
        </w:rPr>
        <w:t>电子</w:t>
      </w:r>
      <w:r>
        <w:rPr>
          <w:rFonts w:hint="eastAsia" w:ascii="宋体" w:hAnsi="宋体" w:eastAsia="宋体"/>
          <w:color w:val="auto"/>
          <w:sz w:val="24"/>
          <w:szCs w:val="24"/>
          <w:highlight w:val="none"/>
        </w:rPr>
        <w:t>签章)：</w:t>
      </w:r>
      <w:bookmarkEnd w:id="750"/>
      <w:bookmarkEnd w:id="751"/>
      <w:r>
        <w:rPr>
          <w:rFonts w:hint="eastAsia" w:ascii="宋体" w:hAnsi="宋体" w:eastAsia="宋体"/>
          <w:color w:val="auto"/>
          <w:sz w:val="24"/>
          <w:szCs w:val="24"/>
          <w:highlight w:val="none"/>
          <w:u w:val="single"/>
          <w:lang w:val="en-US" w:eastAsia="zh-CN"/>
        </w:rPr>
        <w:t xml:space="preserve">                             </w:t>
      </w:r>
    </w:p>
    <w:p w14:paraId="34FD9F1D">
      <w:pPr>
        <w:widowControl/>
        <w:wordWrap/>
        <w:adjustRightInd w:val="0"/>
        <w:snapToGrid w:val="0"/>
        <w:spacing w:after="0" w:afterLines="0" w:line="480" w:lineRule="exact"/>
        <w:ind w:firstLine="3360" w:firstLineChars="1400"/>
        <w:jc w:val="both"/>
        <w:textAlignment w:val="auto"/>
        <w:outlineLvl w:val="0"/>
        <w:rPr>
          <w:rFonts w:hint="eastAsia" w:ascii="宋体" w:hAnsi="宋体" w:eastAsia="宋体"/>
          <w:color w:val="auto"/>
          <w:sz w:val="24"/>
          <w:szCs w:val="24"/>
          <w:highlight w:val="none"/>
        </w:rPr>
      </w:pPr>
      <w:bookmarkStart w:id="752" w:name="_Toc22579"/>
      <w:bookmarkStart w:id="753" w:name="_Toc18272"/>
      <w:r>
        <w:rPr>
          <w:rFonts w:hint="eastAsia" w:ascii="宋体" w:hAnsi="宋体" w:eastAsia="宋体"/>
          <w:color w:val="auto"/>
          <w:sz w:val="24"/>
          <w:szCs w:val="24"/>
          <w:highlight w:val="none"/>
        </w:rPr>
        <w:t>日</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期：</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 年</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月</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日</w:t>
      </w:r>
      <w:bookmarkEnd w:id="752"/>
      <w:bookmarkEnd w:id="753"/>
    </w:p>
    <w:p w14:paraId="40AAFBE1">
      <w:pPr>
        <w:widowControl/>
        <w:wordWrap/>
        <w:adjustRightInd w:val="0"/>
        <w:snapToGrid w:val="0"/>
        <w:spacing w:after="0" w:afterLines="0" w:line="480" w:lineRule="exact"/>
        <w:ind w:firstLine="480" w:firstLineChars="200"/>
        <w:jc w:val="both"/>
        <w:textAlignment w:val="auto"/>
        <w:outlineLvl w:val="0"/>
        <w:rPr>
          <w:rFonts w:hint="eastAsia" w:ascii="宋体" w:hAnsi="宋体" w:eastAsia="宋体"/>
          <w:color w:val="auto"/>
          <w:sz w:val="24"/>
          <w:szCs w:val="24"/>
          <w:highlight w:val="none"/>
        </w:rPr>
      </w:pPr>
    </w:p>
    <w:p w14:paraId="435A771E">
      <w:pPr>
        <w:pStyle w:val="7"/>
        <w:rPr>
          <w:rFonts w:hint="eastAsia"/>
        </w:rPr>
      </w:pPr>
    </w:p>
    <w:p w14:paraId="7E1CB620">
      <w:pPr>
        <w:autoSpaceDE w:val="0"/>
        <w:autoSpaceDN w:val="0"/>
        <w:spacing w:line="360" w:lineRule="auto"/>
        <w:rPr>
          <w:rFonts w:ascii="宋体" w:hAnsi="宋体"/>
          <w:color w:val="auto"/>
          <w:sz w:val="28"/>
          <w:szCs w:val="28"/>
          <w:highlight w:val="none"/>
        </w:rPr>
      </w:pPr>
    </w:p>
    <w:p w14:paraId="1C8369DB">
      <w:pPr>
        <w:pStyle w:val="3"/>
        <w:numPr>
          <w:ilvl w:val="1"/>
          <w:numId w:val="0"/>
        </w:numPr>
        <w:tabs>
          <w:tab w:val="left" w:pos="425"/>
        </w:tabs>
        <w:spacing w:line="480" w:lineRule="exact"/>
        <w:jc w:val="center"/>
        <w:rPr>
          <w:rFonts w:ascii="宋体" w:hAnsi="宋体"/>
          <w:bCs/>
          <w:color w:val="auto"/>
          <w:sz w:val="28"/>
          <w:szCs w:val="28"/>
          <w:highlight w:val="none"/>
        </w:rPr>
      </w:pPr>
      <w:bookmarkStart w:id="754" w:name="_Toc360999032"/>
      <w:bookmarkStart w:id="755" w:name="_Toc440880273"/>
      <w:bookmarkStart w:id="756" w:name="_Toc380136447"/>
      <w:bookmarkStart w:id="757" w:name="_Toc402538861"/>
      <w:bookmarkStart w:id="758" w:name="_Toc402538242"/>
      <w:bookmarkStart w:id="759" w:name="_Toc402538048"/>
      <w:r>
        <w:rPr>
          <w:rFonts w:hint="eastAsia" w:ascii="宋体" w:hAnsi="宋体"/>
          <w:bCs/>
          <w:color w:val="auto"/>
          <w:sz w:val="28"/>
          <w:szCs w:val="28"/>
          <w:highlight w:val="none"/>
          <w:lang w:val="en-US" w:eastAsia="zh-CN"/>
        </w:rPr>
        <w:t>二</w:t>
      </w:r>
      <w:r>
        <w:rPr>
          <w:rFonts w:ascii="宋体" w:hAnsi="宋体"/>
          <w:bCs/>
          <w:color w:val="auto"/>
          <w:sz w:val="28"/>
          <w:szCs w:val="28"/>
          <w:highlight w:val="none"/>
        </w:rPr>
        <w:t>、法定代表人身份证明</w:t>
      </w:r>
      <w:bookmarkEnd w:id="754"/>
      <w:bookmarkEnd w:id="755"/>
      <w:bookmarkEnd w:id="756"/>
      <w:bookmarkEnd w:id="757"/>
      <w:bookmarkEnd w:id="758"/>
      <w:bookmarkEnd w:id="759"/>
    </w:p>
    <w:p w14:paraId="1179D488">
      <w:pPr>
        <w:spacing w:line="48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供应商名称：</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p>
    <w:p w14:paraId="5F5C3ECD">
      <w:pPr>
        <w:spacing w:line="48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单位性质：</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p>
    <w:p w14:paraId="1858B8E4">
      <w:pPr>
        <w:spacing w:line="48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地址：</w:t>
      </w:r>
      <w:r>
        <w:rPr>
          <w:rFonts w:hint="eastAsia" w:ascii="宋体" w:hAnsi="宋体" w:eastAsia="宋体"/>
          <w:color w:val="auto"/>
          <w:sz w:val="24"/>
          <w:szCs w:val="24"/>
          <w:highlight w:val="none"/>
          <w:u w:val="single"/>
        </w:rPr>
        <w:t xml:space="preserve">                                   </w:t>
      </w:r>
    </w:p>
    <w:p w14:paraId="0B03FB86">
      <w:pPr>
        <w:spacing w:line="48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成立时间：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日</w:t>
      </w:r>
    </w:p>
    <w:p w14:paraId="1ED1F4A8">
      <w:pPr>
        <w:spacing w:line="48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经营期限：</w:t>
      </w:r>
      <w:r>
        <w:rPr>
          <w:rFonts w:hint="eastAsia" w:ascii="宋体" w:hAnsi="宋体" w:eastAsia="宋体"/>
          <w:color w:val="auto"/>
          <w:sz w:val="24"/>
          <w:szCs w:val="24"/>
          <w:highlight w:val="none"/>
          <w:u w:val="single"/>
        </w:rPr>
        <w:t xml:space="preserve">                               </w:t>
      </w:r>
    </w:p>
    <w:p w14:paraId="659F9C15">
      <w:pPr>
        <w:spacing w:line="48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姓名：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性别：</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年龄：</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职务：</w:t>
      </w:r>
      <w:r>
        <w:rPr>
          <w:rFonts w:hint="eastAsia" w:ascii="宋体" w:hAnsi="宋体" w:eastAsia="宋体"/>
          <w:color w:val="auto"/>
          <w:sz w:val="24"/>
          <w:szCs w:val="24"/>
          <w:highlight w:val="none"/>
          <w:u w:val="single"/>
        </w:rPr>
        <w:t xml:space="preserve">        </w:t>
      </w:r>
    </w:p>
    <w:p w14:paraId="2A12191D">
      <w:pPr>
        <w:spacing w:line="48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系</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（供应商名称）的法定代表人。</w:t>
      </w:r>
    </w:p>
    <w:p w14:paraId="0368EF8A">
      <w:pPr>
        <w:spacing w:line="48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特此证明。</w:t>
      </w:r>
    </w:p>
    <w:p w14:paraId="61E3BFBA">
      <w:pPr>
        <w:widowControl/>
        <w:wordWrap/>
        <w:adjustRightInd w:val="0"/>
        <w:snapToGrid w:val="0"/>
        <w:spacing w:after="0" w:afterLines="0" w:line="480" w:lineRule="exact"/>
        <w:jc w:val="both"/>
        <w:textAlignment w:val="auto"/>
        <w:outlineLvl w:val="0"/>
        <w:rPr>
          <w:rFonts w:hint="eastAsia" w:ascii="宋体" w:hAnsi="宋体" w:eastAsia="宋体"/>
          <w:color w:val="auto"/>
          <w:sz w:val="24"/>
          <w:szCs w:val="24"/>
          <w:highlight w:val="none"/>
        </w:rPr>
      </w:pPr>
      <w:bookmarkStart w:id="760" w:name="_Toc18831"/>
      <w:bookmarkStart w:id="761" w:name="_Toc11388"/>
      <w:r>
        <w:rPr>
          <w:rFonts w:hint="eastAsia" w:ascii="宋体" w:hAnsi="宋体" w:eastAsia="宋体"/>
          <w:color w:val="auto"/>
          <w:sz w:val="24"/>
          <w:szCs w:val="24"/>
          <w:highlight w:val="none"/>
        </w:rPr>
        <w:t>附：</w:t>
      </w:r>
      <w:r>
        <w:rPr>
          <w:rFonts w:hint="eastAsia" w:ascii="宋体" w:hAnsi="宋体" w:eastAsia="宋体"/>
          <w:color w:val="auto"/>
          <w:sz w:val="24"/>
          <w:szCs w:val="24"/>
          <w:highlight w:val="none"/>
          <w:lang w:val="en-US" w:eastAsia="zh-CN"/>
        </w:rPr>
        <w:t>法定代表人</w:t>
      </w:r>
      <w:r>
        <w:rPr>
          <w:rFonts w:hint="eastAsia" w:ascii="宋体" w:hAnsi="宋体" w:eastAsia="宋体"/>
          <w:color w:val="auto"/>
          <w:sz w:val="24"/>
          <w:szCs w:val="24"/>
          <w:highlight w:val="none"/>
        </w:rPr>
        <w:t>身份证复印件</w:t>
      </w:r>
      <w:bookmarkEnd w:id="760"/>
      <w:bookmarkEnd w:id="761"/>
    </w:p>
    <w:p w14:paraId="13358B9A">
      <w:pPr>
        <w:widowControl/>
        <w:wordWrap/>
        <w:adjustRightInd w:val="0"/>
        <w:snapToGrid w:val="0"/>
        <w:spacing w:after="0" w:afterLines="0" w:line="480" w:lineRule="exact"/>
        <w:ind w:firstLine="480" w:firstLineChars="200"/>
        <w:jc w:val="both"/>
        <w:textAlignment w:val="auto"/>
        <w:outlineLvl w:val="0"/>
        <w:rPr>
          <w:rFonts w:hint="eastAsia" w:ascii="宋体" w:hAnsi="宋体" w:eastAsia="宋体"/>
          <w:color w:val="auto"/>
          <w:sz w:val="24"/>
          <w:szCs w:val="24"/>
          <w:highlight w:val="none"/>
        </w:rPr>
      </w:pPr>
    </w:p>
    <w:p w14:paraId="11A43DC8">
      <w:pPr>
        <w:widowControl/>
        <w:wordWrap/>
        <w:adjustRightInd w:val="0"/>
        <w:snapToGrid w:val="0"/>
        <w:spacing w:after="0" w:afterLines="0" w:line="480" w:lineRule="exact"/>
        <w:ind w:firstLine="480" w:firstLineChars="200"/>
        <w:jc w:val="both"/>
        <w:textAlignment w:val="auto"/>
        <w:outlineLvl w:val="0"/>
        <w:rPr>
          <w:rFonts w:hint="eastAsia" w:ascii="宋体" w:hAnsi="宋体" w:eastAsia="宋体"/>
          <w:color w:val="auto"/>
          <w:sz w:val="24"/>
          <w:szCs w:val="24"/>
          <w:highlight w:val="none"/>
        </w:rPr>
      </w:pPr>
    </w:p>
    <w:p w14:paraId="288D75DB">
      <w:pPr>
        <w:widowControl/>
        <w:wordWrap/>
        <w:adjustRightInd w:val="0"/>
        <w:snapToGrid w:val="0"/>
        <w:spacing w:after="0" w:afterLines="0" w:line="480" w:lineRule="exact"/>
        <w:ind w:firstLine="480" w:firstLineChars="200"/>
        <w:jc w:val="both"/>
        <w:textAlignment w:val="auto"/>
        <w:outlineLvl w:val="0"/>
        <w:rPr>
          <w:rFonts w:hint="eastAsia" w:ascii="宋体" w:hAnsi="宋体" w:eastAsia="宋体"/>
          <w:color w:val="auto"/>
          <w:sz w:val="24"/>
          <w:szCs w:val="24"/>
          <w:highlight w:val="none"/>
        </w:rPr>
      </w:pPr>
    </w:p>
    <w:p w14:paraId="29608AAE">
      <w:pPr>
        <w:widowControl/>
        <w:wordWrap/>
        <w:adjustRightInd w:val="0"/>
        <w:snapToGrid w:val="0"/>
        <w:spacing w:after="0" w:afterLines="0" w:line="480" w:lineRule="exact"/>
        <w:ind w:firstLine="480" w:firstLineChars="200"/>
        <w:jc w:val="both"/>
        <w:textAlignment w:val="auto"/>
        <w:outlineLvl w:val="0"/>
        <w:rPr>
          <w:rFonts w:hint="eastAsia" w:ascii="宋体" w:hAnsi="宋体" w:eastAsia="宋体"/>
          <w:color w:val="auto"/>
          <w:sz w:val="24"/>
          <w:szCs w:val="24"/>
          <w:highlight w:val="none"/>
        </w:rPr>
      </w:pPr>
    </w:p>
    <w:p w14:paraId="438CBE47">
      <w:pPr>
        <w:widowControl/>
        <w:wordWrap/>
        <w:adjustRightInd w:val="0"/>
        <w:snapToGrid w:val="0"/>
        <w:spacing w:after="0" w:afterLines="0" w:line="480" w:lineRule="exact"/>
        <w:ind w:firstLine="3360" w:firstLineChars="1400"/>
        <w:jc w:val="both"/>
        <w:textAlignment w:val="auto"/>
        <w:outlineLvl w:val="0"/>
        <w:rPr>
          <w:rFonts w:hint="default" w:ascii="宋体" w:hAnsi="宋体" w:eastAsia="宋体"/>
          <w:color w:val="auto"/>
          <w:sz w:val="24"/>
          <w:szCs w:val="24"/>
          <w:highlight w:val="none"/>
          <w:lang w:val="en-US" w:eastAsia="zh-CN"/>
        </w:rPr>
      </w:pPr>
      <w:bookmarkStart w:id="762" w:name="_Toc6814"/>
      <w:bookmarkStart w:id="763" w:name="_Toc18385"/>
      <w:r>
        <w:rPr>
          <w:rFonts w:hint="eastAsia" w:ascii="宋体" w:hAnsi="宋体" w:eastAsia="宋体"/>
          <w:color w:val="auto"/>
          <w:sz w:val="24"/>
          <w:szCs w:val="24"/>
          <w:highlight w:val="none"/>
        </w:rPr>
        <w:t>供应商（企业电子签章）：</w:t>
      </w:r>
      <w:bookmarkEnd w:id="762"/>
      <w:bookmarkEnd w:id="763"/>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lang w:val="en-US" w:eastAsia="zh-CN"/>
        </w:rPr>
        <w:t xml:space="preserve">            </w:t>
      </w:r>
    </w:p>
    <w:p w14:paraId="3BD74D16">
      <w:pPr>
        <w:widowControl/>
        <w:wordWrap/>
        <w:adjustRightInd w:val="0"/>
        <w:snapToGrid w:val="0"/>
        <w:spacing w:after="0" w:afterLines="0" w:line="480" w:lineRule="exact"/>
        <w:ind w:firstLine="3360" w:firstLineChars="1400"/>
        <w:jc w:val="both"/>
        <w:textAlignment w:val="auto"/>
        <w:outlineLvl w:val="0"/>
        <w:rPr>
          <w:rFonts w:hint="eastAsia" w:ascii="宋体" w:hAnsi="宋体" w:eastAsia="宋体"/>
          <w:color w:val="auto"/>
          <w:sz w:val="24"/>
          <w:szCs w:val="24"/>
          <w:highlight w:val="none"/>
        </w:rPr>
      </w:pPr>
      <w:bookmarkStart w:id="764" w:name="_Toc26559"/>
      <w:bookmarkStart w:id="765" w:name="_Toc26428"/>
      <w:r>
        <w:rPr>
          <w:rFonts w:hint="eastAsia" w:ascii="宋体" w:hAnsi="宋体" w:eastAsia="宋体"/>
          <w:color w:val="auto"/>
          <w:sz w:val="24"/>
          <w:szCs w:val="24"/>
          <w:highlight w:val="none"/>
        </w:rPr>
        <w:t>法定代表人(</w:t>
      </w:r>
      <w:r>
        <w:rPr>
          <w:rFonts w:hint="eastAsia" w:ascii="宋体" w:hAnsi="宋体" w:eastAsia="宋体"/>
          <w:color w:val="auto"/>
          <w:sz w:val="24"/>
          <w:szCs w:val="24"/>
          <w:highlight w:val="none"/>
          <w:lang w:val="en-US" w:eastAsia="zh-CN"/>
        </w:rPr>
        <w:t>电子</w:t>
      </w:r>
      <w:r>
        <w:rPr>
          <w:rFonts w:hint="eastAsia" w:ascii="宋体" w:hAnsi="宋体" w:eastAsia="宋体"/>
          <w:color w:val="auto"/>
          <w:sz w:val="24"/>
          <w:szCs w:val="24"/>
          <w:highlight w:val="none"/>
        </w:rPr>
        <w:t>签章)：</w:t>
      </w:r>
      <w:bookmarkEnd w:id="764"/>
      <w:bookmarkEnd w:id="765"/>
      <w:r>
        <w:rPr>
          <w:rFonts w:hint="eastAsia" w:ascii="宋体" w:hAnsi="宋体" w:eastAsia="宋体"/>
          <w:color w:val="auto"/>
          <w:sz w:val="24"/>
          <w:szCs w:val="24"/>
          <w:highlight w:val="none"/>
          <w:u w:val="single"/>
          <w:lang w:val="en-US" w:eastAsia="zh-CN"/>
        </w:rPr>
        <w:t xml:space="preserve">                             </w:t>
      </w:r>
    </w:p>
    <w:p w14:paraId="15970B3C">
      <w:pPr>
        <w:widowControl/>
        <w:wordWrap/>
        <w:adjustRightInd w:val="0"/>
        <w:snapToGrid w:val="0"/>
        <w:spacing w:after="0" w:afterLines="0" w:line="480" w:lineRule="exact"/>
        <w:ind w:firstLine="3360" w:firstLineChars="1400"/>
        <w:jc w:val="both"/>
        <w:textAlignment w:val="auto"/>
        <w:outlineLvl w:val="0"/>
        <w:rPr>
          <w:rFonts w:hint="eastAsia" w:ascii="宋体" w:hAnsi="宋体" w:eastAsia="宋体"/>
          <w:color w:val="auto"/>
          <w:sz w:val="24"/>
          <w:szCs w:val="24"/>
          <w:highlight w:val="none"/>
        </w:rPr>
      </w:pPr>
      <w:bookmarkStart w:id="766" w:name="_Toc31840"/>
      <w:bookmarkStart w:id="767" w:name="_Toc29810"/>
      <w:r>
        <w:rPr>
          <w:rFonts w:hint="eastAsia" w:ascii="宋体" w:hAnsi="宋体" w:eastAsia="宋体"/>
          <w:color w:val="auto"/>
          <w:sz w:val="24"/>
          <w:szCs w:val="24"/>
          <w:highlight w:val="none"/>
        </w:rPr>
        <w:t>日</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期：</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 年</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月</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日</w:t>
      </w:r>
      <w:bookmarkEnd w:id="766"/>
      <w:bookmarkEnd w:id="767"/>
    </w:p>
    <w:p w14:paraId="09832DEC">
      <w:pPr>
        <w:spacing w:line="360" w:lineRule="auto"/>
        <w:ind w:left="4740" w:leftChars="2257"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 </w:t>
      </w:r>
    </w:p>
    <w:p w14:paraId="4E66078B">
      <w:pPr>
        <w:spacing w:line="360" w:lineRule="auto"/>
        <w:jc w:val="center"/>
        <w:outlineLvl w:val="1"/>
        <w:rPr>
          <w:rFonts w:ascii="宋体" w:hAnsi="宋体" w:eastAsia="宋体"/>
          <w:b/>
          <w:bCs/>
          <w:color w:val="auto"/>
          <w:sz w:val="28"/>
          <w:szCs w:val="28"/>
          <w:highlight w:val="none"/>
        </w:rPr>
      </w:pPr>
      <w:bookmarkStart w:id="768" w:name="_Toc12633"/>
      <w:bookmarkStart w:id="769" w:name="_Toc22161"/>
      <w:bookmarkStart w:id="770" w:name="_Toc29611"/>
    </w:p>
    <w:bookmarkEnd w:id="768"/>
    <w:bookmarkEnd w:id="769"/>
    <w:bookmarkEnd w:id="770"/>
    <w:p w14:paraId="16C0CB67">
      <w:pPr>
        <w:topLinePunct/>
        <w:spacing w:line="360" w:lineRule="auto"/>
        <w:rPr>
          <w:rFonts w:ascii="宋体" w:hAnsi="宋体" w:eastAsia="宋体"/>
          <w:color w:val="auto"/>
          <w:sz w:val="28"/>
          <w:szCs w:val="28"/>
          <w:highlight w:val="none"/>
        </w:rPr>
      </w:pPr>
    </w:p>
    <w:p w14:paraId="7ACE6FA7">
      <w:pPr>
        <w:spacing w:line="360" w:lineRule="auto"/>
        <w:jc w:val="center"/>
        <w:outlineLvl w:val="1"/>
        <w:rPr>
          <w:rFonts w:hint="eastAsia" w:ascii="宋体" w:hAnsi="宋体" w:eastAsia="宋体"/>
          <w:b/>
          <w:bCs/>
          <w:color w:val="auto"/>
          <w:sz w:val="28"/>
          <w:szCs w:val="28"/>
          <w:highlight w:val="none"/>
        </w:rPr>
      </w:pPr>
    </w:p>
    <w:p w14:paraId="72E9F242">
      <w:pPr>
        <w:spacing w:line="360" w:lineRule="auto"/>
        <w:jc w:val="center"/>
        <w:outlineLvl w:val="1"/>
        <w:rPr>
          <w:rFonts w:hint="eastAsia" w:ascii="宋体" w:hAnsi="宋体" w:eastAsia="宋体"/>
          <w:b/>
          <w:bCs/>
          <w:color w:val="auto"/>
          <w:sz w:val="28"/>
          <w:szCs w:val="28"/>
          <w:highlight w:val="none"/>
        </w:rPr>
      </w:pPr>
    </w:p>
    <w:p w14:paraId="2D3F487F">
      <w:pPr>
        <w:spacing w:line="360" w:lineRule="auto"/>
        <w:jc w:val="center"/>
        <w:outlineLvl w:val="1"/>
        <w:rPr>
          <w:rFonts w:hint="eastAsia" w:ascii="宋体" w:hAnsi="宋体" w:eastAsia="宋体"/>
          <w:b/>
          <w:bCs/>
          <w:color w:val="auto"/>
          <w:sz w:val="28"/>
          <w:szCs w:val="28"/>
          <w:highlight w:val="none"/>
        </w:rPr>
      </w:pPr>
    </w:p>
    <w:p w14:paraId="609FA787">
      <w:pPr>
        <w:spacing w:line="360" w:lineRule="auto"/>
        <w:jc w:val="center"/>
        <w:outlineLvl w:val="1"/>
        <w:rPr>
          <w:rFonts w:hint="eastAsia" w:ascii="宋体" w:hAnsi="宋体" w:eastAsia="宋体"/>
          <w:b/>
          <w:bCs/>
          <w:color w:val="auto"/>
          <w:sz w:val="28"/>
          <w:szCs w:val="28"/>
          <w:highlight w:val="none"/>
        </w:rPr>
      </w:pPr>
    </w:p>
    <w:p w14:paraId="767EB492">
      <w:pPr>
        <w:pStyle w:val="3"/>
        <w:numPr>
          <w:ilvl w:val="1"/>
          <w:numId w:val="0"/>
        </w:numPr>
        <w:tabs>
          <w:tab w:val="left" w:pos="425"/>
        </w:tabs>
        <w:spacing w:line="480" w:lineRule="exact"/>
        <w:jc w:val="center"/>
        <w:rPr>
          <w:rFonts w:hint="eastAsia" w:ascii="宋体" w:hAnsi="宋体"/>
          <w:bCs/>
          <w:color w:val="auto"/>
          <w:sz w:val="28"/>
          <w:szCs w:val="28"/>
          <w:highlight w:val="none"/>
          <w:lang w:val="en-US" w:eastAsia="zh-CN"/>
        </w:rPr>
      </w:pPr>
      <w:r>
        <w:rPr>
          <w:rFonts w:hint="eastAsia" w:ascii="宋体" w:hAnsi="宋体"/>
          <w:bCs/>
          <w:color w:val="auto"/>
          <w:sz w:val="28"/>
          <w:szCs w:val="28"/>
          <w:highlight w:val="none"/>
          <w:lang w:val="en-US" w:eastAsia="zh-CN"/>
        </w:rPr>
        <w:t>三、法定代表人授权委托书</w:t>
      </w:r>
    </w:p>
    <w:p w14:paraId="59122158">
      <w:pPr>
        <w:widowControl/>
        <w:wordWrap/>
        <w:topLinePunct/>
        <w:adjustRightInd w:val="0"/>
        <w:snapToGrid w:val="0"/>
        <w:spacing w:after="0" w:afterLines="0" w:line="360" w:lineRule="auto"/>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本人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（姓名）系</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（供应商名称）的法定代表人，现委托</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（姓名）为我方代理人。代理人根据授权，以我方名义签署、澄清、说明、补正、递交、撤回、修改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（项目名称）</w:t>
      </w:r>
      <w:r>
        <w:rPr>
          <w:rFonts w:hint="eastAsia" w:ascii="宋体" w:hAnsi="宋体" w:eastAsia="宋体"/>
          <w:color w:val="auto"/>
          <w:sz w:val="24"/>
          <w:szCs w:val="24"/>
          <w:highlight w:val="none"/>
          <w:lang w:val="en-US" w:eastAsia="zh-CN"/>
        </w:rPr>
        <w:t>响应</w:t>
      </w:r>
      <w:r>
        <w:rPr>
          <w:rFonts w:hint="eastAsia" w:ascii="宋体" w:hAnsi="宋体" w:eastAsia="宋体"/>
          <w:color w:val="auto"/>
          <w:sz w:val="24"/>
          <w:szCs w:val="24"/>
          <w:highlight w:val="none"/>
        </w:rPr>
        <w:t>文件、签订合同和处理有关事宜，其法律后果由我方承担。</w:t>
      </w:r>
    </w:p>
    <w:p w14:paraId="61709F7C">
      <w:pPr>
        <w:widowControl/>
        <w:wordWrap/>
        <w:adjustRightInd w:val="0"/>
        <w:snapToGrid w:val="0"/>
        <w:spacing w:after="0" w:afterLines="0" w:line="360" w:lineRule="auto"/>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委托期限：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3BCAE3DE">
      <w:pPr>
        <w:widowControl/>
        <w:wordWrap/>
        <w:adjustRightInd w:val="0"/>
        <w:snapToGrid w:val="0"/>
        <w:spacing w:after="0" w:afterLines="0" w:line="360" w:lineRule="auto"/>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代理人无转委托权。</w:t>
      </w:r>
    </w:p>
    <w:p w14:paraId="307114D7">
      <w:pPr>
        <w:widowControl/>
        <w:wordWrap/>
        <w:adjustRightInd w:val="0"/>
        <w:snapToGrid w:val="0"/>
        <w:spacing w:after="0" w:afterLines="0" w:line="360" w:lineRule="auto"/>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14:paraId="2774DADF">
      <w:pPr>
        <w:widowControl/>
        <w:wordWrap/>
        <w:adjustRightInd w:val="0"/>
        <w:snapToGrid w:val="0"/>
        <w:spacing w:after="0" w:afterLines="0" w:line="360" w:lineRule="auto"/>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附：委托代理人身份证复印件。</w:t>
      </w:r>
    </w:p>
    <w:p w14:paraId="08AF7AD4">
      <w:pPr>
        <w:widowControl/>
        <w:wordWrap/>
        <w:adjustRightInd w:val="0"/>
        <w:snapToGrid w:val="0"/>
        <w:spacing w:after="0" w:afterLines="0" w:line="360" w:lineRule="auto"/>
        <w:textAlignment w:val="auto"/>
        <w:rPr>
          <w:rFonts w:ascii="宋体" w:hAnsi="宋体" w:eastAsia="宋体"/>
          <w:color w:val="auto"/>
          <w:sz w:val="24"/>
          <w:szCs w:val="24"/>
          <w:highlight w:val="none"/>
        </w:rPr>
      </w:pPr>
    </w:p>
    <w:p w14:paraId="0899ED6E">
      <w:pPr>
        <w:pStyle w:val="20"/>
        <w:rPr>
          <w:rFonts w:ascii="宋体" w:hAnsi="宋体" w:eastAsia="宋体"/>
          <w:color w:val="auto"/>
          <w:sz w:val="24"/>
          <w:szCs w:val="24"/>
          <w:highlight w:val="none"/>
        </w:rPr>
      </w:pPr>
    </w:p>
    <w:p w14:paraId="00BE79E2">
      <w:pPr>
        <w:pStyle w:val="19"/>
      </w:pPr>
    </w:p>
    <w:p w14:paraId="26F85D69">
      <w:pPr>
        <w:widowControl/>
        <w:wordWrap/>
        <w:adjustRightInd w:val="0"/>
        <w:snapToGrid w:val="0"/>
        <w:spacing w:after="0" w:afterLines="0" w:line="360" w:lineRule="auto"/>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供应商：</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lang w:val="en-US" w:eastAsia="zh-CN"/>
        </w:rPr>
        <w:t>企业电子</w:t>
      </w:r>
      <w:r>
        <w:rPr>
          <w:rFonts w:hint="eastAsia" w:ascii="宋体" w:hAnsi="宋体" w:eastAsia="宋体"/>
          <w:color w:val="auto"/>
          <w:sz w:val="24"/>
          <w:szCs w:val="24"/>
          <w:highlight w:val="none"/>
        </w:rPr>
        <w:t>签章）</w:t>
      </w:r>
    </w:p>
    <w:p w14:paraId="2594B41C">
      <w:pPr>
        <w:widowControl/>
        <w:wordWrap/>
        <w:adjustRightInd w:val="0"/>
        <w:snapToGrid w:val="0"/>
        <w:spacing w:after="0" w:afterLines="0" w:line="360" w:lineRule="auto"/>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法定代表人：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lang w:val="en-US" w:eastAsia="zh-CN"/>
        </w:rPr>
        <w:t>电子</w:t>
      </w:r>
      <w:r>
        <w:rPr>
          <w:rFonts w:hint="eastAsia" w:ascii="宋体" w:hAnsi="宋体" w:eastAsia="宋体"/>
          <w:color w:val="auto"/>
          <w:sz w:val="24"/>
          <w:szCs w:val="24"/>
          <w:highlight w:val="none"/>
        </w:rPr>
        <w:t>签章）</w:t>
      </w:r>
    </w:p>
    <w:p w14:paraId="28FF1F9E">
      <w:pPr>
        <w:widowControl/>
        <w:wordWrap/>
        <w:adjustRightInd w:val="0"/>
        <w:snapToGrid w:val="0"/>
        <w:spacing w:after="0" w:afterLines="0" w:line="360" w:lineRule="auto"/>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身份证号码：</w:t>
      </w:r>
      <w:r>
        <w:rPr>
          <w:rFonts w:hint="eastAsia" w:ascii="宋体" w:hAnsi="宋体" w:eastAsia="宋体"/>
          <w:color w:val="auto"/>
          <w:sz w:val="24"/>
          <w:szCs w:val="24"/>
          <w:highlight w:val="none"/>
          <w:u w:val="single"/>
        </w:rPr>
        <w:t xml:space="preserve">                      </w:t>
      </w:r>
    </w:p>
    <w:p w14:paraId="1E65439D">
      <w:pPr>
        <w:widowControl/>
        <w:wordWrap/>
        <w:adjustRightInd w:val="0"/>
        <w:snapToGrid w:val="0"/>
        <w:spacing w:after="0" w:afterLines="0" w:line="360" w:lineRule="auto"/>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委托代理人：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（签字）</w:t>
      </w:r>
    </w:p>
    <w:p w14:paraId="2A8BC362">
      <w:pPr>
        <w:widowControl/>
        <w:wordWrap/>
        <w:adjustRightInd w:val="0"/>
        <w:snapToGrid w:val="0"/>
        <w:spacing w:after="0" w:afterLines="0" w:line="360" w:lineRule="auto"/>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身份证号码：</w:t>
      </w:r>
      <w:r>
        <w:rPr>
          <w:rFonts w:hint="eastAsia" w:ascii="宋体" w:hAnsi="宋体" w:eastAsia="宋体"/>
          <w:color w:val="auto"/>
          <w:sz w:val="24"/>
          <w:szCs w:val="24"/>
          <w:highlight w:val="none"/>
          <w:u w:val="single"/>
        </w:rPr>
        <w:t xml:space="preserve">                        </w:t>
      </w:r>
    </w:p>
    <w:p w14:paraId="19304315">
      <w:pPr>
        <w:widowControl/>
        <w:wordWrap/>
        <w:adjustRightInd w:val="0"/>
        <w:snapToGrid w:val="0"/>
        <w:spacing w:after="0" w:afterLines="0" w:line="360" w:lineRule="auto"/>
        <w:ind w:firstLine="480" w:firstLineChars="200"/>
        <w:textAlignment w:val="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val="en-US" w:eastAsia="zh-CN"/>
        </w:rPr>
        <w:t xml:space="preserve">           联系方式：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p>
    <w:p w14:paraId="7C2D2E9B">
      <w:pPr>
        <w:widowControl/>
        <w:wordWrap/>
        <w:adjustRightInd w:val="0"/>
        <w:snapToGrid w:val="0"/>
        <w:spacing w:after="0" w:afterLines="0" w:line="360" w:lineRule="auto"/>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val="en-US" w:eastAsia="zh-CN"/>
        </w:rPr>
        <w:t xml:space="preserve">      日     期：</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日</w:t>
      </w:r>
    </w:p>
    <w:p w14:paraId="2FE8EE96">
      <w:pPr>
        <w:pStyle w:val="3"/>
        <w:numPr>
          <w:ilvl w:val="1"/>
          <w:numId w:val="0"/>
        </w:numPr>
        <w:tabs>
          <w:tab w:val="left" w:pos="425"/>
        </w:tabs>
        <w:spacing w:line="480" w:lineRule="exact"/>
        <w:jc w:val="both"/>
        <w:rPr>
          <w:rFonts w:ascii="宋体" w:hAnsi="宋体"/>
          <w:bCs/>
          <w:color w:val="auto"/>
          <w:sz w:val="28"/>
          <w:szCs w:val="28"/>
          <w:highlight w:val="none"/>
        </w:rPr>
      </w:pPr>
      <w:bookmarkStart w:id="771" w:name="_Toc330365284"/>
      <w:bookmarkStart w:id="772" w:name="_Toc440880274"/>
      <w:bookmarkStart w:id="773" w:name="_Toc402538050"/>
      <w:bookmarkStart w:id="774" w:name="_Toc402538244"/>
      <w:bookmarkStart w:id="775" w:name="_Toc301970919"/>
      <w:bookmarkStart w:id="776" w:name="_Toc402538863"/>
      <w:bookmarkStart w:id="777" w:name="_Toc440880275"/>
      <w:bookmarkStart w:id="778" w:name="_Toc380136448"/>
    </w:p>
    <w:bookmarkEnd w:id="771"/>
    <w:bookmarkEnd w:id="772"/>
    <w:bookmarkEnd w:id="773"/>
    <w:bookmarkEnd w:id="774"/>
    <w:bookmarkEnd w:id="775"/>
    <w:bookmarkEnd w:id="776"/>
    <w:p w14:paraId="49E52F08">
      <w:pPr>
        <w:pStyle w:val="14"/>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auto"/>
        <w:rPr>
          <w:rFonts w:hint="eastAsia" w:ascii="宋体" w:hAnsi="宋体" w:cs="宋体"/>
          <w:color w:val="000000"/>
          <w:kern w:val="0"/>
          <w:sz w:val="24"/>
          <w:szCs w:val="24"/>
        </w:rPr>
      </w:pPr>
      <w:r>
        <w:rPr>
          <w:rFonts w:hint="eastAsia" w:ascii="宋体" w:hAnsi="宋体" w:cs="宋体"/>
          <w:b/>
          <w:bCs/>
          <w:color w:val="auto"/>
          <w:sz w:val="24"/>
          <w:szCs w:val="24"/>
          <w:highlight w:val="none"/>
        </w:rPr>
        <w:t>注：因</w:t>
      </w:r>
      <w:r>
        <w:rPr>
          <w:rFonts w:hint="eastAsia" w:ascii="宋体" w:hAnsi="宋体" w:cs="宋体"/>
          <w:b/>
          <w:bCs/>
          <w:color w:val="auto"/>
          <w:sz w:val="24"/>
          <w:szCs w:val="24"/>
          <w:highlight w:val="none"/>
          <w:lang w:val="en-US" w:eastAsia="zh-CN"/>
        </w:rPr>
        <w:t>响应</w:t>
      </w:r>
      <w:r>
        <w:rPr>
          <w:rFonts w:hint="eastAsia" w:ascii="宋体" w:hAnsi="宋体" w:cs="宋体"/>
          <w:b/>
          <w:bCs/>
          <w:color w:val="auto"/>
          <w:sz w:val="24"/>
          <w:szCs w:val="24"/>
          <w:highlight w:val="none"/>
        </w:rPr>
        <w:t>文件中授权委托书授权代理人无法手写签字，可以以印刷体代替</w:t>
      </w:r>
      <w:r>
        <w:rPr>
          <w:rFonts w:hint="eastAsia" w:ascii="宋体" w:hAnsi="宋体" w:cs="宋体"/>
          <w:b/>
          <w:bCs/>
          <w:color w:val="auto"/>
          <w:sz w:val="24"/>
          <w:szCs w:val="24"/>
          <w:highlight w:val="none"/>
          <w:lang w:val="en-US" w:eastAsia="zh-CN"/>
        </w:rPr>
        <w:t>并加盖法定代表人签章</w:t>
      </w:r>
      <w:r>
        <w:rPr>
          <w:rFonts w:hint="eastAsia" w:ascii="宋体" w:hAnsi="宋体" w:cs="宋体"/>
          <w:b/>
          <w:bCs/>
          <w:color w:val="auto"/>
          <w:sz w:val="24"/>
          <w:szCs w:val="24"/>
          <w:highlight w:val="none"/>
        </w:rPr>
        <w:t>（印刷体为电脑打出的字体）。</w:t>
      </w:r>
    </w:p>
    <w:p w14:paraId="1400C3A9">
      <w:pPr>
        <w:spacing w:before="100" w:beforeLines="0" w:beforeAutospacing="1" w:after="100" w:afterLines="0" w:afterAutospacing="1" w:line="360" w:lineRule="auto"/>
        <w:rPr>
          <w:rFonts w:ascii="宋体" w:hAnsi="宋体" w:eastAsia="宋体"/>
          <w:color w:val="auto"/>
          <w:sz w:val="28"/>
          <w:szCs w:val="28"/>
          <w:highlight w:val="none"/>
        </w:rPr>
      </w:pPr>
    </w:p>
    <w:p w14:paraId="37E02C45">
      <w:pPr>
        <w:pStyle w:val="3"/>
        <w:numPr>
          <w:ilvl w:val="1"/>
          <w:numId w:val="0"/>
        </w:numPr>
        <w:tabs>
          <w:tab w:val="left" w:pos="425"/>
        </w:tabs>
        <w:spacing w:line="480" w:lineRule="exact"/>
        <w:jc w:val="center"/>
        <w:rPr>
          <w:rFonts w:ascii="宋体" w:hAnsi="宋体"/>
          <w:bCs/>
          <w:color w:val="auto"/>
          <w:sz w:val="28"/>
          <w:szCs w:val="28"/>
          <w:highlight w:val="none"/>
        </w:rPr>
      </w:pPr>
      <w:r>
        <w:rPr>
          <w:rFonts w:hint="eastAsia" w:ascii="宋体" w:hAnsi="宋体"/>
          <w:bCs/>
          <w:color w:val="auto"/>
          <w:sz w:val="28"/>
          <w:szCs w:val="28"/>
          <w:highlight w:val="none"/>
          <w:lang w:val="en-US" w:eastAsia="zh-CN"/>
        </w:rPr>
        <w:t>四</w:t>
      </w:r>
      <w:r>
        <w:rPr>
          <w:rFonts w:ascii="宋体" w:hAnsi="宋体"/>
          <w:bCs/>
          <w:color w:val="auto"/>
          <w:sz w:val="28"/>
          <w:szCs w:val="28"/>
          <w:highlight w:val="none"/>
        </w:rPr>
        <w:t>、</w:t>
      </w:r>
      <w:r>
        <w:rPr>
          <w:rFonts w:hint="eastAsia" w:ascii="宋体" w:hAnsi="宋体"/>
          <w:bCs/>
          <w:color w:val="auto"/>
          <w:sz w:val="28"/>
          <w:szCs w:val="28"/>
          <w:highlight w:val="none"/>
          <w:lang w:val="en-US" w:eastAsia="zh-CN"/>
        </w:rPr>
        <w:t>磋商</w:t>
      </w:r>
      <w:r>
        <w:rPr>
          <w:rFonts w:hint="eastAsia" w:ascii="宋体" w:hAnsi="宋体"/>
          <w:bCs/>
          <w:color w:val="auto"/>
          <w:sz w:val="28"/>
          <w:szCs w:val="28"/>
          <w:highlight w:val="none"/>
        </w:rPr>
        <w:t>承诺函</w:t>
      </w:r>
    </w:p>
    <w:p w14:paraId="3419599C">
      <w:pPr>
        <w:spacing w:line="360" w:lineRule="auto"/>
        <w:jc w:val="left"/>
        <w:rPr>
          <w:rFonts w:hint="eastAsia" w:ascii="宋体" w:hAnsi="宋体" w:eastAsia="宋体" w:cs="宋体"/>
          <w:bCs/>
          <w:color w:val="000000"/>
          <w:kern w:val="2"/>
          <w:sz w:val="24"/>
          <w:szCs w:val="24"/>
          <w:highlight w:val="none"/>
          <w:u w:val="single"/>
        </w:rPr>
      </w:pPr>
      <w:r>
        <w:rPr>
          <w:rFonts w:hint="eastAsia" w:ascii="宋体" w:hAnsi="宋体" w:eastAsia="宋体" w:cs="宋体"/>
          <w:color w:val="000000"/>
          <w:kern w:val="2"/>
          <w:sz w:val="24"/>
          <w:szCs w:val="24"/>
          <w:highlight w:val="none"/>
        </w:rPr>
        <w:t>致：</w:t>
      </w:r>
      <w:r>
        <w:rPr>
          <w:rFonts w:hint="eastAsia" w:ascii="宋体" w:hAnsi="宋体" w:eastAsia="宋体" w:cs="宋体"/>
          <w:bCs/>
          <w:color w:val="000000"/>
          <w:kern w:val="2"/>
          <w:sz w:val="24"/>
          <w:szCs w:val="24"/>
          <w:highlight w:val="none"/>
          <w:u w:val="single"/>
        </w:rPr>
        <w:t xml:space="preserve">  （采购人）      </w:t>
      </w:r>
    </w:p>
    <w:p w14:paraId="5678D772">
      <w:pPr>
        <w:autoSpaceDE w:val="0"/>
        <w:autoSpaceDN w:val="0"/>
        <w:adjustRightInd w:val="0"/>
        <w:spacing w:line="500" w:lineRule="exact"/>
        <w:ind w:firstLine="559" w:firstLineChars="233"/>
        <w:jc w:val="left"/>
        <w:rPr>
          <w:rFonts w:hint="eastAsia" w:ascii="宋体" w:hAnsi="宋体" w:eastAsia="宋体" w:cs="宋体"/>
          <w:color w:val="000000"/>
          <w:kern w:val="2"/>
          <w:sz w:val="24"/>
          <w:szCs w:val="24"/>
          <w:highlight w:val="none"/>
        </w:rPr>
      </w:pPr>
      <w:r>
        <w:rPr>
          <w:rFonts w:hint="eastAsia" w:ascii="宋体" w:hAnsi="宋体" w:eastAsia="宋体" w:cs="宋体"/>
          <w:color w:val="000000"/>
          <w:sz w:val="24"/>
          <w:szCs w:val="24"/>
          <w:highlight w:val="none"/>
        </w:rPr>
        <w:t>我方已充分了解了</w:t>
      </w:r>
      <w:r>
        <w:rPr>
          <w:rFonts w:hint="eastAsia" w:ascii="宋体" w:hAnsi="宋体" w:eastAsia="宋体" w:cs="宋体"/>
          <w:color w:val="000000"/>
          <w:sz w:val="24"/>
          <w:szCs w:val="24"/>
          <w:highlight w:val="none"/>
          <w:u w:val="single"/>
        </w:rPr>
        <w:t>（项目名称）（项目编号）</w:t>
      </w:r>
      <w:r>
        <w:rPr>
          <w:rFonts w:hint="eastAsia" w:ascii="宋体" w:hAnsi="宋体" w:eastAsia="宋体" w:cs="宋体"/>
          <w:color w:val="000000"/>
          <w:kern w:val="2"/>
          <w:sz w:val="24"/>
          <w:szCs w:val="24"/>
          <w:highlight w:val="none"/>
        </w:rPr>
        <w:t>的</w:t>
      </w:r>
      <w:r>
        <w:rPr>
          <w:rFonts w:hint="eastAsia" w:ascii="宋体" w:hAnsi="宋体" w:eastAsia="宋体" w:cs="宋体"/>
          <w:color w:val="000000"/>
          <w:kern w:val="2"/>
          <w:sz w:val="24"/>
          <w:szCs w:val="24"/>
          <w:highlight w:val="none"/>
          <w:lang w:val="en-US" w:eastAsia="zh-CN"/>
        </w:rPr>
        <w:t>磋商</w:t>
      </w:r>
      <w:r>
        <w:rPr>
          <w:rFonts w:hint="eastAsia" w:ascii="宋体" w:hAnsi="宋体" w:eastAsia="宋体" w:cs="宋体"/>
          <w:color w:val="000000"/>
          <w:kern w:val="2"/>
          <w:sz w:val="24"/>
          <w:szCs w:val="24"/>
          <w:highlight w:val="none"/>
        </w:rPr>
        <w:t>文件，愿意遵照本项目有关规定参与</w:t>
      </w:r>
      <w:r>
        <w:rPr>
          <w:rFonts w:hint="eastAsia" w:ascii="宋体" w:hAnsi="宋体" w:eastAsia="宋体" w:cs="宋体"/>
          <w:color w:val="000000"/>
          <w:kern w:val="2"/>
          <w:sz w:val="24"/>
          <w:szCs w:val="24"/>
          <w:highlight w:val="none"/>
          <w:lang w:val="en-US" w:eastAsia="zh-CN"/>
        </w:rPr>
        <w:t>磋商</w:t>
      </w:r>
      <w:r>
        <w:rPr>
          <w:rFonts w:hint="eastAsia" w:ascii="宋体" w:hAnsi="宋体" w:eastAsia="宋体" w:cs="宋体"/>
          <w:color w:val="000000"/>
          <w:kern w:val="2"/>
          <w:sz w:val="24"/>
          <w:szCs w:val="24"/>
          <w:highlight w:val="none"/>
        </w:rPr>
        <w:t>，并承诺如下：</w:t>
      </w:r>
    </w:p>
    <w:p w14:paraId="6216D53F">
      <w:pPr>
        <w:spacing w:line="560" w:lineRule="exact"/>
        <w:ind w:firstLine="480" w:firstLineChars="200"/>
        <w:rPr>
          <w:rFonts w:ascii="宋体" w:hAnsi="宋体" w:cs="宋体"/>
          <w:sz w:val="24"/>
        </w:rPr>
      </w:pPr>
      <w:r>
        <w:rPr>
          <w:rFonts w:hint="eastAsia" w:ascii="宋体" w:hAnsi="宋体" w:cs="宋体"/>
          <w:sz w:val="24"/>
        </w:rPr>
        <w:t>一、具备《中华人民共和国政府采购法》第二十二条第一款和本项目规定的条件：</w:t>
      </w:r>
    </w:p>
    <w:p w14:paraId="298D628E">
      <w:pPr>
        <w:spacing w:line="560" w:lineRule="exact"/>
        <w:ind w:firstLine="480" w:firstLineChars="200"/>
        <w:rPr>
          <w:rFonts w:ascii="宋体" w:hAnsi="宋体" w:cs="宋体"/>
          <w:sz w:val="24"/>
        </w:rPr>
      </w:pPr>
      <w:r>
        <w:rPr>
          <w:rFonts w:hint="eastAsia" w:ascii="宋体" w:hAnsi="宋体" w:cs="宋体"/>
          <w:sz w:val="24"/>
        </w:rPr>
        <w:t>（一）具有独立承担民事责任的能力；</w:t>
      </w:r>
    </w:p>
    <w:p w14:paraId="20D1DC25">
      <w:pPr>
        <w:spacing w:line="560" w:lineRule="exact"/>
        <w:ind w:firstLine="480" w:firstLineChars="200"/>
        <w:rPr>
          <w:rFonts w:ascii="宋体" w:hAnsi="宋体" w:cs="宋体"/>
          <w:sz w:val="24"/>
        </w:rPr>
      </w:pPr>
      <w:r>
        <w:rPr>
          <w:rFonts w:hint="eastAsia" w:ascii="宋体" w:hAnsi="宋体" w:cs="宋体"/>
          <w:sz w:val="24"/>
        </w:rPr>
        <w:t>（二）具有良好的商业信誉和健全的财务会计制度；</w:t>
      </w:r>
    </w:p>
    <w:p w14:paraId="46B1B7A9">
      <w:pPr>
        <w:spacing w:line="560" w:lineRule="exact"/>
        <w:ind w:firstLine="480" w:firstLineChars="200"/>
        <w:rPr>
          <w:rFonts w:ascii="宋体" w:hAnsi="宋体" w:cs="宋体"/>
          <w:sz w:val="24"/>
        </w:rPr>
      </w:pPr>
      <w:r>
        <w:rPr>
          <w:rFonts w:hint="eastAsia" w:ascii="宋体" w:hAnsi="宋体" w:cs="宋体"/>
          <w:sz w:val="24"/>
        </w:rPr>
        <w:t>（三）具有履行合同所必需的设备和专业技术能力；</w:t>
      </w:r>
    </w:p>
    <w:p w14:paraId="6EE69839">
      <w:pPr>
        <w:spacing w:line="560" w:lineRule="exact"/>
        <w:ind w:firstLine="480" w:firstLineChars="200"/>
        <w:rPr>
          <w:rFonts w:ascii="宋体" w:hAnsi="宋体" w:cs="宋体"/>
          <w:sz w:val="24"/>
        </w:rPr>
      </w:pPr>
      <w:r>
        <w:rPr>
          <w:rFonts w:hint="eastAsia" w:ascii="宋体" w:hAnsi="宋体" w:cs="宋体"/>
          <w:sz w:val="24"/>
        </w:rPr>
        <w:t>（四）有依法缴纳税收和社会保障资金的良好记录；</w:t>
      </w:r>
    </w:p>
    <w:p w14:paraId="3BB3C13E">
      <w:pPr>
        <w:spacing w:line="560" w:lineRule="exact"/>
        <w:ind w:firstLine="480" w:firstLineChars="200"/>
        <w:rPr>
          <w:rFonts w:ascii="宋体" w:hAnsi="宋体" w:cs="宋体"/>
          <w:sz w:val="24"/>
        </w:rPr>
      </w:pPr>
      <w:r>
        <w:rPr>
          <w:rFonts w:hint="eastAsia" w:ascii="宋体" w:hAnsi="宋体" w:cs="宋体"/>
          <w:sz w:val="24"/>
        </w:rPr>
        <w:t>（五）参加政府采购活动前三年内，在经营活动中没有重大违法记录；</w:t>
      </w:r>
    </w:p>
    <w:p w14:paraId="7CF293BC">
      <w:pPr>
        <w:spacing w:line="560" w:lineRule="exact"/>
        <w:ind w:firstLine="480" w:firstLineChars="200"/>
        <w:rPr>
          <w:rFonts w:ascii="宋体" w:hAnsi="宋体" w:cs="宋体"/>
          <w:sz w:val="24"/>
        </w:rPr>
      </w:pPr>
      <w:r>
        <w:rPr>
          <w:rFonts w:hint="eastAsia" w:ascii="宋体" w:hAnsi="宋体" w:cs="宋体"/>
          <w:sz w:val="24"/>
        </w:rPr>
        <w:t>（六）法律、行政法规规定的其他条件；</w:t>
      </w:r>
    </w:p>
    <w:p w14:paraId="38F002F3">
      <w:pPr>
        <w:spacing w:line="560" w:lineRule="exact"/>
        <w:ind w:firstLine="480" w:firstLineChars="200"/>
        <w:rPr>
          <w:rFonts w:ascii="宋体" w:hAnsi="宋体" w:cs="宋体"/>
          <w:sz w:val="24"/>
        </w:rPr>
      </w:pPr>
      <w:r>
        <w:rPr>
          <w:rFonts w:hint="eastAsia" w:ascii="宋体" w:hAnsi="宋体" w:cs="宋体"/>
          <w:sz w:val="24"/>
        </w:rPr>
        <w:t>（七）根据采购项目提出的特殊条件。</w:t>
      </w:r>
    </w:p>
    <w:p w14:paraId="61A13671">
      <w:pPr>
        <w:spacing w:line="560" w:lineRule="exact"/>
        <w:ind w:firstLine="480" w:firstLineChars="200"/>
        <w:rPr>
          <w:rFonts w:ascii="宋体" w:hAnsi="宋体" w:cs="宋体"/>
          <w:sz w:val="24"/>
        </w:rPr>
      </w:pPr>
      <w:r>
        <w:rPr>
          <w:rFonts w:hint="eastAsia" w:ascii="宋体" w:hAnsi="宋体" w:cs="宋体"/>
          <w:sz w:val="24"/>
        </w:rPr>
        <w:t>二、完全接受和满足本项目</w:t>
      </w:r>
      <w:r>
        <w:rPr>
          <w:rFonts w:hint="eastAsia" w:ascii="宋体" w:hAnsi="宋体" w:cs="宋体"/>
          <w:sz w:val="24"/>
          <w:lang w:val="en-US" w:eastAsia="zh-CN"/>
        </w:rPr>
        <w:t>磋商</w:t>
      </w:r>
      <w:r>
        <w:rPr>
          <w:rFonts w:hint="eastAsia" w:ascii="宋体" w:hAnsi="宋体" w:cs="宋体"/>
          <w:sz w:val="24"/>
        </w:rPr>
        <w:t>文件中规定的实质性要求，如对</w:t>
      </w:r>
      <w:r>
        <w:rPr>
          <w:rFonts w:hint="eastAsia" w:ascii="宋体" w:hAnsi="宋体" w:cs="宋体"/>
          <w:sz w:val="24"/>
          <w:lang w:val="en-US" w:eastAsia="zh-CN"/>
        </w:rPr>
        <w:t>磋商</w:t>
      </w:r>
      <w:r>
        <w:rPr>
          <w:rFonts w:hint="eastAsia" w:ascii="宋体" w:hAnsi="宋体" w:cs="宋体"/>
          <w:sz w:val="24"/>
        </w:rPr>
        <w:t>文件有异议，已经在</w:t>
      </w:r>
      <w:r>
        <w:rPr>
          <w:rFonts w:hint="eastAsia" w:ascii="宋体" w:hAnsi="宋体" w:cs="宋体"/>
          <w:sz w:val="24"/>
          <w:lang w:val="en-US" w:eastAsia="zh-CN"/>
        </w:rPr>
        <w:t>磋商</w:t>
      </w:r>
      <w:r>
        <w:rPr>
          <w:rFonts w:hint="eastAsia" w:ascii="宋体" w:hAnsi="宋体" w:cs="宋体"/>
          <w:sz w:val="24"/>
        </w:rPr>
        <w:t>截止时间届满前依法进行维权救济，不存在对</w:t>
      </w:r>
      <w:r>
        <w:rPr>
          <w:rFonts w:hint="eastAsia" w:ascii="宋体" w:hAnsi="宋体" w:cs="宋体"/>
          <w:sz w:val="24"/>
          <w:lang w:val="en-US" w:eastAsia="zh-CN"/>
        </w:rPr>
        <w:t>磋商</w:t>
      </w:r>
      <w:r>
        <w:rPr>
          <w:rFonts w:hint="eastAsia" w:ascii="宋体" w:hAnsi="宋体" w:cs="宋体"/>
          <w:sz w:val="24"/>
        </w:rPr>
        <w:t>文件有异议的同时又参加</w:t>
      </w:r>
      <w:r>
        <w:rPr>
          <w:rFonts w:hint="eastAsia" w:ascii="宋体" w:hAnsi="宋体" w:cs="宋体"/>
          <w:sz w:val="24"/>
          <w:lang w:val="en-US" w:eastAsia="zh-CN"/>
        </w:rPr>
        <w:t>磋商</w:t>
      </w:r>
      <w:r>
        <w:rPr>
          <w:rFonts w:hint="eastAsia" w:ascii="宋体" w:hAnsi="宋体" w:cs="宋体"/>
          <w:sz w:val="24"/>
        </w:rPr>
        <w:t>以求侥幸</w:t>
      </w:r>
      <w:r>
        <w:rPr>
          <w:rFonts w:hint="eastAsia" w:ascii="宋体" w:hAnsi="宋体" w:cs="宋体"/>
          <w:sz w:val="24"/>
          <w:lang w:val="en-US" w:eastAsia="zh-CN"/>
        </w:rPr>
        <w:t>成交</w:t>
      </w:r>
      <w:r>
        <w:rPr>
          <w:rFonts w:hint="eastAsia" w:ascii="宋体" w:hAnsi="宋体" w:cs="宋体"/>
          <w:sz w:val="24"/>
        </w:rPr>
        <w:t>或者为实现其他非法目的的行为。</w:t>
      </w:r>
    </w:p>
    <w:p w14:paraId="1E404A57">
      <w:pPr>
        <w:spacing w:line="560" w:lineRule="exact"/>
        <w:ind w:firstLine="480" w:firstLineChars="200"/>
        <w:rPr>
          <w:rFonts w:ascii="宋体" w:hAnsi="宋体" w:cs="宋体"/>
          <w:sz w:val="24"/>
        </w:rPr>
      </w:pPr>
      <w:r>
        <w:rPr>
          <w:rFonts w:hint="eastAsia" w:ascii="宋体" w:hAnsi="宋体" w:cs="宋体"/>
          <w:sz w:val="24"/>
        </w:rPr>
        <w:t>三、参加本次采购活动，不存在与单位负责人为同一人或者存在直接控股、管理关系的其他供应商参与同一合同项下的政府采购活动的行为。</w:t>
      </w:r>
    </w:p>
    <w:p w14:paraId="208A2087">
      <w:pPr>
        <w:spacing w:line="560" w:lineRule="exact"/>
        <w:ind w:firstLine="480" w:firstLineChars="200"/>
        <w:rPr>
          <w:rFonts w:ascii="宋体" w:hAnsi="宋体" w:cs="宋体"/>
          <w:sz w:val="24"/>
        </w:rPr>
      </w:pPr>
      <w:r>
        <w:rPr>
          <w:rFonts w:hint="eastAsia" w:ascii="宋体" w:hAnsi="宋体" w:cs="宋体"/>
          <w:sz w:val="24"/>
        </w:rPr>
        <w:t>四、参加本次采购活动，不存在为采购项目提供整体设计、规范编制或者项目管理、监理、检测等服务的行为。</w:t>
      </w:r>
    </w:p>
    <w:p w14:paraId="4AE79FCE">
      <w:pPr>
        <w:spacing w:line="560" w:lineRule="exact"/>
        <w:ind w:firstLine="480" w:firstLineChars="200"/>
        <w:rPr>
          <w:rFonts w:ascii="宋体" w:hAnsi="宋体" w:cs="宋体"/>
          <w:sz w:val="24"/>
        </w:rPr>
      </w:pPr>
      <w:r>
        <w:rPr>
          <w:rFonts w:hint="eastAsia" w:ascii="宋体" w:hAnsi="宋体" w:cs="宋体"/>
          <w:sz w:val="24"/>
        </w:rPr>
        <w:t>五、参加本次采购活动，不存在和其他供应商在同一合同项下的采购项目中，同时委托同一个自然人、同一家庭的人员、同一单位的人员作为代理人的行为。</w:t>
      </w:r>
    </w:p>
    <w:p w14:paraId="234EDAA5">
      <w:pPr>
        <w:spacing w:line="560" w:lineRule="exact"/>
        <w:ind w:firstLine="480" w:firstLineChars="200"/>
        <w:rPr>
          <w:rFonts w:ascii="宋体" w:hAnsi="宋体" w:cs="宋体"/>
          <w:sz w:val="24"/>
        </w:rPr>
      </w:pPr>
      <w:r>
        <w:rPr>
          <w:rFonts w:hint="eastAsia" w:ascii="宋体" w:hAnsi="宋体" w:cs="宋体"/>
          <w:sz w:val="24"/>
        </w:rPr>
        <w:t>六、供应商参加本次政府采购活动要求在近三年内供应商和其法定代表人没有行贿犯罪行为。</w:t>
      </w:r>
    </w:p>
    <w:p w14:paraId="23EBEA3D">
      <w:pPr>
        <w:spacing w:line="560" w:lineRule="exact"/>
        <w:ind w:firstLine="480" w:firstLineChars="200"/>
        <w:rPr>
          <w:rFonts w:ascii="宋体" w:hAnsi="宋体" w:cs="宋体"/>
          <w:sz w:val="24"/>
        </w:rPr>
      </w:pPr>
      <w:r>
        <w:rPr>
          <w:rFonts w:hint="eastAsia" w:ascii="宋体" w:hAnsi="宋体" w:cs="宋体"/>
          <w:sz w:val="24"/>
        </w:rPr>
        <w:t>七、参加本次采购活动，不存在联合体</w:t>
      </w:r>
      <w:r>
        <w:rPr>
          <w:rFonts w:hint="eastAsia" w:ascii="宋体" w:hAnsi="宋体" w:cs="宋体"/>
          <w:sz w:val="24"/>
          <w:lang w:val="en-US" w:eastAsia="zh-CN"/>
        </w:rPr>
        <w:t>磋商</w:t>
      </w:r>
      <w:r>
        <w:rPr>
          <w:rFonts w:hint="eastAsia" w:ascii="宋体" w:hAnsi="宋体" w:cs="宋体"/>
          <w:sz w:val="24"/>
        </w:rPr>
        <w:t>。</w:t>
      </w:r>
    </w:p>
    <w:p w14:paraId="77CF52C1">
      <w:pPr>
        <w:spacing w:line="560" w:lineRule="exact"/>
        <w:ind w:firstLine="480" w:firstLineChars="200"/>
        <w:rPr>
          <w:rFonts w:ascii="宋体" w:hAnsi="宋体" w:cs="宋体"/>
          <w:sz w:val="24"/>
        </w:rPr>
      </w:pPr>
      <w:r>
        <w:rPr>
          <w:rFonts w:hint="eastAsia" w:ascii="宋体" w:hAnsi="宋体" w:cs="宋体"/>
          <w:sz w:val="24"/>
        </w:rPr>
        <w:t>八、</w:t>
      </w:r>
      <w:r>
        <w:rPr>
          <w:rFonts w:hint="eastAsia" w:ascii="宋体" w:hAnsi="宋体" w:cs="宋体"/>
          <w:sz w:val="24"/>
          <w:lang w:val="en-US" w:eastAsia="zh-CN"/>
        </w:rPr>
        <w:t>响应</w:t>
      </w:r>
      <w:r>
        <w:rPr>
          <w:rFonts w:hint="eastAsia" w:ascii="宋体" w:hAnsi="宋体" w:cs="宋体"/>
          <w:sz w:val="24"/>
        </w:rPr>
        <w:t>文件中提供的能够给予我公司带来优惠、好处的任何材料资料和技术、服务、商务等响应承诺情况都是真实的、有效的、合法的。</w:t>
      </w:r>
    </w:p>
    <w:p w14:paraId="344C733B">
      <w:pPr>
        <w:spacing w:line="560" w:lineRule="exact"/>
        <w:ind w:firstLine="480" w:firstLineChars="200"/>
        <w:rPr>
          <w:rFonts w:ascii="宋体" w:hAnsi="宋体" w:cs="宋体"/>
          <w:sz w:val="24"/>
        </w:rPr>
      </w:pPr>
      <w:r>
        <w:rPr>
          <w:rFonts w:hint="eastAsia" w:ascii="宋体" w:hAnsi="宋体" w:cs="宋体"/>
          <w:sz w:val="24"/>
        </w:rPr>
        <w:t>九、存在以下行为之一的愿意接受相关部门的处理：</w:t>
      </w:r>
    </w:p>
    <w:p w14:paraId="406F12FD">
      <w:pPr>
        <w:spacing w:line="560" w:lineRule="exact"/>
        <w:ind w:firstLine="480" w:firstLineChars="200"/>
        <w:rPr>
          <w:rFonts w:ascii="宋体" w:hAnsi="宋体" w:cs="宋体"/>
          <w:sz w:val="24"/>
        </w:rPr>
      </w:pPr>
      <w:r>
        <w:rPr>
          <w:rFonts w:hint="eastAsia" w:ascii="宋体" w:hAnsi="宋体" w:cs="宋体"/>
          <w:sz w:val="24"/>
        </w:rPr>
        <w:t>（一）</w:t>
      </w:r>
      <w:r>
        <w:rPr>
          <w:rFonts w:hint="eastAsia" w:ascii="宋体" w:hAnsi="宋体" w:cs="宋体"/>
          <w:sz w:val="24"/>
          <w:lang w:val="en-US" w:eastAsia="zh-CN"/>
        </w:rPr>
        <w:t>磋商</w:t>
      </w:r>
      <w:r>
        <w:rPr>
          <w:rFonts w:hint="eastAsia" w:ascii="宋体" w:hAnsi="宋体" w:cs="宋体"/>
          <w:sz w:val="24"/>
        </w:rPr>
        <w:t>有效期内撤销</w:t>
      </w:r>
      <w:r>
        <w:rPr>
          <w:rFonts w:hint="eastAsia" w:ascii="宋体" w:hAnsi="宋体" w:cs="宋体"/>
          <w:sz w:val="24"/>
          <w:lang w:val="en-US" w:eastAsia="zh-CN"/>
        </w:rPr>
        <w:t>响应</w:t>
      </w:r>
      <w:r>
        <w:rPr>
          <w:rFonts w:hint="eastAsia" w:ascii="宋体" w:hAnsi="宋体" w:cs="宋体"/>
          <w:sz w:val="24"/>
        </w:rPr>
        <w:t>文件的；</w:t>
      </w:r>
    </w:p>
    <w:p w14:paraId="578DA3E1">
      <w:pPr>
        <w:spacing w:line="560" w:lineRule="exact"/>
        <w:ind w:firstLine="480" w:firstLineChars="200"/>
        <w:rPr>
          <w:rFonts w:ascii="宋体" w:hAnsi="宋体" w:cs="宋体"/>
          <w:sz w:val="24"/>
        </w:rPr>
      </w:pPr>
      <w:r>
        <w:rPr>
          <w:rFonts w:hint="eastAsia" w:ascii="宋体" w:hAnsi="宋体" w:cs="宋体"/>
          <w:sz w:val="24"/>
        </w:rPr>
        <w:t>（二）在采购人确定</w:t>
      </w:r>
      <w:r>
        <w:rPr>
          <w:rFonts w:hint="eastAsia" w:ascii="宋体" w:hAnsi="宋体" w:cs="宋体"/>
          <w:sz w:val="24"/>
          <w:lang w:val="en-US" w:eastAsia="zh-CN"/>
        </w:rPr>
        <w:t>比较</w:t>
      </w:r>
      <w:r>
        <w:rPr>
          <w:rFonts w:hint="eastAsia" w:ascii="宋体" w:hAnsi="宋体" w:cs="宋体"/>
          <w:sz w:val="24"/>
        </w:rPr>
        <w:t>人以前放弃中标候选资格的；</w:t>
      </w:r>
    </w:p>
    <w:p w14:paraId="10C8CB98">
      <w:pPr>
        <w:spacing w:line="560" w:lineRule="exact"/>
        <w:ind w:firstLine="480" w:firstLineChars="200"/>
        <w:rPr>
          <w:rFonts w:ascii="宋体" w:hAnsi="宋体" w:cs="宋体"/>
          <w:sz w:val="24"/>
        </w:rPr>
      </w:pPr>
      <w:r>
        <w:rPr>
          <w:rFonts w:hint="eastAsia" w:ascii="宋体" w:hAnsi="宋体" w:cs="宋体"/>
          <w:sz w:val="24"/>
        </w:rPr>
        <w:t>（三）由于</w:t>
      </w:r>
      <w:r>
        <w:rPr>
          <w:rFonts w:hint="eastAsia" w:ascii="宋体" w:hAnsi="宋体" w:cs="宋体"/>
          <w:sz w:val="24"/>
          <w:lang w:val="en-US" w:eastAsia="zh-CN"/>
        </w:rPr>
        <w:t>成交</w:t>
      </w:r>
      <w:r>
        <w:rPr>
          <w:rFonts w:hint="eastAsia" w:ascii="宋体" w:hAnsi="宋体" w:cs="宋体"/>
          <w:sz w:val="24"/>
        </w:rPr>
        <w:t>人的原因未能按照</w:t>
      </w:r>
      <w:r>
        <w:rPr>
          <w:rFonts w:hint="eastAsia" w:ascii="宋体" w:hAnsi="宋体" w:cs="宋体"/>
          <w:sz w:val="24"/>
          <w:lang w:val="en-US" w:eastAsia="zh-CN"/>
        </w:rPr>
        <w:t>磋商</w:t>
      </w:r>
      <w:r>
        <w:rPr>
          <w:rFonts w:hint="eastAsia" w:ascii="宋体" w:hAnsi="宋体" w:cs="宋体"/>
          <w:sz w:val="24"/>
        </w:rPr>
        <w:t>文件的规定与采购人签订合同；</w:t>
      </w:r>
    </w:p>
    <w:p w14:paraId="1EECA8EE">
      <w:pPr>
        <w:spacing w:line="560" w:lineRule="exact"/>
        <w:ind w:firstLine="480" w:firstLineChars="200"/>
        <w:rPr>
          <w:rFonts w:ascii="宋体" w:hAnsi="宋体" w:cs="宋体"/>
          <w:sz w:val="24"/>
        </w:rPr>
      </w:pPr>
      <w:r>
        <w:rPr>
          <w:rFonts w:hint="eastAsia" w:ascii="宋体" w:hAnsi="宋体" w:cs="宋体"/>
          <w:sz w:val="24"/>
        </w:rPr>
        <w:t>（四）在</w:t>
      </w:r>
      <w:r>
        <w:rPr>
          <w:rFonts w:hint="eastAsia" w:ascii="宋体" w:hAnsi="宋体" w:cs="宋体"/>
          <w:sz w:val="24"/>
          <w:lang w:val="en-US" w:eastAsia="zh-CN"/>
        </w:rPr>
        <w:t>响应</w:t>
      </w:r>
      <w:r>
        <w:rPr>
          <w:rFonts w:hint="eastAsia" w:ascii="宋体" w:hAnsi="宋体" w:cs="宋体"/>
          <w:sz w:val="24"/>
        </w:rPr>
        <w:t>文件中提供虚假材料谋取</w:t>
      </w:r>
      <w:r>
        <w:rPr>
          <w:rFonts w:hint="eastAsia" w:ascii="宋体" w:hAnsi="宋体" w:cs="宋体"/>
          <w:sz w:val="24"/>
          <w:lang w:val="en-US" w:eastAsia="zh-CN"/>
        </w:rPr>
        <w:t>成交</w:t>
      </w:r>
      <w:r>
        <w:rPr>
          <w:rFonts w:hint="eastAsia" w:ascii="宋体" w:hAnsi="宋体" w:cs="宋体"/>
          <w:sz w:val="24"/>
        </w:rPr>
        <w:t>；</w:t>
      </w:r>
    </w:p>
    <w:p w14:paraId="70545F85">
      <w:pPr>
        <w:spacing w:line="560" w:lineRule="exact"/>
        <w:ind w:firstLine="480" w:firstLineChars="200"/>
        <w:rPr>
          <w:rFonts w:ascii="宋体" w:hAnsi="宋体" w:cs="宋体"/>
          <w:sz w:val="24"/>
        </w:rPr>
      </w:pPr>
      <w:r>
        <w:rPr>
          <w:rFonts w:hint="eastAsia" w:ascii="宋体" w:hAnsi="宋体" w:cs="宋体"/>
          <w:sz w:val="24"/>
        </w:rPr>
        <w:t>（五）与采购人、其他供应商或者采购代理机构恶意串通的；</w:t>
      </w:r>
    </w:p>
    <w:p w14:paraId="43A399DD">
      <w:pPr>
        <w:spacing w:line="560" w:lineRule="exact"/>
        <w:ind w:firstLine="480" w:firstLineChars="200"/>
        <w:rPr>
          <w:rFonts w:ascii="宋体" w:hAnsi="宋体" w:cs="宋体"/>
          <w:sz w:val="24"/>
        </w:rPr>
      </w:pPr>
      <w:r>
        <w:rPr>
          <w:rFonts w:hint="eastAsia" w:ascii="宋体" w:hAnsi="宋体" w:cs="宋体"/>
          <w:sz w:val="24"/>
        </w:rPr>
        <w:t>（六）</w:t>
      </w:r>
      <w:r>
        <w:rPr>
          <w:rFonts w:hint="eastAsia" w:ascii="宋体" w:hAnsi="宋体" w:cs="宋体"/>
          <w:sz w:val="24"/>
          <w:lang w:val="en-US" w:eastAsia="zh-CN"/>
        </w:rPr>
        <w:t>磋商</w:t>
      </w:r>
      <w:r>
        <w:rPr>
          <w:rFonts w:hint="eastAsia" w:ascii="宋体" w:hAnsi="宋体" w:cs="宋体"/>
          <w:sz w:val="24"/>
        </w:rPr>
        <w:t>有效期内，供应商在政府采购活动中有违法、违规、违纪行为。</w:t>
      </w:r>
    </w:p>
    <w:p w14:paraId="3F48B0AC">
      <w:pPr>
        <w:spacing w:line="560" w:lineRule="exact"/>
        <w:ind w:firstLine="480" w:firstLineChars="200"/>
        <w:rPr>
          <w:rFonts w:ascii="宋体" w:hAnsi="宋体" w:cs="宋体"/>
          <w:sz w:val="24"/>
        </w:rPr>
      </w:pPr>
      <w:r>
        <w:rPr>
          <w:rFonts w:hint="eastAsia" w:ascii="宋体" w:hAnsi="宋体" w:cs="宋体"/>
          <w:sz w:val="24"/>
        </w:rPr>
        <w:t>由此产生的一切法律后果和责任由我公司承担。我公司声明放弃对此提出任何异议和追索的权利。</w:t>
      </w:r>
    </w:p>
    <w:p w14:paraId="6721CDC6">
      <w:pPr>
        <w:autoSpaceDE w:val="0"/>
        <w:autoSpaceDN w:val="0"/>
        <w:adjustRightInd w:val="0"/>
        <w:spacing w:line="500" w:lineRule="exact"/>
        <w:ind w:firstLine="559" w:firstLineChars="233"/>
        <w:jc w:val="left"/>
        <w:rPr>
          <w:rFonts w:hint="eastAsia" w:ascii="宋体" w:hAnsi="宋体" w:eastAsia="宋体" w:cs="宋体"/>
          <w:color w:val="000000"/>
          <w:kern w:val="2"/>
          <w:sz w:val="24"/>
          <w:szCs w:val="24"/>
          <w:highlight w:val="none"/>
        </w:rPr>
      </w:pPr>
      <w:r>
        <w:rPr>
          <w:rFonts w:hint="eastAsia" w:ascii="宋体" w:hAnsi="宋体" w:cs="宋体"/>
          <w:sz w:val="24"/>
        </w:rPr>
        <w:t>本公司对上述承诺的内容事项真实性负责。如经查实上述承诺的内容事项存在虚假，我公司愿意接受以提供虚假材料谋取中标追究法律责任。</w:t>
      </w:r>
    </w:p>
    <w:p w14:paraId="04AD8148">
      <w:pPr>
        <w:autoSpaceDE w:val="0"/>
        <w:autoSpaceDN w:val="0"/>
        <w:adjustRightInd w:val="0"/>
        <w:spacing w:line="500" w:lineRule="exact"/>
        <w:ind w:firstLine="564" w:firstLineChars="235"/>
        <w:jc w:val="left"/>
        <w:rPr>
          <w:rFonts w:hint="eastAsia" w:ascii="宋体" w:hAnsi="宋体" w:eastAsia="宋体" w:cs="宋体"/>
          <w:color w:val="000000"/>
          <w:sz w:val="24"/>
          <w:szCs w:val="24"/>
          <w:highlight w:val="none"/>
        </w:rPr>
      </w:pPr>
    </w:p>
    <w:p w14:paraId="774A55A9">
      <w:pPr>
        <w:pStyle w:val="20"/>
        <w:rPr>
          <w:rFonts w:hint="eastAsia" w:ascii="宋体" w:hAnsi="宋体" w:eastAsia="宋体" w:cs="宋体"/>
          <w:color w:val="000000"/>
          <w:sz w:val="24"/>
          <w:szCs w:val="24"/>
          <w:highlight w:val="none"/>
        </w:rPr>
      </w:pPr>
    </w:p>
    <w:p w14:paraId="5CC227FD">
      <w:pPr>
        <w:pStyle w:val="19"/>
        <w:rPr>
          <w:rFonts w:hint="eastAsia"/>
        </w:rPr>
      </w:pPr>
    </w:p>
    <w:p w14:paraId="5C5D1A62">
      <w:pPr>
        <w:widowControl/>
        <w:wordWrap/>
        <w:adjustRightInd w:val="0"/>
        <w:snapToGrid w:val="0"/>
        <w:spacing w:after="0" w:afterLines="0" w:line="480" w:lineRule="exact"/>
        <w:ind w:firstLine="3360" w:firstLineChars="1400"/>
        <w:jc w:val="both"/>
        <w:textAlignment w:val="auto"/>
        <w:outlineLvl w:val="0"/>
        <w:rPr>
          <w:rFonts w:hint="default" w:ascii="宋体" w:hAnsi="宋体" w:eastAsia="宋体"/>
          <w:color w:val="auto"/>
          <w:sz w:val="24"/>
          <w:szCs w:val="24"/>
          <w:highlight w:val="none"/>
          <w:lang w:val="en-US" w:eastAsia="zh-CN"/>
        </w:rPr>
      </w:pPr>
      <w:bookmarkStart w:id="779" w:name="_Toc17072"/>
      <w:bookmarkStart w:id="780" w:name="_Toc7242"/>
      <w:r>
        <w:rPr>
          <w:rFonts w:hint="eastAsia" w:ascii="宋体" w:hAnsi="宋体" w:eastAsia="宋体"/>
          <w:color w:val="auto"/>
          <w:sz w:val="24"/>
          <w:szCs w:val="24"/>
          <w:highlight w:val="none"/>
        </w:rPr>
        <w:t>供应商（企业电子签章）：</w:t>
      </w:r>
      <w:bookmarkEnd w:id="779"/>
      <w:bookmarkEnd w:id="780"/>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lang w:val="en-US" w:eastAsia="zh-CN"/>
        </w:rPr>
        <w:t xml:space="preserve">            </w:t>
      </w:r>
    </w:p>
    <w:p w14:paraId="1E2DFD02">
      <w:pPr>
        <w:widowControl/>
        <w:wordWrap/>
        <w:adjustRightInd w:val="0"/>
        <w:snapToGrid w:val="0"/>
        <w:spacing w:after="0" w:afterLines="0" w:line="480" w:lineRule="exact"/>
        <w:ind w:firstLine="3360" w:firstLineChars="1400"/>
        <w:jc w:val="both"/>
        <w:textAlignment w:val="auto"/>
        <w:outlineLvl w:val="0"/>
        <w:rPr>
          <w:rFonts w:hint="eastAsia" w:ascii="宋体" w:hAnsi="宋体" w:eastAsia="宋体"/>
          <w:color w:val="auto"/>
          <w:sz w:val="24"/>
          <w:szCs w:val="24"/>
          <w:highlight w:val="none"/>
        </w:rPr>
      </w:pPr>
      <w:bookmarkStart w:id="781" w:name="_Toc32472"/>
      <w:bookmarkStart w:id="782" w:name="_Toc31817"/>
      <w:r>
        <w:rPr>
          <w:rFonts w:hint="eastAsia" w:ascii="宋体" w:hAnsi="宋体" w:eastAsia="宋体"/>
          <w:color w:val="auto"/>
          <w:sz w:val="24"/>
          <w:szCs w:val="24"/>
          <w:highlight w:val="none"/>
        </w:rPr>
        <w:t>法定代表人(</w:t>
      </w:r>
      <w:r>
        <w:rPr>
          <w:rFonts w:hint="eastAsia" w:ascii="宋体" w:hAnsi="宋体" w:eastAsia="宋体"/>
          <w:color w:val="auto"/>
          <w:sz w:val="24"/>
          <w:szCs w:val="24"/>
          <w:highlight w:val="none"/>
          <w:lang w:val="en-US" w:eastAsia="zh-CN"/>
        </w:rPr>
        <w:t>电子</w:t>
      </w:r>
      <w:r>
        <w:rPr>
          <w:rFonts w:hint="eastAsia" w:ascii="宋体" w:hAnsi="宋体" w:eastAsia="宋体"/>
          <w:color w:val="auto"/>
          <w:sz w:val="24"/>
          <w:szCs w:val="24"/>
          <w:highlight w:val="none"/>
        </w:rPr>
        <w:t>签章)：</w:t>
      </w:r>
      <w:bookmarkEnd w:id="781"/>
      <w:bookmarkEnd w:id="782"/>
      <w:r>
        <w:rPr>
          <w:rFonts w:hint="eastAsia" w:ascii="宋体" w:hAnsi="宋体" w:eastAsia="宋体"/>
          <w:color w:val="auto"/>
          <w:sz w:val="24"/>
          <w:szCs w:val="24"/>
          <w:highlight w:val="none"/>
          <w:u w:val="single"/>
          <w:lang w:val="en-US" w:eastAsia="zh-CN"/>
        </w:rPr>
        <w:t xml:space="preserve">                             </w:t>
      </w:r>
    </w:p>
    <w:p w14:paraId="2D4FA3C3">
      <w:pPr>
        <w:widowControl/>
        <w:wordWrap/>
        <w:adjustRightInd w:val="0"/>
        <w:snapToGrid w:val="0"/>
        <w:spacing w:after="0" w:afterLines="0" w:line="480" w:lineRule="exact"/>
        <w:ind w:firstLine="3360" w:firstLineChars="1400"/>
        <w:jc w:val="both"/>
        <w:textAlignment w:val="auto"/>
        <w:outlineLvl w:val="0"/>
        <w:rPr>
          <w:rFonts w:hint="eastAsia" w:ascii="宋体" w:hAnsi="宋体" w:eastAsia="宋体"/>
          <w:color w:val="auto"/>
          <w:sz w:val="24"/>
          <w:szCs w:val="24"/>
          <w:highlight w:val="none"/>
        </w:rPr>
      </w:pPr>
      <w:bookmarkStart w:id="783" w:name="_Toc17387"/>
      <w:bookmarkStart w:id="784" w:name="_Toc2572"/>
      <w:r>
        <w:rPr>
          <w:rFonts w:hint="eastAsia" w:ascii="宋体" w:hAnsi="宋体" w:eastAsia="宋体"/>
          <w:color w:val="auto"/>
          <w:sz w:val="24"/>
          <w:szCs w:val="24"/>
          <w:highlight w:val="none"/>
        </w:rPr>
        <w:t>日</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期：</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 年</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月</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日</w:t>
      </w:r>
      <w:bookmarkEnd w:id="783"/>
      <w:bookmarkEnd w:id="784"/>
    </w:p>
    <w:p w14:paraId="37E9FF74">
      <w:pPr>
        <w:pStyle w:val="3"/>
        <w:numPr>
          <w:ilvl w:val="1"/>
          <w:numId w:val="0"/>
        </w:numPr>
        <w:tabs>
          <w:tab w:val="left" w:pos="425"/>
        </w:tabs>
        <w:spacing w:line="480" w:lineRule="exact"/>
        <w:rPr>
          <w:rFonts w:ascii="宋体" w:hAnsi="宋体"/>
          <w:bCs/>
          <w:color w:val="auto"/>
          <w:sz w:val="28"/>
          <w:szCs w:val="28"/>
          <w:highlight w:val="none"/>
        </w:rPr>
      </w:pPr>
    </w:p>
    <w:p w14:paraId="434E5A5E">
      <w:pPr>
        <w:pStyle w:val="4"/>
        <w:rPr>
          <w:rFonts w:ascii="宋体" w:hAnsi="宋体"/>
          <w:bCs/>
          <w:color w:val="auto"/>
          <w:sz w:val="28"/>
          <w:szCs w:val="28"/>
          <w:highlight w:val="none"/>
        </w:rPr>
      </w:pPr>
    </w:p>
    <w:p w14:paraId="0BB164FE">
      <w:pPr>
        <w:pStyle w:val="4"/>
        <w:rPr>
          <w:rFonts w:ascii="宋体" w:hAnsi="宋体"/>
          <w:bCs/>
          <w:color w:val="auto"/>
          <w:sz w:val="28"/>
          <w:szCs w:val="28"/>
          <w:highlight w:val="none"/>
        </w:rPr>
      </w:pPr>
    </w:p>
    <w:p w14:paraId="7DC7AE2C">
      <w:pPr>
        <w:pStyle w:val="4"/>
        <w:rPr>
          <w:rFonts w:ascii="宋体" w:hAnsi="宋体"/>
          <w:bCs/>
          <w:color w:val="auto"/>
          <w:sz w:val="28"/>
          <w:szCs w:val="28"/>
          <w:highlight w:val="none"/>
        </w:rPr>
      </w:pPr>
    </w:p>
    <w:p w14:paraId="1CBF9FC3">
      <w:pPr>
        <w:pStyle w:val="4"/>
        <w:rPr>
          <w:rFonts w:ascii="宋体" w:hAnsi="宋体"/>
          <w:bCs/>
          <w:color w:val="auto"/>
          <w:sz w:val="28"/>
          <w:szCs w:val="28"/>
          <w:highlight w:val="none"/>
        </w:rPr>
      </w:pPr>
    </w:p>
    <w:p w14:paraId="531FA1B7">
      <w:pPr>
        <w:pStyle w:val="4"/>
        <w:rPr>
          <w:rFonts w:ascii="宋体" w:hAnsi="宋体"/>
          <w:bCs/>
          <w:color w:val="auto"/>
          <w:sz w:val="28"/>
          <w:szCs w:val="28"/>
          <w:highlight w:val="none"/>
        </w:rPr>
      </w:pPr>
    </w:p>
    <w:p w14:paraId="2611EE3D">
      <w:pPr>
        <w:pStyle w:val="20"/>
        <w:numPr>
          <w:ilvl w:val="0"/>
          <w:numId w:val="0"/>
        </w:numPr>
        <w:ind w:leftChars="0"/>
        <w:jc w:val="center"/>
        <w:rPr>
          <w:rFonts w:hint="eastAsia" w:ascii="宋体" w:hAnsi="宋体"/>
          <w:b/>
          <w:bCs w:val="0"/>
          <w:color w:val="auto"/>
          <w:sz w:val="28"/>
          <w:szCs w:val="28"/>
          <w:highlight w:val="none"/>
          <w:lang w:val="en-US" w:eastAsia="zh-CN"/>
        </w:rPr>
      </w:pPr>
      <w:r>
        <w:rPr>
          <w:rFonts w:hint="eastAsia" w:ascii="宋体" w:hAnsi="宋体"/>
          <w:b/>
          <w:bCs w:val="0"/>
          <w:color w:val="auto"/>
          <w:sz w:val="28"/>
          <w:szCs w:val="28"/>
          <w:highlight w:val="none"/>
          <w:lang w:val="en-US" w:eastAsia="zh-CN"/>
        </w:rPr>
        <w:t>五、已标价工程量清单</w:t>
      </w:r>
    </w:p>
    <w:p w14:paraId="07BE5D79">
      <w:pPr>
        <w:pStyle w:val="20"/>
        <w:numPr>
          <w:ilvl w:val="0"/>
          <w:numId w:val="0"/>
        </w:numPr>
        <w:ind w:leftChars="0"/>
        <w:jc w:val="center"/>
        <w:rPr>
          <w:rFonts w:hint="eastAsia" w:ascii="宋体" w:hAnsi="宋体"/>
          <w:b/>
          <w:bCs w:val="0"/>
          <w:color w:val="auto"/>
          <w:sz w:val="28"/>
          <w:szCs w:val="28"/>
          <w:highlight w:val="none"/>
          <w:lang w:val="en-US" w:eastAsia="zh-CN"/>
        </w:rPr>
      </w:pPr>
    </w:p>
    <w:p w14:paraId="743981ED">
      <w:pPr>
        <w:pStyle w:val="20"/>
        <w:rPr>
          <w:rFonts w:hint="eastAsia"/>
          <w:lang w:val="en-US" w:eastAsia="zh-CN"/>
        </w:rPr>
      </w:pPr>
    </w:p>
    <w:p w14:paraId="36408393">
      <w:pPr>
        <w:pStyle w:val="19"/>
        <w:rPr>
          <w:rFonts w:hint="eastAsia"/>
          <w:lang w:val="en-US" w:eastAsia="zh-CN"/>
        </w:rPr>
      </w:pPr>
    </w:p>
    <w:p w14:paraId="312BBE53">
      <w:pPr>
        <w:pStyle w:val="20"/>
        <w:rPr>
          <w:rFonts w:hint="eastAsia"/>
          <w:lang w:val="en-US" w:eastAsia="zh-CN"/>
        </w:rPr>
      </w:pPr>
    </w:p>
    <w:p w14:paraId="4DC09824">
      <w:pPr>
        <w:pStyle w:val="19"/>
        <w:rPr>
          <w:rFonts w:hint="eastAsia"/>
          <w:lang w:val="en-US" w:eastAsia="zh-CN"/>
        </w:rPr>
      </w:pPr>
    </w:p>
    <w:p w14:paraId="105801E5">
      <w:pPr>
        <w:pStyle w:val="20"/>
        <w:rPr>
          <w:rFonts w:hint="eastAsia"/>
          <w:lang w:val="en-US" w:eastAsia="zh-CN"/>
        </w:rPr>
      </w:pPr>
    </w:p>
    <w:p w14:paraId="26A4926B">
      <w:pPr>
        <w:pStyle w:val="19"/>
        <w:rPr>
          <w:rFonts w:hint="eastAsia"/>
          <w:lang w:val="en-US" w:eastAsia="zh-CN"/>
        </w:rPr>
      </w:pPr>
    </w:p>
    <w:p w14:paraId="05E434AD">
      <w:pPr>
        <w:pStyle w:val="20"/>
        <w:rPr>
          <w:rFonts w:hint="eastAsia"/>
          <w:lang w:val="en-US" w:eastAsia="zh-CN"/>
        </w:rPr>
      </w:pPr>
    </w:p>
    <w:p w14:paraId="79F93131">
      <w:pPr>
        <w:pStyle w:val="19"/>
        <w:rPr>
          <w:rFonts w:hint="eastAsia"/>
          <w:lang w:val="en-US" w:eastAsia="zh-CN"/>
        </w:rPr>
      </w:pPr>
    </w:p>
    <w:p w14:paraId="69504B1C">
      <w:pPr>
        <w:pStyle w:val="20"/>
        <w:rPr>
          <w:rFonts w:hint="eastAsia"/>
          <w:lang w:val="en-US" w:eastAsia="zh-CN"/>
        </w:rPr>
      </w:pPr>
    </w:p>
    <w:p w14:paraId="21C1CED6">
      <w:pPr>
        <w:pStyle w:val="19"/>
        <w:rPr>
          <w:rFonts w:hint="default"/>
          <w:lang w:val="en-US" w:eastAsia="zh-CN"/>
        </w:rPr>
      </w:pPr>
    </w:p>
    <w:p w14:paraId="6236083A">
      <w:pPr>
        <w:pStyle w:val="20"/>
        <w:rPr>
          <w:rFonts w:hint="default"/>
          <w:lang w:val="en-US" w:eastAsia="zh-CN"/>
        </w:rPr>
      </w:pPr>
    </w:p>
    <w:p w14:paraId="72C1F037">
      <w:pPr>
        <w:pStyle w:val="19"/>
        <w:rPr>
          <w:rFonts w:hint="default"/>
          <w:lang w:val="en-US" w:eastAsia="zh-CN"/>
        </w:rPr>
      </w:pPr>
    </w:p>
    <w:p w14:paraId="6CB7015A">
      <w:pPr>
        <w:pStyle w:val="20"/>
        <w:rPr>
          <w:rFonts w:hint="default"/>
          <w:lang w:val="en-US" w:eastAsia="zh-CN"/>
        </w:rPr>
      </w:pPr>
    </w:p>
    <w:p w14:paraId="71C718E1">
      <w:pPr>
        <w:pStyle w:val="19"/>
        <w:rPr>
          <w:rFonts w:hint="default"/>
          <w:lang w:val="en-US" w:eastAsia="zh-CN"/>
        </w:rPr>
      </w:pPr>
    </w:p>
    <w:p w14:paraId="4843057E">
      <w:pPr>
        <w:pStyle w:val="20"/>
        <w:rPr>
          <w:rFonts w:hint="default"/>
          <w:lang w:val="en-US" w:eastAsia="zh-CN"/>
        </w:rPr>
      </w:pPr>
    </w:p>
    <w:p w14:paraId="27A98EB0">
      <w:pPr>
        <w:pStyle w:val="20"/>
        <w:ind w:left="0" w:leftChars="0" w:firstLine="0" w:firstLineChars="0"/>
        <w:jc w:val="center"/>
        <w:rPr>
          <w:rFonts w:hint="eastAsia" w:ascii="宋体" w:hAnsi="宋体"/>
          <w:b/>
          <w:bCs w:val="0"/>
          <w:color w:val="auto"/>
          <w:sz w:val="28"/>
          <w:szCs w:val="28"/>
          <w:highlight w:val="none"/>
          <w:lang w:val="en-US" w:eastAsia="zh-CN"/>
        </w:rPr>
      </w:pPr>
    </w:p>
    <w:p w14:paraId="01AE3261">
      <w:pPr>
        <w:pStyle w:val="20"/>
        <w:ind w:left="0" w:leftChars="0" w:firstLine="0" w:firstLineChars="0"/>
        <w:jc w:val="center"/>
        <w:rPr>
          <w:rFonts w:hint="eastAsia" w:ascii="宋体" w:hAnsi="宋体"/>
          <w:b/>
          <w:bCs w:val="0"/>
          <w:color w:val="auto"/>
          <w:sz w:val="28"/>
          <w:szCs w:val="28"/>
          <w:highlight w:val="none"/>
          <w:lang w:val="en-US" w:eastAsia="zh-CN"/>
        </w:rPr>
      </w:pPr>
    </w:p>
    <w:p w14:paraId="38AE92F4">
      <w:pPr>
        <w:pStyle w:val="20"/>
        <w:ind w:left="0" w:leftChars="0" w:firstLine="0" w:firstLineChars="0"/>
        <w:jc w:val="center"/>
        <w:rPr>
          <w:rFonts w:hint="default" w:eastAsia="Arial Unicode MS"/>
          <w:b/>
          <w:bCs w:val="0"/>
          <w:lang w:val="en-US" w:eastAsia="zh-CN"/>
        </w:rPr>
      </w:pPr>
      <w:r>
        <w:rPr>
          <w:rFonts w:hint="eastAsia" w:ascii="宋体" w:hAnsi="宋体"/>
          <w:b/>
          <w:bCs w:val="0"/>
          <w:color w:val="auto"/>
          <w:sz w:val="28"/>
          <w:szCs w:val="28"/>
          <w:highlight w:val="none"/>
          <w:lang w:val="en-US" w:eastAsia="zh-CN"/>
        </w:rPr>
        <w:t>六、施工组织设计</w:t>
      </w:r>
    </w:p>
    <w:bookmarkEnd w:id="777"/>
    <w:p w14:paraId="6FBA85EB">
      <w:pPr>
        <w:pStyle w:val="38"/>
        <w:jc w:val="center"/>
        <w:rPr>
          <w:rFonts w:hint="eastAsia"/>
        </w:rPr>
      </w:pPr>
      <w:bookmarkStart w:id="785" w:name="_Toc10000"/>
      <w:bookmarkStart w:id="786" w:name="_Toc282"/>
      <w:bookmarkStart w:id="787" w:name="_Toc25619"/>
      <w:bookmarkStart w:id="788" w:name="_Toc24704"/>
      <w:r>
        <w:rPr>
          <w:rFonts w:hint="eastAsia" w:hAnsi="宋体" w:cs="楷体_GB2312"/>
          <w:b/>
          <w:sz w:val="28"/>
          <w:szCs w:val="28"/>
        </w:rPr>
        <w:t>（依据本工程项目特点及技术分要求自行编制）</w:t>
      </w:r>
    </w:p>
    <w:p w14:paraId="24BFDB06">
      <w:pPr>
        <w:spacing w:line="480" w:lineRule="exact"/>
        <w:ind w:right="-340" w:rightChars="-162" w:firstLine="480" w:firstLineChars="200"/>
        <w:textAlignment w:val="center"/>
        <w:rPr>
          <w:rFonts w:hint="eastAsia" w:ascii="宋体" w:hAnsi="宋体" w:cs="仿宋_GB2312"/>
          <w:kern w:val="0"/>
          <w:sz w:val="24"/>
          <w:lang w:val="en-US" w:eastAsia="zh-CN"/>
        </w:rPr>
      </w:pPr>
      <w:r>
        <w:rPr>
          <w:rFonts w:hint="eastAsia" w:ascii="宋体" w:hAnsi="宋体"/>
          <w:sz w:val="24"/>
          <w:szCs w:val="21"/>
        </w:rPr>
        <w:t>1．</w:t>
      </w:r>
      <w:r>
        <w:rPr>
          <w:rFonts w:hint="eastAsia" w:ascii="宋体" w:hAnsi="宋体" w:cs="仿宋_GB2312"/>
          <w:kern w:val="0"/>
          <w:sz w:val="24"/>
          <w:lang w:val="en-US" w:eastAsia="zh-CN"/>
        </w:rPr>
        <w:t>供应商应根据竞争性磋商文件和对现场的勘察情况，采用文字并结合图表形式，参考以下要点编制本工程的施工组织设计：</w:t>
      </w:r>
    </w:p>
    <w:p w14:paraId="445CF3D5">
      <w:pPr>
        <w:spacing w:line="480" w:lineRule="exact"/>
        <w:ind w:right="-340" w:rightChars="-162" w:firstLine="480" w:firstLineChars="200"/>
        <w:textAlignment w:val="center"/>
        <w:rPr>
          <w:rFonts w:hint="eastAsia" w:ascii="宋体" w:hAnsi="宋体"/>
          <w:sz w:val="24"/>
          <w:szCs w:val="21"/>
        </w:rPr>
      </w:pPr>
      <w:r>
        <w:rPr>
          <w:rFonts w:hint="eastAsia" w:ascii="宋体" w:hAnsi="宋体"/>
          <w:sz w:val="24"/>
          <w:szCs w:val="21"/>
        </w:rPr>
        <w:t>2．施工组织设计除采用文字表述外可附下列图表，图表及格式要求附后。</w:t>
      </w:r>
    </w:p>
    <w:p w14:paraId="620A6A98">
      <w:pPr>
        <w:spacing w:line="480" w:lineRule="exact"/>
        <w:ind w:right="-340" w:rightChars="-162"/>
        <w:textAlignment w:val="center"/>
        <w:rPr>
          <w:rFonts w:hint="eastAsia" w:ascii="宋体" w:hAnsi="宋体"/>
          <w:sz w:val="24"/>
          <w:szCs w:val="21"/>
        </w:rPr>
      </w:pPr>
      <w:r>
        <w:rPr>
          <w:rFonts w:hint="eastAsia" w:ascii="宋体" w:hAnsi="宋体"/>
          <w:sz w:val="24"/>
          <w:szCs w:val="21"/>
        </w:rPr>
        <w:t xml:space="preserve">    附表一  拟投入本工程的主要施工设备表</w:t>
      </w:r>
    </w:p>
    <w:p w14:paraId="5A09B1F1">
      <w:pPr>
        <w:spacing w:line="480" w:lineRule="exact"/>
        <w:ind w:right="-340" w:rightChars="-162" w:firstLine="480" w:firstLineChars="200"/>
        <w:textAlignment w:val="center"/>
        <w:rPr>
          <w:rFonts w:hint="eastAsia" w:ascii="宋体" w:hAnsi="宋体"/>
          <w:sz w:val="24"/>
          <w:szCs w:val="21"/>
        </w:rPr>
      </w:pPr>
      <w:r>
        <w:rPr>
          <w:rFonts w:hint="eastAsia" w:ascii="宋体" w:hAnsi="宋体"/>
          <w:sz w:val="24"/>
          <w:szCs w:val="21"/>
        </w:rPr>
        <w:t>附表二  拟配备本工程的试验和检测仪器设备表</w:t>
      </w:r>
    </w:p>
    <w:p w14:paraId="117CDD18">
      <w:pPr>
        <w:spacing w:line="480" w:lineRule="exact"/>
        <w:ind w:right="-340" w:rightChars="-162" w:firstLine="480" w:firstLineChars="200"/>
        <w:textAlignment w:val="center"/>
        <w:rPr>
          <w:rFonts w:hint="eastAsia" w:ascii="宋体" w:hAnsi="宋体"/>
          <w:sz w:val="24"/>
          <w:szCs w:val="21"/>
        </w:rPr>
      </w:pPr>
      <w:r>
        <w:rPr>
          <w:rFonts w:hint="eastAsia" w:ascii="宋体" w:hAnsi="宋体"/>
          <w:sz w:val="24"/>
          <w:szCs w:val="21"/>
        </w:rPr>
        <w:t>附表三  劳动力计划表</w:t>
      </w:r>
    </w:p>
    <w:p w14:paraId="072BBE7B">
      <w:pPr>
        <w:spacing w:line="480" w:lineRule="exact"/>
        <w:ind w:right="-340" w:rightChars="-162" w:firstLine="480" w:firstLineChars="200"/>
        <w:textAlignment w:val="center"/>
        <w:rPr>
          <w:rFonts w:hint="eastAsia" w:ascii="宋体" w:hAnsi="宋体"/>
          <w:sz w:val="24"/>
          <w:szCs w:val="21"/>
        </w:rPr>
      </w:pPr>
      <w:r>
        <w:rPr>
          <w:rFonts w:hint="eastAsia" w:ascii="宋体" w:hAnsi="宋体"/>
          <w:sz w:val="24"/>
          <w:szCs w:val="21"/>
        </w:rPr>
        <w:t>附表四  计划开、竣工日期和施工进度网络图</w:t>
      </w:r>
    </w:p>
    <w:p w14:paraId="28C76C19">
      <w:pPr>
        <w:spacing w:line="480" w:lineRule="exact"/>
        <w:ind w:right="-340" w:rightChars="-162" w:firstLine="480" w:firstLineChars="200"/>
        <w:textAlignment w:val="center"/>
        <w:rPr>
          <w:rFonts w:hint="eastAsia" w:ascii="宋体" w:hAnsi="宋体"/>
          <w:sz w:val="24"/>
          <w:szCs w:val="21"/>
        </w:rPr>
      </w:pPr>
      <w:r>
        <w:rPr>
          <w:rFonts w:hint="eastAsia" w:ascii="宋体" w:hAnsi="宋体"/>
          <w:sz w:val="24"/>
          <w:szCs w:val="21"/>
        </w:rPr>
        <w:t>附表五  临时用地表</w:t>
      </w:r>
    </w:p>
    <w:p w14:paraId="2E261FB2">
      <w:pPr>
        <w:spacing w:line="480" w:lineRule="exact"/>
        <w:ind w:right="-340" w:rightChars="-162" w:firstLine="480" w:firstLineChars="200"/>
        <w:textAlignment w:val="center"/>
        <w:rPr>
          <w:rFonts w:hint="eastAsia" w:ascii="宋体" w:hAnsi="宋体"/>
          <w:sz w:val="24"/>
          <w:szCs w:val="21"/>
        </w:rPr>
      </w:pPr>
    </w:p>
    <w:p w14:paraId="0F8F584A">
      <w:pPr>
        <w:spacing w:before="120" w:beforeLines="50" w:after="240" w:afterLines="100" w:line="480" w:lineRule="exact"/>
        <w:ind w:right="-340" w:rightChars="-162"/>
        <w:textAlignment w:val="center"/>
        <w:rPr>
          <w:rFonts w:hint="eastAsia" w:ascii="宋体" w:hAnsi="宋体"/>
          <w:sz w:val="24"/>
        </w:rPr>
      </w:pPr>
    </w:p>
    <w:p w14:paraId="5ED58847">
      <w:pPr>
        <w:spacing w:before="120" w:beforeLines="50" w:after="240" w:afterLines="100" w:line="480" w:lineRule="exact"/>
        <w:ind w:right="-340" w:rightChars="-162"/>
        <w:textAlignment w:val="center"/>
        <w:rPr>
          <w:rFonts w:hint="eastAsia" w:ascii="宋体" w:hAnsi="宋体"/>
          <w:sz w:val="24"/>
        </w:rPr>
      </w:pPr>
      <w:r>
        <w:rPr>
          <w:rFonts w:ascii="宋体" w:hAnsi="宋体"/>
          <w:sz w:val="24"/>
        </w:rPr>
        <w:br w:type="page"/>
      </w:r>
      <w:r>
        <w:rPr>
          <w:rFonts w:hint="eastAsia" w:ascii="宋体" w:hAnsi="宋体"/>
          <w:sz w:val="24"/>
        </w:rPr>
        <w:t>附表一：拟投入本工程的主要施工设备表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672"/>
        <w:gridCol w:w="1022"/>
        <w:gridCol w:w="709"/>
        <w:gridCol w:w="709"/>
        <w:gridCol w:w="1176"/>
        <w:gridCol w:w="872"/>
        <w:gridCol w:w="872"/>
        <w:gridCol w:w="765"/>
      </w:tblGrid>
      <w:tr w14:paraId="17C27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44" w:type="dxa"/>
            <w:noWrap w:val="0"/>
            <w:vAlign w:val="center"/>
          </w:tcPr>
          <w:p w14:paraId="1431BA18">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序号</w:t>
            </w:r>
          </w:p>
        </w:tc>
        <w:tc>
          <w:tcPr>
            <w:tcW w:w="1064" w:type="dxa"/>
            <w:noWrap w:val="0"/>
            <w:vAlign w:val="center"/>
          </w:tcPr>
          <w:p w14:paraId="2D256CFA">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设备</w:t>
            </w:r>
          </w:p>
          <w:p w14:paraId="4722DAD5">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名称</w:t>
            </w:r>
          </w:p>
        </w:tc>
        <w:tc>
          <w:tcPr>
            <w:tcW w:w="672" w:type="dxa"/>
            <w:noWrap w:val="0"/>
            <w:vAlign w:val="center"/>
          </w:tcPr>
          <w:p w14:paraId="5A3FAB0B">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型号</w:t>
            </w:r>
          </w:p>
          <w:p w14:paraId="6F3D5742">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规格</w:t>
            </w:r>
          </w:p>
        </w:tc>
        <w:tc>
          <w:tcPr>
            <w:tcW w:w="1022" w:type="dxa"/>
            <w:noWrap w:val="0"/>
            <w:vAlign w:val="center"/>
          </w:tcPr>
          <w:p w14:paraId="4A10763B">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数  量</w:t>
            </w:r>
          </w:p>
        </w:tc>
        <w:tc>
          <w:tcPr>
            <w:tcW w:w="709" w:type="dxa"/>
            <w:noWrap w:val="0"/>
            <w:vAlign w:val="center"/>
          </w:tcPr>
          <w:p w14:paraId="45609E6B">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国别</w:t>
            </w:r>
          </w:p>
          <w:p w14:paraId="60541072">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产地</w:t>
            </w:r>
          </w:p>
        </w:tc>
        <w:tc>
          <w:tcPr>
            <w:tcW w:w="709" w:type="dxa"/>
            <w:noWrap w:val="0"/>
            <w:vAlign w:val="center"/>
          </w:tcPr>
          <w:p w14:paraId="25E298B1">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制造</w:t>
            </w:r>
          </w:p>
          <w:p w14:paraId="305DA648">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年份</w:t>
            </w:r>
          </w:p>
        </w:tc>
        <w:tc>
          <w:tcPr>
            <w:tcW w:w="1176" w:type="dxa"/>
            <w:noWrap w:val="0"/>
            <w:vAlign w:val="center"/>
          </w:tcPr>
          <w:p w14:paraId="3BC7365B">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额定功率</w:t>
            </w:r>
          </w:p>
          <w:p w14:paraId="63284A2E">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（KW）</w:t>
            </w:r>
          </w:p>
        </w:tc>
        <w:tc>
          <w:tcPr>
            <w:tcW w:w="872" w:type="dxa"/>
            <w:noWrap w:val="0"/>
            <w:vAlign w:val="center"/>
          </w:tcPr>
          <w:p w14:paraId="17DC1599">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生产</w:t>
            </w:r>
          </w:p>
          <w:p w14:paraId="51651639">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能力</w:t>
            </w:r>
          </w:p>
        </w:tc>
        <w:tc>
          <w:tcPr>
            <w:tcW w:w="872" w:type="dxa"/>
            <w:noWrap w:val="0"/>
            <w:vAlign w:val="center"/>
          </w:tcPr>
          <w:p w14:paraId="4345F320">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用于施</w:t>
            </w:r>
          </w:p>
          <w:p w14:paraId="7B460152">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工部位</w:t>
            </w:r>
          </w:p>
        </w:tc>
        <w:tc>
          <w:tcPr>
            <w:tcW w:w="765" w:type="dxa"/>
            <w:noWrap w:val="0"/>
            <w:vAlign w:val="center"/>
          </w:tcPr>
          <w:p w14:paraId="41AB838E">
            <w:pPr>
              <w:spacing w:line="480" w:lineRule="exact"/>
              <w:ind w:right="-340" w:rightChars="-162"/>
              <w:jc w:val="left"/>
              <w:textAlignment w:val="center"/>
              <w:rPr>
                <w:rFonts w:hint="eastAsia" w:ascii="宋体" w:hAnsi="宋体"/>
                <w:sz w:val="24"/>
                <w:szCs w:val="21"/>
              </w:rPr>
            </w:pPr>
            <w:r>
              <w:rPr>
                <w:rFonts w:hint="eastAsia" w:ascii="宋体" w:hAnsi="宋体"/>
                <w:sz w:val="24"/>
                <w:szCs w:val="21"/>
              </w:rPr>
              <w:t>备注</w:t>
            </w:r>
          </w:p>
        </w:tc>
      </w:tr>
      <w:tr w14:paraId="7BBE0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99B1F54">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7CAA53C2">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3E852A4D">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43FEE859">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641E2289">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3F74008D">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48BF2902">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20B7D426">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4BE31571">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7223395F">
            <w:pPr>
              <w:spacing w:line="480" w:lineRule="exact"/>
              <w:ind w:right="-340" w:rightChars="-162"/>
              <w:jc w:val="center"/>
              <w:textAlignment w:val="center"/>
              <w:rPr>
                <w:rFonts w:hint="eastAsia" w:ascii="宋体" w:hAnsi="宋体"/>
                <w:sz w:val="24"/>
                <w:szCs w:val="21"/>
              </w:rPr>
            </w:pPr>
          </w:p>
        </w:tc>
      </w:tr>
      <w:tr w14:paraId="65FF7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F89596A">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3E3BA89A">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62807886">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047800AF">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2B8084CA">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0AAD2C4F">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05C7354E">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4427EA56">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1F7BEEF8">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01327AF5">
            <w:pPr>
              <w:spacing w:line="480" w:lineRule="exact"/>
              <w:ind w:right="-340" w:rightChars="-162"/>
              <w:jc w:val="center"/>
              <w:textAlignment w:val="center"/>
              <w:rPr>
                <w:rFonts w:hint="eastAsia" w:ascii="宋体" w:hAnsi="宋体"/>
                <w:sz w:val="24"/>
                <w:szCs w:val="21"/>
              </w:rPr>
            </w:pPr>
          </w:p>
        </w:tc>
      </w:tr>
      <w:tr w14:paraId="1A814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4E2AC69">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7E902DF4">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2F0E0EA4">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005EA7F7">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22F35A08">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41CE3DAF">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1997BE63">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096693A5">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5D793313">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3215D519">
            <w:pPr>
              <w:spacing w:line="480" w:lineRule="exact"/>
              <w:ind w:right="-340" w:rightChars="-162"/>
              <w:jc w:val="center"/>
              <w:textAlignment w:val="center"/>
              <w:rPr>
                <w:rFonts w:hint="eastAsia" w:ascii="宋体" w:hAnsi="宋体"/>
                <w:sz w:val="24"/>
                <w:szCs w:val="21"/>
              </w:rPr>
            </w:pPr>
          </w:p>
        </w:tc>
      </w:tr>
      <w:tr w14:paraId="4CC72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6C6FF71">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350E6DFF">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15AFBB8D">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5B5C4B81">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4A10A8B6">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014CCF71">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06FB2068">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75A9249E">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3956E888">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795EF124">
            <w:pPr>
              <w:spacing w:line="480" w:lineRule="exact"/>
              <w:ind w:right="-340" w:rightChars="-162"/>
              <w:jc w:val="center"/>
              <w:textAlignment w:val="center"/>
              <w:rPr>
                <w:rFonts w:hint="eastAsia" w:ascii="宋体" w:hAnsi="宋体"/>
                <w:sz w:val="24"/>
                <w:szCs w:val="21"/>
              </w:rPr>
            </w:pPr>
          </w:p>
        </w:tc>
      </w:tr>
      <w:tr w14:paraId="210CB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BAD597D">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603C0BDB">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75730F70">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3E3D669E">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5E628CD1">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702DE1EC">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1B319A69">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2E525803">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394D1CCE">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2D4A7C43">
            <w:pPr>
              <w:spacing w:line="480" w:lineRule="exact"/>
              <w:ind w:right="-340" w:rightChars="-162"/>
              <w:jc w:val="center"/>
              <w:textAlignment w:val="center"/>
              <w:rPr>
                <w:rFonts w:hint="eastAsia" w:ascii="宋体" w:hAnsi="宋体"/>
                <w:sz w:val="24"/>
                <w:szCs w:val="21"/>
              </w:rPr>
            </w:pPr>
          </w:p>
        </w:tc>
      </w:tr>
      <w:tr w14:paraId="457CE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9479906">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24F7D612">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5571754A">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399A006E">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1895509F">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6370FD55">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466E6F47">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778036DA">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6F026A68">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2A364A8A">
            <w:pPr>
              <w:spacing w:line="480" w:lineRule="exact"/>
              <w:ind w:right="-340" w:rightChars="-162"/>
              <w:jc w:val="center"/>
              <w:textAlignment w:val="center"/>
              <w:rPr>
                <w:rFonts w:hint="eastAsia" w:ascii="宋体" w:hAnsi="宋体"/>
                <w:sz w:val="24"/>
                <w:szCs w:val="21"/>
              </w:rPr>
            </w:pPr>
          </w:p>
        </w:tc>
      </w:tr>
      <w:tr w14:paraId="73704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AB16F75">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040C7B82">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6E7EF861">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5E86F94F">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613A38F5">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796E9E44">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3A372309">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3FE3F841">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491887DC">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0C8521E2">
            <w:pPr>
              <w:spacing w:line="480" w:lineRule="exact"/>
              <w:ind w:right="-340" w:rightChars="-162"/>
              <w:jc w:val="center"/>
              <w:textAlignment w:val="center"/>
              <w:rPr>
                <w:rFonts w:hint="eastAsia" w:ascii="宋体" w:hAnsi="宋体"/>
                <w:sz w:val="24"/>
                <w:szCs w:val="21"/>
              </w:rPr>
            </w:pPr>
          </w:p>
        </w:tc>
      </w:tr>
      <w:tr w14:paraId="3D1B7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56AF9F16">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20F06A0E">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6DDE8B49">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449D379E">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456EA7FB">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7DD5FE09">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2859FB10">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2F0C8DFD">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785462A4">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1261D380">
            <w:pPr>
              <w:spacing w:line="480" w:lineRule="exact"/>
              <w:ind w:right="-340" w:rightChars="-162"/>
              <w:jc w:val="center"/>
              <w:textAlignment w:val="center"/>
              <w:rPr>
                <w:rFonts w:hint="eastAsia" w:ascii="宋体" w:hAnsi="宋体"/>
                <w:sz w:val="24"/>
                <w:szCs w:val="21"/>
              </w:rPr>
            </w:pPr>
          </w:p>
        </w:tc>
      </w:tr>
      <w:tr w14:paraId="30A97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392119A">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07BBCE32">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1DB8F81B">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21270061">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140B64FD">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52A9EB18">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51DE1CF8">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1F8CF1CC">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2DF51B48">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27322652">
            <w:pPr>
              <w:spacing w:line="480" w:lineRule="exact"/>
              <w:ind w:right="-340" w:rightChars="-162"/>
              <w:jc w:val="center"/>
              <w:textAlignment w:val="center"/>
              <w:rPr>
                <w:rFonts w:hint="eastAsia" w:ascii="宋体" w:hAnsi="宋体"/>
                <w:sz w:val="24"/>
                <w:szCs w:val="21"/>
              </w:rPr>
            </w:pPr>
          </w:p>
        </w:tc>
      </w:tr>
      <w:tr w14:paraId="66085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6E888BCF">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6FD3C78B">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5C03980E">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74537E35">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46FAF778">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3611152E">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5FFFC305">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298ED635">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3FB7F328">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7E914DA6">
            <w:pPr>
              <w:spacing w:line="480" w:lineRule="exact"/>
              <w:ind w:right="-340" w:rightChars="-162"/>
              <w:jc w:val="center"/>
              <w:textAlignment w:val="center"/>
              <w:rPr>
                <w:rFonts w:hint="eastAsia" w:ascii="宋体" w:hAnsi="宋体"/>
                <w:sz w:val="24"/>
                <w:szCs w:val="21"/>
              </w:rPr>
            </w:pPr>
          </w:p>
        </w:tc>
      </w:tr>
      <w:tr w14:paraId="5C3F1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3E5EC105">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597BC14E">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3A1EB901">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4DFA6391">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73011E7F">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2CDD05F5">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464F66E9">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63C0A8E4">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6466A753">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436B0129">
            <w:pPr>
              <w:spacing w:line="480" w:lineRule="exact"/>
              <w:ind w:right="-340" w:rightChars="-162"/>
              <w:jc w:val="center"/>
              <w:textAlignment w:val="center"/>
              <w:rPr>
                <w:rFonts w:hint="eastAsia" w:ascii="宋体" w:hAnsi="宋体"/>
                <w:sz w:val="24"/>
                <w:szCs w:val="21"/>
              </w:rPr>
            </w:pPr>
          </w:p>
        </w:tc>
      </w:tr>
      <w:tr w14:paraId="4309F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A855D39">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0D24DBC7">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557C3E28">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151938A0">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24319339">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4671AF83">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41A4366E">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1B7DBACC">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0E358676">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691C5879">
            <w:pPr>
              <w:spacing w:line="480" w:lineRule="exact"/>
              <w:ind w:right="-340" w:rightChars="-162"/>
              <w:jc w:val="center"/>
              <w:textAlignment w:val="center"/>
              <w:rPr>
                <w:rFonts w:hint="eastAsia" w:ascii="宋体" w:hAnsi="宋体"/>
                <w:sz w:val="24"/>
                <w:szCs w:val="21"/>
              </w:rPr>
            </w:pPr>
          </w:p>
        </w:tc>
      </w:tr>
      <w:tr w14:paraId="5A503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3712EF9">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6C994BD4">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2FA184C4">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2F29B4AD">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688FA1B1">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6D8C9BE9">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4286A92E">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34F53D00">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55900261">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7131C9FD">
            <w:pPr>
              <w:spacing w:line="480" w:lineRule="exact"/>
              <w:ind w:right="-340" w:rightChars="-162"/>
              <w:jc w:val="center"/>
              <w:textAlignment w:val="center"/>
              <w:rPr>
                <w:rFonts w:hint="eastAsia" w:ascii="宋体" w:hAnsi="宋体"/>
                <w:sz w:val="24"/>
                <w:szCs w:val="21"/>
              </w:rPr>
            </w:pPr>
          </w:p>
        </w:tc>
      </w:tr>
      <w:tr w14:paraId="48323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DD7BFC5">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1BC1CC9C">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7300B9F0">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75DC63DB">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2833664D">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34AD22CC">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2C466CBE">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25D8AE36">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146D7F20">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60DCCF45">
            <w:pPr>
              <w:spacing w:line="480" w:lineRule="exact"/>
              <w:ind w:right="-340" w:rightChars="-162"/>
              <w:jc w:val="center"/>
              <w:textAlignment w:val="center"/>
              <w:rPr>
                <w:rFonts w:hint="eastAsia" w:ascii="宋体" w:hAnsi="宋体"/>
                <w:sz w:val="24"/>
                <w:szCs w:val="21"/>
              </w:rPr>
            </w:pPr>
          </w:p>
        </w:tc>
      </w:tr>
      <w:tr w14:paraId="23C7C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1305851">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1A9A1E1C">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7A4D47F6">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07799FD4">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2B3D1278">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7BC79B9E">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547D9390">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74D0E6E1">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2F7D971C">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7EDDF07B">
            <w:pPr>
              <w:spacing w:line="480" w:lineRule="exact"/>
              <w:ind w:right="-340" w:rightChars="-162"/>
              <w:jc w:val="center"/>
              <w:textAlignment w:val="center"/>
              <w:rPr>
                <w:rFonts w:hint="eastAsia" w:ascii="宋体" w:hAnsi="宋体"/>
                <w:sz w:val="24"/>
                <w:szCs w:val="21"/>
              </w:rPr>
            </w:pPr>
          </w:p>
        </w:tc>
      </w:tr>
      <w:tr w14:paraId="2A47E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097980BA">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6DA4269B">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2EDD4483">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4A1FE334">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2F701905">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7003D6A6">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2BB6CC1E">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2B28A4A3">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5F59849C">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4CD6B824">
            <w:pPr>
              <w:spacing w:line="480" w:lineRule="exact"/>
              <w:ind w:right="-340" w:rightChars="-162"/>
              <w:jc w:val="center"/>
              <w:textAlignment w:val="center"/>
              <w:rPr>
                <w:rFonts w:hint="eastAsia" w:ascii="宋体" w:hAnsi="宋体"/>
                <w:sz w:val="24"/>
                <w:szCs w:val="21"/>
              </w:rPr>
            </w:pPr>
          </w:p>
        </w:tc>
      </w:tr>
      <w:tr w14:paraId="731CF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271FFF50">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501593D2">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79628342">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7F9D57DD">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1A716FDA">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2EC00016">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0134149E">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6F7FF96D">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2A388C35">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64F302CE">
            <w:pPr>
              <w:spacing w:line="480" w:lineRule="exact"/>
              <w:ind w:right="-340" w:rightChars="-162"/>
              <w:jc w:val="center"/>
              <w:textAlignment w:val="center"/>
              <w:rPr>
                <w:rFonts w:hint="eastAsia" w:ascii="宋体" w:hAnsi="宋体"/>
                <w:sz w:val="24"/>
                <w:szCs w:val="21"/>
              </w:rPr>
            </w:pPr>
          </w:p>
        </w:tc>
      </w:tr>
      <w:tr w14:paraId="28922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18AFAFD4">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6C4313DE">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358828BE">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1BC2B881">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39D20863">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1402C2A4">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4354BE57">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745893F5">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321BED2A">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268872EB">
            <w:pPr>
              <w:spacing w:line="480" w:lineRule="exact"/>
              <w:ind w:right="-340" w:rightChars="-162"/>
              <w:jc w:val="center"/>
              <w:textAlignment w:val="center"/>
              <w:rPr>
                <w:rFonts w:hint="eastAsia" w:ascii="宋体" w:hAnsi="宋体"/>
                <w:sz w:val="24"/>
                <w:szCs w:val="21"/>
              </w:rPr>
            </w:pPr>
          </w:p>
        </w:tc>
      </w:tr>
      <w:tr w14:paraId="6CE82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44" w:type="dxa"/>
            <w:noWrap w:val="0"/>
            <w:vAlign w:val="center"/>
          </w:tcPr>
          <w:p w14:paraId="482ACFD6">
            <w:pPr>
              <w:spacing w:line="480" w:lineRule="exact"/>
              <w:ind w:right="-340" w:rightChars="-162"/>
              <w:jc w:val="center"/>
              <w:textAlignment w:val="center"/>
              <w:rPr>
                <w:rFonts w:hint="eastAsia" w:ascii="宋体" w:hAnsi="宋体"/>
                <w:sz w:val="24"/>
                <w:szCs w:val="21"/>
              </w:rPr>
            </w:pPr>
          </w:p>
        </w:tc>
        <w:tc>
          <w:tcPr>
            <w:tcW w:w="1064" w:type="dxa"/>
            <w:noWrap w:val="0"/>
            <w:vAlign w:val="center"/>
          </w:tcPr>
          <w:p w14:paraId="5A715B4C">
            <w:pPr>
              <w:spacing w:line="480" w:lineRule="exact"/>
              <w:ind w:right="-340" w:rightChars="-162"/>
              <w:jc w:val="center"/>
              <w:textAlignment w:val="center"/>
              <w:rPr>
                <w:rFonts w:hint="eastAsia" w:ascii="宋体" w:hAnsi="宋体"/>
                <w:sz w:val="24"/>
                <w:szCs w:val="21"/>
              </w:rPr>
            </w:pPr>
          </w:p>
        </w:tc>
        <w:tc>
          <w:tcPr>
            <w:tcW w:w="672" w:type="dxa"/>
            <w:noWrap w:val="0"/>
            <w:vAlign w:val="center"/>
          </w:tcPr>
          <w:p w14:paraId="07492921">
            <w:pPr>
              <w:spacing w:line="480" w:lineRule="exact"/>
              <w:ind w:right="-340" w:rightChars="-162"/>
              <w:jc w:val="center"/>
              <w:textAlignment w:val="center"/>
              <w:rPr>
                <w:rFonts w:hint="eastAsia" w:ascii="宋体" w:hAnsi="宋体"/>
                <w:sz w:val="24"/>
                <w:szCs w:val="21"/>
              </w:rPr>
            </w:pPr>
          </w:p>
        </w:tc>
        <w:tc>
          <w:tcPr>
            <w:tcW w:w="1022" w:type="dxa"/>
            <w:noWrap w:val="0"/>
            <w:vAlign w:val="center"/>
          </w:tcPr>
          <w:p w14:paraId="5548D68A">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44561AD5">
            <w:pPr>
              <w:spacing w:line="480" w:lineRule="exact"/>
              <w:ind w:right="-340" w:rightChars="-162"/>
              <w:jc w:val="center"/>
              <w:textAlignment w:val="center"/>
              <w:rPr>
                <w:rFonts w:hint="eastAsia" w:ascii="宋体" w:hAnsi="宋体"/>
                <w:sz w:val="24"/>
                <w:szCs w:val="21"/>
              </w:rPr>
            </w:pPr>
          </w:p>
        </w:tc>
        <w:tc>
          <w:tcPr>
            <w:tcW w:w="709" w:type="dxa"/>
            <w:noWrap w:val="0"/>
            <w:vAlign w:val="center"/>
          </w:tcPr>
          <w:p w14:paraId="4CAAECBF">
            <w:pPr>
              <w:spacing w:line="480" w:lineRule="exact"/>
              <w:ind w:right="-340" w:rightChars="-162"/>
              <w:jc w:val="center"/>
              <w:textAlignment w:val="center"/>
              <w:rPr>
                <w:rFonts w:hint="eastAsia" w:ascii="宋体" w:hAnsi="宋体"/>
                <w:sz w:val="24"/>
                <w:szCs w:val="21"/>
              </w:rPr>
            </w:pPr>
          </w:p>
        </w:tc>
        <w:tc>
          <w:tcPr>
            <w:tcW w:w="1176" w:type="dxa"/>
            <w:noWrap w:val="0"/>
            <w:vAlign w:val="center"/>
          </w:tcPr>
          <w:p w14:paraId="1E79F0CC">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0FBF9046">
            <w:pPr>
              <w:spacing w:line="480" w:lineRule="exact"/>
              <w:ind w:right="-340" w:rightChars="-162"/>
              <w:jc w:val="center"/>
              <w:textAlignment w:val="center"/>
              <w:rPr>
                <w:rFonts w:hint="eastAsia" w:ascii="宋体" w:hAnsi="宋体"/>
                <w:sz w:val="24"/>
                <w:szCs w:val="21"/>
              </w:rPr>
            </w:pPr>
          </w:p>
        </w:tc>
        <w:tc>
          <w:tcPr>
            <w:tcW w:w="872" w:type="dxa"/>
            <w:noWrap w:val="0"/>
            <w:vAlign w:val="center"/>
          </w:tcPr>
          <w:p w14:paraId="51147D82">
            <w:pPr>
              <w:spacing w:line="480" w:lineRule="exact"/>
              <w:ind w:right="-340" w:rightChars="-162"/>
              <w:jc w:val="center"/>
              <w:textAlignment w:val="center"/>
              <w:rPr>
                <w:rFonts w:hint="eastAsia" w:ascii="宋体" w:hAnsi="宋体"/>
                <w:sz w:val="24"/>
                <w:szCs w:val="21"/>
              </w:rPr>
            </w:pPr>
          </w:p>
        </w:tc>
        <w:tc>
          <w:tcPr>
            <w:tcW w:w="765" w:type="dxa"/>
            <w:noWrap w:val="0"/>
            <w:vAlign w:val="center"/>
          </w:tcPr>
          <w:p w14:paraId="3DCC7EEC">
            <w:pPr>
              <w:spacing w:line="480" w:lineRule="exact"/>
              <w:ind w:right="-340" w:rightChars="-162"/>
              <w:jc w:val="center"/>
              <w:textAlignment w:val="center"/>
              <w:rPr>
                <w:rFonts w:hint="eastAsia" w:ascii="宋体" w:hAnsi="宋体"/>
                <w:sz w:val="24"/>
                <w:szCs w:val="21"/>
              </w:rPr>
            </w:pPr>
          </w:p>
        </w:tc>
      </w:tr>
    </w:tbl>
    <w:p w14:paraId="480B708E">
      <w:pPr>
        <w:spacing w:before="120" w:beforeLines="50" w:after="240" w:afterLines="100" w:line="480" w:lineRule="exact"/>
        <w:ind w:right="-340" w:rightChars="-162"/>
        <w:textAlignment w:val="center"/>
        <w:rPr>
          <w:rFonts w:hint="eastAsia" w:ascii="宋体" w:hAnsi="宋体"/>
          <w:sz w:val="24"/>
        </w:rPr>
      </w:pPr>
    </w:p>
    <w:p w14:paraId="476EFDA2">
      <w:pPr>
        <w:spacing w:before="120" w:beforeLines="50" w:after="240" w:afterLines="100" w:line="480" w:lineRule="exact"/>
        <w:ind w:right="-340" w:rightChars="-162"/>
        <w:textAlignment w:val="center"/>
        <w:rPr>
          <w:rFonts w:hint="eastAsia" w:ascii="宋体" w:hAnsi="宋体"/>
          <w:sz w:val="24"/>
        </w:rPr>
      </w:pPr>
      <w:r>
        <w:rPr>
          <w:rFonts w:ascii="宋体" w:hAnsi="宋体"/>
          <w:sz w:val="24"/>
        </w:rPr>
        <w:br w:type="page"/>
      </w:r>
      <w:r>
        <w:rPr>
          <w:rFonts w:hint="eastAsia" w:ascii="宋体" w:hAnsi="宋体"/>
          <w:sz w:val="24"/>
        </w:rPr>
        <w:t>附表二：拟配备本工程的试验和检测仪器设备表</w:t>
      </w:r>
    </w:p>
    <w:p w14:paraId="38633876">
      <w:pPr>
        <w:pStyle w:val="38"/>
        <w:rPr>
          <w:rFonts w:hint="eastAsia"/>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310"/>
        <w:gridCol w:w="1096"/>
        <w:gridCol w:w="1096"/>
        <w:gridCol w:w="1094"/>
        <w:gridCol w:w="944"/>
        <w:gridCol w:w="1246"/>
        <w:gridCol w:w="839"/>
        <w:gridCol w:w="863"/>
      </w:tblGrid>
      <w:tr w14:paraId="56CCF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jc w:val="center"/>
        </w:trPr>
        <w:tc>
          <w:tcPr>
            <w:tcW w:w="1101" w:type="dxa"/>
            <w:noWrap w:val="0"/>
            <w:vAlign w:val="center"/>
          </w:tcPr>
          <w:p w14:paraId="1D506379">
            <w:pPr>
              <w:autoSpaceDE w:val="0"/>
              <w:autoSpaceDN w:val="0"/>
              <w:adjustRightInd w:val="0"/>
              <w:jc w:val="center"/>
              <w:rPr>
                <w:rFonts w:ascii="宋体" w:hAnsi="宋体" w:cs="仿宋_GB2312"/>
                <w:kern w:val="0"/>
                <w:sz w:val="24"/>
                <w:szCs w:val="24"/>
              </w:rPr>
            </w:pPr>
            <w:r>
              <w:rPr>
                <w:rFonts w:hint="eastAsia" w:ascii="宋体" w:hAnsi="宋体" w:cs="仿宋_GB2312"/>
                <w:kern w:val="0"/>
                <w:sz w:val="24"/>
                <w:szCs w:val="24"/>
              </w:rPr>
              <w:t>序号</w:t>
            </w:r>
          </w:p>
        </w:tc>
        <w:tc>
          <w:tcPr>
            <w:tcW w:w="1310" w:type="dxa"/>
            <w:noWrap w:val="0"/>
            <w:vAlign w:val="center"/>
          </w:tcPr>
          <w:p w14:paraId="46300E41">
            <w:pPr>
              <w:autoSpaceDE w:val="0"/>
              <w:autoSpaceDN w:val="0"/>
              <w:adjustRightInd w:val="0"/>
              <w:jc w:val="center"/>
              <w:rPr>
                <w:rFonts w:ascii="宋体" w:hAnsi="宋体" w:cs="仿宋_GB2312"/>
                <w:kern w:val="0"/>
                <w:sz w:val="24"/>
                <w:szCs w:val="24"/>
              </w:rPr>
            </w:pPr>
            <w:r>
              <w:rPr>
                <w:rFonts w:hint="eastAsia" w:ascii="宋体" w:hAnsi="宋体" w:cs="仿宋_GB2312"/>
                <w:kern w:val="0"/>
                <w:sz w:val="24"/>
                <w:szCs w:val="24"/>
              </w:rPr>
              <w:t>仪器设备</w:t>
            </w:r>
          </w:p>
          <w:p w14:paraId="693EC258">
            <w:pPr>
              <w:autoSpaceDE w:val="0"/>
              <w:autoSpaceDN w:val="0"/>
              <w:adjustRightInd w:val="0"/>
              <w:jc w:val="center"/>
              <w:rPr>
                <w:rFonts w:ascii="宋体" w:hAnsi="宋体" w:cs="仿宋_GB2312"/>
                <w:kern w:val="0"/>
                <w:sz w:val="24"/>
                <w:szCs w:val="24"/>
              </w:rPr>
            </w:pPr>
            <w:r>
              <w:rPr>
                <w:rFonts w:hint="eastAsia" w:ascii="宋体" w:hAnsi="宋体" w:cs="仿宋_GB2312"/>
                <w:kern w:val="0"/>
                <w:sz w:val="24"/>
                <w:szCs w:val="24"/>
              </w:rPr>
              <w:t>名称</w:t>
            </w:r>
          </w:p>
        </w:tc>
        <w:tc>
          <w:tcPr>
            <w:tcW w:w="1096" w:type="dxa"/>
            <w:noWrap w:val="0"/>
            <w:vAlign w:val="center"/>
          </w:tcPr>
          <w:p w14:paraId="2253CD84">
            <w:pPr>
              <w:autoSpaceDE w:val="0"/>
              <w:autoSpaceDN w:val="0"/>
              <w:adjustRightInd w:val="0"/>
              <w:jc w:val="center"/>
              <w:rPr>
                <w:rFonts w:ascii="宋体" w:hAnsi="宋体" w:cs="仿宋_GB2312"/>
                <w:kern w:val="0"/>
                <w:sz w:val="24"/>
                <w:szCs w:val="24"/>
              </w:rPr>
            </w:pPr>
            <w:r>
              <w:rPr>
                <w:rFonts w:hint="eastAsia" w:ascii="宋体" w:hAnsi="宋体" w:cs="仿宋_GB2312"/>
                <w:kern w:val="0"/>
                <w:sz w:val="24"/>
                <w:szCs w:val="24"/>
              </w:rPr>
              <w:t>型号</w:t>
            </w:r>
          </w:p>
          <w:p w14:paraId="544AA0DC">
            <w:pPr>
              <w:autoSpaceDE w:val="0"/>
              <w:autoSpaceDN w:val="0"/>
              <w:adjustRightInd w:val="0"/>
              <w:jc w:val="center"/>
              <w:rPr>
                <w:rFonts w:ascii="宋体" w:hAnsi="宋体" w:cs="黑体"/>
                <w:kern w:val="0"/>
                <w:sz w:val="24"/>
                <w:szCs w:val="24"/>
              </w:rPr>
            </w:pPr>
            <w:r>
              <w:rPr>
                <w:rFonts w:hint="eastAsia" w:ascii="宋体" w:hAnsi="宋体" w:cs="仿宋_GB2312"/>
                <w:kern w:val="0"/>
                <w:sz w:val="24"/>
                <w:szCs w:val="24"/>
              </w:rPr>
              <w:t>规格</w:t>
            </w:r>
          </w:p>
        </w:tc>
        <w:tc>
          <w:tcPr>
            <w:tcW w:w="1096" w:type="dxa"/>
            <w:noWrap w:val="0"/>
            <w:vAlign w:val="center"/>
          </w:tcPr>
          <w:p w14:paraId="16A0C1B8">
            <w:pPr>
              <w:autoSpaceDE w:val="0"/>
              <w:autoSpaceDN w:val="0"/>
              <w:adjustRightInd w:val="0"/>
              <w:jc w:val="center"/>
              <w:rPr>
                <w:rFonts w:ascii="宋体" w:hAnsi="宋体" w:cs="黑体"/>
                <w:kern w:val="0"/>
                <w:sz w:val="24"/>
                <w:szCs w:val="24"/>
              </w:rPr>
            </w:pPr>
            <w:r>
              <w:rPr>
                <w:rFonts w:hint="eastAsia" w:ascii="宋体" w:hAnsi="宋体" w:cs="仿宋_GB2312"/>
                <w:kern w:val="0"/>
                <w:sz w:val="24"/>
                <w:szCs w:val="24"/>
              </w:rPr>
              <w:t>数量</w:t>
            </w:r>
          </w:p>
        </w:tc>
        <w:tc>
          <w:tcPr>
            <w:tcW w:w="1094" w:type="dxa"/>
            <w:noWrap w:val="0"/>
            <w:vAlign w:val="center"/>
          </w:tcPr>
          <w:p w14:paraId="27158EA4">
            <w:pPr>
              <w:autoSpaceDE w:val="0"/>
              <w:autoSpaceDN w:val="0"/>
              <w:adjustRightInd w:val="0"/>
              <w:jc w:val="center"/>
              <w:rPr>
                <w:rFonts w:ascii="宋体" w:hAnsi="宋体" w:cs="仿宋_GB2312"/>
                <w:kern w:val="0"/>
                <w:sz w:val="24"/>
                <w:szCs w:val="24"/>
              </w:rPr>
            </w:pPr>
            <w:r>
              <w:rPr>
                <w:rFonts w:hint="eastAsia" w:ascii="宋体" w:hAnsi="宋体" w:cs="仿宋_GB2312"/>
                <w:kern w:val="0"/>
                <w:sz w:val="24"/>
                <w:szCs w:val="24"/>
              </w:rPr>
              <w:t>国别</w:t>
            </w:r>
          </w:p>
          <w:p w14:paraId="3C1D1F19">
            <w:pPr>
              <w:autoSpaceDE w:val="0"/>
              <w:autoSpaceDN w:val="0"/>
              <w:adjustRightInd w:val="0"/>
              <w:jc w:val="center"/>
              <w:rPr>
                <w:rFonts w:ascii="宋体" w:hAnsi="宋体" w:cs="黑体"/>
                <w:kern w:val="0"/>
                <w:sz w:val="24"/>
                <w:szCs w:val="24"/>
              </w:rPr>
            </w:pPr>
            <w:r>
              <w:rPr>
                <w:rFonts w:hint="eastAsia" w:ascii="宋体" w:hAnsi="宋体" w:cs="仿宋_GB2312"/>
                <w:kern w:val="0"/>
                <w:sz w:val="24"/>
                <w:szCs w:val="24"/>
              </w:rPr>
              <w:t>产地</w:t>
            </w:r>
          </w:p>
        </w:tc>
        <w:tc>
          <w:tcPr>
            <w:tcW w:w="944" w:type="dxa"/>
            <w:noWrap w:val="0"/>
            <w:vAlign w:val="center"/>
          </w:tcPr>
          <w:p w14:paraId="4CC94BC8">
            <w:pPr>
              <w:autoSpaceDE w:val="0"/>
              <w:autoSpaceDN w:val="0"/>
              <w:adjustRightInd w:val="0"/>
              <w:jc w:val="center"/>
              <w:rPr>
                <w:rFonts w:ascii="宋体" w:hAnsi="宋体" w:cs="仿宋_GB2312"/>
                <w:kern w:val="0"/>
                <w:sz w:val="24"/>
                <w:szCs w:val="24"/>
              </w:rPr>
            </w:pPr>
            <w:r>
              <w:rPr>
                <w:rFonts w:hint="eastAsia" w:ascii="宋体" w:hAnsi="宋体" w:cs="仿宋_GB2312"/>
                <w:kern w:val="0"/>
                <w:sz w:val="24"/>
                <w:szCs w:val="24"/>
              </w:rPr>
              <w:t>制造</w:t>
            </w:r>
          </w:p>
          <w:p w14:paraId="1E3B3B0D">
            <w:pPr>
              <w:autoSpaceDE w:val="0"/>
              <w:autoSpaceDN w:val="0"/>
              <w:adjustRightInd w:val="0"/>
              <w:jc w:val="center"/>
              <w:rPr>
                <w:rFonts w:ascii="宋体" w:hAnsi="宋体" w:cs="黑体"/>
                <w:kern w:val="0"/>
                <w:sz w:val="24"/>
                <w:szCs w:val="24"/>
              </w:rPr>
            </w:pPr>
            <w:r>
              <w:rPr>
                <w:rFonts w:hint="eastAsia" w:ascii="宋体" w:hAnsi="宋体" w:cs="仿宋_GB2312"/>
                <w:kern w:val="0"/>
                <w:sz w:val="24"/>
                <w:szCs w:val="24"/>
              </w:rPr>
              <w:t>年份</w:t>
            </w:r>
          </w:p>
        </w:tc>
        <w:tc>
          <w:tcPr>
            <w:tcW w:w="1246" w:type="dxa"/>
            <w:noWrap w:val="0"/>
            <w:vAlign w:val="center"/>
          </w:tcPr>
          <w:p w14:paraId="7C8F03AC">
            <w:pPr>
              <w:autoSpaceDE w:val="0"/>
              <w:autoSpaceDN w:val="0"/>
              <w:adjustRightInd w:val="0"/>
              <w:jc w:val="center"/>
              <w:rPr>
                <w:rFonts w:ascii="宋体" w:hAnsi="宋体" w:cs="仿宋_GB2312"/>
                <w:kern w:val="0"/>
                <w:sz w:val="24"/>
                <w:szCs w:val="24"/>
              </w:rPr>
            </w:pPr>
            <w:r>
              <w:rPr>
                <w:rFonts w:hint="eastAsia" w:ascii="宋体" w:hAnsi="宋体" w:cs="仿宋_GB2312"/>
                <w:kern w:val="0"/>
                <w:sz w:val="24"/>
                <w:szCs w:val="24"/>
              </w:rPr>
              <w:t>已使用台</w:t>
            </w:r>
          </w:p>
          <w:p w14:paraId="75AB5018">
            <w:pPr>
              <w:autoSpaceDE w:val="0"/>
              <w:autoSpaceDN w:val="0"/>
              <w:adjustRightInd w:val="0"/>
              <w:jc w:val="center"/>
              <w:rPr>
                <w:rFonts w:ascii="宋体" w:hAnsi="宋体" w:cs="黑体"/>
                <w:kern w:val="0"/>
                <w:sz w:val="24"/>
                <w:szCs w:val="24"/>
              </w:rPr>
            </w:pPr>
            <w:r>
              <w:rPr>
                <w:rFonts w:hint="eastAsia" w:ascii="宋体" w:hAnsi="宋体" w:cs="仿宋_GB2312"/>
                <w:kern w:val="0"/>
                <w:sz w:val="24"/>
                <w:szCs w:val="24"/>
              </w:rPr>
              <w:t>时数</w:t>
            </w:r>
          </w:p>
        </w:tc>
        <w:tc>
          <w:tcPr>
            <w:tcW w:w="839" w:type="dxa"/>
            <w:noWrap w:val="0"/>
            <w:vAlign w:val="center"/>
          </w:tcPr>
          <w:p w14:paraId="1618FFF0">
            <w:pPr>
              <w:autoSpaceDE w:val="0"/>
              <w:autoSpaceDN w:val="0"/>
              <w:adjustRightInd w:val="0"/>
              <w:jc w:val="center"/>
              <w:rPr>
                <w:rFonts w:ascii="宋体" w:hAnsi="宋体" w:cs="黑体"/>
                <w:kern w:val="0"/>
                <w:sz w:val="24"/>
                <w:szCs w:val="24"/>
              </w:rPr>
            </w:pPr>
            <w:r>
              <w:rPr>
                <w:rFonts w:hint="eastAsia" w:ascii="宋体" w:hAnsi="宋体" w:cs="仿宋_GB2312"/>
                <w:kern w:val="0"/>
                <w:sz w:val="24"/>
                <w:szCs w:val="24"/>
              </w:rPr>
              <w:t>用途</w:t>
            </w:r>
          </w:p>
        </w:tc>
        <w:tc>
          <w:tcPr>
            <w:tcW w:w="863" w:type="dxa"/>
            <w:noWrap w:val="0"/>
            <w:vAlign w:val="center"/>
          </w:tcPr>
          <w:p w14:paraId="0EF2FA4D">
            <w:pPr>
              <w:autoSpaceDE w:val="0"/>
              <w:autoSpaceDN w:val="0"/>
              <w:adjustRightInd w:val="0"/>
              <w:jc w:val="center"/>
              <w:rPr>
                <w:rFonts w:ascii="宋体" w:hAnsi="宋体" w:cs="黑体"/>
                <w:kern w:val="0"/>
                <w:sz w:val="24"/>
                <w:szCs w:val="24"/>
              </w:rPr>
            </w:pPr>
            <w:r>
              <w:rPr>
                <w:rFonts w:hint="eastAsia" w:ascii="宋体" w:hAnsi="宋体" w:cs="仿宋_GB2312"/>
                <w:kern w:val="0"/>
                <w:sz w:val="24"/>
                <w:szCs w:val="24"/>
              </w:rPr>
              <w:t>备注</w:t>
            </w:r>
          </w:p>
        </w:tc>
      </w:tr>
      <w:tr w14:paraId="1C632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jc w:val="center"/>
        </w:trPr>
        <w:tc>
          <w:tcPr>
            <w:tcW w:w="1101" w:type="dxa"/>
            <w:noWrap w:val="0"/>
            <w:vAlign w:val="center"/>
          </w:tcPr>
          <w:p w14:paraId="5219D039">
            <w:pPr>
              <w:autoSpaceDE w:val="0"/>
              <w:autoSpaceDN w:val="0"/>
              <w:adjustRightInd w:val="0"/>
              <w:ind w:firstLine="10"/>
              <w:jc w:val="center"/>
              <w:rPr>
                <w:rFonts w:ascii="宋体" w:hAnsi="宋体" w:cs="黑体"/>
                <w:kern w:val="0"/>
                <w:szCs w:val="21"/>
              </w:rPr>
            </w:pPr>
          </w:p>
        </w:tc>
        <w:tc>
          <w:tcPr>
            <w:tcW w:w="1310" w:type="dxa"/>
            <w:noWrap w:val="0"/>
            <w:vAlign w:val="center"/>
          </w:tcPr>
          <w:p w14:paraId="2D0C1FBF">
            <w:pPr>
              <w:autoSpaceDE w:val="0"/>
              <w:autoSpaceDN w:val="0"/>
              <w:adjustRightInd w:val="0"/>
              <w:ind w:firstLine="10"/>
              <w:jc w:val="center"/>
              <w:rPr>
                <w:rFonts w:ascii="宋体" w:hAnsi="宋体" w:cs="黑体"/>
                <w:kern w:val="0"/>
                <w:szCs w:val="21"/>
              </w:rPr>
            </w:pPr>
          </w:p>
        </w:tc>
        <w:tc>
          <w:tcPr>
            <w:tcW w:w="1096" w:type="dxa"/>
            <w:noWrap w:val="0"/>
            <w:vAlign w:val="center"/>
          </w:tcPr>
          <w:p w14:paraId="01BA87AC">
            <w:pPr>
              <w:autoSpaceDE w:val="0"/>
              <w:autoSpaceDN w:val="0"/>
              <w:adjustRightInd w:val="0"/>
              <w:ind w:firstLine="10"/>
              <w:jc w:val="center"/>
              <w:rPr>
                <w:rFonts w:ascii="宋体" w:hAnsi="宋体" w:cs="黑体"/>
                <w:kern w:val="0"/>
                <w:szCs w:val="21"/>
              </w:rPr>
            </w:pPr>
          </w:p>
        </w:tc>
        <w:tc>
          <w:tcPr>
            <w:tcW w:w="1096" w:type="dxa"/>
            <w:noWrap w:val="0"/>
            <w:vAlign w:val="center"/>
          </w:tcPr>
          <w:p w14:paraId="36E38D20">
            <w:pPr>
              <w:autoSpaceDE w:val="0"/>
              <w:autoSpaceDN w:val="0"/>
              <w:adjustRightInd w:val="0"/>
              <w:ind w:firstLine="10"/>
              <w:jc w:val="center"/>
              <w:rPr>
                <w:rFonts w:ascii="宋体" w:hAnsi="宋体" w:cs="黑体"/>
                <w:kern w:val="0"/>
                <w:szCs w:val="21"/>
              </w:rPr>
            </w:pPr>
          </w:p>
        </w:tc>
        <w:tc>
          <w:tcPr>
            <w:tcW w:w="1094" w:type="dxa"/>
            <w:noWrap w:val="0"/>
            <w:vAlign w:val="center"/>
          </w:tcPr>
          <w:p w14:paraId="2C22625C">
            <w:pPr>
              <w:autoSpaceDE w:val="0"/>
              <w:autoSpaceDN w:val="0"/>
              <w:adjustRightInd w:val="0"/>
              <w:ind w:firstLine="10"/>
              <w:jc w:val="center"/>
              <w:rPr>
                <w:rFonts w:ascii="宋体" w:hAnsi="宋体" w:cs="黑体"/>
                <w:kern w:val="0"/>
                <w:szCs w:val="21"/>
              </w:rPr>
            </w:pPr>
          </w:p>
        </w:tc>
        <w:tc>
          <w:tcPr>
            <w:tcW w:w="944" w:type="dxa"/>
            <w:noWrap w:val="0"/>
            <w:vAlign w:val="center"/>
          </w:tcPr>
          <w:p w14:paraId="6EA4DD54">
            <w:pPr>
              <w:autoSpaceDE w:val="0"/>
              <w:autoSpaceDN w:val="0"/>
              <w:adjustRightInd w:val="0"/>
              <w:ind w:firstLine="10"/>
              <w:jc w:val="center"/>
              <w:rPr>
                <w:rFonts w:ascii="宋体" w:hAnsi="宋体" w:cs="黑体"/>
                <w:kern w:val="0"/>
                <w:szCs w:val="21"/>
              </w:rPr>
            </w:pPr>
          </w:p>
        </w:tc>
        <w:tc>
          <w:tcPr>
            <w:tcW w:w="1246" w:type="dxa"/>
            <w:noWrap w:val="0"/>
            <w:vAlign w:val="center"/>
          </w:tcPr>
          <w:p w14:paraId="6901FD7C">
            <w:pPr>
              <w:autoSpaceDE w:val="0"/>
              <w:autoSpaceDN w:val="0"/>
              <w:adjustRightInd w:val="0"/>
              <w:ind w:firstLine="10"/>
              <w:jc w:val="center"/>
              <w:rPr>
                <w:rFonts w:ascii="宋体" w:hAnsi="宋体" w:cs="黑体"/>
                <w:kern w:val="0"/>
                <w:szCs w:val="21"/>
              </w:rPr>
            </w:pPr>
          </w:p>
        </w:tc>
        <w:tc>
          <w:tcPr>
            <w:tcW w:w="839" w:type="dxa"/>
            <w:noWrap w:val="0"/>
            <w:vAlign w:val="center"/>
          </w:tcPr>
          <w:p w14:paraId="508B8076">
            <w:pPr>
              <w:autoSpaceDE w:val="0"/>
              <w:autoSpaceDN w:val="0"/>
              <w:adjustRightInd w:val="0"/>
              <w:ind w:firstLine="10"/>
              <w:jc w:val="center"/>
              <w:rPr>
                <w:rFonts w:ascii="宋体" w:hAnsi="宋体" w:cs="黑体"/>
                <w:kern w:val="0"/>
                <w:szCs w:val="21"/>
              </w:rPr>
            </w:pPr>
          </w:p>
        </w:tc>
        <w:tc>
          <w:tcPr>
            <w:tcW w:w="863" w:type="dxa"/>
            <w:noWrap w:val="0"/>
            <w:vAlign w:val="center"/>
          </w:tcPr>
          <w:p w14:paraId="41DA8FAF">
            <w:pPr>
              <w:autoSpaceDE w:val="0"/>
              <w:autoSpaceDN w:val="0"/>
              <w:adjustRightInd w:val="0"/>
              <w:ind w:firstLine="10"/>
              <w:jc w:val="center"/>
              <w:rPr>
                <w:rFonts w:ascii="宋体" w:hAnsi="宋体" w:cs="黑体"/>
                <w:kern w:val="0"/>
                <w:szCs w:val="21"/>
              </w:rPr>
            </w:pPr>
          </w:p>
        </w:tc>
      </w:tr>
      <w:tr w14:paraId="07E9B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7" w:hRule="atLeast"/>
          <w:jc w:val="center"/>
        </w:trPr>
        <w:tc>
          <w:tcPr>
            <w:tcW w:w="1101" w:type="dxa"/>
            <w:noWrap w:val="0"/>
            <w:vAlign w:val="center"/>
          </w:tcPr>
          <w:p w14:paraId="727779BE">
            <w:pPr>
              <w:autoSpaceDE w:val="0"/>
              <w:autoSpaceDN w:val="0"/>
              <w:adjustRightInd w:val="0"/>
              <w:ind w:firstLine="10"/>
              <w:jc w:val="center"/>
              <w:rPr>
                <w:rFonts w:ascii="宋体" w:hAnsi="宋体" w:cs="黑体"/>
                <w:kern w:val="0"/>
                <w:szCs w:val="21"/>
              </w:rPr>
            </w:pPr>
          </w:p>
        </w:tc>
        <w:tc>
          <w:tcPr>
            <w:tcW w:w="1310" w:type="dxa"/>
            <w:noWrap w:val="0"/>
            <w:vAlign w:val="center"/>
          </w:tcPr>
          <w:p w14:paraId="24000E80">
            <w:pPr>
              <w:autoSpaceDE w:val="0"/>
              <w:autoSpaceDN w:val="0"/>
              <w:adjustRightInd w:val="0"/>
              <w:ind w:firstLine="10"/>
              <w:jc w:val="center"/>
              <w:rPr>
                <w:rFonts w:ascii="宋体" w:hAnsi="宋体" w:cs="黑体"/>
                <w:kern w:val="0"/>
                <w:szCs w:val="21"/>
              </w:rPr>
            </w:pPr>
          </w:p>
        </w:tc>
        <w:tc>
          <w:tcPr>
            <w:tcW w:w="1096" w:type="dxa"/>
            <w:noWrap w:val="0"/>
            <w:vAlign w:val="center"/>
          </w:tcPr>
          <w:p w14:paraId="169666DB">
            <w:pPr>
              <w:autoSpaceDE w:val="0"/>
              <w:autoSpaceDN w:val="0"/>
              <w:adjustRightInd w:val="0"/>
              <w:ind w:firstLine="10"/>
              <w:jc w:val="center"/>
              <w:rPr>
                <w:rFonts w:ascii="宋体" w:hAnsi="宋体" w:cs="黑体"/>
                <w:kern w:val="0"/>
                <w:szCs w:val="21"/>
              </w:rPr>
            </w:pPr>
          </w:p>
        </w:tc>
        <w:tc>
          <w:tcPr>
            <w:tcW w:w="1096" w:type="dxa"/>
            <w:noWrap w:val="0"/>
            <w:vAlign w:val="center"/>
          </w:tcPr>
          <w:p w14:paraId="0D2107BC">
            <w:pPr>
              <w:autoSpaceDE w:val="0"/>
              <w:autoSpaceDN w:val="0"/>
              <w:adjustRightInd w:val="0"/>
              <w:ind w:firstLine="10"/>
              <w:jc w:val="center"/>
              <w:rPr>
                <w:rFonts w:ascii="宋体" w:hAnsi="宋体" w:cs="黑体"/>
                <w:kern w:val="0"/>
                <w:szCs w:val="21"/>
              </w:rPr>
            </w:pPr>
          </w:p>
        </w:tc>
        <w:tc>
          <w:tcPr>
            <w:tcW w:w="1094" w:type="dxa"/>
            <w:noWrap w:val="0"/>
            <w:vAlign w:val="center"/>
          </w:tcPr>
          <w:p w14:paraId="0CF1A83A">
            <w:pPr>
              <w:autoSpaceDE w:val="0"/>
              <w:autoSpaceDN w:val="0"/>
              <w:adjustRightInd w:val="0"/>
              <w:ind w:firstLine="10"/>
              <w:jc w:val="center"/>
              <w:rPr>
                <w:rFonts w:ascii="宋体" w:hAnsi="宋体" w:cs="黑体"/>
                <w:kern w:val="0"/>
                <w:szCs w:val="21"/>
              </w:rPr>
            </w:pPr>
          </w:p>
        </w:tc>
        <w:tc>
          <w:tcPr>
            <w:tcW w:w="944" w:type="dxa"/>
            <w:noWrap w:val="0"/>
            <w:vAlign w:val="center"/>
          </w:tcPr>
          <w:p w14:paraId="1288C8D5">
            <w:pPr>
              <w:autoSpaceDE w:val="0"/>
              <w:autoSpaceDN w:val="0"/>
              <w:adjustRightInd w:val="0"/>
              <w:ind w:firstLine="10"/>
              <w:jc w:val="center"/>
              <w:rPr>
                <w:rFonts w:ascii="宋体" w:hAnsi="宋体" w:cs="黑体"/>
                <w:kern w:val="0"/>
                <w:szCs w:val="21"/>
              </w:rPr>
            </w:pPr>
          </w:p>
        </w:tc>
        <w:tc>
          <w:tcPr>
            <w:tcW w:w="1246" w:type="dxa"/>
            <w:noWrap w:val="0"/>
            <w:vAlign w:val="center"/>
          </w:tcPr>
          <w:p w14:paraId="2CC9087E">
            <w:pPr>
              <w:autoSpaceDE w:val="0"/>
              <w:autoSpaceDN w:val="0"/>
              <w:adjustRightInd w:val="0"/>
              <w:ind w:firstLine="10"/>
              <w:jc w:val="center"/>
              <w:rPr>
                <w:rFonts w:ascii="宋体" w:hAnsi="宋体" w:cs="黑体"/>
                <w:kern w:val="0"/>
                <w:szCs w:val="21"/>
              </w:rPr>
            </w:pPr>
          </w:p>
        </w:tc>
        <w:tc>
          <w:tcPr>
            <w:tcW w:w="839" w:type="dxa"/>
            <w:noWrap w:val="0"/>
            <w:vAlign w:val="center"/>
          </w:tcPr>
          <w:p w14:paraId="764B41B9">
            <w:pPr>
              <w:autoSpaceDE w:val="0"/>
              <w:autoSpaceDN w:val="0"/>
              <w:adjustRightInd w:val="0"/>
              <w:ind w:firstLine="10"/>
              <w:jc w:val="center"/>
              <w:rPr>
                <w:rFonts w:ascii="宋体" w:hAnsi="宋体" w:cs="黑体"/>
                <w:kern w:val="0"/>
                <w:szCs w:val="21"/>
              </w:rPr>
            </w:pPr>
          </w:p>
        </w:tc>
        <w:tc>
          <w:tcPr>
            <w:tcW w:w="863" w:type="dxa"/>
            <w:noWrap w:val="0"/>
            <w:vAlign w:val="center"/>
          </w:tcPr>
          <w:p w14:paraId="048C4EA2">
            <w:pPr>
              <w:autoSpaceDE w:val="0"/>
              <w:autoSpaceDN w:val="0"/>
              <w:adjustRightInd w:val="0"/>
              <w:ind w:firstLine="10"/>
              <w:jc w:val="center"/>
              <w:rPr>
                <w:rFonts w:ascii="宋体" w:hAnsi="宋体" w:cs="黑体"/>
                <w:kern w:val="0"/>
                <w:szCs w:val="21"/>
              </w:rPr>
            </w:pPr>
          </w:p>
        </w:tc>
      </w:tr>
      <w:tr w14:paraId="2CDB3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1101" w:type="dxa"/>
            <w:noWrap w:val="0"/>
            <w:vAlign w:val="center"/>
          </w:tcPr>
          <w:p w14:paraId="14BBD1D2">
            <w:pPr>
              <w:autoSpaceDE w:val="0"/>
              <w:autoSpaceDN w:val="0"/>
              <w:adjustRightInd w:val="0"/>
              <w:ind w:firstLine="10"/>
              <w:jc w:val="center"/>
              <w:rPr>
                <w:rFonts w:ascii="宋体" w:hAnsi="宋体" w:cs="黑体"/>
                <w:kern w:val="0"/>
                <w:szCs w:val="21"/>
              </w:rPr>
            </w:pPr>
          </w:p>
        </w:tc>
        <w:tc>
          <w:tcPr>
            <w:tcW w:w="1310" w:type="dxa"/>
            <w:noWrap w:val="0"/>
            <w:vAlign w:val="center"/>
          </w:tcPr>
          <w:p w14:paraId="2719B9B8">
            <w:pPr>
              <w:autoSpaceDE w:val="0"/>
              <w:autoSpaceDN w:val="0"/>
              <w:adjustRightInd w:val="0"/>
              <w:ind w:firstLine="10"/>
              <w:jc w:val="center"/>
              <w:rPr>
                <w:rFonts w:ascii="宋体" w:hAnsi="宋体" w:cs="黑体"/>
                <w:kern w:val="0"/>
                <w:szCs w:val="21"/>
              </w:rPr>
            </w:pPr>
          </w:p>
        </w:tc>
        <w:tc>
          <w:tcPr>
            <w:tcW w:w="1096" w:type="dxa"/>
            <w:noWrap w:val="0"/>
            <w:vAlign w:val="center"/>
          </w:tcPr>
          <w:p w14:paraId="06FADA40">
            <w:pPr>
              <w:autoSpaceDE w:val="0"/>
              <w:autoSpaceDN w:val="0"/>
              <w:adjustRightInd w:val="0"/>
              <w:ind w:firstLine="10"/>
              <w:jc w:val="center"/>
              <w:rPr>
                <w:rFonts w:ascii="宋体" w:hAnsi="宋体" w:cs="黑体"/>
                <w:kern w:val="0"/>
                <w:szCs w:val="21"/>
              </w:rPr>
            </w:pPr>
          </w:p>
        </w:tc>
        <w:tc>
          <w:tcPr>
            <w:tcW w:w="1096" w:type="dxa"/>
            <w:noWrap w:val="0"/>
            <w:vAlign w:val="center"/>
          </w:tcPr>
          <w:p w14:paraId="1BB11566">
            <w:pPr>
              <w:autoSpaceDE w:val="0"/>
              <w:autoSpaceDN w:val="0"/>
              <w:adjustRightInd w:val="0"/>
              <w:ind w:firstLine="10"/>
              <w:jc w:val="center"/>
              <w:rPr>
                <w:rFonts w:ascii="宋体" w:hAnsi="宋体" w:cs="黑体"/>
                <w:kern w:val="0"/>
                <w:szCs w:val="21"/>
              </w:rPr>
            </w:pPr>
          </w:p>
        </w:tc>
        <w:tc>
          <w:tcPr>
            <w:tcW w:w="1094" w:type="dxa"/>
            <w:noWrap w:val="0"/>
            <w:vAlign w:val="center"/>
          </w:tcPr>
          <w:p w14:paraId="4DB9A3E3">
            <w:pPr>
              <w:autoSpaceDE w:val="0"/>
              <w:autoSpaceDN w:val="0"/>
              <w:adjustRightInd w:val="0"/>
              <w:ind w:firstLine="10"/>
              <w:jc w:val="center"/>
              <w:rPr>
                <w:rFonts w:ascii="宋体" w:hAnsi="宋体" w:cs="黑体"/>
                <w:kern w:val="0"/>
                <w:szCs w:val="21"/>
              </w:rPr>
            </w:pPr>
          </w:p>
        </w:tc>
        <w:tc>
          <w:tcPr>
            <w:tcW w:w="944" w:type="dxa"/>
            <w:noWrap w:val="0"/>
            <w:vAlign w:val="center"/>
          </w:tcPr>
          <w:p w14:paraId="5C1E5089">
            <w:pPr>
              <w:autoSpaceDE w:val="0"/>
              <w:autoSpaceDN w:val="0"/>
              <w:adjustRightInd w:val="0"/>
              <w:ind w:firstLine="10"/>
              <w:jc w:val="center"/>
              <w:rPr>
                <w:rFonts w:ascii="宋体" w:hAnsi="宋体" w:cs="黑体"/>
                <w:kern w:val="0"/>
                <w:szCs w:val="21"/>
              </w:rPr>
            </w:pPr>
          </w:p>
        </w:tc>
        <w:tc>
          <w:tcPr>
            <w:tcW w:w="1246" w:type="dxa"/>
            <w:noWrap w:val="0"/>
            <w:vAlign w:val="center"/>
          </w:tcPr>
          <w:p w14:paraId="5EE54047">
            <w:pPr>
              <w:autoSpaceDE w:val="0"/>
              <w:autoSpaceDN w:val="0"/>
              <w:adjustRightInd w:val="0"/>
              <w:ind w:firstLine="10"/>
              <w:jc w:val="center"/>
              <w:rPr>
                <w:rFonts w:ascii="宋体" w:hAnsi="宋体" w:cs="黑体"/>
                <w:kern w:val="0"/>
                <w:szCs w:val="21"/>
              </w:rPr>
            </w:pPr>
          </w:p>
        </w:tc>
        <w:tc>
          <w:tcPr>
            <w:tcW w:w="839" w:type="dxa"/>
            <w:noWrap w:val="0"/>
            <w:vAlign w:val="center"/>
          </w:tcPr>
          <w:p w14:paraId="0662C962">
            <w:pPr>
              <w:autoSpaceDE w:val="0"/>
              <w:autoSpaceDN w:val="0"/>
              <w:adjustRightInd w:val="0"/>
              <w:ind w:firstLine="10"/>
              <w:jc w:val="center"/>
              <w:rPr>
                <w:rFonts w:ascii="宋体" w:hAnsi="宋体" w:cs="黑体"/>
                <w:kern w:val="0"/>
                <w:szCs w:val="21"/>
              </w:rPr>
            </w:pPr>
          </w:p>
        </w:tc>
        <w:tc>
          <w:tcPr>
            <w:tcW w:w="863" w:type="dxa"/>
            <w:noWrap w:val="0"/>
            <w:vAlign w:val="center"/>
          </w:tcPr>
          <w:p w14:paraId="50F08BBA">
            <w:pPr>
              <w:autoSpaceDE w:val="0"/>
              <w:autoSpaceDN w:val="0"/>
              <w:adjustRightInd w:val="0"/>
              <w:ind w:firstLine="10"/>
              <w:jc w:val="center"/>
              <w:rPr>
                <w:rFonts w:ascii="宋体" w:hAnsi="宋体" w:cs="黑体"/>
                <w:kern w:val="0"/>
                <w:szCs w:val="21"/>
              </w:rPr>
            </w:pPr>
          </w:p>
        </w:tc>
      </w:tr>
      <w:tr w14:paraId="36C97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jc w:val="center"/>
        </w:trPr>
        <w:tc>
          <w:tcPr>
            <w:tcW w:w="1101" w:type="dxa"/>
            <w:noWrap w:val="0"/>
            <w:vAlign w:val="center"/>
          </w:tcPr>
          <w:p w14:paraId="749B1FCA">
            <w:pPr>
              <w:autoSpaceDE w:val="0"/>
              <w:autoSpaceDN w:val="0"/>
              <w:adjustRightInd w:val="0"/>
              <w:ind w:firstLine="10"/>
              <w:jc w:val="center"/>
              <w:rPr>
                <w:rFonts w:ascii="宋体" w:hAnsi="宋体" w:cs="黑体"/>
                <w:kern w:val="0"/>
                <w:szCs w:val="21"/>
              </w:rPr>
            </w:pPr>
          </w:p>
        </w:tc>
        <w:tc>
          <w:tcPr>
            <w:tcW w:w="1310" w:type="dxa"/>
            <w:noWrap w:val="0"/>
            <w:vAlign w:val="center"/>
          </w:tcPr>
          <w:p w14:paraId="7A21F523">
            <w:pPr>
              <w:autoSpaceDE w:val="0"/>
              <w:autoSpaceDN w:val="0"/>
              <w:adjustRightInd w:val="0"/>
              <w:ind w:firstLine="10"/>
              <w:jc w:val="center"/>
              <w:rPr>
                <w:rFonts w:ascii="宋体" w:hAnsi="宋体" w:cs="黑体"/>
                <w:kern w:val="0"/>
                <w:szCs w:val="21"/>
              </w:rPr>
            </w:pPr>
          </w:p>
        </w:tc>
        <w:tc>
          <w:tcPr>
            <w:tcW w:w="1096" w:type="dxa"/>
            <w:noWrap w:val="0"/>
            <w:vAlign w:val="center"/>
          </w:tcPr>
          <w:p w14:paraId="3EB52E04">
            <w:pPr>
              <w:autoSpaceDE w:val="0"/>
              <w:autoSpaceDN w:val="0"/>
              <w:adjustRightInd w:val="0"/>
              <w:ind w:firstLine="10"/>
              <w:jc w:val="center"/>
              <w:rPr>
                <w:rFonts w:ascii="宋体" w:hAnsi="宋体" w:cs="黑体"/>
                <w:kern w:val="0"/>
                <w:szCs w:val="21"/>
              </w:rPr>
            </w:pPr>
          </w:p>
        </w:tc>
        <w:tc>
          <w:tcPr>
            <w:tcW w:w="1096" w:type="dxa"/>
            <w:noWrap w:val="0"/>
            <w:vAlign w:val="center"/>
          </w:tcPr>
          <w:p w14:paraId="726FEE28">
            <w:pPr>
              <w:autoSpaceDE w:val="0"/>
              <w:autoSpaceDN w:val="0"/>
              <w:adjustRightInd w:val="0"/>
              <w:ind w:firstLine="10"/>
              <w:jc w:val="center"/>
              <w:rPr>
                <w:rFonts w:ascii="宋体" w:hAnsi="宋体" w:cs="黑体"/>
                <w:kern w:val="0"/>
                <w:szCs w:val="21"/>
              </w:rPr>
            </w:pPr>
          </w:p>
        </w:tc>
        <w:tc>
          <w:tcPr>
            <w:tcW w:w="1094" w:type="dxa"/>
            <w:noWrap w:val="0"/>
            <w:vAlign w:val="center"/>
          </w:tcPr>
          <w:p w14:paraId="14DD5720">
            <w:pPr>
              <w:autoSpaceDE w:val="0"/>
              <w:autoSpaceDN w:val="0"/>
              <w:adjustRightInd w:val="0"/>
              <w:ind w:firstLine="10"/>
              <w:jc w:val="center"/>
              <w:rPr>
                <w:rFonts w:ascii="宋体" w:hAnsi="宋体" w:cs="黑体"/>
                <w:kern w:val="0"/>
                <w:szCs w:val="21"/>
              </w:rPr>
            </w:pPr>
          </w:p>
        </w:tc>
        <w:tc>
          <w:tcPr>
            <w:tcW w:w="944" w:type="dxa"/>
            <w:noWrap w:val="0"/>
            <w:vAlign w:val="center"/>
          </w:tcPr>
          <w:p w14:paraId="5FCAA2D5">
            <w:pPr>
              <w:autoSpaceDE w:val="0"/>
              <w:autoSpaceDN w:val="0"/>
              <w:adjustRightInd w:val="0"/>
              <w:ind w:firstLine="10"/>
              <w:jc w:val="center"/>
              <w:rPr>
                <w:rFonts w:ascii="宋体" w:hAnsi="宋体" w:cs="黑体"/>
                <w:kern w:val="0"/>
                <w:szCs w:val="21"/>
              </w:rPr>
            </w:pPr>
          </w:p>
        </w:tc>
        <w:tc>
          <w:tcPr>
            <w:tcW w:w="1246" w:type="dxa"/>
            <w:noWrap w:val="0"/>
            <w:vAlign w:val="center"/>
          </w:tcPr>
          <w:p w14:paraId="2C49E7E3">
            <w:pPr>
              <w:autoSpaceDE w:val="0"/>
              <w:autoSpaceDN w:val="0"/>
              <w:adjustRightInd w:val="0"/>
              <w:ind w:firstLine="10"/>
              <w:jc w:val="center"/>
              <w:rPr>
                <w:rFonts w:ascii="宋体" w:hAnsi="宋体" w:cs="黑体"/>
                <w:kern w:val="0"/>
                <w:szCs w:val="21"/>
              </w:rPr>
            </w:pPr>
          </w:p>
        </w:tc>
        <w:tc>
          <w:tcPr>
            <w:tcW w:w="839" w:type="dxa"/>
            <w:noWrap w:val="0"/>
            <w:vAlign w:val="center"/>
          </w:tcPr>
          <w:p w14:paraId="44917CE5">
            <w:pPr>
              <w:autoSpaceDE w:val="0"/>
              <w:autoSpaceDN w:val="0"/>
              <w:adjustRightInd w:val="0"/>
              <w:ind w:firstLine="10"/>
              <w:jc w:val="center"/>
              <w:rPr>
                <w:rFonts w:ascii="宋体" w:hAnsi="宋体" w:cs="黑体"/>
                <w:kern w:val="0"/>
                <w:szCs w:val="21"/>
              </w:rPr>
            </w:pPr>
          </w:p>
        </w:tc>
        <w:tc>
          <w:tcPr>
            <w:tcW w:w="863" w:type="dxa"/>
            <w:noWrap w:val="0"/>
            <w:vAlign w:val="center"/>
          </w:tcPr>
          <w:p w14:paraId="5A19E717">
            <w:pPr>
              <w:autoSpaceDE w:val="0"/>
              <w:autoSpaceDN w:val="0"/>
              <w:adjustRightInd w:val="0"/>
              <w:ind w:firstLine="10"/>
              <w:jc w:val="center"/>
              <w:rPr>
                <w:rFonts w:ascii="宋体" w:hAnsi="宋体" w:cs="黑体"/>
                <w:kern w:val="0"/>
                <w:szCs w:val="21"/>
              </w:rPr>
            </w:pPr>
          </w:p>
        </w:tc>
      </w:tr>
      <w:tr w14:paraId="2A2AA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jc w:val="center"/>
        </w:trPr>
        <w:tc>
          <w:tcPr>
            <w:tcW w:w="1101" w:type="dxa"/>
            <w:noWrap w:val="0"/>
            <w:vAlign w:val="center"/>
          </w:tcPr>
          <w:p w14:paraId="7AA2D3D8">
            <w:pPr>
              <w:autoSpaceDE w:val="0"/>
              <w:autoSpaceDN w:val="0"/>
              <w:adjustRightInd w:val="0"/>
              <w:ind w:firstLine="10"/>
              <w:jc w:val="center"/>
              <w:rPr>
                <w:rFonts w:ascii="宋体" w:hAnsi="宋体" w:cs="黑体"/>
                <w:kern w:val="0"/>
                <w:szCs w:val="21"/>
              </w:rPr>
            </w:pPr>
          </w:p>
        </w:tc>
        <w:tc>
          <w:tcPr>
            <w:tcW w:w="1310" w:type="dxa"/>
            <w:noWrap w:val="0"/>
            <w:vAlign w:val="center"/>
          </w:tcPr>
          <w:p w14:paraId="732773A0">
            <w:pPr>
              <w:autoSpaceDE w:val="0"/>
              <w:autoSpaceDN w:val="0"/>
              <w:adjustRightInd w:val="0"/>
              <w:ind w:firstLine="10"/>
              <w:jc w:val="center"/>
              <w:rPr>
                <w:rFonts w:ascii="宋体" w:hAnsi="宋体" w:cs="黑体"/>
                <w:kern w:val="0"/>
                <w:szCs w:val="21"/>
              </w:rPr>
            </w:pPr>
          </w:p>
        </w:tc>
        <w:tc>
          <w:tcPr>
            <w:tcW w:w="1096" w:type="dxa"/>
            <w:noWrap w:val="0"/>
            <w:vAlign w:val="center"/>
          </w:tcPr>
          <w:p w14:paraId="422AF29C">
            <w:pPr>
              <w:autoSpaceDE w:val="0"/>
              <w:autoSpaceDN w:val="0"/>
              <w:adjustRightInd w:val="0"/>
              <w:ind w:firstLine="10"/>
              <w:jc w:val="center"/>
              <w:rPr>
                <w:rFonts w:ascii="宋体" w:hAnsi="宋体" w:cs="黑体"/>
                <w:kern w:val="0"/>
                <w:szCs w:val="21"/>
              </w:rPr>
            </w:pPr>
          </w:p>
        </w:tc>
        <w:tc>
          <w:tcPr>
            <w:tcW w:w="1096" w:type="dxa"/>
            <w:noWrap w:val="0"/>
            <w:vAlign w:val="center"/>
          </w:tcPr>
          <w:p w14:paraId="01A729E9">
            <w:pPr>
              <w:autoSpaceDE w:val="0"/>
              <w:autoSpaceDN w:val="0"/>
              <w:adjustRightInd w:val="0"/>
              <w:ind w:firstLine="10"/>
              <w:jc w:val="center"/>
              <w:rPr>
                <w:rFonts w:ascii="宋体" w:hAnsi="宋体" w:cs="黑体"/>
                <w:kern w:val="0"/>
                <w:szCs w:val="21"/>
              </w:rPr>
            </w:pPr>
          </w:p>
        </w:tc>
        <w:tc>
          <w:tcPr>
            <w:tcW w:w="1094" w:type="dxa"/>
            <w:noWrap w:val="0"/>
            <w:vAlign w:val="center"/>
          </w:tcPr>
          <w:p w14:paraId="7862A8EF">
            <w:pPr>
              <w:autoSpaceDE w:val="0"/>
              <w:autoSpaceDN w:val="0"/>
              <w:adjustRightInd w:val="0"/>
              <w:ind w:firstLine="10"/>
              <w:jc w:val="center"/>
              <w:rPr>
                <w:rFonts w:ascii="宋体" w:hAnsi="宋体" w:cs="黑体"/>
                <w:kern w:val="0"/>
                <w:szCs w:val="21"/>
              </w:rPr>
            </w:pPr>
          </w:p>
        </w:tc>
        <w:tc>
          <w:tcPr>
            <w:tcW w:w="944" w:type="dxa"/>
            <w:noWrap w:val="0"/>
            <w:vAlign w:val="center"/>
          </w:tcPr>
          <w:p w14:paraId="2ECAB382">
            <w:pPr>
              <w:autoSpaceDE w:val="0"/>
              <w:autoSpaceDN w:val="0"/>
              <w:adjustRightInd w:val="0"/>
              <w:ind w:firstLine="10"/>
              <w:jc w:val="center"/>
              <w:rPr>
                <w:rFonts w:ascii="宋体" w:hAnsi="宋体" w:cs="黑体"/>
                <w:kern w:val="0"/>
                <w:szCs w:val="21"/>
              </w:rPr>
            </w:pPr>
          </w:p>
        </w:tc>
        <w:tc>
          <w:tcPr>
            <w:tcW w:w="1246" w:type="dxa"/>
            <w:noWrap w:val="0"/>
            <w:vAlign w:val="center"/>
          </w:tcPr>
          <w:p w14:paraId="20B20855">
            <w:pPr>
              <w:autoSpaceDE w:val="0"/>
              <w:autoSpaceDN w:val="0"/>
              <w:adjustRightInd w:val="0"/>
              <w:ind w:firstLine="10"/>
              <w:jc w:val="center"/>
              <w:rPr>
                <w:rFonts w:ascii="宋体" w:hAnsi="宋体" w:cs="黑体"/>
                <w:kern w:val="0"/>
                <w:szCs w:val="21"/>
              </w:rPr>
            </w:pPr>
          </w:p>
        </w:tc>
        <w:tc>
          <w:tcPr>
            <w:tcW w:w="839" w:type="dxa"/>
            <w:noWrap w:val="0"/>
            <w:vAlign w:val="center"/>
          </w:tcPr>
          <w:p w14:paraId="63DFE93D">
            <w:pPr>
              <w:autoSpaceDE w:val="0"/>
              <w:autoSpaceDN w:val="0"/>
              <w:adjustRightInd w:val="0"/>
              <w:ind w:firstLine="10"/>
              <w:jc w:val="center"/>
              <w:rPr>
                <w:rFonts w:ascii="宋体" w:hAnsi="宋体" w:cs="黑体"/>
                <w:kern w:val="0"/>
                <w:szCs w:val="21"/>
              </w:rPr>
            </w:pPr>
          </w:p>
        </w:tc>
        <w:tc>
          <w:tcPr>
            <w:tcW w:w="863" w:type="dxa"/>
            <w:noWrap w:val="0"/>
            <w:vAlign w:val="center"/>
          </w:tcPr>
          <w:p w14:paraId="489FE1FC">
            <w:pPr>
              <w:autoSpaceDE w:val="0"/>
              <w:autoSpaceDN w:val="0"/>
              <w:adjustRightInd w:val="0"/>
              <w:ind w:firstLine="10"/>
              <w:jc w:val="center"/>
              <w:rPr>
                <w:rFonts w:ascii="宋体" w:hAnsi="宋体" w:cs="黑体"/>
                <w:kern w:val="0"/>
                <w:szCs w:val="21"/>
              </w:rPr>
            </w:pPr>
          </w:p>
        </w:tc>
      </w:tr>
    </w:tbl>
    <w:p w14:paraId="440F1BD7">
      <w:pPr>
        <w:spacing w:before="120" w:beforeLines="50" w:after="120" w:afterLines="50" w:line="480" w:lineRule="exact"/>
        <w:ind w:right="-340" w:rightChars="-162"/>
        <w:textAlignment w:val="center"/>
        <w:rPr>
          <w:rFonts w:hint="eastAsia" w:ascii="宋体" w:hAnsi="宋体"/>
          <w:sz w:val="24"/>
        </w:rPr>
      </w:pPr>
    </w:p>
    <w:p w14:paraId="7E276CC7">
      <w:pPr>
        <w:spacing w:before="120" w:beforeLines="50" w:after="120" w:afterLines="50" w:line="480" w:lineRule="exact"/>
        <w:ind w:right="-340" w:rightChars="-162"/>
        <w:textAlignment w:val="center"/>
        <w:rPr>
          <w:rFonts w:hint="eastAsia" w:ascii="宋体" w:hAnsi="宋体"/>
          <w:sz w:val="24"/>
        </w:rPr>
      </w:pPr>
      <w:r>
        <w:rPr>
          <w:rFonts w:ascii="宋体" w:hAnsi="宋体"/>
          <w:sz w:val="24"/>
        </w:rPr>
        <w:br w:type="page"/>
      </w:r>
      <w:r>
        <w:rPr>
          <w:rFonts w:hint="eastAsia" w:ascii="宋体" w:hAnsi="宋体"/>
          <w:sz w:val="24"/>
        </w:rPr>
        <w:t>附表三：劳动力计划表</w:t>
      </w:r>
    </w:p>
    <w:p w14:paraId="7CD15243">
      <w:pPr>
        <w:wordWrap w:val="0"/>
        <w:spacing w:line="480" w:lineRule="exact"/>
        <w:ind w:right="-340" w:rightChars="-162"/>
        <w:jc w:val="right"/>
        <w:textAlignment w:val="center"/>
        <w:rPr>
          <w:rFonts w:hint="eastAsia" w:ascii="宋体" w:hAnsi="宋体"/>
          <w:sz w:val="24"/>
          <w:szCs w:val="21"/>
        </w:rPr>
      </w:pPr>
      <w:r>
        <w:rPr>
          <w:rFonts w:hint="eastAsia" w:ascii="宋体" w:hAnsi="宋体"/>
          <w:sz w:val="24"/>
          <w:szCs w:val="21"/>
        </w:rPr>
        <w:t xml:space="preserve">单位：人      </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9"/>
        <w:gridCol w:w="1229"/>
        <w:gridCol w:w="1232"/>
        <w:gridCol w:w="1232"/>
        <w:gridCol w:w="1232"/>
        <w:gridCol w:w="1232"/>
        <w:gridCol w:w="1232"/>
        <w:gridCol w:w="1236"/>
      </w:tblGrid>
      <w:tr w14:paraId="297B2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229" w:type="dxa"/>
            <w:noWrap w:val="0"/>
            <w:vAlign w:val="center"/>
          </w:tcPr>
          <w:p w14:paraId="4A8CC2E6">
            <w:pPr>
              <w:autoSpaceDE w:val="0"/>
              <w:autoSpaceDN w:val="0"/>
              <w:adjustRightInd w:val="0"/>
              <w:jc w:val="center"/>
              <w:rPr>
                <w:rFonts w:ascii="宋体" w:hAnsi="宋体" w:cs="黑体"/>
                <w:kern w:val="0"/>
                <w:szCs w:val="21"/>
              </w:rPr>
            </w:pPr>
            <w:r>
              <w:rPr>
                <w:rFonts w:hint="eastAsia" w:ascii="宋体" w:hAnsi="宋体" w:cs="仿宋_GB2312"/>
                <w:kern w:val="0"/>
                <w:szCs w:val="21"/>
              </w:rPr>
              <w:t>工种</w:t>
            </w:r>
          </w:p>
        </w:tc>
        <w:tc>
          <w:tcPr>
            <w:tcW w:w="8625" w:type="dxa"/>
            <w:gridSpan w:val="7"/>
            <w:noWrap w:val="0"/>
            <w:vAlign w:val="center"/>
          </w:tcPr>
          <w:p w14:paraId="33608936">
            <w:pPr>
              <w:autoSpaceDE w:val="0"/>
              <w:autoSpaceDN w:val="0"/>
              <w:adjustRightInd w:val="0"/>
              <w:ind w:firstLine="480"/>
              <w:jc w:val="center"/>
              <w:rPr>
                <w:rFonts w:ascii="宋体" w:hAnsi="宋体" w:cs="黑体"/>
                <w:kern w:val="0"/>
                <w:szCs w:val="21"/>
              </w:rPr>
            </w:pPr>
            <w:r>
              <w:rPr>
                <w:rFonts w:hint="eastAsia" w:ascii="宋体" w:hAnsi="宋体" w:cs="仿宋_GB2312"/>
                <w:kern w:val="0"/>
                <w:szCs w:val="21"/>
              </w:rPr>
              <w:t>按工程施工阶段投入劳动力情况</w:t>
            </w:r>
          </w:p>
        </w:tc>
      </w:tr>
      <w:tr w14:paraId="7A04E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1" w:hRule="atLeast"/>
          <w:jc w:val="center"/>
        </w:trPr>
        <w:tc>
          <w:tcPr>
            <w:tcW w:w="1229" w:type="dxa"/>
            <w:noWrap w:val="0"/>
            <w:vAlign w:val="center"/>
          </w:tcPr>
          <w:p w14:paraId="24433CE1">
            <w:pPr>
              <w:autoSpaceDE w:val="0"/>
              <w:autoSpaceDN w:val="0"/>
              <w:adjustRightInd w:val="0"/>
              <w:ind w:firstLine="480"/>
              <w:jc w:val="center"/>
              <w:rPr>
                <w:rFonts w:ascii="宋体" w:hAnsi="宋体" w:cs="黑体"/>
                <w:kern w:val="0"/>
                <w:szCs w:val="21"/>
              </w:rPr>
            </w:pPr>
          </w:p>
        </w:tc>
        <w:tc>
          <w:tcPr>
            <w:tcW w:w="1229" w:type="dxa"/>
            <w:noWrap w:val="0"/>
            <w:vAlign w:val="center"/>
          </w:tcPr>
          <w:p w14:paraId="6CD861D0">
            <w:pPr>
              <w:autoSpaceDE w:val="0"/>
              <w:autoSpaceDN w:val="0"/>
              <w:adjustRightInd w:val="0"/>
              <w:ind w:firstLine="480"/>
              <w:jc w:val="center"/>
              <w:rPr>
                <w:rFonts w:ascii="宋体" w:hAnsi="宋体" w:cs="黑体"/>
                <w:kern w:val="0"/>
                <w:szCs w:val="21"/>
              </w:rPr>
            </w:pPr>
          </w:p>
        </w:tc>
        <w:tc>
          <w:tcPr>
            <w:tcW w:w="1232" w:type="dxa"/>
            <w:noWrap w:val="0"/>
            <w:vAlign w:val="center"/>
          </w:tcPr>
          <w:p w14:paraId="37F50A49">
            <w:pPr>
              <w:autoSpaceDE w:val="0"/>
              <w:autoSpaceDN w:val="0"/>
              <w:adjustRightInd w:val="0"/>
              <w:ind w:firstLine="480"/>
              <w:jc w:val="center"/>
              <w:rPr>
                <w:rFonts w:ascii="宋体" w:hAnsi="宋体" w:cs="黑体"/>
                <w:kern w:val="0"/>
                <w:szCs w:val="21"/>
              </w:rPr>
            </w:pPr>
          </w:p>
        </w:tc>
        <w:tc>
          <w:tcPr>
            <w:tcW w:w="1232" w:type="dxa"/>
            <w:noWrap w:val="0"/>
            <w:vAlign w:val="center"/>
          </w:tcPr>
          <w:p w14:paraId="601DC144">
            <w:pPr>
              <w:autoSpaceDE w:val="0"/>
              <w:autoSpaceDN w:val="0"/>
              <w:adjustRightInd w:val="0"/>
              <w:ind w:firstLine="480"/>
              <w:jc w:val="center"/>
              <w:rPr>
                <w:rFonts w:ascii="宋体" w:hAnsi="宋体" w:cs="黑体"/>
                <w:kern w:val="0"/>
                <w:szCs w:val="21"/>
              </w:rPr>
            </w:pPr>
          </w:p>
        </w:tc>
        <w:tc>
          <w:tcPr>
            <w:tcW w:w="1232" w:type="dxa"/>
            <w:noWrap w:val="0"/>
            <w:vAlign w:val="center"/>
          </w:tcPr>
          <w:p w14:paraId="429CD57D">
            <w:pPr>
              <w:autoSpaceDE w:val="0"/>
              <w:autoSpaceDN w:val="0"/>
              <w:adjustRightInd w:val="0"/>
              <w:ind w:firstLine="480"/>
              <w:jc w:val="center"/>
              <w:rPr>
                <w:rFonts w:ascii="宋体" w:hAnsi="宋体" w:cs="黑体"/>
                <w:kern w:val="0"/>
                <w:szCs w:val="21"/>
              </w:rPr>
            </w:pPr>
          </w:p>
        </w:tc>
        <w:tc>
          <w:tcPr>
            <w:tcW w:w="1232" w:type="dxa"/>
            <w:noWrap w:val="0"/>
            <w:vAlign w:val="center"/>
          </w:tcPr>
          <w:p w14:paraId="4A06D4A3">
            <w:pPr>
              <w:autoSpaceDE w:val="0"/>
              <w:autoSpaceDN w:val="0"/>
              <w:adjustRightInd w:val="0"/>
              <w:ind w:firstLine="480"/>
              <w:jc w:val="center"/>
              <w:rPr>
                <w:rFonts w:ascii="宋体" w:hAnsi="宋体" w:cs="黑体"/>
                <w:kern w:val="0"/>
                <w:szCs w:val="21"/>
              </w:rPr>
            </w:pPr>
          </w:p>
        </w:tc>
        <w:tc>
          <w:tcPr>
            <w:tcW w:w="1232" w:type="dxa"/>
            <w:noWrap w:val="0"/>
            <w:vAlign w:val="center"/>
          </w:tcPr>
          <w:p w14:paraId="49447351">
            <w:pPr>
              <w:autoSpaceDE w:val="0"/>
              <w:autoSpaceDN w:val="0"/>
              <w:adjustRightInd w:val="0"/>
              <w:ind w:firstLine="480"/>
              <w:jc w:val="center"/>
              <w:rPr>
                <w:rFonts w:ascii="宋体" w:hAnsi="宋体" w:cs="黑体"/>
                <w:kern w:val="0"/>
                <w:szCs w:val="21"/>
              </w:rPr>
            </w:pPr>
          </w:p>
        </w:tc>
        <w:tc>
          <w:tcPr>
            <w:tcW w:w="1236" w:type="dxa"/>
            <w:noWrap w:val="0"/>
            <w:vAlign w:val="center"/>
          </w:tcPr>
          <w:p w14:paraId="284117D0">
            <w:pPr>
              <w:autoSpaceDE w:val="0"/>
              <w:autoSpaceDN w:val="0"/>
              <w:adjustRightInd w:val="0"/>
              <w:ind w:firstLine="480"/>
              <w:jc w:val="center"/>
              <w:rPr>
                <w:rFonts w:ascii="宋体" w:hAnsi="宋体" w:cs="黑体"/>
                <w:kern w:val="0"/>
                <w:szCs w:val="21"/>
              </w:rPr>
            </w:pPr>
          </w:p>
        </w:tc>
      </w:tr>
      <w:tr w14:paraId="0FA76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1229" w:type="dxa"/>
            <w:noWrap w:val="0"/>
            <w:vAlign w:val="center"/>
          </w:tcPr>
          <w:p w14:paraId="4C864647">
            <w:pPr>
              <w:autoSpaceDE w:val="0"/>
              <w:autoSpaceDN w:val="0"/>
              <w:adjustRightInd w:val="0"/>
              <w:ind w:firstLine="480"/>
              <w:jc w:val="center"/>
              <w:rPr>
                <w:rFonts w:ascii="宋体" w:hAnsi="宋体" w:cs="黑体"/>
                <w:kern w:val="0"/>
                <w:szCs w:val="21"/>
              </w:rPr>
            </w:pPr>
          </w:p>
        </w:tc>
        <w:tc>
          <w:tcPr>
            <w:tcW w:w="1229" w:type="dxa"/>
            <w:noWrap w:val="0"/>
            <w:vAlign w:val="center"/>
          </w:tcPr>
          <w:p w14:paraId="4DFA3F8A">
            <w:pPr>
              <w:autoSpaceDE w:val="0"/>
              <w:autoSpaceDN w:val="0"/>
              <w:adjustRightInd w:val="0"/>
              <w:ind w:firstLine="480"/>
              <w:jc w:val="center"/>
              <w:rPr>
                <w:rFonts w:ascii="宋体" w:hAnsi="宋体" w:cs="黑体"/>
                <w:kern w:val="0"/>
                <w:szCs w:val="21"/>
              </w:rPr>
            </w:pPr>
          </w:p>
        </w:tc>
        <w:tc>
          <w:tcPr>
            <w:tcW w:w="1232" w:type="dxa"/>
            <w:noWrap w:val="0"/>
            <w:vAlign w:val="center"/>
          </w:tcPr>
          <w:p w14:paraId="0CC2BA8B">
            <w:pPr>
              <w:autoSpaceDE w:val="0"/>
              <w:autoSpaceDN w:val="0"/>
              <w:adjustRightInd w:val="0"/>
              <w:ind w:firstLine="480"/>
              <w:jc w:val="center"/>
              <w:rPr>
                <w:rFonts w:ascii="宋体" w:hAnsi="宋体" w:cs="黑体"/>
                <w:kern w:val="0"/>
                <w:szCs w:val="21"/>
              </w:rPr>
            </w:pPr>
          </w:p>
        </w:tc>
        <w:tc>
          <w:tcPr>
            <w:tcW w:w="1232" w:type="dxa"/>
            <w:noWrap w:val="0"/>
            <w:vAlign w:val="center"/>
          </w:tcPr>
          <w:p w14:paraId="15DEE7B7">
            <w:pPr>
              <w:autoSpaceDE w:val="0"/>
              <w:autoSpaceDN w:val="0"/>
              <w:adjustRightInd w:val="0"/>
              <w:ind w:firstLine="480"/>
              <w:jc w:val="center"/>
              <w:rPr>
                <w:rFonts w:ascii="宋体" w:hAnsi="宋体" w:cs="黑体"/>
                <w:kern w:val="0"/>
                <w:szCs w:val="21"/>
              </w:rPr>
            </w:pPr>
          </w:p>
        </w:tc>
        <w:tc>
          <w:tcPr>
            <w:tcW w:w="1232" w:type="dxa"/>
            <w:noWrap w:val="0"/>
            <w:vAlign w:val="center"/>
          </w:tcPr>
          <w:p w14:paraId="083254FD">
            <w:pPr>
              <w:autoSpaceDE w:val="0"/>
              <w:autoSpaceDN w:val="0"/>
              <w:adjustRightInd w:val="0"/>
              <w:ind w:firstLine="480"/>
              <w:jc w:val="center"/>
              <w:rPr>
                <w:rFonts w:ascii="宋体" w:hAnsi="宋体" w:cs="黑体"/>
                <w:kern w:val="0"/>
                <w:szCs w:val="21"/>
              </w:rPr>
            </w:pPr>
          </w:p>
        </w:tc>
        <w:tc>
          <w:tcPr>
            <w:tcW w:w="1232" w:type="dxa"/>
            <w:noWrap w:val="0"/>
            <w:vAlign w:val="center"/>
          </w:tcPr>
          <w:p w14:paraId="3894A3D2">
            <w:pPr>
              <w:autoSpaceDE w:val="0"/>
              <w:autoSpaceDN w:val="0"/>
              <w:adjustRightInd w:val="0"/>
              <w:ind w:firstLine="480"/>
              <w:jc w:val="center"/>
              <w:rPr>
                <w:rFonts w:ascii="宋体" w:hAnsi="宋体" w:cs="黑体"/>
                <w:kern w:val="0"/>
                <w:szCs w:val="21"/>
              </w:rPr>
            </w:pPr>
          </w:p>
        </w:tc>
        <w:tc>
          <w:tcPr>
            <w:tcW w:w="1232" w:type="dxa"/>
            <w:noWrap w:val="0"/>
            <w:vAlign w:val="center"/>
          </w:tcPr>
          <w:p w14:paraId="4EEB704C">
            <w:pPr>
              <w:autoSpaceDE w:val="0"/>
              <w:autoSpaceDN w:val="0"/>
              <w:adjustRightInd w:val="0"/>
              <w:ind w:firstLine="480"/>
              <w:jc w:val="center"/>
              <w:rPr>
                <w:rFonts w:ascii="宋体" w:hAnsi="宋体" w:cs="黑体"/>
                <w:kern w:val="0"/>
                <w:szCs w:val="21"/>
              </w:rPr>
            </w:pPr>
          </w:p>
        </w:tc>
        <w:tc>
          <w:tcPr>
            <w:tcW w:w="1236" w:type="dxa"/>
            <w:noWrap w:val="0"/>
            <w:vAlign w:val="center"/>
          </w:tcPr>
          <w:p w14:paraId="54BB14F2">
            <w:pPr>
              <w:autoSpaceDE w:val="0"/>
              <w:autoSpaceDN w:val="0"/>
              <w:adjustRightInd w:val="0"/>
              <w:ind w:firstLine="480"/>
              <w:jc w:val="center"/>
              <w:rPr>
                <w:rFonts w:ascii="宋体" w:hAnsi="宋体" w:cs="黑体"/>
                <w:kern w:val="0"/>
                <w:szCs w:val="21"/>
              </w:rPr>
            </w:pPr>
          </w:p>
        </w:tc>
      </w:tr>
      <w:tr w14:paraId="5E87F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jc w:val="center"/>
        </w:trPr>
        <w:tc>
          <w:tcPr>
            <w:tcW w:w="1229" w:type="dxa"/>
            <w:noWrap w:val="0"/>
            <w:vAlign w:val="center"/>
          </w:tcPr>
          <w:p w14:paraId="64B1B7B3">
            <w:pPr>
              <w:autoSpaceDE w:val="0"/>
              <w:autoSpaceDN w:val="0"/>
              <w:adjustRightInd w:val="0"/>
              <w:ind w:firstLine="480"/>
              <w:jc w:val="center"/>
              <w:rPr>
                <w:rFonts w:ascii="宋体" w:hAnsi="宋体" w:cs="黑体"/>
                <w:kern w:val="0"/>
                <w:szCs w:val="21"/>
              </w:rPr>
            </w:pPr>
          </w:p>
        </w:tc>
        <w:tc>
          <w:tcPr>
            <w:tcW w:w="1229" w:type="dxa"/>
            <w:noWrap w:val="0"/>
            <w:vAlign w:val="center"/>
          </w:tcPr>
          <w:p w14:paraId="31011268">
            <w:pPr>
              <w:autoSpaceDE w:val="0"/>
              <w:autoSpaceDN w:val="0"/>
              <w:adjustRightInd w:val="0"/>
              <w:ind w:firstLine="480"/>
              <w:jc w:val="center"/>
              <w:rPr>
                <w:rFonts w:ascii="宋体" w:hAnsi="宋体" w:cs="黑体"/>
                <w:kern w:val="0"/>
                <w:szCs w:val="21"/>
              </w:rPr>
            </w:pPr>
          </w:p>
        </w:tc>
        <w:tc>
          <w:tcPr>
            <w:tcW w:w="1232" w:type="dxa"/>
            <w:noWrap w:val="0"/>
            <w:vAlign w:val="center"/>
          </w:tcPr>
          <w:p w14:paraId="4F180108">
            <w:pPr>
              <w:autoSpaceDE w:val="0"/>
              <w:autoSpaceDN w:val="0"/>
              <w:adjustRightInd w:val="0"/>
              <w:ind w:firstLine="480"/>
              <w:jc w:val="center"/>
              <w:rPr>
                <w:rFonts w:ascii="宋体" w:hAnsi="宋体" w:cs="黑体"/>
                <w:kern w:val="0"/>
                <w:szCs w:val="21"/>
              </w:rPr>
            </w:pPr>
          </w:p>
        </w:tc>
        <w:tc>
          <w:tcPr>
            <w:tcW w:w="1232" w:type="dxa"/>
            <w:noWrap w:val="0"/>
            <w:vAlign w:val="center"/>
          </w:tcPr>
          <w:p w14:paraId="35242261">
            <w:pPr>
              <w:autoSpaceDE w:val="0"/>
              <w:autoSpaceDN w:val="0"/>
              <w:adjustRightInd w:val="0"/>
              <w:ind w:firstLine="480"/>
              <w:jc w:val="center"/>
              <w:rPr>
                <w:rFonts w:ascii="宋体" w:hAnsi="宋体" w:cs="黑体"/>
                <w:kern w:val="0"/>
                <w:szCs w:val="21"/>
              </w:rPr>
            </w:pPr>
          </w:p>
        </w:tc>
        <w:tc>
          <w:tcPr>
            <w:tcW w:w="1232" w:type="dxa"/>
            <w:noWrap w:val="0"/>
            <w:vAlign w:val="center"/>
          </w:tcPr>
          <w:p w14:paraId="548FA3CD">
            <w:pPr>
              <w:autoSpaceDE w:val="0"/>
              <w:autoSpaceDN w:val="0"/>
              <w:adjustRightInd w:val="0"/>
              <w:ind w:firstLine="480"/>
              <w:jc w:val="center"/>
              <w:rPr>
                <w:rFonts w:ascii="宋体" w:hAnsi="宋体" w:cs="黑体"/>
                <w:kern w:val="0"/>
                <w:szCs w:val="21"/>
              </w:rPr>
            </w:pPr>
          </w:p>
        </w:tc>
        <w:tc>
          <w:tcPr>
            <w:tcW w:w="1232" w:type="dxa"/>
            <w:noWrap w:val="0"/>
            <w:vAlign w:val="center"/>
          </w:tcPr>
          <w:p w14:paraId="2BE72F61">
            <w:pPr>
              <w:autoSpaceDE w:val="0"/>
              <w:autoSpaceDN w:val="0"/>
              <w:adjustRightInd w:val="0"/>
              <w:ind w:firstLine="480"/>
              <w:jc w:val="center"/>
              <w:rPr>
                <w:rFonts w:ascii="宋体" w:hAnsi="宋体" w:cs="黑体"/>
                <w:kern w:val="0"/>
                <w:szCs w:val="21"/>
              </w:rPr>
            </w:pPr>
          </w:p>
        </w:tc>
        <w:tc>
          <w:tcPr>
            <w:tcW w:w="1232" w:type="dxa"/>
            <w:noWrap w:val="0"/>
            <w:vAlign w:val="center"/>
          </w:tcPr>
          <w:p w14:paraId="163E247A">
            <w:pPr>
              <w:autoSpaceDE w:val="0"/>
              <w:autoSpaceDN w:val="0"/>
              <w:adjustRightInd w:val="0"/>
              <w:ind w:firstLine="480"/>
              <w:jc w:val="center"/>
              <w:rPr>
                <w:rFonts w:ascii="宋体" w:hAnsi="宋体" w:cs="黑体"/>
                <w:kern w:val="0"/>
                <w:szCs w:val="21"/>
              </w:rPr>
            </w:pPr>
          </w:p>
        </w:tc>
        <w:tc>
          <w:tcPr>
            <w:tcW w:w="1236" w:type="dxa"/>
            <w:noWrap w:val="0"/>
            <w:vAlign w:val="center"/>
          </w:tcPr>
          <w:p w14:paraId="31815F6F">
            <w:pPr>
              <w:autoSpaceDE w:val="0"/>
              <w:autoSpaceDN w:val="0"/>
              <w:adjustRightInd w:val="0"/>
              <w:ind w:firstLine="480"/>
              <w:jc w:val="center"/>
              <w:rPr>
                <w:rFonts w:ascii="宋体" w:hAnsi="宋体" w:cs="黑体"/>
                <w:kern w:val="0"/>
                <w:szCs w:val="21"/>
              </w:rPr>
            </w:pPr>
          </w:p>
        </w:tc>
      </w:tr>
      <w:tr w14:paraId="5E1F1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1229" w:type="dxa"/>
            <w:noWrap w:val="0"/>
            <w:vAlign w:val="center"/>
          </w:tcPr>
          <w:p w14:paraId="5D888ED9">
            <w:pPr>
              <w:autoSpaceDE w:val="0"/>
              <w:autoSpaceDN w:val="0"/>
              <w:adjustRightInd w:val="0"/>
              <w:ind w:firstLine="480"/>
              <w:jc w:val="center"/>
              <w:rPr>
                <w:rFonts w:ascii="宋体" w:hAnsi="宋体" w:cs="黑体"/>
                <w:kern w:val="0"/>
                <w:szCs w:val="21"/>
              </w:rPr>
            </w:pPr>
          </w:p>
        </w:tc>
        <w:tc>
          <w:tcPr>
            <w:tcW w:w="1229" w:type="dxa"/>
            <w:noWrap w:val="0"/>
            <w:vAlign w:val="center"/>
          </w:tcPr>
          <w:p w14:paraId="3FA3FB4E">
            <w:pPr>
              <w:autoSpaceDE w:val="0"/>
              <w:autoSpaceDN w:val="0"/>
              <w:adjustRightInd w:val="0"/>
              <w:ind w:firstLine="480"/>
              <w:jc w:val="center"/>
              <w:rPr>
                <w:rFonts w:ascii="宋体" w:hAnsi="宋体" w:cs="黑体"/>
                <w:kern w:val="0"/>
                <w:szCs w:val="21"/>
              </w:rPr>
            </w:pPr>
          </w:p>
        </w:tc>
        <w:tc>
          <w:tcPr>
            <w:tcW w:w="1232" w:type="dxa"/>
            <w:noWrap w:val="0"/>
            <w:vAlign w:val="center"/>
          </w:tcPr>
          <w:p w14:paraId="474F76D5">
            <w:pPr>
              <w:autoSpaceDE w:val="0"/>
              <w:autoSpaceDN w:val="0"/>
              <w:adjustRightInd w:val="0"/>
              <w:ind w:firstLine="480"/>
              <w:jc w:val="center"/>
              <w:rPr>
                <w:rFonts w:ascii="宋体" w:hAnsi="宋体" w:cs="黑体"/>
                <w:kern w:val="0"/>
                <w:szCs w:val="21"/>
              </w:rPr>
            </w:pPr>
          </w:p>
        </w:tc>
        <w:tc>
          <w:tcPr>
            <w:tcW w:w="1232" w:type="dxa"/>
            <w:noWrap w:val="0"/>
            <w:vAlign w:val="center"/>
          </w:tcPr>
          <w:p w14:paraId="5A42913C">
            <w:pPr>
              <w:autoSpaceDE w:val="0"/>
              <w:autoSpaceDN w:val="0"/>
              <w:adjustRightInd w:val="0"/>
              <w:ind w:firstLine="480"/>
              <w:jc w:val="center"/>
              <w:rPr>
                <w:rFonts w:ascii="宋体" w:hAnsi="宋体" w:cs="黑体"/>
                <w:kern w:val="0"/>
                <w:szCs w:val="21"/>
              </w:rPr>
            </w:pPr>
          </w:p>
        </w:tc>
        <w:tc>
          <w:tcPr>
            <w:tcW w:w="1232" w:type="dxa"/>
            <w:noWrap w:val="0"/>
            <w:vAlign w:val="center"/>
          </w:tcPr>
          <w:p w14:paraId="5AEF89D9">
            <w:pPr>
              <w:autoSpaceDE w:val="0"/>
              <w:autoSpaceDN w:val="0"/>
              <w:adjustRightInd w:val="0"/>
              <w:ind w:firstLine="480"/>
              <w:jc w:val="center"/>
              <w:rPr>
                <w:rFonts w:ascii="宋体" w:hAnsi="宋体" w:cs="黑体"/>
                <w:kern w:val="0"/>
                <w:szCs w:val="21"/>
              </w:rPr>
            </w:pPr>
          </w:p>
        </w:tc>
        <w:tc>
          <w:tcPr>
            <w:tcW w:w="1232" w:type="dxa"/>
            <w:noWrap w:val="0"/>
            <w:vAlign w:val="center"/>
          </w:tcPr>
          <w:p w14:paraId="36D0BD60">
            <w:pPr>
              <w:autoSpaceDE w:val="0"/>
              <w:autoSpaceDN w:val="0"/>
              <w:adjustRightInd w:val="0"/>
              <w:ind w:firstLine="480"/>
              <w:jc w:val="center"/>
              <w:rPr>
                <w:rFonts w:ascii="宋体" w:hAnsi="宋体" w:cs="黑体"/>
                <w:kern w:val="0"/>
                <w:szCs w:val="21"/>
              </w:rPr>
            </w:pPr>
          </w:p>
        </w:tc>
        <w:tc>
          <w:tcPr>
            <w:tcW w:w="1232" w:type="dxa"/>
            <w:noWrap w:val="0"/>
            <w:vAlign w:val="center"/>
          </w:tcPr>
          <w:p w14:paraId="45A1A293">
            <w:pPr>
              <w:autoSpaceDE w:val="0"/>
              <w:autoSpaceDN w:val="0"/>
              <w:adjustRightInd w:val="0"/>
              <w:ind w:firstLine="480"/>
              <w:jc w:val="center"/>
              <w:rPr>
                <w:rFonts w:ascii="宋体" w:hAnsi="宋体" w:cs="黑体"/>
                <w:kern w:val="0"/>
                <w:szCs w:val="21"/>
              </w:rPr>
            </w:pPr>
          </w:p>
        </w:tc>
        <w:tc>
          <w:tcPr>
            <w:tcW w:w="1236" w:type="dxa"/>
            <w:noWrap w:val="0"/>
            <w:vAlign w:val="center"/>
          </w:tcPr>
          <w:p w14:paraId="6887A6C2">
            <w:pPr>
              <w:autoSpaceDE w:val="0"/>
              <w:autoSpaceDN w:val="0"/>
              <w:adjustRightInd w:val="0"/>
              <w:ind w:firstLine="480"/>
              <w:jc w:val="center"/>
              <w:rPr>
                <w:rFonts w:ascii="宋体" w:hAnsi="宋体" w:cs="黑体"/>
                <w:kern w:val="0"/>
                <w:szCs w:val="21"/>
              </w:rPr>
            </w:pPr>
          </w:p>
        </w:tc>
      </w:tr>
      <w:tr w14:paraId="6183A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1229" w:type="dxa"/>
            <w:noWrap w:val="0"/>
            <w:vAlign w:val="center"/>
          </w:tcPr>
          <w:p w14:paraId="034AF732">
            <w:pPr>
              <w:autoSpaceDE w:val="0"/>
              <w:autoSpaceDN w:val="0"/>
              <w:adjustRightInd w:val="0"/>
              <w:ind w:firstLine="480"/>
              <w:rPr>
                <w:rFonts w:hint="eastAsia" w:ascii="宋体" w:hAnsi="宋体" w:cs="黑体"/>
                <w:kern w:val="0"/>
                <w:szCs w:val="21"/>
              </w:rPr>
            </w:pPr>
          </w:p>
        </w:tc>
        <w:tc>
          <w:tcPr>
            <w:tcW w:w="1229" w:type="dxa"/>
            <w:noWrap w:val="0"/>
            <w:vAlign w:val="center"/>
          </w:tcPr>
          <w:p w14:paraId="69B8A631">
            <w:pPr>
              <w:autoSpaceDE w:val="0"/>
              <w:autoSpaceDN w:val="0"/>
              <w:adjustRightInd w:val="0"/>
              <w:ind w:firstLine="480"/>
              <w:jc w:val="center"/>
              <w:rPr>
                <w:rFonts w:ascii="宋体" w:hAnsi="宋体" w:cs="黑体"/>
                <w:kern w:val="0"/>
                <w:szCs w:val="21"/>
              </w:rPr>
            </w:pPr>
          </w:p>
        </w:tc>
        <w:tc>
          <w:tcPr>
            <w:tcW w:w="1232" w:type="dxa"/>
            <w:noWrap w:val="0"/>
            <w:vAlign w:val="center"/>
          </w:tcPr>
          <w:p w14:paraId="48C2EB1A">
            <w:pPr>
              <w:autoSpaceDE w:val="0"/>
              <w:autoSpaceDN w:val="0"/>
              <w:adjustRightInd w:val="0"/>
              <w:ind w:firstLine="480"/>
              <w:jc w:val="center"/>
              <w:rPr>
                <w:rFonts w:ascii="宋体" w:hAnsi="宋体" w:cs="黑体"/>
                <w:kern w:val="0"/>
                <w:szCs w:val="21"/>
              </w:rPr>
            </w:pPr>
          </w:p>
        </w:tc>
        <w:tc>
          <w:tcPr>
            <w:tcW w:w="1232" w:type="dxa"/>
            <w:noWrap w:val="0"/>
            <w:vAlign w:val="center"/>
          </w:tcPr>
          <w:p w14:paraId="407F83E6">
            <w:pPr>
              <w:autoSpaceDE w:val="0"/>
              <w:autoSpaceDN w:val="0"/>
              <w:adjustRightInd w:val="0"/>
              <w:ind w:firstLine="480"/>
              <w:jc w:val="center"/>
              <w:rPr>
                <w:rFonts w:ascii="宋体" w:hAnsi="宋体" w:cs="黑体"/>
                <w:kern w:val="0"/>
                <w:szCs w:val="21"/>
              </w:rPr>
            </w:pPr>
          </w:p>
        </w:tc>
        <w:tc>
          <w:tcPr>
            <w:tcW w:w="1232" w:type="dxa"/>
            <w:noWrap w:val="0"/>
            <w:vAlign w:val="center"/>
          </w:tcPr>
          <w:p w14:paraId="1DEF6E7A">
            <w:pPr>
              <w:autoSpaceDE w:val="0"/>
              <w:autoSpaceDN w:val="0"/>
              <w:adjustRightInd w:val="0"/>
              <w:ind w:firstLine="480"/>
              <w:jc w:val="center"/>
              <w:rPr>
                <w:rFonts w:ascii="宋体" w:hAnsi="宋体" w:cs="黑体"/>
                <w:kern w:val="0"/>
                <w:szCs w:val="21"/>
              </w:rPr>
            </w:pPr>
          </w:p>
        </w:tc>
        <w:tc>
          <w:tcPr>
            <w:tcW w:w="1232" w:type="dxa"/>
            <w:noWrap w:val="0"/>
            <w:vAlign w:val="center"/>
          </w:tcPr>
          <w:p w14:paraId="2F890D97">
            <w:pPr>
              <w:autoSpaceDE w:val="0"/>
              <w:autoSpaceDN w:val="0"/>
              <w:adjustRightInd w:val="0"/>
              <w:ind w:firstLine="480"/>
              <w:jc w:val="center"/>
              <w:rPr>
                <w:rFonts w:ascii="宋体" w:hAnsi="宋体" w:cs="黑体"/>
                <w:kern w:val="0"/>
                <w:szCs w:val="21"/>
              </w:rPr>
            </w:pPr>
          </w:p>
        </w:tc>
        <w:tc>
          <w:tcPr>
            <w:tcW w:w="1232" w:type="dxa"/>
            <w:noWrap w:val="0"/>
            <w:vAlign w:val="center"/>
          </w:tcPr>
          <w:p w14:paraId="76667BA9">
            <w:pPr>
              <w:autoSpaceDE w:val="0"/>
              <w:autoSpaceDN w:val="0"/>
              <w:adjustRightInd w:val="0"/>
              <w:ind w:firstLine="480"/>
              <w:jc w:val="center"/>
              <w:rPr>
                <w:rFonts w:ascii="宋体" w:hAnsi="宋体" w:cs="黑体"/>
                <w:kern w:val="0"/>
                <w:szCs w:val="21"/>
              </w:rPr>
            </w:pPr>
          </w:p>
        </w:tc>
        <w:tc>
          <w:tcPr>
            <w:tcW w:w="1236" w:type="dxa"/>
            <w:noWrap w:val="0"/>
            <w:vAlign w:val="center"/>
          </w:tcPr>
          <w:p w14:paraId="08356123">
            <w:pPr>
              <w:autoSpaceDE w:val="0"/>
              <w:autoSpaceDN w:val="0"/>
              <w:adjustRightInd w:val="0"/>
              <w:ind w:firstLine="480"/>
              <w:jc w:val="center"/>
              <w:rPr>
                <w:rFonts w:ascii="宋体" w:hAnsi="宋体" w:cs="黑体"/>
                <w:kern w:val="0"/>
                <w:szCs w:val="21"/>
              </w:rPr>
            </w:pPr>
          </w:p>
        </w:tc>
      </w:tr>
      <w:tr w14:paraId="1A33C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jc w:val="center"/>
        </w:trPr>
        <w:tc>
          <w:tcPr>
            <w:tcW w:w="1229" w:type="dxa"/>
            <w:noWrap w:val="0"/>
            <w:vAlign w:val="center"/>
          </w:tcPr>
          <w:p w14:paraId="4D57E662">
            <w:pPr>
              <w:autoSpaceDE w:val="0"/>
              <w:autoSpaceDN w:val="0"/>
              <w:adjustRightInd w:val="0"/>
              <w:ind w:firstLine="480"/>
              <w:rPr>
                <w:rFonts w:hint="eastAsia" w:ascii="宋体" w:hAnsi="宋体" w:cs="黑体"/>
                <w:kern w:val="0"/>
                <w:szCs w:val="21"/>
              </w:rPr>
            </w:pPr>
          </w:p>
        </w:tc>
        <w:tc>
          <w:tcPr>
            <w:tcW w:w="1229" w:type="dxa"/>
            <w:noWrap w:val="0"/>
            <w:vAlign w:val="center"/>
          </w:tcPr>
          <w:p w14:paraId="54A6341E">
            <w:pPr>
              <w:autoSpaceDE w:val="0"/>
              <w:autoSpaceDN w:val="0"/>
              <w:adjustRightInd w:val="0"/>
              <w:ind w:firstLine="480"/>
              <w:jc w:val="center"/>
              <w:rPr>
                <w:rFonts w:ascii="宋体" w:hAnsi="宋体" w:cs="黑体"/>
                <w:kern w:val="0"/>
                <w:szCs w:val="21"/>
              </w:rPr>
            </w:pPr>
          </w:p>
        </w:tc>
        <w:tc>
          <w:tcPr>
            <w:tcW w:w="1232" w:type="dxa"/>
            <w:noWrap w:val="0"/>
            <w:vAlign w:val="center"/>
          </w:tcPr>
          <w:p w14:paraId="13E0F6E3">
            <w:pPr>
              <w:autoSpaceDE w:val="0"/>
              <w:autoSpaceDN w:val="0"/>
              <w:adjustRightInd w:val="0"/>
              <w:ind w:firstLine="480"/>
              <w:jc w:val="center"/>
              <w:rPr>
                <w:rFonts w:ascii="宋体" w:hAnsi="宋体" w:cs="黑体"/>
                <w:kern w:val="0"/>
                <w:szCs w:val="21"/>
              </w:rPr>
            </w:pPr>
          </w:p>
        </w:tc>
        <w:tc>
          <w:tcPr>
            <w:tcW w:w="1232" w:type="dxa"/>
            <w:noWrap w:val="0"/>
            <w:vAlign w:val="center"/>
          </w:tcPr>
          <w:p w14:paraId="1A471840">
            <w:pPr>
              <w:autoSpaceDE w:val="0"/>
              <w:autoSpaceDN w:val="0"/>
              <w:adjustRightInd w:val="0"/>
              <w:ind w:firstLine="480"/>
              <w:jc w:val="center"/>
              <w:rPr>
                <w:rFonts w:ascii="宋体" w:hAnsi="宋体" w:cs="黑体"/>
                <w:kern w:val="0"/>
                <w:szCs w:val="21"/>
              </w:rPr>
            </w:pPr>
          </w:p>
        </w:tc>
        <w:tc>
          <w:tcPr>
            <w:tcW w:w="1232" w:type="dxa"/>
            <w:noWrap w:val="0"/>
            <w:vAlign w:val="center"/>
          </w:tcPr>
          <w:p w14:paraId="2B4C670D">
            <w:pPr>
              <w:autoSpaceDE w:val="0"/>
              <w:autoSpaceDN w:val="0"/>
              <w:adjustRightInd w:val="0"/>
              <w:ind w:firstLine="480"/>
              <w:jc w:val="center"/>
              <w:rPr>
                <w:rFonts w:ascii="宋体" w:hAnsi="宋体" w:cs="黑体"/>
                <w:kern w:val="0"/>
                <w:szCs w:val="21"/>
              </w:rPr>
            </w:pPr>
          </w:p>
        </w:tc>
        <w:tc>
          <w:tcPr>
            <w:tcW w:w="1232" w:type="dxa"/>
            <w:noWrap w:val="0"/>
            <w:vAlign w:val="center"/>
          </w:tcPr>
          <w:p w14:paraId="19B2C295">
            <w:pPr>
              <w:autoSpaceDE w:val="0"/>
              <w:autoSpaceDN w:val="0"/>
              <w:adjustRightInd w:val="0"/>
              <w:ind w:firstLine="480"/>
              <w:jc w:val="center"/>
              <w:rPr>
                <w:rFonts w:ascii="宋体" w:hAnsi="宋体" w:cs="黑体"/>
                <w:kern w:val="0"/>
                <w:szCs w:val="21"/>
              </w:rPr>
            </w:pPr>
          </w:p>
        </w:tc>
        <w:tc>
          <w:tcPr>
            <w:tcW w:w="1232" w:type="dxa"/>
            <w:noWrap w:val="0"/>
            <w:vAlign w:val="center"/>
          </w:tcPr>
          <w:p w14:paraId="240E1AA6">
            <w:pPr>
              <w:autoSpaceDE w:val="0"/>
              <w:autoSpaceDN w:val="0"/>
              <w:adjustRightInd w:val="0"/>
              <w:ind w:firstLine="480"/>
              <w:jc w:val="center"/>
              <w:rPr>
                <w:rFonts w:ascii="宋体" w:hAnsi="宋体" w:cs="黑体"/>
                <w:kern w:val="0"/>
                <w:szCs w:val="21"/>
              </w:rPr>
            </w:pPr>
          </w:p>
        </w:tc>
        <w:tc>
          <w:tcPr>
            <w:tcW w:w="1236" w:type="dxa"/>
            <w:noWrap w:val="0"/>
            <w:vAlign w:val="center"/>
          </w:tcPr>
          <w:p w14:paraId="59B01BB7">
            <w:pPr>
              <w:autoSpaceDE w:val="0"/>
              <w:autoSpaceDN w:val="0"/>
              <w:adjustRightInd w:val="0"/>
              <w:ind w:firstLine="480"/>
              <w:jc w:val="center"/>
              <w:rPr>
                <w:rFonts w:ascii="宋体" w:hAnsi="宋体" w:cs="黑体"/>
                <w:kern w:val="0"/>
                <w:szCs w:val="21"/>
              </w:rPr>
            </w:pPr>
          </w:p>
        </w:tc>
      </w:tr>
    </w:tbl>
    <w:p w14:paraId="6D3CD172">
      <w:pPr>
        <w:spacing w:before="120" w:beforeLines="50" w:after="240" w:afterLines="100" w:line="480" w:lineRule="exact"/>
        <w:ind w:right="-340" w:rightChars="-162"/>
        <w:textAlignment w:val="center"/>
        <w:rPr>
          <w:rFonts w:hint="eastAsia" w:ascii="宋体" w:hAnsi="宋体"/>
          <w:sz w:val="24"/>
          <w:szCs w:val="21"/>
        </w:rPr>
      </w:pPr>
    </w:p>
    <w:p w14:paraId="27CDA300">
      <w:pPr>
        <w:spacing w:before="120" w:beforeLines="50" w:after="240" w:afterLines="100" w:line="480" w:lineRule="exact"/>
        <w:ind w:right="-340" w:rightChars="-162"/>
        <w:textAlignment w:val="center"/>
        <w:rPr>
          <w:rFonts w:hint="eastAsia" w:ascii="宋体" w:hAnsi="宋体"/>
          <w:sz w:val="24"/>
          <w:szCs w:val="21"/>
        </w:rPr>
      </w:pPr>
    </w:p>
    <w:p w14:paraId="358D27AF">
      <w:pPr>
        <w:spacing w:before="120" w:beforeLines="50" w:after="240" w:afterLines="100" w:line="480" w:lineRule="exact"/>
        <w:ind w:right="-340" w:rightChars="-162"/>
        <w:textAlignment w:val="center"/>
        <w:rPr>
          <w:rFonts w:hint="eastAsia" w:ascii="宋体" w:hAnsi="宋体"/>
          <w:sz w:val="24"/>
          <w:szCs w:val="21"/>
        </w:rPr>
      </w:pPr>
      <w:r>
        <w:rPr>
          <w:rFonts w:hint="eastAsia" w:ascii="宋体" w:hAnsi="宋体"/>
          <w:sz w:val="24"/>
          <w:szCs w:val="21"/>
        </w:rPr>
        <w:br w:type="page"/>
      </w:r>
    </w:p>
    <w:p w14:paraId="125637AB">
      <w:pPr>
        <w:spacing w:before="120" w:beforeLines="50" w:after="240" w:afterLines="100" w:line="480" w:lineRule="exact"/>
        <w:ind w:right="-340" w:rightChars="-162"/>
        <w:textAlignment w:val="center"/>
        <w:rPr>
          <w:rFonts w:hint="eastAsia" w:ascii="宋体" w:hAnsi="宋体"/>
          <w:sz w:val="24"/>
        </w:rPr>
      </w:pPr>
      <w:r>
        <w:rPr>
          <w:rFonts w:hint="eastAsia" w:ascii="宋体" w:hAnsi="宋体"/>
          <w:sz w:val="24"/>
        </w:rPr>
        <w:t>附表四：计划开、竣工日期和施工进度表</w:t>
      </w:r>
    </w:p>
    <w:p w14:paraId="212C9A00">
      <w:pPr>
        <w:spacing w:line="480" w:lineRule="exact"/>
        <w:ind w:right="-340" w:rightChars="-162" w:firstLine="480" w:firstLineChars="200"/>
        <w:textAlignment w:val="center"/>
        <w:rPr>
          <w:rFonts w:hint="eastAsia" w:ascii="宋体" w:hAnsi="宋体"/>
          <w:sz w:val="24"/>
          <w:szCs w:val="21"/>
        </w:rPr>
      </w:pPr>
      <w:r>
        <w:rPr>
          <w:rFonts w:hint="eastAsia" w:ascii="宋体" w:hAnsi="宋体"/>
          <w:sz w:val="24"/>
          <w:szCs w:val="21"/>
        </w:rPr>
        <w:t>1．</w:t>
      </w:r>
      <w:r>
        <w:rPr>
          <w:rFonts w:hint="eastAsia" w:ascii="宋体" w:hAnsi="宋体"/>
          <w:sz w:val="24"/>
          <w:szCs w:val="21"/>
          <w:lang w:val="en-US" w:eastAsia="zh-CN"/>
        </w:rPr>
        <w:t>供应商</w:t>
      </w:r>
      <w:r>
        <w:rPr>
          <w:rFonts w:hint="eastAsia" w:ascii="宋体" w:hAnsi="宋体"/>
          <w:sz w:val="24"/>
          <w:szCs w:val="21"/>
        </w:rPr>
        <w:t>应递交施工进度或施工进度表，说明按磋商文件要求的计划工期进行施工的各个关键日期。</w:t>
      </w:r>
    </w:p>
    <w:p w14:paraId="00ABF11C">
      <w:pPr>
        <w:spacing w:line="480" w:lineRule="exact"/>
        <w:ind w:right="-340" w:rightChars="-162" w:firstLine="480" w:firstLineChars="200"/>
        <w:textAlignment w:val="center"/>
        <w:rPr>
          <w:rFonts w:hint="eastAsia" w:ascii="宋体" w:hAnsi="宋体"/>
          <w:sz w:val="24"/>
          <w:szCs w:val="21"/>
        </w:rPr>
      </w:pPr>
      <w:r>
        <w:rPr>
          <w:rFonts w:hint="eastAsia" w:ascii="宋体" w:hAnsi="宋体"/>
          <w:sz w:val="24"/>
          <w:szCs w:val="21"/>
        </w:rPr>
        <w:t>2．施工进度表可采用横道图表示。</w:t>
      </w:r>
    </w:p>
    <w:p w14:paraId="2E7F9190">
      <w:pPr>
        <w:spacing w:before="120" w:beforeLines="50" w:after="240" w:afterLines="100" w:line="480" w:lineRule="exact"/>
        <w:ind w:right="-340" w:rightChars="-162"/>
        <w:textAlignment w:val="center"/>
        <w:rPr>
          <w:rFonts w:hint="eastAsia" w:ascii="宋体" w:hAnsi="宋体"/>
          <w:sz w:val="24"/>
          <w:szCs w:val="21"/>
        </w:rPr>
      </w:pPr>
    </w:p>
    <w:p w14:paraId="0CCDFE74">
      <w:pPr>
        <w:pStyle w:val="38"/>
        <w:rPr>
          <w:rFonts w:hint="eastAsia"/>
        </w:rPr>
      </w:pPr>
    </w:p>
    <w:p w14:paraId="5784F144">
      <w:pPr>
        <w:pStyle w:val="38"/>
      </w:pPr>
      <w:r>
        <w:br w:type="page"/>
      </w:r>
    </w:p>
    <w:p w14:paraId="3F635CC3">
      <w:pPr>
        <w:spacing w:before="120" w:beforeLines="50" w:after="240" w:afterLines="100" w:line="480" w:lineRule="exact"/>
        <w:ind w:right="-340" w:rightChars="-162"/>
        <w:textAlignment w:val="center"/>
        <w:rPr>
          <w:rFonts w:hint="eastAsia" w:ascii="宋体" w:hAnsi="宋体"/>
          <w:sz w:val="24"/>
        </w:rPr>
      </w:pPr>
      <w:r>
        <w:rPr>
          <w:rFonts w:hint="eastAsia" w:ascii="宋体" w:hAnsi="宋体"/>
          <w:sz w:val="24"/>
        </w:rPr>
        <w:t>附表五：临时用地表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1"/>
        <w:gridCol w:w="2236"/>
        <w:gridCol w:w="2268"/>
        <w:gridCol w:w="2410"/>
      </w:tblGrid>
      <w:tr w14:paraId="52AA7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2071" w:type="dxa"/>
            <w:noWrap w:val="0"/>
            <w:vAlign w:val="center"/>
          </w:tcPr>
          <w:p w14:paraId="6DB8BAB9">
            <w:pPr>
              <w:autoSpaceDE w:val="0"/>
              <w:autoSpaceDN w:val="0"/>
              <w:adjustRightInd w:val="0"/>
              <w:jc w:val="center"/>
              <w:rPr>
                <w:rFonts w:ascii="宋体" w:hAnsi="宋体" w:cs="黑体"/>
                <w:kern w:val="0"/>
                <w:szCs w:val="21"/>
              </w:rPr>
            </w:pPr>
            <w:r>
              <w:rPr>
                <w:rFonts w:hint="eastAsia" w:ascii="宋体" w:hAnsi="宋体" w:cs="仿宋_GB2312"/>
                <w:kern w:val="0"/>
                <w:szCs w:val="21"/>
              </w:rPr>
              <w:t>用</w:t>
            </w:r>
            <w:r>
              <w:rPr>
                <w:rFonts w:ascii="宋体" w:hAnsi="宋体" w:cs="仿宋_GB2312"/>
                <w:kern w:val="0"/>
                <w:szCs w:val="21"/>
              </w:rPr>
              <w:t xml:space="preserve"> </w:t>
            </w:r>
            <w:r>
              <w:rPr>
                <w:rFonts w:hint="eastAsia" w:ascii="宋体" w:hAnsi="宋体" w:cs="仿宋_GB2312"/>
                <w:kern w:val="0"/>
                <w:szCs w:val="21"/>
              </w:rPr>
              <w:t>途</w:t>
            </w:r>
          </w:p>
        </w:tc>
        <w:tc>
          <w:tcPr>
            <w:tcW w:w="2236" w:type="dxa"/>
            <w:noWrap w:val="0"/>
            <w:vAlign w:val="center"/>
          </w:tcPr>
          <w:p w14:paraId="760B756F">
            <w:pPr>
              <w:autoSpaceDE w:val="0"/>
              <w:autoSpaceDN w:val="0"/>
              <w:adjustRightInd w:val="0"/>
              <w:jc w:val="center"/>
              <w:rPr>
                <w:rFonts w:ascii="宋体" w:hAnsi="宋体" w:cs="黑体"/>
                <w:kern w:val="0"/>
                <w:szCs w:val="21"/>
              </w:rPr>
            </w:pPr>
            <w:r>
              <w:rPr>
                <w:rFonts w:hint="eastAsia" w:ascii="宋体" w:hAnsi="宋体" w:cs="仿宋_GB2312"/>
                <w:kern w:val="0"/>
                <w:szCs w:val="21"/>
              </w:rPr>
              <w:t>面</w:t>
            </w:r>
            <w:r>
              <w:rPr>
                <w:rFonts w:ascii="宋体" w:hAnsi="宋体" w:cs="仿宋_GB2312"/>
                <w:kern w:val="0"/>
                <w:szCs w:val="21"/>
              </w:rPr>
              <w:t xml:space="preserve"> </w:t>
            </w:r>
            <w:r>
              <w:rPr>
                <w:rFonts w:hint="eastAsia" w:ascii="宋体" w:hAnsi="宋体" w:cs="仿宋_GB2312"/>
                <w:kern w:val="0"/>
                <w:szCs w:val="21"/>
              </w:rPr>
              <w:t>积（平方米）</w:t>
            </w:r>
          </w:p>
        </w:tc>
        <w:tc>
          <w:tcPr>
            <w:tcW w:w="2268" w:type="dxa"/>
            <w:noWrap w:val="0"/>
            <w:vAlign w:val="center"/>
          </w:tcPr>
          <w:p w14:paraId="54423903">
            <w:pPr>
              <w:autoSpaceDE w:val="0"/>
              <w:autoSpaceDN w:val="0"/>
              <w:adjustRightInd w:val="0"/>
              <w:jc w:val="center"/>
              <w:rPr>
                <w:rFonts w:ascii="宋体" w:hAnsi="宋体" w:cs="黑体"/>
                <w:kern w:val="0"/>
                <w:szCs w:val="21"/>
              </w:rPr>
            </w:pPr>
            <w:r>
              <w:rPr>
                <w:rFonts w:hint="eastAsia" w:ascii="宋体" w:hAnsi="宋体" w:cs="仿宋_GB2312"/>
                <w:kern w:val="0"/>
                <w:szCs w:val="21"/>
              </w:rPr>
              <w:t>位</w:t>
            </w:r>
            <w:r>
              <w:rPr>
                <w:rFonts w:ascii="宋体" w:hAnsi="宋体" w:cs="仿宋_GB2312"/>
                <w:kern w:val="0"/>
                <w:szCs w:val="21"/>
              </w:rPr>
              <w:t xml:space="preserve"> </w:t>
            </w:r>
            <w:r>
              <w:rPr>
                <w:rFonts w:hint="eastAsia" w:ascii="宋体" w:hAnsi="宋体" w:cs="仿宋_GB2312"/>
                <w:kern w:val="0"/>
                <w:szCs w:val="21"/>
              </w:rPr>
              <w:t>置</w:t>
            </w:r>
          </w:p>
        </w:tc>
        <w:tc>
          <w:tcPr>
            <w:tcW w:w="2410" w:type="dxa"/>
            <w:noWrap w:val="0"/>
            <w:vAlign w:val="center"/>
          </w:tcPr>
          <w:p w14:paraId="7769DAB0">
            <w:pPr>
              <w:autoSpaceDE w:val="0"/>
              <w:autoSpaceDN w:val="0"/>
              <w:adjustRightInd w:val="0"/>
              <w:jc w:val="center"/>
              <w:rPr>
                <w:rFonts w:ascii="宋体" w:hAnsi="宋体" w:cs="黑体"/>
                <w:kern w:val="0"/>
                <w:szCs w:val="21"/>
              </w:rPr>
            </w:pPr>
            <w:r>
              <w:rPr>
                <w:rFonts w:hint="eastAsia" w:ascii="宋体" w:hAnsi="宋体" w:cs="仿宋_GB2312"/>
                <w:kern w:val="0"/>
                <w:szCs w:val="21"/>
              </w:rPr>
              <w:t>需用时间</w:t>
            </w:r>
          </w:p>
        </w:tc>
      </w:tr>
      <w:tr w14:paraId="10D07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071" w:type="dxa"/>
            <w:noWrap w:val="0"/>
            <w:vAlign w:val="center"/>
          </w:tcPr>
          <w:p w14:paraId="0437DBF1">
            <w:pPr>
              <w:autoSpaceDE w:val="0"/>
              <w:autoSpaceDN w:val="0"/>
              <w:adjustRightInd w:val="0"/>
              <w:ind w:firstLine="480"/>
              <w:jc w:val="center"/>
              <w:rPr>
                <w:rFonts w:ascii="宋体" w:hAnsi="宋体" w:cs="黑体"/>
                <w:kern w:val="0"/>
                <w:szCs w:val="21"/>
              </w:rPr>
            </w:pPr>
          </w:p>
        </w:tc>
        <w:tc>
          <w:tcPr>
            <w:tcW w:w="2236" w:type="dxa"/>
            <w:noWrap w:val="0"/>
            <w:vAlign w:val="center"/>
          </w:tcPr>
          <w:p w14:paraId="0640D765">
            <w:pPr>
              <w:autoSpaceDE w:val="0"/>
              <w:autoSpaceDN w:val="0"/>
              <w:adjustRightInd w:val="0"/>
              <w:ind w:firstLine="480"/>
              <w:jc w:val="center"/>
              <w:rPr>
                <w:rFonts w:ascii="宋体" w:hAnsi="宋体" w:cs="黑体"/>
                <w:kern w:val="0"/>
                <w:szCs w:val="21"/>
              </w:rPr>
            </w:pPr>
          </w:p>
        </w:tc>
        <w:tc>
          <w:tcPr>
            <w:tcW w:w="2268" w:type="dxa"/>
            <w:noWrap w:val="0"/>
            <w:vAlign w:val="center"/>
          </w:tcPr>
          <w:p w14:paraId="5713902A">
            <w:pPr>
              <w:autoSpaceDE w:val="0"/>
              <w:autoSpaceDN w:val="0"/>
              <w:adjustRightInd w:val="0"/>
              <w:ind w:firstLine="480"/>
              <w:jc w:val="center"/>
              <w:rPr>
                <w:rFonts w:ascii="宋体" w:hAnsi="宋体" w:cs="黑体"/>
                <w:kern w:val="0"/>
                <w:szCs w:val="21"/>
              </w:rPr>
            </w:pPr>
          </w:p>
        </w:tc>
        <w:tc>
          <w:tcPr>
            <w:tcW w:w="2410" w:type="dxa"/>
            <w:noWrap w:val="0"/>
            <w:vAlign w:val="center"/>
          </w:tcPr>
          <w:p w14:paraId="655BD78F">
            <w:pPr>
              <w:autoSpaceDE w:val="0"/>
              <w:autoSpaceDN w:val="0"/>
              <w:adjustRightInd w:val="0"/>
              <w:ind w:firstLine="480"/>
              <w:jc w:val="center"/>
              <w:rPr>
                <w:rFonts w:ascii="宋体" w:hAnsi="宋体" w:cs="黑体"/>
                <w:kern w:val="0"/>
                <w:szCs w:val="21"/>
              </w:rPr>
            </w:pPr>
          </w:p>
        </w:tc>
      </w:tr>
      <w:tr w14:paraId="2BB1A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2071" w:type="dxa"/>
            <w:noWrap w:val="0"/>
            <w:vAlign w:val="center"/>
          </w:tcPr>
          <w:p w14:paraId="20BAD6D8">
            <w:pPr>
              <w:autoSpaceDE w:val="0"/>
              <w:autoSpaceDN w:val="0"/>
              <w:adjustRightInd w:val="0"/>
              <w:ind w:firstLine="480"/>
              <w:jc w:val="center"/>
              <w:rPr>
                <w:rFonts w:ascii="宋体" w:hAnsi="宋体" w:cs="黑体"/>
                <w:kern w:val="0"/>
                <w:szCs w:val="21"/>
              </w:rPr>
            </w:pPr>
          </w:p>
        </w:tc>
        <w:tc>
          <w:tcPr>
            <w:tcW w:w="2236" w:type="dxa"/>
            <w:noWrap w:val="0"/>
            <w:vAlign w:val="center"/>
          </w:tcPr>
          <w:p w14:paraId="5A0DD040">
            <w:pPr>
              <w:autoSpaceDE w:val="0"/>
              <w:autoSpaceDN w:val="0"/>
              <w:adjustRightInd w:val="0"/>
              <w:ind w:firstLine="480"/>
              <w:jc w:val="center"/>
              <w:rPr>
                <w:rFonts w:ascii="宋体" w:hAnsi="宋体" w:cs="黑体"/>
                <w:kern w:val="0"/>
                <w:szCs w:val="21"/>
              </w:rPr>
            </w:pPr>
          </w:p>
        </w:tc>
        <w:tc>
          <w:tcPr>
            <w:tcW w:w="2268" w:type="dxa"/>
            <w:noWrap w:val="0"/>
            <w:vAlign w:val="center"/>
          </w:tcPr>
          <w:p w14:paraId="4F5128CF">
            <w:pPr>
              <w:autoSpaceDE w:val="0"/>
              <w:autoSpaceDN w:val="0"/>
              <w:adjustRightInd w:val="0"/>
              <w:ind w:firstLine="480"/>
              <w:jc w:val="center"/>
              <w:rPr>
                <w:rFonts w:ascii="宋体" w:hAnsi="宋体" w:cs="黑体"/>
                <w:kern w:val="0"/>
                <w:szCs w:val="21"/>
              </w:rPr>
            </w:pPr>
          </w:p>
        </w:tc>
        <w:tc>
          <w:tcPr>
            <w:tcW w:w="2410" w:type="dxa"/>
            <w:noWrap w:val="0"/>
            <w:vAlign w:val="center"/>
          </w:tcPr>
          <w:p w14:paraId="54087C22">
            <w:pPr>
              <w:autoSpaceDE w:val="0"/>
              <w:autoSpaceDN w:val="0"/>
              <w:adjustRightInd w:val="0"/>
              <w:ind w:firstLine="480"/>
              <w:jc w:val="center"/>
              <w:rPr>
                <w:rFonts w:ascii="宋体" w:hAnsi="宋体" w:cs="黑体"/>
                <w:kern w:val="0"/>
                <w:szCs w:val="21"/>
              </w:rPr>
            </w:pPr>
          </w:p>
        </w:tc>
      </w:tr>
      <w:tr w14:paraId="142DA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071" w:type="dxa"/>
            <w:noWrap w:val="0"/>
            <w:vAlign w:val="center"/>
          </w:tcPr>
          <w:p w14:paraId="314A551B">
            <w:pPr>
              <w:autoSpaceDE w:val="0"/>
              <w:autoSpaceDN w:val="0"/>
              <w:adjustRightInd w:val="0"/>
              <w:ind w:firstLine="480"/>
              <w:jc w:val="center"/>
              <w:rPr>
                <w:rFonts w:ascii="宋体" w:hAnsi="宋体" w:cs="黑体"/>
                <w:kern w:val="0"/>
                <w:szCs w:val="21"/>
              </w:rPr>
            </w:pPr>
          </w:p>
        </w:tc>
        <w:tc>
          <w:tcPr>
            <w:tcW w:w="2236" w:type="dxa"/>
            <w:noWrap w:val="0"/>
            <w:vAlign w:val="center"/>
          </w:tcPr>
          <w:p w14:paraId="577FF414">
            <w:pPr>
              <w:autoSpaceDE w:val="0"/>
              <w:autoSpaceDN w:val="0"/>
              <w:adjustRightInd w:val="0"/>
              <w:ind w:firstLine="480"/>
              <w:jc w:val="center"/>
              <w:rPr>
                <w:rFonts w:ascii="宋体" w:hAnsi="宋体" w:cs="黑体"/>
                <w:kern w:val="0"/>
                <w:szCs w:val="21"/>
              </w:rPr>
            </w:pPr>
          </w:p>
        </w:tc>
        <w:tc>
          <w:tcPr>
            <w:tcW w:w="2268" w:type="dxa"/>
            <w:noWrap w:val="0"/>
            <w:vAlign w:val="center"/>
          </w:tcPr>
          <w:p w14:paraId="3ACEACD5">
            <w:pPr>
              <w:autoSpaceDE w:val="0"/>
              <w:autoSpaceDN w:val="0"/>
              <w:adjustRightInd w:val="0"/>
              <w:ind w:firstLine="480"/>
              <w:jc w:val="center"/>
              <w:rPr>
                <w:rFonts w:ascii="宋体" w:hAnsi="宋体" w:cs="黑体"/>
                <w:kern w:val="0"/>
                <w:szCs w:val="21"/>
              </w:rPr>
            </w:pPr>
          </w:p>
        </w:tc>
        <w:tc>
          <w:tcPr>
            <w:tcW w:w="2410" w:type="dxa"/>
            <w:noWrap w:val="0"/>
            <w:vAlign w:val="center"/>
          </w:tcPr>
          <w:p w14:paraId="3E744EBB">
            <w:pPr>
              <w:autoSpaceDE w:val="0"/>
              <w:autoSpaceDN w:val="0"/>
              <w:adjustRightInd w:val="0"/>
              <w:ind w:firstLine="480"/>
              <w:jc w:val="center"/>
              <w:rPr>
                <w:rFonts w:ascii="宋体" w:hAnsi="宋体" w:cs="黑体"/>
                <w:kern w:val="0"/>
                <w:szCs w:val="21"/>
              </w:rPr>
            </w:pPr>
          </w:p>
        </w:tc>
      </w:tr>
      <w:tr w14:paraId="5E969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2071" w:type="dxa"/>
            <w:noWrap w:val="0"/>
            <w:vAlign w:val="center"/>
          </w:tcPr>
          <w:p w14:paraId="5652C440">
            <w:pPr>
              <w:autoSpaceDE w:val="0"/>
              <w:autoSpaceDN w:val="0"/>
              <w:adjustRightInd w:val="0"/>
              <w:ind w:firstLine="480"/>
              <w:jc w:val="center"/>
              <w:rPr>
                <w:rFonts w:ascii="宋体" w:hAnsi="宋体" w:cs="黑体"/>
                <w:kern w:val="0"/>
                <w:szCs w:val="21"/>
              </w:rPr>
            </w:pPr>
          </w:p>
        </w:tc>
        <w:tc>
          <w:tcPr>
            <w:tcW w:w="2236" w:type="dxa"/>
            <w:noWrap w:val="0"/>
            <w:vAlign w:val="center"/>
          </w:tcPr>
          <w:p w14:paraId="5E61863C">
            <w:pPr>
              <w:autoSpaceDE w:val="0"/>
              <w:autoSpaceDN w:val="0"/>
              <w:adjustRightInd w:val="0"/>
              <w:ind w:firstLine="480"/>
              <w:jc w:val="center"/>
              <w:rPr>
                <w:rFonts w:ascii="宋体" w:hAnsi="宋体" w:cs="黑体"/>
                <w:kern w:val="0"/>
                <w:szCs w:val="21"/>
              </w:rPr>
            </w:pPr>
          </w:p>
        </w:tc>
        <w:tc>
          <w:tcPr>
            <w:tcW w:w="2268" w:type="dxa"/>
            <w:noWrap w:val="0"/>
            <w:vAlign w:val="center"/>
          </w:tcPr>
          <w:p w14:paraId="332D7946">
            <w:pPr>
              <w:autoSpaceDE w:val="0"/>
              <w:autoSpaceDN w:val="0"/>
              <w:adjustRightInd w:val="0"/>
              <w:ind w:firstLine="480"/>
              <w:jc w:val="center"/>
              <w:rPr>
                <w:rFonts w:ascii="宋体" w:hAnsi="宋体" w:cs="黑体"/>
                <w:kern w:val="0"/>
                <w:szCs w:val="21"/>
              </w:rPr>
            </w:pPr>
          </w:p>
        </w:tc>
        <w:tc>
          <w:tcPr>
            <w:tcW w:w="2410" w:type="dxa"/>
            <w:noWrap w:val="0"/>
            <w:vAlign w:val="center"/>
          </w:tcPr>
          <w:p w14:paraId="64D35813">
            <w:pPr>
              <w:autoSpaceDE w:val="0"/>
              <w:autoSpaceDN w:val="0"/>
              <w:adjustRightInd w:val="0"/>
              <w:ind w:firstLine="480"/>
              <w:jc w:val="center"/>
              <w:rPr>
                <w:rFonts w:ascii="宋体" w:hAnsi="宋体" w:cs="黑体"/>
                <w:kern w:val="0"/>
                <w:szCs w:val="21"/>
              </w:rPr>
            </w:pPr>
          </w:p>
        </w:tc>
      </w:tr>
      <w:tr w14:paraId="68FA7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071" w:type="dxa"/>
            <w:noWrap w:val="0"/>
            <w:vAlign w:val="center"/>
          </w:tcPr>
          <w:p w14:paraId="1B6C6E55">
            <w:pPr>
              <w:autoSpaceDE w:val="0"/>
              <w:autoSpaceDN w:val="0"/>
              <w:adjustRightInd w:val="0"/>
              <w:ind w:firstLine="480"/>
              <w:jc w:val="center"/>
              <w:rPr>
                <w:rFonts w:ascii="宋体" w:hAnsi="宋体" w:cs="黑体"/>
                <w:kern w:val="0"/>
                <w:szCs w:val="21"/>
              </w:rPr>
            </w:pPr>
          </w:p>
        </w:tc>
        <w:tc>
          <w:tcPr>
            <w:tcW w:w="2236" w:type="dxa"/>
            <w:noWrap w:val="0"/>
            <w:vAlign w:val="center"/>
          </w:tcPr>
          <w:p w14:paraId="6EE8C9AF">
            <w:pPr>
              <w:autoSpaceDE w:val="0"/>
              <w:autoSpaceDN w:val="0"/>
              <w:adjustRightInd w:val="0"/>
              <w:ind w:firstLine="480"/>
              <w:jc w:val="center"/>
              <w:rPr>
                <w:rFonts w:ascii="宋体" w:hAnsi="宋体" w:cs="黑体"/>
                <w:kern w:val="0"/>
                <w:szCs w:val="21"/>
              </w:rPr>
            </w:pPr>
          </w:p>
        </w:tc>
        <w:tc>
          <w:tcPr>
            <w:tcW w:w="2268" w:type="dxa"/>
            <w:noWrap w:val="0"/>
            <w:vAlign w:val="center"/>
          </w:tcPr>
          <w:p w14:paraId="3E18C83C">
            <w:pPr>
              <w:autoSpaceDE w:val="0"/>
              <w:autoSpaceDN w:val="0"/>
              <w:adjustRightInd w:val="0"/>
              <w:ind w:firstLine="480"/>
              <w:jc w:val="center"/>
              <w:rPr>
                <w:rFonts w:ascii="宋体" w:hAnsi="宋体" w:cs="黑体"/>
                <w:kern w:val="0"/>
                <w:szCs w:val="21"/>
              </w:rPr>
            </w:pPr>
          </w:p>
        </w:tc>
        <w:tc>
          <w:tcPr>
            <w:tcW w:w="2410" w:type="dxa"/>
            <w:noWrap w:val="0"/>
            <w:vAlign w:val="center"/>
          </w:tcPr>
          <w:p w14:paraId="0A25685C">
            <w:pPr>
              <w:autoSpaceDE w:val="0"/>
              <w:autoSpaceDN w:val="0"/>
              <w:adjustRightInd w:val="0"/>
              <w:ind w:firstLine="480"/>
              <w:jc w:val="center"/>
              <w:rPr>
                <w:rFonts w:ascii="宋体" w:hAnsi="宋体" w:cs="黑体"/>
                <w:kern w:val="0"/>
                <w:szCs w:val="21"/>
              </w:rPr>
            </w:pPr>
          </w:p>
        </w:tc>
      </w:tr>
      <w:tr w14:paraId="29E8A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2071" w:type="dxa"/>
            <w:noWrap w:val="0"/>
            <w:vAlign w:val="center"/>
          </w:tcPr>
          <w:p w14:paraId="393AFF25">
            <w:pPr>
              <w:autoSpaceDE w:val="0"/>
              <w:autoSpaceDN w:val="0"/>
              <w:adjustRightInd w:val="0"/>
              <w:ind w:firstLine="480"/>
              <w:jc w:val="center"/>
              <w:rPr>
                <w:rFonts w:ascii="宋体" w:hAnsi="宋体" w:cs="黑体"/>
                <w:kern w:val="0"/>
                <w:szCs w:val="21"/>
              </w:rPr>
            </w:pPr>
          </w:p>
        </w:tc>
        <w:tc>
          <w:tcPr>
            <w:tcW w:w="2236" w:type="dxa"/>
            <w:noWrap w:val="0"/>
            <w:vAlign w:val="center"/>
          </w:tcPr>
          <w:p w14:paraId="7356856E">
            <w:pPr>
              <w:autoSpaceDE w:val="0"/>
              <w:autoSpaceDN w:val="0"/>
              <w:adjustRightInd w:val="0"/>
              <w:ind w:firstLine="480"/>
              <w:jc w:val="center"/>
              <w:rPr>
                <w:rFonts w:ascii="宋体" w:hAnsi="宋体" w:cs="黑体"/>
                <w:kern w:val="0"/>
                <w:szCs w:val="21"/>
              </w:rPr>
            </w:pPr>
          </w:p>
        </w:tc>
        <w:tc>
          <w:tcPr>
            <w:tcW w:w="2268" w:type="dxa"/>
            <w:noWrap w:val="0"/>
            <w:vAlign w:val="center"/>
          </w:tcPr>
          <w:p w14:paraId="1AAB2C83">
            <w:pPr>
              <w:autoSpaceDE w:val="0"/>
              <w:autoSpaceDN w:val="0"/>
              <w:adjustRightInd w:val="0"/>
              <w:ind w:firstLine="480"/>
              <w:jc w:val="center"/>
              <w:rPr>
                <w:rFonts w:ascii="宋体" w:hAnsi="宋体" w:cs="黑体"/>
                <w:kern w:val="0"/>
                <w:szCs w:val="21"/>
              </w:rPr>
            </w:pPr>
          </w:p>
        </w:tc>
        <w:tc>
          <w:tcPr>
            <w:tcW w:w="2410" w:type="dxa"/>
            <w:noWrap w:val="0"/>
            <w:vAlign w:val="center"/>
          </w:tcPr>
          <w:p w14:paraId="37AE87BF">
            <w:pPr>
              <w:autoSpaceDE w:val="0"/>
              <w:autoSpaceDN w:val="0"/>
              <w:adjustRightInd w:val="0"/>
              <w:ind w:firstLine="480"/>
              <w:jc w:val="center"/>
              <w:rPr>
                <w:rFonts w:ascii="宋体" w:hAnsi="宋体" w:cs="黑体"/>
                <w:kern w:val="0"/>
                <w:szCs w:val="21"/>
              </w:rPr>
            </w:pPr>
          </w:p>
        </w:tc>
      </w:tr>
      <w:tr w14:paraId="724E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071" w:type="dxa"/>
            <w:noWrap w:val="0"/>
            <w:vAlign w:val="center"/>
          </w:tcPr>
          <w:p w14:paraId="7B60E151">
            <w:pPr>
              <w:autoSpaceDE w:val="0"/>
              <w:autoSpaceDN w:val="0"/>
              <w:adjustRightInd w:val="0"/>
              <w:ind w:firstLine="480"/>
              <w:jc w:val="center"/>
              <w:rPr>
                <w:rFonts w:ascii="宋体" w:hAnsi="宋体" w:cs="黑体"/>
                <w:kern w:val="0"/>
                <w:szCs w:val="21"/>
              </w:rPr>
            </w:pPr>
          </w:p>
        </w:tc>
        <w:tc>
          <w:tcPr>
            <w:tcW w:w="2236" w:type="dxa"/>
            <w:noWrap w:val="0"/>
            <w:vAlign w:val="center"/>
          </w:tcPr>
          <w:p w14:paraId="5DAB5F89">
            <w:pPr>
              <w:autoSpaceDE w:val="0"/>
              <w:autoSpaceDN w:val="0"/>
              <w:adjustRightInd w:val="0"/>
              <w:ind w:firstLine="480"/>
              <w:jc w:val="center"/>
              <w:rPr>
                <w:rFonts w:ascii="宋体" w:hAnsi="宋体" w:cs="黑体"/>
                <w:kern w:val="0"/>
                <w:szCs w:val="21"/>
              </w:rPr>
            </w:pPr>
          </w:p>
        </w:tc>
        <w:tc>
          <w:tcPr>
            <w:tcW w:w="2268" w:type="dxa"/>
            <w:noWrap w:val="0"/>
            <w:vAlign w:val="center"/>
          </w:tcPr>
          <w:p w14:paraId="04FABBF9">
            <w:pPr>
              <w:autoSpaceDE w:val="0"/>
              <w:autoSpaceDN w:val="0"/>
              <w:adjustRightInd w:val="0"/>
              <w:ind w:firstLine="480"/>
              <w:jc w:val="center"/>
              <w:rPr>
                <w:rFonts w:ascii="宋体" w:hAnsi="宋体" w:cs="黑体"/>
                <w:kern w:val="0"/>
                <w:szCs w:val="21"/>
              </w:rPr>
            </w:pPr>
          </w:p>
        </w:tc>
        <w:tc>
          <w:tcPr>
            <w:tcW w:w="2410" w:type="dxa"/>
            <w:noWrap w:val="0"/>
            <w:vAlign w:val="center"/>
          </w:tcPr>
          <w:p w14:paraId="12B43F7E">
            <w:pPr>
              <w:autoSpaceDE w:val="0"/>
              <w:autoSpaceDN w:val="0"/>
              <w:adjustRightInd w:val="0"/>
              <w:ind w:firstLine="480"/>
              <w:jc w:val="center"/>
              <w:rPr>
                <w:rFonts w:ascii="宋体" w:hAnsi="宋体" w:cs="黑体"/>
                <w:kern w:val="0"/>
                <w:szCs w:val="21"/>
              </w:rPr>
            </w:pPr>
          </w:p>
        </w:tc>
      </w:tr>
      <w:tr w14:paraId="02CB6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2071" w:type="dxa"/>
            <w:noWrap w:val="0"/>
            <w:vAlign w:val="center"/>
          </w:tcPr>
          <w:p w14:paraId="36453088">
            <w:pPr>
              <w:autoSpaceDE w:val="0"/>
              <w:autoSpaceDN w:val="0"/>
              <w:adjustRightInd w:val="0"/>
              <w:ind w:firstLine="480"/>
              <w:jc w:val="center"/>
              <w:rPr>
                <w:rFonts w:ascii="宋体" w:hAnsi="宋体" w:cs="黑体"/>
                <w:kern w:val="0"/>
                <w:szCs w:val="21"/>
              </w:rPr>
            </w:pPr>
          </w:p>
        </w:tc>
        <w:tc>
          <w:tcPr>
            <w:tcW w:w="2236" w:type="dxa"/>
            <w:noWrap w:val="0"/>
            <w:vAlign w:val="center"/>
          </w:tcPr>
          <w:p w14:paraId="1870750E">
            <w:pPr>
              <w:autoSpaceDE w:val="0"/>
              <w:autoSpaceDN w:val="0"/>
              <w:adjustRightInd w:val="0"/>
              <w:ind w:firstLine="480"/>
              <w:jc w:val="center"/>
              <w:rPr>
                <w:rFonts w:ascii="宋体" w:hAnsi="宋体" w:cs="黑体"/>
                <w:kern w:val="0"/>
                <w:szCs w:val="21"/>
              </w:rPr>
            </w:pPr>
          </w:p>
        </w:tc>
        <w:tc>
          <w:tcPr>
            <w:tcW w:w="2268" w:type="dxa"/>
            <w:noWrap w:val="0"/>
            <w:vAlign w:val="center"/>
          </w:tcPr>
          <w:p w14:paraId="5DC79EF0">
            <w:pPr>
              <w:autoSpaceDE w:val="0"/>
              <w:autoSpaceDN w:val="0"/>
              <w:adjustRightInd w:val="0"/>
              <w:ind w:firstLine="480"/>
              <w:jc w:val="center"/>
              <w:rPr>
                <w:rFonts w:ascii="宋体" w:hAnsi="宋体" w:cs="黑体"/>
                <w:kern w:val="0"/>
                <w:szCs w:val="21"/>
              </w:rPr>
            </w:pPr>
          </w:p>
        </w:tc>
        <w:tc>
          <w:tcPr>
            <w:tcW w:w="2410" w:type="dxa"/>
            <w:noWrap w:val="0"/>
            <w:vAlign w:val="center"/>
          </w:tcPr>
          <w:p w14:paraId="530C0923">
            <w:pPr>
              <w:autoSpaceDE w:val="0"/>
              <w:autoSpaceDN w:val="0"/>
              <w:adjustRightInd w:val="0"/>
              <w:ind w:firstLine="480"/>
              <w:jc w:val="center"/>
              <w:rPr>
                <w:rFonts w:ascii="宋体" w:hAnsi="宋体" w:cs="黑体"/>
                <w:kern w:val="0"/>
                <w:szCs w:val="21"/>
              </w:rPr>
            </w:pPr>
          </w:p>
        </w:tc>
      </w:tr>
      <w:tr w14:paraId="20220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071" w:type="dxa"/>
            <w:noWrap w:val="0"/>
            <w:vAlign w:val="center"/>
          </w:tcPr>
          <w:p w14:paraId="0B84C658">
            <w:pPr>
              <w:autoSpaceDE w:val="0"/>
              <w:autoSpaceDN w:val="0"/>
              <w:adjustRightInd w:val="0"/>
              <w:ind w:firstLine="480"/>
              <w:jc w:val="center"/>
              <w:rPr>
                <w:rFonts w:ascii="宋体" w:hAnsi="宋体" w:cs="黑体"/>
                <w:kern w:val="0"/>
                <w:szCs w:val="21"/>
              </w:rPr>
            </w:pPr>
          </w:p>
        </w:tc>
        <w:tc>
          <w:tcPr>
            <w:tcW w:w="2236" w:type="dxa"/>
            <w:noWrap w:val="0"/>
            <w:vAlign w:val="center"/>
          </w:tcPr>
          <w:p w14:paraId="75972757">
            <w:pPr>
              <w:autoSpaceDE w:val="0"/>
              <w:autoSpaceDN w:val="0"/>
              <w:adjustRightInd w:val="0"/>
              <w:ind w:firstLine="480"/>
              <w:jc w:val="center"/>
              <w:rPr>
                <w:rFonts w:ascii="宋体" w:hAnsi="宋体" w:cs="黑体"/>
                <w:kern w:val="0"/>
                <w:szCs w:val="21"/>
              </w:rPr>
            </w:pPr>
          </w:p>
        </w:tc>
        <w:tc>
          <w:tcPr>
            <w:tcW w:w="2268" w:type="dxa"/>
            <w:noWrap w:val="0"/>
            <w:vAlign w:val="center"/>
          </w:tcPr>
          <w:p w14:paraId="78BBE6BA">
            <w:pPr>
              <w:autoSpaceDE w:val="0"/>
              <w:autoSpaceDN w:val="0"/>
              <w:adjustRightInd w:val="0"/>
              <w:ind w:firstLine="480"/>
              <w:jc w:val="center"/>
              <w:rPr>
                <w:rFonts w:ascii="宋体" w:hAnsi="宋体" w:cs="黑体"/>
                <w:kern w:val="0"/>
                <w:szCs w:val="21"/>
              </w:rPr>
            </w:pPr>
          </w:p>
        </w:tc>
        <w:tc>
          <w:tcPr>
            <w:tcW w:w="2410" w:type="dxa"/>
            <w:noWrap w:val="0"/>
            <w:vAlign w:val="center"/>
          </w:tcPr>
          <w:p w14:paraId="4418D341">
            <w:pPr>
              <w:autoSpaceDE w:val="0"/>
              <w:autoSpaceDN w:val="0"/>
              <w:adjustRightInd w:val="0"/>
              <w:ind w:firstLine="480"/>
              <w:jc w:val="center"/>
              <w:rPr>
                <w:rFonts w:ascii="宋体" w:hAnsi="宋体" w:cs="黑体"/>
                <w:kern w:val="0"/>
                <w:szCs w:val="21"/>
              </w:rPr>
            </w:pPr>
          </w:p>
        </w:tc>
      </w:tr>
      <w:tr w14:paraId="16569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2071" w:type="dxa"/>
            <w:noWrap w:val="0"/>
            <w:vAlign w:val="center"/>
          </w:tcPr>
          <w:p w14:paraId="64F9F834">
            <w:pPr>
              <w:autoSpaceDE w:val="0"/>
              <w:autoSpaceDN w:val="0"/>
              <w:adjustRightInd w:val="0"/>
              <w:ind w:firstLine="480"/>
              <w:jc w:val="center"/>
              <w:rPr>
                <w:rFonts w:ascii="宋体" w:hAnsi="宋体" w:cs="黑体"/>
                <w:kern w:val="0"/>
                <w:szCs w:val="21"/>
              </w:rPr>
            </w:pPr>
          </w:p>
        </w:tc>
        <w:tc>
          <w:tcPr>
            <w:tcW w:w="2236" w:type="dxa"/>
            <w:noWrap w:val="0"/>
            <w:vAlign w:val="center"/>
          </w:tcPr>
          <w:p w14:paraId="42EE4AFD">
            <w:pPr>
              <w:autoSpaceDE w:val="0"/>
              <w:autoSpaceDN w:val="0"/>
              <w:adjustRightInd w:val="0"/>
              <w:ind w:firstLine="480"/>
              <w:jc w:val="center"/>
              <w:rPr>
                <w:rFonts w:ascii="宋体" w:hAnsi="宋体" w:cs="黑体"/>
                <w:kern w:val="0"/>
                <w:szCs w:val="21"/>
              </w:rPr>
            </w:pPr>
          </w:p>
        </w:tc>
        <w:tc>
          <w:tcPr>
            <w:tcW w:w="2268" w:type="dxa"/>
            <w:noWrap w:val="0"/>
            <w:vAlign w:val="center"/>
          </w:tcPr>
          <w:p w14:paraId="11D65040">
            <w:pPr>
              <w:autoSpaceDE w:val="0"/>
              <w:autoSpaceDN w:val="0"/>
              <w:adjustRightInd w:val="0"/>
              <w:ind w:firstLine="480"/>
              <w:jc w:val="center"/>
              <w:rPr>
                <w:rFonts w:ascii="宋体" w:hAnsi="宋体" w:cs="黑体"/>
                <w:kern w:val="0"/>
                <w:szCs w:val="21"/>
              </w:rPr>
            </w:pPr>
          </w:p>
        </w:tc>
        <w:tc>
          <w:tcPr>
            <w:tcW w:w="2410" w:type="dxa"/>
            <w:noWrap w:val="0"/>
            <w:vAlign w:val="center"/>
          </w:tcPr>
          <w:p w14:paraId="5D29A3D0">
            <w:pPr>
              <w:autoSpaceDE w:val="0"/>
              <w:autoSpaceDN w:val="0"/>
              <w:adjustRightInd w:val="0"/>
              <w:ind w:firstLine="480"/>
              <w:jc w:val="center"/>
              <w:rPr>
                <w:rFonts w:ascii="宋体" w:hAnsi="宋体" w:cs="黑体"/>
                <w:kern w:val="0"/>
                <w:szCs w:val="21"/>
              </w:rPr>
            </w:pPr>
          </w:p>
        </w:tc>
      </w:tr>
      <w:tr w14:paraId="3ADB3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2071" w:type="dxa"/>
            <w:noWrap w:val="0"/>
            <w:vAlign w:val="center"/>
          </w:tcPr>
          <w:p w14:paraId="7C93238C">
            <w:pPr>
              <w:autoSpaceDE w:val="0"/>
              <w:autoSpaceDN w:val="0"/>
              <w:adjustRightInd w:val="0"/>
              <w:ind w:firstLine="480"/>
              <w:jc w:val="center"/>
              <w:rPr>
                <w:rFonts w:ascii="宋体" w:hAnsi="宋体" w:cs="黑体"/>
                <w:kern w:val="0"/>
                <w:szCs w:val="21"/>
              </w:rPr>
            </w:pPr>
          </w:p>
        </w:tc>
        <w:tc>
          <w:tcPr>
            <w:tcW w:w="2236" w:type="dxa"/>
            <w:noWrap w:val="0"/>
            <w:vAlign w:val="center"/>
          </w:tcPr>
          <w:p w14:paraId="7B8BC482">
            <w:pPr>
              <w:autoSpaceDE w:val="0"/>
              <w:autoSpaceDN w:val="0"/>
              <w:adjustRightInd w:val="0"/>
              <w:ind w:firstLine="480"/>
              <w:jc w:val="center"/>
              <w:rPr>
                <w:rFonts w:ascii="宋体" w:hAnsi="宋体" w:cs="黑体"/>
                <w:kern w:val="0"/>
                <w:szCs w:val="21"/>
              </w:rPr>
            </w:pPr>
          </w:p>
        </w:tc>
        <w:tc>
          <w:tcPr>
            <w:tcW w:w="2268" w:type="dxa"/>
            <w:noWrap w:val="0"/>
            <w:vAlign w:val="center"/>
          </w:tcPr>
          <w:p w14:paraId="637DCD1C">
            <w:pPr>
              <w:autoSpaceDE w:val="0"/>
              <w:autoSpaceDN w:val="0"/>
              <w:adjustRightInd w:val="0"/>
              <w:ind w:firstLine="480"/>
              <w:jc w:val="center"/>
              <w:rPr>
                <w:rFonts w:ascii="宋体" w:hAnsi="宋体" w:cs="黑体"/>
                <w:kern w:val="0"/>
                <w:szCs w:val="21"/>
              </w:rPr>
            </w:pPr>
          </w:p>
        </w:tc>
        <w:tc>
          <w:tcPr>
            <w:tcW w:w="2410" w:type="dxa"/>
            <w:noWrap w:val="0"/>
            <w:vAlign w:val="center"/>
          </w:tcPr>
          <w:p w14:paraId="246DC0E9">
            <w:pPr>
              <w:autoSpaceDE w:val="0"/>
              <w:autoSpaceDN w:val="0"/>
              <w:adjustRightInd w:val="0"/>
              <w:ind w:firstLine="480"/>
              <w:jc w:val="center"/>
              <w:rPr>
                <w:rFonts w:ascii="宋体" w:hAnsi="宋体" w:cs="黑体"/>
                <w:kern w:val="0"/>
                <w:szCs w:val="21"/>
              </w:rPr>
            </w:pPr>
          </w:p>
        </w:tc>
      </w:tr>
    </w:tbl>
    <w:p w14:paraId="116637AB">
      <w:pPr>
        <w:pStyle w:val="20"/>
        <w:ind w:left="0" w:leftChars="0" w:firstLine="0" w:firstLineChars="0"/>
        <w:rPr>
          <w:rFonts w:hint="eastAsia" w:ascii="宋体" w:hAnsi="宋体"/>
          <w:b w:val="0"/>
          <w:bCs w:val="0"/>
          <w:color w:val="auto"/>
          <w:sz w:val="28"/>
          <w:szCs w:val="28"/>
          <w:highlight w:val="none"/>
          <w:lang w:val="en-US" w:eastAsia="zh-CN"/>
        </w:rPr>
      </w:pPr>
    </w:p>
    <w:p w14:paraId="49148D47">
      <w:pPr>
        <w:pStyle w:val="19"/>
        <w:rPr>
          <w:rFonts w:hint="eastAsia" w:ascii="宋体" w:hAnsi="宋体"/>
          <w:b w:val="0"/>
          <w:bCs w:val="0"/>
          <w:color w:val="auto"/>
          <w:sz w:val="28"/>
          <w:szCs w:val="28"/>
          <w:highlight w:val="none"/>
          <w:lang w:val="en-US" w:eastAsia="zh-CN"/>
        </w:rPr>
      </w:pPr>
    </w:p>
    <w:p w14:paraId="3EB299B7">
      <w:pPr>
        <w:pStyle w:val="3"/>
        <w:numPr>
          <w:ilvl w:val="0"/>
          <w:numId w:val="0"/>
        </w:numPr>
        <w:tabs>
          <w:tab w:val="left" w:pos="425"/>
        </w:tabs>
        <w:spacing w:line="480" w:lineRule="exact"/>
        <w:jc w:val="center"/>
        <w:rPr>
          <w:rFonts w:hint="default" w:ascii="宋体" w:hAnsi="宋体"/>
          <w:color w:val="auto"/>
          <w:sz w:val="28"/>
          <w:szCs w:val="28"/>
          <w:highlight w:val="none"/>
          <w:lang w:val="en-US" w:eastAsia="zh-CN"/>
        </w:rPr>
      </w:pPr>
      <w:r>
        <w:rPr>
          <w:rFonts w:hint="eastAsia" w:ascii="宋体" w:hAnsi="宋体"/>
          <w:color w:val="auto"/>
          <w:sz w:val="28"/>
          <w:szCs w:val="28"/>
          <w:highlight w:val="none"/>
          <w:lang w:val="en-US" w:eastAsia="zh-CN"/>
        </w:rPr>
        <w:t>七、项目管理机构</w:t>
      </w:r>
    </w:p>
    <w:p w14:paraId="21A47C62">
      <w:pPr>
        <w:jc w:val="center"/>
        <w:rPr>
          <w:color w:val="auto"/>
          <w:sz w:val="28"/>
          <w:szCs w:val="36"/>
        </w:rPr>
      </w:pPr>
      <w:bookmarkStart w:id="789" w:name="_Toc30562"/>
      <w:bookmarkStart w:id="790" w:name="_Toc5981"/>
      <w:bookmarkStart w:id="791" w:name="_Toc18560"/>
      <w:r>
        <w:rPr>
          <w:rFonts w:hint="eastAsia"/>
          <w:color w:val="auto"/>
          <w:sz w:val="28"/>
          <w:szCs w:val="36"/>
        </w:rPr>
        <w:t>（一）项目</w:t>
      </w:r>
      <w:r>
        <w:rPr>
          <w:rFonts w:hint="eastAsia"/>
          <w:color w:val="auto"/>
          <w:sz w:val="28"/>
          <w:szCs w:val="36"/>
          <w:lang w:val="en-US" w:eastAsia="zh-CN"/>
        </w:rPr>
        <w:t>管理</w:t>
      </w:r>
      <w:r>
        <w:rPr>
          <w:rFonts w:hint="eastAsia"/>
          <w:color w:val="auto"/>
          <w:sz w:val="28"/>
          <w:szCs w:val="36"/>
        </w:rPr>
        <w:t>机构组成表</w:t>
      </w:r>
      <w:bookmarkEnd w:id="789"/>
      <w:bookmarkEnd w:id="790"/>
      <w:bookmarkEnd w:id="791"/>
    </w:p>
    <w:p w14:paraId="4367D536">
      <w:pPr>
        <w:rPr>
          <w:color w:val="auto"/>
        </w:rPr>
      </w:pPr>
    </w:p>
    <w:tbl>
      <w:tblPr>
        <w:tblStyle w:val="21"/>
        <w:tblpPr w:leftFromText="181" w:rightFromText="181" w:vertAnchor="text" w:horzAnchor="margin" w:tblpXSpec="center" w:tblpY="-73"/>
        <w:tblOverlap w:val="never"/>
        <w:tblW w:w="9406" w:type="dxa"/>
        <w:jc w:val="center"/>
        <w:tblLayout w:type="fixed"/>
        <w:tblCellMar>
          <w:top w:w="0" w:type="dxa"/>
          <w:left w:w="0" w:type="dxa"/>
          <w:bottom w:w="0" w:type="dxa"/>
          <w:right w:w="0" w:type="dxa"/>
        </w:tblCellMar>
      </w:tblPr>
      <w:tblGrid>
        <w:gridCol w:w="1793"/>
        <w:gridCol w:w="943"/>
        <w:gridCol w:w="817"/>
        <w:gridCol w:w="818"/>
        <w:gridCol w:w="843"/>
        <w:gridCol w:w="837"/>
        <w:gridCol w:w="908"/>
        <w:gridCol w:w="1552"/>
        <w:gridCol w:w="895"/>
      </w:tblGrid>
      <w:tr w14:paraId="2EF213C5">
        <w:tblPrEx>
          <w:tblCellMar>
            <w:top w:w="0" w:type="dxa"/>
            <w:left w:w="0" w:type="dxa"/>
            <w:bottom w:w="0" w:type="dxa"/>
            <w:right w:w="0" w:type="dxa"/>
          </w:tblCellMar>
        </w:tblPrEx>
        <w:trPr>
          <w:trHeight w:val="659" w:hRule="atLeast"/>
          <w:jc w:val="center"/>
        </w:trPr>
        <w:tc>
          <w:tcPr>
            <w:tcW w:w="1793" w:type="dxa"/>
            <w:vMerge w:val="restart"/>
            <w:tcBorders>
              <w:top w:val="single" w:color="000000" w:sz="4" w:space="0"/>
              <w:left w:val="single" w:color="000000" w:sz="4" w:space="0"/>
              <w:bottom w:val="single" w:color="000000" w:sz="4" w:space="0"/>
              <w:right w:val="single" w:color="000000" w:sz="4" w:space="0"/>
            </w:tcBorders>
            <w:vAlign w:val="center"/>
          </w:tcPr>
          <w:p w14:paraId="5FE0AB22">
            <w:pPr>
              <w:jc w:val="center"/>
              <w:rPr>
                <w:color w:val="auto"/>
              </w:rPr>
            </w:pPr>
            <w:r>
              <w:rPr>
                <w:rFonts w:hint="eastAsia"/>
                <w:color w:val="auto"/>
              </w:rPr>
              <w:t>职务</w:t>
            </w:r>
          </w:p>
        </w:tc>
        <w:tc>
          <w:tcPr>
            <w:tcW w:w="943" w:type="dxa"/>
            <w:vMerge w:val="restart"/>
            <w:tcBorders>
              <w:top w:val="single" w:color="000000" w:sz="4" w:space="0"/>
              <w:left w:val="single" w:color="000000" w:sz="4" w:space="0"/>
              <w:bottom w:val="single" w:color="000000" w:sz="4" w:space="0"/>
              <w:right w:val="single" w:color="000000" w:sz="4" w:space="0"/>
            </w:tcBorders>
            <w:vAlign w:val="center"/>
          </w:tcPr>
          <w:p w14:paraId="1AFEB1E4">
            <w:pPr>
              <w:jc w:val="center"/>
              <w:rPr>
                <w:color w:val="auto"/>
              </w:rPr>
            </w:pPr>
            <w:r>
              <w:rPr>
                <w:rFonts w:hint="eastAsia"/>
                <w:color w:val="auto"/>
              </w:rPr>
              <w:t>姓名</w:t>
            </w:r>
          </w:p>
        </w:tc>
        <w:tc>
          <w:tcPr>
            <w:tcW w:w="817" w:type="dxa"/>
            <w:vMerge w:val="restart"/>
            <w:tcBorders>
              <w:top w:val="single" w:color="000000" w:sz="4" w:space="0"/>
              <w:left w:val="single" w:color="000000" w:sz="4" w:space="0"/>
              <w:right w:val="single" w:color="000000" w:sz="4" w:space="0"/>
            </w:tcBorders>
            <w:vAlign w:val="center"/>
          </w:tcPr>
          <w:p w14:paraId="2424C863">
            <w:pPr>
              <w:jc w:val="center"/>
              <w:rPr>
                <w:color w:val="auto"/>
              </w:rPr>
            </w:pPr>
            <w:r>
              <w:rPr>
                <w:rFonts w:hint="eastAsia"/>
                <w:color w:val="auto"/>
              </w:rPr>
              <w:t>身份证号</w:t>
            </w:r>
          </w:p>
        </w:tc>
        <w:tc>
          <w:tcPr>
            <w:tcW w:w="4958" w:type="dxa"/>
            <w:gridSpan w:val="5"/>
            <w:tcBorders>
              <w:top w:val="single" w:color="000000" w:sz="4" w:space="0"/>
              <w:left w:val="single" w:color="000000" w:sz="4" w:space="0"/>
              <w:bottom w:val="single" w:color="000000" w:sz="4" w:space="0"/>
              <w:right w:val="single" w:color="000000" w:sz="4" w:space="0"/>
            </w:tcBorders>
            <w:vAlign w:val="center"/>
          </w:tcPr>
          <w:p w14:paraId="59E23946">
            <w:pPr>
              <w:jc w:val="center"/>
              <w:rPr>
                <w:color w:val="auto"/>
              </w:rPr>
            </w:pPr>
            <w:r>
              <w:rPr>
                <w:rFonts w:hint="eastAsia"/>
                <w:color w:val="auto"/>
              </w:rPr>
              <w:t>执业或职业资格证明</w:t>
            </w:r>
          </w:p>
        </w:tc>
        <w:tc>
          <w:tcPr>
            <w:tcW w:w="895" w:type="dxa"/>
            <w:tcBorders>
              <w:top w:val="single" w:color="000000" w:sz="4" w:space="0"/>
              <w:left w:val="single" w:color="000000" w:sz="4" w:space="0"/>
              <w:bottom w:val="single" w:color="000000" w:sz="4" w:space="0"/>
              <w:right w:val="single" w:color="000000" w:sz="4" w:space="0"/>
            </w:tcBorders>
            <w:vAlign w:val="center"/>
          </w:tcPr>
          <w:p w14:paraId="6369213A">
            <w:pPr>
              <w:jc w:val="center"/>
              <w:rPr>
                <w:color w:val="auto"/>
              </w:rPr>
            </w:pPr>
            <w:r>
              <w:rPr>
                <w:rFonts w:hint="eastAsia"/>
                <w:color w:val="auto"/>
              </w:rPr>
              <w:t>备注</w:t>
            </w:r>
          </w:p>
        </w:tc>
      </w:tr>
      <w:tr w14:paraId="03723A6C">
        <w:tblPrEx>
          <w:tblCellMar>
            <w:top w:w="0" w:type="dxa"/>
            <w:left w:w="0" w:type="dxa"/>
            <w:bottom w:w="0" w:type="dxa"/>
            <w:right w:w="0" w:type="dxa"/>
          </w:tblCellMar>
        </w:tblPrEx>
        <w:trPr>
          <w:trHeight w:val="656" w:hRule="atLeast"/>
          <w:jc w:val="center"/>
        </w:trPr>
        <w:tc>
          <w:tcPr>
            <w:tcW w:w="1793" w:type="dxa"/>
            <w:vMerge w:val="continue"/>
            <w:tcBorders>
              <w:top w:val="single" w:color="000000" w:sz="4" w:space="0"/>
              <w:left w:val="single" w:color="000000" w:sz="4" w:space="0"/>
              <w:bottom w:val="single" w:color="000000" w:sz="4" w:space="0"/>
              <w:right w:val="single" w:color="000000" w:sz="4" w:space="0"/>
            </w:tcBorders>
            <w:vAlign w:val="center"/>
          </w:tcPr>
          <w:p w14:paraId="3AE3EACD">
            <w:pPr>
              <w:jc w:val="center"/>
              <w:rPr>
                <w:color w:val="auto"/>
              </w:rPr>
            </w:pPr>
          </w:p>
        </w:tc>
        <w:tc>
          <w:tcPr>
            <w:tcW w:w="943" w:type="dxa"/>
            <w:vMerge w:val="continue"/>
            <w:tcBorders>
              <w:top w:val="single" w:color="000000" w:sz="4" w:space="0"/>
              <w:left w:val="single" w:color="000000" w:sz="4" w:space="0"/>
              <w:bottom w:val="single" w:color="000000" w:sz="4" w:space="0"/>
              <w:right w:val="single" w:color="000000" w:sz="4" w:space="0"/>
            </w:tcBorders>
            <w:vAlign w:val="center"/>
          </w:tcPr>
          <w:p w14:paraId="5ED83858">
            <w:pPr>
              <w:jc w:val="center"/>
              <w:rPr>
                <w:color w:val="auto"/>
              </w:rPr>
            </w:pPr>
          </w:p>
        </w:tc>
        <w:tc>
          <w:tcPr>
            <w:tcW w:w="817" w:type="dxa"/>
            <w:vMerge w:val="continue"/>
            <w:tcBorders>
              <w:left w:val="single" w:color="000000" w:sz="4" w:space="0"/>
              <w:bottom w:val="single" w:color="000000" w:sz="4" w:space="0"/>
              <w:right w:val="single" w:color="000000" w:sz="4" w:space="0"/>
            </w:tcBorders>
            <w:vAlign w:val="center"/>
          </w:tcPr>
          <w:p w14:paraId="751CD99F">
            <w:pPr>
              <w:jc w:val="center"/>
              <w:rPr>
                <w:color w:val="auto"/>
              </w:rPr>
            </w:pPr>
          </w:p>
        </w:tc>
        <w:tc>
          <w:tcPr>
            <w:tcW w:w="818" w:type="dxa"/>
            <w:tcBorders>
              <w:top w:val="single" w:color="000000" w:sz="4" w:space="0"/>
              <w:left w:val="single" w:color="000000" w:sz="4" w:space="0"/>
              <w:bottom w:val="single" w:color="000000" w:sz="4" w:space="0"/>
              <w:right w:val="single" w:color="000000" w:sz="4" w:space="0"/>
            </w:tcBorders>
            <w:vAlign w:val="center"/>
          </w:tcPr>
          <w:p w14:paraId="09F6EAA2">
            <w:pPr>
              <w:jc w:val="center"/>
              <w:rPr>
                <w:color w:val="auto"/>
              </w:rPr>
            </w:pPr>
            <w:r>
              <w:rPr>
                <w:rFonts w:hint="eastAsia"/>
                <w:color w:val="auto"/>
              </w:rPr>
              <w:t>证书名称</w:t>
            </w:r>
          </w:p>
        </w:tc>
        <w:tc>
          <w:tcPr>
            <w:tcW w:w="843" w:type="dxa"/>
            <w:tcBorders>
              <w:top w:val="single" w:color="000000" w:sz="4" w:space="0"/>
              <w:left w:val="single" w:color="000000" w:sz="4" w:space="0"/>
              <w:bottom w:val="single" w:color="000000" w:sz="4" w:space="0"/>
              <w:right w:val="single" w:color="000000" w:sz="4" w:space="0"/>
            </w:tcBorders>
            <w:vAlign w:val="center"/>
          </w:tcPr>
          <w:p w14:paraId="30305701">
            <w:pPr>
              <w:jc w:val="center"/>
              <w:rPr>
                <w:color w:val="auto"/>
              </w:rPr>
            </w:pPr>
            <w:r>
              <w:rPr>
                <w:rFonts w:hint="eastAsia"/>
                <w:color w:val="auto"/>
              </w:rPr>
              <w:t>级别</w:t>
            </w:r>
          </w:p>
        </w:tc>
        <w:tc>
          <w:tcPr>
            <w:tcW w:w="837" w:type="dxa"/>
            <w:tcBorders>
              <w:top w:val="single" w:color="000000" w:sz="4" w:space="0"/>
              <w:left w:val="single" w:color="000000" w:sz="4" w:space="0"/>
              <w:bottom w:val="single" w:color="000000" w:sz="4" w:space="0"/>
              <w:right w:val="single" w:color="000000" w:sz="4" w:space="0"/>
            </w:tcBorders>
            <w:vAlign w:val="center"/>
          </w:tcPr>
          <w:p w14:paraId="6CD561E8">
            <w:pPr>
              <w:jc w:val="center"/>
              <w:rPr>
                <w:color w:val="auto"/>
              </w:rPr>
            </w:pPr>
            <w:r>
              <w:rPr>
                <w:rFonts w:hint="eastAsia"/>
                <w:color w:val="auto"/>
              </w:rPr>
              <w:t>证号</w:t>
            </w:r>
          </w:p>
        </w:tc>
        <w:tc>
          <w:tcPr>
            <w:tcW w:w="908" w:type="dxa"/>
            <w:tcBorders>
              <w:top w:val="single" w:color="000000" w:sz="4" w:space="0"/>
              <w:left w:val="single" w:color="000000" w:sz="4" w:space="0"/>
              <w:bottom w:val="single" w:color="000000" w:sz="4" w:space="0"/>
              <w:right w:val="single" w:color="000000" w:sz="4" w:space="0"/>
            </w:tcBorders>
            <w:vAlign w:val="center"/>
          </w:tcPr>
          <w:p w14:paraId="6B0441E1">
            <w:pPr>
              <w:jc w:val="center"/>
              <w:rPr>
                <w:color w:val="auto"/>
              </w:rPr>
            </w:pPr>
            <w:r>
              <w:rPr>
                <w:rFonts w:hint="eastAsia"/>
                <w:color w:val="auto"/>
              </w:rPr>
              <w:t>专业</w:t>
            </w:r>
          </w:p>
        </w:tc>
        <w:tc>
          <w:tcPr>
            <w:tcW w:w="1552" w:type="dxa"/>
            <w:tcBorders>
              <w:top w:val="single" w:color="000000" w:sz="4" w:space="0"/>
              <w:left w:val="single" w:color="000000" w:sz="4" w:space="0"/>
              <w:bottom w:val="single" w:color="000000" w:sz="4" w:space="0"/>
              <w:right w:val="single" w:color="000000" w:sz="4" w:space="0"/>
            </w:tcBorders>
            <w:vAlign w:val="center"/>
          </w:tcPr>
          <w:p w14:paraId="68C01DE7">
            <w:pPr>
              <w:jc w:val="center"/>
              <w:rPr>
                <w:rFonts w:hint="default" w:eastAsiaTheme="minorEastAsia"/>
                <w:color w:val="auto"/>
                <w:lang w:val="en-US" w:eastAsia="zh-CN"/>
              </w:rPr>
            </w:pPr>
            <w:r>
              <w:rPr>
                <w:rFonts w:hint="eastAsia"/>
                <w:color w:val="auto"/>
                <w:lang w:val="en-US" w:eastAsia="zh-CN"/>
              </w:rPr>
              <w:t>养老保险</w:t>
            </w:r>
          </w:p>
        </w:tc>
        <w:tc>
          <w:tcPr>
            <w:tcW w:w="895" w:type="dxa"/>
            <w:tcBorders>
              <w:top w:val="single" w:color="000000" w:sz="4" w:space="0"/>
              <w:left w:val="single" w:color="000000" w:sz="4" w:space="0"/>
              <w:bottom w:val="single" w:color="000000" w:sz="4" w:space="0"/>
              <w:right w:val="single" w:color="000000" w:sz="4" w:space="0"/>
            </w:tcBorders>
            <w:vAlign w:val="center"/>
          </w:tcPr>
          <w:p w14:paraId="5ED2C657">
            <w:pPr>
              <w:jc w:val="center"/>
              <w:rPr>
                <w:color w:val="auto"/>
              </w:rPr>
            </w:pPr>
          </w:p>
        </w:tc>
      </w:tr>
      <w:tr w14:paraId="75102BFE">
        <w:tblPrEx>
          <w:tblCellMar>
            <w:top w:w="0" w:type="dxa"/>
            <w:left w:w="0" w:type="dxa"/>
            <w:bottom w:w="0" w:type="dxa"/>
            <w:right w:w="0" w:type="dxa"/>
          </w:tblCellMar>
        </w:tblPrEx>
        <w:trPr>
          <w:trHeight w:val="790" w:hRule="atLeast"/>
          <w:jc w:val="center"/>
        </w:trPr>
        <w:tc>
          <w:tcPr>
            <w:tcW w:w="1793" w:type="dxa"/>
            <w:tcBorders>
              <w:top w:val="single" w:color="000000" w:sz="4" w:space="0"/>
              <w:left w:val="single" w:color="000000" w:sz="4" w:space="0"/>
              <w:bottom w:val="single" w:color="000000" w:sz="4" w:space="0"/>
              <w:right w:val="single" w:color="000000" w:sz="4" w:space="0"/>
            </w:tcBorders>
            <w:vAlign w:val="center"/>
          </w:tcPr>
          <w:p w14:paraId="6F94C190">
            <w:pPr>
              <w:rPr>
                <w:color w:val="auto"/>
              </w:rPr>
            </w:pPr>
          </w:p>
        </w:tc>
        <w:tc>
          <w:tcPr>
            <w:tcW w:w="943" w:type="dxa"/>
            <w:tcBorders>
              <w:top w:val="single" w:color="000000" w:sz="4" w:space="0"/>
              <w:left w:val="single" w:color="000000" w:sz="4" w:space="0"/>
              <w:bottom w:val="single" w:color="000000" w:sz="4" w:space="0"/>
              <w:right w:val="single" w:color="000000" w:sz="4" w:space="0"/>
            </w:tcBorders>
            <w:vAlign w:val="center"/>
          </w:tcPr>
          <w:p w14:paraId="20BB3BFE">
            <w:pPr>
              <w:rPr>
                <w:color w:val="auto"/>
              </w:rPr>
            </w:pPr>
          </w:p>
        </w:tc>
        <w:tc>
          <w:tcPr>
            <w:tcW w:w="817" w:type="dxa"/>
            <w:tcBorders>
              <w:top w:val="single" w:color="000000" w:sz="4" w:space="0"/>
              <w:left w:val="single" w:color="000000" w:sz="4" w:space="0"/>
              <w:bottom w:val="single" w:color="000000" w:sz="4" w:space="0"/>
              <w:right w:val="single" w:color="000000" w:sz="4" w:space="0"/>
            </w:tcBorders>
            <w:vAlign w:val="center"/>
          </w:tcPr>
          <w:p w14:paraId="71B9FFAA">
            <w:pPr>
              <w:rPr>
                <w:color w:val="auto"/>
              </w:rPr>
            </w:pPr>
          </w:p>
        </w:tc>
        <w:tc>
          <w:tcPr>
            <w:tcW w:w="818" w:type="dxa"/>
            <w:tcBorders>
              <w:top w:val="single" w:color="000000" w:sz="4" w:space="0"/>
              <w:left w:val="single" w:color="000000" w:sz="4" w:space="0"/>
              <w:bottom w:val="single" w:color="000000" w:sz="4" w:space="0"/>
              <w:right w:val="single" w:color="000000" w:sz="4" w:space="0"/>
            </w:tcBorders>
            <w:vAlign w:val="center"/>
          </w:tcPr>
          <w:p w14:paraId="5301BE94">
            <w:pPr>
              <w:rPr>
                <w:color w:val="auto"/>
              </w:rPr>
            </w:pPr>
          </w:p>
        </w:tc>
        <w:tc>
          <w:tcPr>
            <w:tcW w:w="843" w:type="dxa"/>
            <w:tcBorders>
              <w:top w:val="single" w:color="000000" w:sz="4" w:space="0"/>
              <w:left w:val="single" w:color="000000" w:sz="4" w:space="0"/>
              <w:bottom w:val="single" w:color="000000" w:sz="4" w:space="0"/>
              <w:right w:val="single" w:color="000000" w:sz="4" w:space="0"/>
            </w:tcBorders>
            <w:vAlign w:val="center"/>
          </w:tcPr>
          <w:p w14:paraId="423E1991">
            <w:pPr>
              <w:rPr>
                <w:color w:val="auto"/>
              </w:rPr>
            </w:pPr>
          </w:p>
        </w:tc>
        <w:tc>
          <w:tcPr>
            <w:tcW w:w="837" w:type="dxa"/>
            <w:tcBorders>
              <w:top w:val="single" w:color="000000" w:sz="4" w:space="0"/>
              <w:left w:val="single" w:color="000000" w:sz="4" w:space="0"/>
              <w:bottom w:val="single" w:color="000000" w:sz="4" w:space="0"/>
              <w:right w:val="single" w:color="000000" w:sz="4" w:space="0"/>
            </w:tcBorders>
            <w:vAlign w:val="center"/>
          </w:tcPr>
          <w:p w14:paraId="003784A0">
            <w:pPr>
              <w:rPr>
                <w:color w:val="auto"/>
              </w:rPr>
            </w:pPr>
          </w:p>
        </w:tc>
        <w:tc>
          <w:tcPr>
            <w:tcW w:w="908" w:type="dxa"/>
            <w:tcBorders>
              <w:top w:val="single" w:color="000000" w:sz="4" w:space="0"/>
              <w:left w:val="single" w:color="000000" w:sz="4" w:space="0"/>
              <w:bottom w:val="single" w:color="000000" w:sz="4" w:space="0"/>
              <w:right w:val="single" w:color="000000" w:sz="4" w:space="0"/>
            </w:tcBorders>
            <w:vAlign w:val="center"/>
          </w:tcPr>
          <w:p w14:paraId="405F1377">
            <w:pPr>
              <w:rPr>
                <w:color w:val="auto"/>
              </w:rPr>
            </w:pPr>
          </w:p>
        </w:tc>
        <w:tc>
          <w:tcPr>
            <w:tcW w:w="1552" w:type="dxa"/>
            <w:tcBorders>
              <w:top w:val="single" w:color="000000" w:sz="4" w:space="0"/>
              <w:left w:val="single" w:color="000000" w:sz="4" w:space="0"/>
              <w:bottom w:val="single" w:color="000000" w:sz="4" w:space="0"/>
              <w:right w:val="single" w:color="000000" w:sz="4" w:space="0"/>
            </w:tcBorders>
            <w:vAlign w:val="center"/>
          </w:tcPr>
          <w:p w14:paraId="343094E3">
            <w:pPr>
              <w:rPr>
                <w:color w:val="auto"/>
              </w:rPr>
            </w:pPr>
          </w:p>
        </w:tc>
        <w:tc>
          <w:tcPr>
            <w:tcW w:w="895" w:type="dxa"/>
            <w:tcBorders>
              <w:top w:val="single" w:color="000000" w:sz="4" w:space="0"/>
              <w:left w:val="single" w:color="000000" w:sz="4" w:space="0"/>
              <w:bottom w:val="single" w:color="000000" w:sz="4" w:space="0"/>
              <w:right w:val="single" w:color="000000" w:sz="4" w:space="0"/>
            </w:tcBorders>
            <w:vAlign w:val="center"/>
          </w:tcPr>
          <w:p w14:paraId="63D9B534">
            <w:pPr>
              <w:rPr>
                <w:color w:val="auto"/>
              </w:rPr>
            </w:pPr>
          </w:p>
        </w:tc>
      </w:tr>
      <w:tr w14:paraId="3FE7469C">
        <w:tblPrEx>
          <w:tblCellMar>
            <w:top w:w="0" w:type="dxa"/>
            <w:left w:w="0" w:type="dxa"/>
            <w:bottom w:w="0" w:type="dxa"/>
            <w:right w:w="0" w:type="dxa"/>
          </w:tblCellMar>
        </w:tblPrEx>
        <w:trPr>
          <w:trHeight w:val="790" w:hRule="atLeast"/>
          <w:jc w:val="center"/>
        </w:trPr>
        <w:tc>
          <w:tcPr>
            <w:tcW w:w="1793" w:type="dxa"/>
            <w:tcBorders>
              <w:top w:val="single" w:color="000000" w:sz="4" w:space="0"/>
              <w:left w:val="single" w:color="000000" w:sz="4" w:space="0"/>
              <w:bottom w:val="single" w:color="000000" w:sz="4" w:space="0"/>
              <w:right w:val="single" w:color="000000" w:sz="4" w:space="0"/>
            </w:tcBorders>
            <w:vAlign w:val="center"/>
          </w:tcPr>
          <w:p w14:paraId="57A94232">
            <w:pPr>
              <w:rPr>
                <w:color w:val="auto"/>
              </w:rPr>
            </w:pPr>
          </w:p>
        </w:tc>
        <w:tc>
          <w:tcPr>
            <w:tcW w:w="943" w:type="dxa"/>
            <w:tcBorders>
              <w:top w:val="single" w:color="000000" w:sz="4" w:space="0"/>
              <w:left w:val="single" w:color="000000" w:sz="4" w:space="0"/>
              <w:bottom w:val="single" w:color="000000" w:sz="4" w:space="0"/>
              <w:right w:val="single" w:color="000000" w:sz="4" w:space="0"/>
            </w:tcBorders>
            <w:vAlign w:val="center"/>
          </w:tcPr>
          <w:p w14:paraId="7132C5FC">
            <w:pPr>
              <w:rPr>
                <w:color w:val="auto"/>
              </w:rPr>
            </w:pPr>
          </w:p>
        </w:tc>
        <w:tc>
          <w:tcPr>
            <w:tcW w:w="817" w:type="dxa"/>
            <w:tcBorders>
              <w:top w:val="single" w:color="000000" w:sz="4" w:space="0"/>
              <w:left w:val="single" w:color="000000" w:sz="4" w:space="0"/>
              <w:bottom w:val="single" w:color="000000" w:sz="4" w:space="0"/>
              <w:right w:val="single" w:color="000000" w:sz="4" w:space="0"/>
            </w:tcBorders>
            <w:vAlign w:val="center"/>
          </w:tcPr>
          <w:p w14:paraId="4800767A">
            <w:pPr>
              <w:rPr>
                <w:color w:val="auto"/>
              </w:rPr>
            </w:pPr>
          </w:p>
        </w:tc>
        <w:tc>
          <w:tcPr>
            <w:tcW w:w="818" w:type="dxa"/>
            <w:tcBorders>
              <w:top w:val="single" w:color="000000" w:sz="4" w:space="0"/>
              <w:left w:val="single" w:color="000000" w:sz="4" w:space="0"/>
              <w:bottom w:val="single" w:color="000000" w:sz="4" w:space="0"/>
              <w:right w:val="single" w:color="000000" w:sz="4" w:space="0"/>
            </w:tcBorders>
            <w:vAlign w:val="center"/>
          </w:tcPr>
          <w:p w14:paraId="12EF5CA1">
            <w:pPr>
              <w:rPr>
                <w:color w:val="auto"/>
              </w:rPr>
            </w:pPr>
          </w:p>
        </w:tc>
        <w:tc>
          <w:tcPr>
            <w:tcW w:w="843" w:type="dxa"/>
            <w:tcBorders>
              <w:top w:val="single" w:color="000000" w:sz="4" w:space="0"/>
              <w:left w:val="single" w:color="000000" w:sz="4" w:space="0"/>
              <w:bottom w:val="single" w:color="000000" w:sz="4" w:space="0"/>
              <w:right w:val="single" w:color="000000" w:sz="4" w:space="0"/>
            </w:tcBorders>
            <w:vAlign w:val="center"/>
          </w:tcPr>
          <w:p w14:paraId="3B08D4CE">
            <w:pPr>
              <w:rPr>
                <w:color w:val="auto"/>
              </w:rPr>
            </w:pPr>
          </w:p>
        </w:tc>
        <w:tc>
          <w:tcPr>
            <w:tcW w:w="837" w:type="dxa"/>
            <w:tcBorders>
              <w:top w:val="single" w:color="000000" w:sz="4" w:space="0"/>
              <w:left w:val="single" w:color="000000" w:sz="4" w:space="0"/>
              <w:bottom w:val="single" w:color="000000" w:sz="4" w:space="0"/>
              <w:right w:val="single" w:color="000000" w:sz="4" w:space="0"/>
            </w:tcBorders>
            <w:vAlign w:val="center"/>
          </w:tcPr>
          <w:p w14:paraId="1AF9260A">
            <w:pPr>
              <w:rPr>
                <w:color w:val="auto"/>
              </w:rPr>
            </w:pPr>
          </w:p>
        </w:tc>
        <w:tc>
          <w:tcPr>
            <w:tcW w:w="908" w:type="dxa"/>
            <w:tcBorders>
              <w:top w:val="single" w:color="000000" w:sz="4" w:space="0"/>
              <w:left w:val="single" w:color="000000" w:sz="4" w:space="0"/>
              <w:bottom w:val="single" w:color="000000" w:sz="4" w:space="0"/>
              <w:right w:val="single" w:color="000000" w:sz="4" w:space="0"/>
            </w:tcBorders>
            <w:vAlign w:val="center"/>
          </w:tcPr>
          <w:p w14:paraId="07A19367">
            <w:pPr>
              <w:rPr>
                <w:color w:val="auto"/>
              </w:rPr>
            </w:pPr>
          </w:p>
        </w:tc>
        <w:tc>
          <w:tcPr>
            <w:tcW w:w="1552" w:type="dxa"/>
            <w:tcBorders>
              <w:top w:val="single" w:color="000000" w:sz="4" w:space="0"/>
              <w:left w:val="single" w:color="000000" w:sz="4" w:space="0"/>
              <w:bottom w:val="single" w:color="000000" w:sz="4" w:space="0"/>
              <w:right w:val="single" w:color="000000" w:sz="4" w:space="0"/>
            </w:tcBorders>
            <w:vAlign w:val="center"/>
          </w:tcPr>
          <w:p w14:paraId="071FDE0A">
            <w:pPr>
              <w:rPr>
                <w:color w:val="auto"/>
              </w:rPr>
            </w:pPr>
          </w:p>
        </w:tc>
        <w:tc>
          <w:tcPr>
            <w:tcW w:w="895" w:type="dxa"/>
            <w:tcBorders>
              <w:top w:val="single" w:color="000000" w:sz="4" w:space="0"/>
              <w:left w:val="single" w:color="000000" w:sz="4" w:space="0"/>
              <w:bottom w:val="single" w:color="000000" w:sz="4" w:space="0"/>
              <w:right w:val="single" w:color="000000" w:sz="4" w:space="0"/>
            </w:tcBorders>
            <w:vAlign w:val="center"/>
          </w:tcPr>
          <w:p w14:paraId="2F4B0C95">
            <w:pPr>
              <w:rPr>
                <w:color w:val="auto"/>
              </w:rPr>
            </w:pPr>
          </w:p>
        </w:tc>
      </w:tr>
      <w:tr w14:paraId="0AF85458">
        <w:tblPrEx>
          <w:tblCellMar>
            <w:top w:w="0" w:type="dxa"/>
            <w:left w:w="0" w:type="dxa"/>
            <w:bottom w:w="0" w:type="dxa"/>
            <w:right w:w="0" w:type="dxa"/>
          </w:tblCellMar>
        </w:tblPrEx>
        <w:trPr>
          <w:trHeight w:val="790" w:hRule="atLeast"/>
          <w:jc w:val="center"/>
        </w:trPr>
        <w:tc>
          <w:tcPr>
            <w:tcW w:w="1793" w:type="dxa"/>
            <w:tcBorders>
              <w:top w:val="single" w:color="000000" w:sz="4" w:space="0"/>
              <w:left w:val="single" w:color="000000" w:sz="4" w:space="0"/>
              <w:bottom w:val="single" w:color="000000" w:sz="4" w:space="0"/>
              <w:right w:val="single" w:color="000000" w:sz="4" w:space="0"/>
            </w:tcBorders>
            <w:vAlign w:val="center"/>
          </w:tcPr>
          <w:p w14:paraId="07848829">
            <w:pPr>
              <w:rPr>
                <w:color w:val="auto"/>
              </w:rPr>
            </w:pPr>
          </w:p>
        </w:tc>
        <w:tc>
          <w:tcPr>
            <w:tcW w:w="943" w:type="dxa"/>
            <w:tcBorders>
              <w:top w:val="single" w:color="000000" w:sz="4" w:space="0"/>
              <w:left w:val="single" w:color="000000" w:sz="4" w:space="0"/>
              <w:bottom w:val="single" w:color="000000" w:sz="4" w:space="0"/>
              <w:right w:val="single" w:color="000000" w:sz="4" w:space="0"/>
            </w:tcBorders>
            <w:vAlign w:val="center"/>
          </w:tcPr>
          <w:p w14:paraId="4E35F558">
            <w:pPr>
              <w:rPr>
                <w:color w:val="auto"/>
              </w:rPr>
            </w:pPr>
          </w:p>
        </w:tc>
        <w:tc>
          <w:tcPr>
            <w:tcW w:w="817" w:type="dxa"/>
            <w:tcBorders>
              <w:top w:val="single" w:color="000000" w:sz="4" w:space="0"/>
              <w:left w:val="single" w:color="000000" w:sz="4" w:space="0"/>
              <w:bottom w:val="single" w:color="000000" w:sz="4" w:space="0"/>
              <w:right w:val="single" w:color="000000" w:sz="4" w:space="0"/>
            </w:tcBorders>
            <w:vAlign w:val="center"/>
          </w:tcPr>
          <w:p w14:paraId="2C3E131A">
            <w:pPr>
              <w:rPr>
                <w:color w:val="auto"/>
              </w:rPr>
            </w:pPr>
          </w:p>
        </w:tc>
        <w:tc>
          <w:tcPr>
            <w:tcW w:w="818" w:type="dxa"/>
            <w:tcBorders>
              <w:top w:val="single" w:color="000000" w:sz="4" w:space="0"/>
              <w:left w:val="single" w:color="000000" w:sz="4" w:space="0"/>
              <w:bottom w:val="single" w:color="000000" w:sz="4" w:space="0"/>
              <w:right w:val="single" w:color="000000" w:sz="4" w:space="0"/>
            </w:tcBorders>
            <w:vAlign w:val="center"/>
          </w:tcPr>
          <w:p w14:paraId="282DA815">
            <w:pPr>
              <w:rPr>
                <w:color w:val="auto"/>
              </w:rPr>
            </w:pPr>
          </w:p>
        </w:tc>
        <w:tc>
          <w:tcPr>
            <w:tcW w:w="843" w:type="dxa"/>
            <w:tcBorders>
              <w:top w:val="single" w:color="000000" w:sz="4" w:space="0"/>
              <w:left w:val="single" w:color="000000" w:sz="4" w:space="0"/>
              <w:bottom w:val="single" w:color="000000" w:sz="4" w:space="0"/>
              <w:right w:val="single" w:color="000000" w:sz="4" w:space="0"/>
            </w:tcBorders>
            <w:vAlign w:val="center"/>
          </w:tcPr>
          <w:p w14:paraId="4767E557">
            <w:pPr>
              <w:rPr>
                <w:color w:val="auto"/>
              </w:rPr>
            </w:pPr>
          </w:p>
        </w:tc>
        <w:tc>
          <w:tcPr>
            <w:tcW w:w="837" w:type="dxa"/>
            <w:tcBorders>
              <w:top w:val="single" w:color="000000" w:sz="4" w:space="0"/>
              <w:left w:val="single" w:color="000000" w:sz="4" w:space="0"/>
              <w:bottom w:val="single" w:color="000000" w:sz="4" w:space="0"/>
              <w:right w:val="single" w:color="000000" w:sz="4" w:space="0"/>
            </w:tcBorders>
            <w:vAlign w:val="center"/>
          </w:tcPr>
          <w:p w14:paraId="435BD290">
            <w:pPr>
              <w:rPr>
                <w:color w:val="auto"/>
              </w:rPr>
            </w:pPr>
          </w:p>
        </w:tc>
        <w:tc>
          <w:tcPr>
            <w:tcW w:w="908" w:type="dxa"/>
            <w:tcBorders>
              <w:top w:val="single" w:color="000000" w:sz="4" w:space="0"/>
              <w:left w:val="single" w:color="000000" w:sz="4" w:space="0"/>
              <w:bottom w:val="single" w:color="000000" w:sz="4" w:space="0"/>
              <w:right w:val="single" w:color="000000" w:sz="4" w:space="0"/>
            </w:tcBorders>
            <w:vAlign w:val="center"/>
          </w:tcPr>
          <w:p w14:paraId="6B7CFEB6">
            <w:pPr>
              <w:rPr>
                <w:color w:val="auto"/>
              </w:rPr>
            </w:pPr>
          </w:p>
        </w:tc>
        <w:tc>
          <w:tcPr>
            <w:tcW w:w="1552" w:type="dxa"/>
            <w:tcBorders>
              <w:top w:val="single" w:color="000000" w:sz="4" w:space="0"/>
              <w:left w:val="single" w:color="000000" w:sz="4" w:space="0"/>
              <w:bottom w:val="single" w:color="000000" w:sz="4" w:space="0"/>
              <w:right w:val="single" w:color="000000" w:sz="4" w:space="0"/>
            </w:tcBorders>
            <w:vAlign w:val="center"/>
          </w:tcPr>
          <w:p w14:paraId="00F2436D">
            <w:pPr>
              <w:rPr>
                <w:color w:val="auto"/>
              </w:rPr>
            </w:pPr>
          </w:p>
        </w:tc>
        <w:tc>
          <w:tcPr>
            <w:tcW w:w="895" w:type="dxa"/>
            <w:tcBorders>
              <w:top w:val="single" w:color="000000" w:sz="4" w:space="0"/>
              <w:left w:val="single" w:color="000000" w:sz="4" w:space="0"/>
              <w:bottom w:val="single" w:color="000000" w:sz="4" w:space="0"/>
              <w:right w:val="single" w:color="000000" w:sz="4" w:space="0"/>
            </w:tcBorders>
            <w:vAlign w:val="center"/>
          </w:tcPr>
          <w:p w14:paraId="047B1CCD">
            <w:pPr>
              <w:rPr>
                <w:color w:val="auto"/>
              </w:rPr>
            </w:pPr>
          </w:p>
        </w:tc>
      </w:tr>
      <w:tr w14:paraId="6FD4822C">
        <w:tblPrEx>
          <w:tblCellMar>
            <w:top w:w="0" w:type="dxa"/>
            <w:left w:w="0" w:type="dxa"/>
            <w:bottom w:w="0" w:type="dxa"/>
            <w:right w:w="0" w:type="dxa"/>
          </w:tblCellMar>
        </w:tblPrEx>
        <w:trPr>
          <w:trHeight w:val="790" w:hRule="atLeast"/>
          <w:jc w:val="center"/>
        </w:trPr>
        <w:tc>
          <w:tcPr>
            <w:tcW w:w="1793" w:type="dxa"/>
            <w:tcBorders>
              <w:top w:val="single" w:color="000000" w:sz="4" w:space="0"/>
              <w:left w:val="single" w:color="000000" w:sz="4" w:space="0"/>
              <w:bottom w:val="single" w:color="000000" w:sz="4" w:space="0"/>
              <w:right w:val="single" w:color="000000" w:sz="4" w:space="0"/>
            </w:tcBorders>
            <w:vAlign w:val="center"/>
          </w:tcPr>
          <w:p w14:paraId="3FE2E44E">
            <w:pPr>
              <w:rPr>
                <w:color w:val="auto"/>
              </w:rPr>
            </w:pPr>
          </w:p>
        </w:tc>
        <w:tc>
          <w:tcPr>
            <w:tcW w:w="943" w:type="dxa"/>
            <w:tcBorders>
              <w:top w:val="single" w:color="000000" w:sz="4" w:space="0"/>
              <w:left w:val="single" w:color="000000" w:sz="4" w:space="0"/>
              <w:bottom w:val="single" w:color="000000" w:sz="4" w:space="0"/>
              <w:right w:val="single" w:color="000000" w:sz="4" w:space="0"/>
            </w:tcBorders>
            <w:vAlign w:val="center"/>
          </w:tcPr>
          <w:p w14:paraId="5EB19F85">
            <w:pPr>
              <w:rPr>
                <w:color w:val="auto"/>
              </w:rPr>
            </w:pPr>
          </w:p>
        </w:tc>
        <w:tc>
          <w:tcPr>
            <w:tcW w:w="817" w:type="dxa"/>
            <w:tcBorders>
              <w:top w:val="single" w:color="000000" w:sz="4" w:space="0"/>
              <w:left w:val="single" w:color="000000" w:sz="4" w:space="0"/>
              <w:bottom w:val="single" w:color="000000" w:sz="4" w:space="0"/>
              <w:right w:val="single" w:color="000000" w:sz="4" w:space="0"/>
            </w:tcBorders>
            <w:vAlign w:val="center"/>
          </w:tcPr>
          <w:p w14:paraId="7EF9D5CB">
            <w:pPr>
              <w:rPr>
                <w:color w:val="auto"/>
              </w:rPr>
            </w:pPr>
          </w:p>
        </w:tc>
        <w:tc>
          <w:tcPr>
            <w:tcW w:w="818" w:type="dxa"/>
            <w:tcBorders>
              <w:top w:val="single" w:color="000000" w:sz="4" w:space="0"/>
              <w:left w:val="single" w:color="000000" w:sz="4" w:space="0"/>
              <w:bottom w:val="single" w:color="000000" w:sz="4" w:space="0"/>
              <w:right w:val="single" w:color="000000" w:sz="4" w:space="0"/>
            </w:tcBorders>
            <w:vAlign w:val="center"/>
          </w:tcPr>
          <w:p w14:paraId="0BABF665">
            <w:pPr>
              <w:rPr>
                <w:color w:val="auto"/>
              </w:rPr>
            </w:pPr>
          </w:p>
        </w:tc>
        <w:tc>
          <w:tcPr>
            <w:tcW w:w="843" w:type="dxa"/>
            <w:tcBorders>
              <w:top w:val="single" w:color="000000" w:sz="4" w:space="0"/>
              <w:left w:val="single" w:color="000000" w:sz="4" w:space="0"/>
              <w:bottom w:val="single" w:color="000000" w:sz="4" w:space="0"/>
              <w:right w:val="single" w:color="000000" w:sz="4" w:space="0"/>
            </w:tcBorders>
            <w:vAlign w:val="center"/>
          </w:tcPr>
          <w:p w14:paraId="4D7E9E02">
            <w:pPr>
              <w:rPr>
                <w:color w:val="auto"/>
              </w:rPr>
            </w:pPr>
          </w:p>
        </w:tc>
        <w:tc>
          <w:tcPr>
            <w:tcW w:w="837" w:type="dxa"/>
            <w:tcBorders>
              <w:top w:val="single" w:color="000000" w:sz="4" w:space="0"/>
              <w:left w:val="single" w:color="000000" w:sz="4" w:space="0"/>
              <w:bottom w:val="single" w:color="000000" w:sz="4" w:space="0"/>
              <w:right w:val="single" w:color="000000" w:sz="4" w:space="0"/>
            </w:tcBorders>
            <w:vAlign w:val="center"/>
          </w:tcPr>
          <w:p w14:paraId="3A44A95C">
            <w:pPr>
              <w:rPr>
                <w:color w:val="auto"/>
              </w:rPr>
            </w:pPr>
          </w:p>
        </w:tc>
        <w:tc>
          <w:tcPr>
            <w:tcW w:w="908" w:type="dxa"/>
            <w:tcBorders>
              <w:top w:val="single" w:color="000000" w:sz="4" w:space="0"/>
              <w:left w:val="single" w:color="000000" w:sz="4" w:space="0"/>
              <w:bottom w:val="single" w:color="000000" w:sz="4" w:space="0"/>
              <w:right w:val="single" w:color="000000" w:sz="4" w:space="0"/>
            </w:tcBorders>
            <w:vAlign w:val="center"/>
          </w:tcPr>
          <w:p w14:paraId="38CB6B63">
            <w:pPr>
              <w:rPr>
                <w:color w:val="auto"/>
              </w:rPr>
            </w:pPr>
          </w:p>
        </w:tc>
        <w:tc>
          <w:tcPr>
            <w:tcW w:w="1552" w:type="dxa"/>
            <w:tcBorders>
              <w:top w:val="single" w:color="000000" w:sz="4" w:space="0"/>
              <w:left w:val="single" w:color="000000" w:sz="4" w:space="0"/>
              <w:bottom w:val="single" w:color="000000" w:sz="4" w:space="0"/>
              <w:right w:val="single" w:color="000000" w:sz="4" w:space="0"/>
            </w:tcBorders>
            <w:vAlign w:val="center"/>
          </w:tcPr>
          <w:p w14:paraId="2C690F8A">
            <w:pPr>
              <w:rPr>
                <w:color w:val="auto"/>
              </w:rPr>
            </w:pPr>
          </w:p>
        </w:tc>
        <w:tc>
          <w:tcPr>
            <w:tcW w:w="895" w:type="dxa"/>
            <w:tcBorders>
              <w:top w:val="single" w:color="000000" w:sz="4" w:space="0"/>
              <w:left w:val="single" w:color="000000" w:sz="4" w:space="0"/>
              <w:bottom w:val="single" w:color="000000" w:sz="4" w:space="0"/>
              <w:right w:val="single" w:color="000000" w:sz="4" w:space="0"/>
            </w:tcBorders>
            <w:vAlign w:val="center"/>
          </w:tcPr>
          <w:p w14:paraId="378AF943">
            <w:pPr>
              <w:rPr>
                <w:color w:val="auto"/>
              </w:rPr>
            </w:pPr>
          </w:p>
        </w:tc>
      </w:tr>
      <w:tr w14:paraId="7D073D7E">
        <w:tblPrEx>
          <w:tblCellMar>
            <w:top w:w="0" w:type="dxa"/>
            <w:left w:w="0" w:type="dxa"/>
            <w:bottom w:w="0" w:type="dxa"/>
            <w:right w:w="0" w:type="dxa"/>
          </w:tblCellMar>
        </w:tblPrEx>
        <w:trPr>
          <w:trHeight w:val="790" w:hRule="atLeast"/>
          <w:jc w:val="center"/>
        </w:trPr>
        <w:tc>
          <w:tcPr>
            <w:tcW w:w="1793" w:type="dxa"/>
            <w:tcBorders>
              <w:top w:val="single" w:color="000000" w:sz="4" w:space="0"/>
              <w:left w:val="single" w:color="000000" w:sz="4" w:space="0"/>
              <w:bottom w:val="single" w:color="000000" w:sz="4" w:space="0"/>
              <w:right w:val="single" w:color="000000" w:sz="4" w:space="0"/>
            </w:tcBorders>
            <w:vAlign w:val="center"/>
          </w:tcPr>
          <w:p w14:paraId="07C00DD3">
            <w:pPr>
              <w:rPr>
                <w:color w:val="auto"/>
              </w:rPr>
            </w:pPr>
          </w:p>
        </w:tc>
        <w:tc>
          <w:tcPr>
            <w:tcW w:w="943" w:type="dxa"/>
            <w:tcBorders>
              <w:top w:val="single" w:color="000000" w:sz="4" w:space="0"/>
              <w:left w:val="single" w:color="000000" w:sz="4" w:space="0"/>
              <w:bottom w:val="single" w:color="000000" w:sz="4" w:space="0"/>
              <w:right w:val="single" w:color="000000" w:sz="4" w:space="0"/>
            </w:tcBorders>
            <w:vAlign w:val="center"/>
          </w:tcPr>
          <w:p w14:paraId="2408FA67">
            <w:pPr>
              <w:rPr>
                <w:color w:val="auto"/>
              </w:rPr>
            </w:pPr>
          </w:p>
        </w:tc>
        <w:tc>
          <w:tcPr>
            <w:tcW w:w="817" w:type="dxa"/>
            <w:tcBorders>
              <w:top w:val="single" w:color="000000" w:sz="4" w:space="0"/>
              <w:left w:val="single" w:color="000000" w:sz="4" w:space="0"/>
              <w:bottom w:val="single" w:color="000000" w:sz="4" w:space="0"/>
              <w:right w:val="single" w:color="000000" w:sz="4" w:space="0"/>
            </w:tcBorders>
            <w:vAlign w:val="center"/>
          </w:tcPr>
          <w:p w14:paraId="7D0BE1BB">
            <w:pPr>
              <w:rPr>
                <w:color w:val="auto"/>
              </w:rPr>
            </w:pPr>
          </w:p>
        </w:tc>
        <w:tc>
          <w:tcPr>
            <w:tcW w:w="818" w:type="dxa"/>
            <w:tcBorders>
              <w:top w:val="single" w:color="000000" w:sz="4" w:space="0"/>
              <w:left w:val="single" w:color="000000" w:sz="4" w:space="0"/>
              <w:bottom w:val="single" w:color="000000" w:sz="4" w:space="0"/>
              <w:right w:val="single" w:color="000000" w:sz="4" w:space="0"/>
            </w:tcBorders>
            <w:vAlign w:val="center"/>
          </w:tcPr>
          <w:p w14:paraId="0217955F">
            <w:pPr>
              <w:rPr>
                <w:color w:val="auto"/>
              </w:rPr>
            </w:pPr>
          </w:p>
        </w:tc>
        <w:tc>
          <w:tcPr>
            <w:tcW w:w="843" w:type="dxa"/>
            <w:tcBorders>
              <w:top w:val="single" w:color="000000" w:sz="4" w:space="0"/>
              <w:left w:val="single" w:color="000000" w:sz="4" w:space="0"/>
              <w:bottom w:val="single" w:color="000000" w:sz="4" w:space="0"/>
              <w:right w:val="single" w:color="000000" w:sz="4" w:space="0"/>
            </w:tcBorders>
            <w:vAlign w:val="center"/>
          </w:tcPr>
          <w:p w14:paraId="270FA6A8">
            <w:pPr>
              <w:rPr>
                <w:color w:val="auto"/>
              </w:rPr>
            </w:pPr>
          </w:p>
        </w:tc>
        <w:tc>
          <w:tcPr>
            <w:tcW w:w="837" w:type="dxa"/>
            <w:tcBorders>
              <w:top w:val="single" w:color="000000" w:sz="4" w:space="0"/>
              <w:left w:val="single" w:color="000000" w:sz="4" w:space="0"/>
              <w:bottom w:val="single" w:color="000000" w:sz="4" w:space="0"/>
              <w:right w:val="single" w:color="000000" w:sz="4" w:space="0"/>
            </w:tcBorders>
            <w:vAlign w:val="center"/>
          </w:tcPr>
          <w:p w14:paraId="4DBD7620">
            <w:pPr>
              <w:rPr>
                <w:color w:val="auto"/>
              </w:rPr>
            </w:pPr>
          </w:p>
        </w:tc>
        <w:tc>
          <w:tcPr>
            <w:tcW w:w="908" w:type="dxa"/>
            <w:tcBorders>
              <w:top w:val="single" w:color="000000" w:sz="4" w:space="0"/>
              <w:left w:val="single" w:color="000000" w:sz="4" w:space="0"/>
              <w:bottom w:val="single" w:color="000000" w:sz="4" w:space="0"/>
              <w:right w:val="single" w:color="000000" w:sz="4" w:space="0"/>
            </w:tcBorders>
            <w:vAlign w:val="center"/>
          </w:tcPr>
          <w:p w14:paraId="6652B621">
            <w:pPr>
              <w:rPr>
                <w:color w:val="auto"/>
              </w:rPr>
            </w:pPr>
          </w:p>
        </w:tc>
        <w:tc>
          <w:tcPr>
            <w:tcW w:w="1552" w:type="dxa"/>
            <w:tcBorders>
              <w:top w:val="single" w:color="000000" w:sz="4" w:space="0"/>
              <w:left w:val="single" w:color="000000" w:sz="4" w:space="0"/>
              <w:bottom w:val="single" w:color="000000" w:sz="4" w:space="0"/>
              <w:right w:val="single" w:color="000000" w:sz="4" w:space="0"/>
            </w:tcBorders>
            <w:vAlign w:val="center"/>
          </w:tcPr>
          <w:p w14:paraId="6404C9A6">
            <w:pPr>
              <w:rPr>
                <w:color w:val="auto"/>
              </w:rPr>
            </w:pPr>
          </w:p>
        </w:tc>
        <w:tc>
          <w:tcPr>
            <w:tcW w:w="895" w:type="dxa"/>
            <w:tcBorders>
              <w:top w:val="single" w:color="000000" w:sz="4" w:space="0"/>
              <w:left w:val="single" w:color="000000" w:sz="4" w:space="0"/>
              <w:bottom w:val="single" w:color="000000" w:sz="4" w:space="0"/>
              <w:right w:val="single" w:color="000000" w:sz="4" w:space="0"/>
            </w:tcBorders>
            <w:vAlign w:val="center"/>
          </w:tcPr>
          <w:p w14:paraId="1F5FBDC7">
            <w:pPr>
              <w:rPr>
                <w:color w:val="auto"/>
              </w:rPr>
            </w:pPr>
          </w:p>
        </w:tc>
      </w:tr>
      <w:tr w14:paraId="30AA1B8D">
        <w:tblPrEx>
          <w:tblCellMar>
            <w:top w:w="0" w:type="dxa"/>
            <w:left w:w="0" w:type="dxa"/>
            <w:bottom w:w="0" w:type="dxa"/>
            <w:right w:w="0" w:type="dxa"/>
          </w:tblCellMar>
        </w:tblPrEx>
        <w:trPr>
          <w:trHeight w:val="790" w:hRule="atLeast"/>
          <w:jc w:val="center"/>
        </w:trPr>
        <w:tc>
          <w:tcPr>
            <w:tcW w:w="1793" w:type="dxa"/>
            <w:tcBorders>
              <w:top w:val="single" w:color="000000" w:sz="4" w:space="0"/>
              <w:left w:val="single" w:color="000000" w:sz="4" w:space="0"/>
              <w:bottom w:val="single" w:color="000000" w:sz="4" w:space="0"/>
              <w:right w:val="single" w:color="000000" w:sz="4" w:space="0"/>
            </w:tcBorders>
            <w:vAlign w:val="center"/>
          </w:tcPr>
          <w:p w14:paraId="5E9736B8">
            <w:pPr>
              <w:rPr>
                <w:color w:val="auto"/>
              </w:rPr>
            </w:pPr>
          </w:p>
        </w:tc>
        <w:tc>
          <w:tcPr>
            <w:tcW w:w="943" w:type="dxa"/>
            <w:tcBorders>
              <w:top w:val="single" w:color="000000" w:sz="4" w:space="0"/>
              <w:left w:val="single" w:color="000000" w:sz="4" w:space="0"/>
              <w:bottom w:val="single" w:color="000000" w:sz="4" w:space="0"/>
              <w:right w:val="single" w:color="000000" w:sz="4" w:space="0"/>
            </w:tcBorders>
            <w:vAlign w:val="center"/>
          </w:tcPr>
          <w:p w14:paraId="21C2B374">
            <w:pPr>
              <w:rPr>
                <w:color w:val="auto"/>
              </w:rPr>
            </w:pPr>
          </w:p>
        </w:tc>
        <w:tc>
          <w:tcPr>
            <w:tcW w:w="817" w:type="dxa"/>
            <w:tcBorders>
              <w:top w:val="single" w:color="000000" w:sz="4" w:space="0"/>
              <w:left w:val="single" w:color="000000" w:sz="4" w:space="0"/>
              <w:bottom w:val="single" w:color="000000" w:sz="4" w:space="0"/>
              <w:right w:val="single" w:color="000000" w:sz="4" w:space="0"/>
            </w:tcBorders>
            <w:vAlign w:val="center"/>
          </w:tcPr>
          <w:p w14:paraId="66A16754">
            <w:pPr>
              <w:rPr>
                <w:color w:val="auto"/>
              </w:rPr>
            </w:pPr>
          </w:p>
        </w:tc>
        <w:tc>
          <w:tcPr>
            <w:tcW w:w="818" w:type="dxa"/>
            <w:tcBorders>
              <w:top w:val="single" w:color="000000" w:sz="4" w:space="0"/>
              <w:left w:val="single" w:color="000000" w:sz="4" w:space="0"/>
              <w:bottom w:val="single" w:color="000000" w:sz="4" w:space="0"/>
              <w:right w:val="single" w:color="000000" w:sz="4" w:space="0"/>
            </w:tcBorders>
            <w:vAlign w:val="center"/>
          </w:tcPr>
          <w:p w14:paraId="0798AD3B">
            <w:pPr>
              <w:rPr>
                <w:color w:val="auto"/>
              </w:rPr>
            </w:pPr>
          </w:p>
        </w:tc>
        <w:tc>
          <w:tcPr>
            <w:tcW w:w="843" w:type="dxa"/>
            <w:tcBorders>
              <w:top w:val="single" w:color="000000" w:sz="4" w:space="0"/>
              <w:left w:val="single" w:color="000000" w:sz="4" w:space="0"/>
              <w:bottom w:val="single" w:color="000000" w:sz="4" w:space="0"/>
              <w:right w:val="single" w:color="000000" w:sz="4" w:space="0"/>
            </w:tcBorders>
            <w:vAlign w:val="center"/>
          </w:tcPr>
          <w:p w14:paraId="578AB06B">
            <w:pPr>
              <w:rPr>
                <w:color w:val="auto"/>
              </w:rPr>
            </w:pPr>
          </w:p>
        </w:tc>
        <w:tc>
          <w:tcPr>
            <w:tcW w:w="837" w:type="dxa"/>
            <w:tcBorders>
              <w:top w:val="single" w:color="000000" w:sz="4" w:space="0"/>
              <w:left w:val="single" w:color="000000" w:sz="4" w:space="0"/>
              <w:bottom w:val="single" w:color="000000" w:sz="4" w:space="0"/>
              <w:right w:val="single" w:color="000000" w:sz="4" w:space="0"/>
            </w:tcBorders>
            <w:vAlign w:val="center"/>
          </w:tcPr>
          <w:p w14:paraId="2FFD2941">
            <w:pPr>
              <w:rPr>
                <w:color w:val="auto"/>
              </w:rPr>
            </w:pPr>
          </w:p>
        </w:tc>
        <w:tc>
          <w:tcPr>
            <w:tcW w:w="908" w:type="dxa"/>
            <w:tcBorders>
              <w:top w:val="single" w:color="000000" w:sz="4" w:space="0"/>
              <w:left w:val="single" w:color="000000" w:sz="4" w:space="0"/>
              <w:bottom w:val="single" w:color="000000" w:sz="4" w:space="0"/>
              <w:right w:val="single" w:color="000000" w:sz="4" w:space="0"/>
            </w:tcBorders>
            <w:vAlign w:val="center"/>
          </w:tcPr>
          <w:p w14:paraId="475643F9">
            <w:pPr>
              <w:rPr>
                <w:color w:val="auto"/>
              </w:rPr>
            </w:pPr>
          </w:p>
        </w:tc>
        <w:tc>
          <w:tcPr>
            <w:tcW w:w="1552" w:type="dxa"/>
            <w:tcBorders>
              <w:top w:val="single" w:color="000000" w:sz="4" w:space="0"/>
              <w:left w:val="single" w:color="000000" w:sz="4" w:space="0"/>
              <w:bottom w:val="single" w:color="000000" w:sz="4" w:space="0"/>
              <w:right w:val="single" w:color="000000" w:sz="4" w:space="0"/>
            </w:tcBorders>
            <w:vAlign w:val="center"/>
          </w:tcPr>
          <w:p w14:paraId="68D9302A">
            <w:pPr>
              <w:rPr>
                <w:color w:val="auto"/>
              </w:rPr>
            </w:pPr>
          </w:p>
        </w:tc>
        <w:tc>
          <w:tcPr>
            <w:tcW w:w="895" w:type="dxa"/>
            <w:tcBorders>
              <w:top w:val="single" w:color="000000" w:sz="4" w:space="0"/>
              <w:left w:val="single" w:color="000000" w:sz="4" w:space="0"/>
              <w:bottom w:val="single" w:color="000000" w:sz="4" w:space="0"/>
              <w:right w:val="single" w:color="000000" w:sz="4" w:space="0"/>
            </w:tcBorders>
            <w:vAlign w:val="center"/>
          </w:tcPr>
          <w:p w14:paraId="210F025B">
            <w:pPr>
              <w:rPr>
                <w:color w:val="auto"/>
              </w:rPr>
            </w:pPr>
          </w:p>
        </w:tc>
      </w:tr>
      <w:tr w14:paraId="65F57F90">
        <w:tblPrEx>
          <w:tblCellMar>
            <w:top w:w="0" w:type="dxa"/>
            <w:left w:w="0" w:type="dxa"/>
            <w:bottom w:w="0" w:type="dxa"/>
            <w:right w:w="0" w:type="dxa"/>
          </w:tblCellMar>
        </w:tblPrEx>
        <w:trPr>
          <w:trHeight w:val="790" w:hRule="atLeast"/>
          <w:jc w:val="center"/>
        </w:trPr>
        <w:tc>
          <w:tcPr>
            <w:tcW w:w="1793" w:type="dxa"/>
            <w:tcBorders>
              <w:top w:val="single" w:color="000000" w:sz="4" w:space="0"/>
              <w:left w:val="single" w:color="000000" w:sz="4" w:space="0"/>
              <w:bottom w:val="single" w:color="000000" w:sz="4" w:space="0"/>
              <w:right w:val="single" w:color="000000" w:sz="4" w:space="0"/>
            </w:tcBorders>
            <w:vAlign w:val="center"/>
          </w:tcPr>
          <w:p w14:paraId="322A7440">
            <w:pPr>
              <w:rPr>
                <w:color w:val="auto"/>
              </w:rPr>
            </w:pPr>
          </w:p>
        </w:tc>
        <w:tc>
          <w:tcPr>
            <w:tcW w:w="943" w:type="dxa"/>
            <w:tcBorders>
              <w:top w:val="single" w:color="000000" w:sz="4" w:space="0"/>
              <w:left w:val="single" w:color="000000" w:sz="4" w:space="0"/>
              <w:bottom w:val="single" w:color="000000" w:sz="4" w:space="0"/>
              <w:right w:val="single" w:color="000000" w:sz="4" w:space="0"/>
            </w:tcBorders>
            <w:vAlign w:val="center"/>
          </w:tcPr>
          <w:p w14:paraId="4C6E78A8">
            <w:pPr>
              <w:rPr>
                <w:color w:val="auto"/>
              </w:rPr>
            </w:pPr>
          </w:p>
        </w:tc>
        <w:tc>
          <w:tcPr>
            <w:tcW w:w="817" w:type="dxa"/>
            <w:tcBorders>
              <w:top w:val="single" w:color="000000" w:sz="4" w:space="0"/>
              <w:left w:val="single" w:color="000000" w:sz="4" w:space="0"/>
              <w:bottom w:val="single" w:color="000000" w:sz="4" w:space="0"/>
              <w:right w:val="single" w:color="000000" w:sz="4" w:space="0"/>
            </w:tcBorders>
            <w:vAlign w:val="center"/>
          </w:tcPr>
          <w:p w14:paraId="04134788">
            <w:pPr>
              <w:rPr>
                <w:color w:val="auto"/>
              </w:rPr>
            </w:pPr>
          </w:p>
        </w:tc>
        <w:tc>
          <w:tcPr>
            <w:tcW w:w="818" w:type="dxa"/>
            <w:tcBorders>
              <w:top w:val="single" w:color="000000" w:sz="4" w:space="0"/>
              <w:left w:val="single" w:color="000000" w:sz="4" w:space="0"/>
              <w:bottom w:val="single" w:color="000000" w:sz="4" w:space="0"/>
              <w:right w:val="single" w:color="000000" w:sz="4" w:space="0"/>
            </w:tcBorders>
            <w:vAlign w:val="center"/>
          </w:tcPr>
          <w:p w14:paraId="68B4B22C">
            <w:pPr>
              <w:rPr>
                <w:color w:val="auto"/>
              </w:rPr>
            </w:pPr>
          </w:p>
        </w:tc>
        <w:tc>
          <w:tcPr>
            <w:tcW w:w="843" w:type="dxa"/>
            <w:tcBorders>
              <w:top w:val="single" w:color="000000" w:sz="4" w:space="0"/>
              <w:left w:val="single" w:color="000000" w:sz="4" w:space="0"/>
              <w:bottom w:val="single" w:color="000000" w:sz="4" w:space="0"/>
              <w:right w:val="single" w:color="000000" w:sz="4" w:space="0"/>
            </w:tcBorders>
            <w:vAlign w:val="center"/>
          </w:tcPr>
          <w:p w14:paraId="5C84407C">
            <w:pPr>
              <w:rPr>
                <w:color w:val="auto"/>
              </w:rPr>
            </w:pPr>
          </w:p>
        </w:tc>
        <w:tc>
          <w:tcPr>
            <w:tcW w:w="837" w:type="dxa"/>
            <w:tcBorders>
              <w:top w:val="single" w:color="000000" w:sz="4" w:space="0"/>
              <w:left w:val="single" w:color="000000" w:sz="4" w:space="0"/>
              <w:bottom w:val="single" w:color="000000" w:sz="4" w:space="0"/>
              <w:right w:val="single" w:color="000000" w:sz="4" w:space="0"/>
            </w:tcBorders>
            <w:vAlign w:val="center"/>
          </w:tcPr>
          <w:p w14:paraId="4A37544C">
            <w:pPr>
              <w:rPr>
                <w:color w:val="auto"/>
              </w:rPr>
            </w:pPr>
          </w:p>
        </w:tc>
        <w:tc>
          <w:tcPr>
            <w:tcW w:w="908" w:type="dxa"/>
            <w:tcBorders>
              <w:top w:val="single" w:color="000000" w:sz="4" w:space="0"/>
              <w:left w:val="single" w:color="000000" w:sz="4" w:space="0"/>
              <w:bottom w:val="single" w:color="000000" w:sz="4" w:space="0"/>
              <w:right w:val="single" w:color="000000" w:sz="4" w:space="0"/>
            </w:tcBorders>
            <w:vAlign w:val="center"/>
          </w:tcPr>
          <w:p w14:paraId="4B90FE8E">
            <w:pPr>
              <w:rPr>
                <w:color w:val="auto"/>
              </w:rPr>
            </w:pPr>
          </w:p>
        </w:tc>
        <w:tc>
          <w:tcPr>
            <w:tcW w:w="1552" w:type="dxa"/>
            <w:tcBorders>
              <w:top w:val="single" w:color="000000" w:sz="4" w:space="0"/>
              <w:left w:val="single" w:color="000000" w:sz="4" w:space="0"/>
              <w:bottom w:val="single" w:color="000000" w:sz="4" w:space="0"/>
              <w:right w:val="single" w:color="000000" w:sz="4" w:space="0"/>
            </w:tcBorders>
            <w:vAlign w:val="center"/>
          </w:tcPr>
          <w:p w14:paraId="0A31036F">
            <w:pPr>
              <w:rPr>
                <w:color w:val="auto"/>
              </w:rPr>
            </w:pPr>
          </w:p>
        </w:tc>
        <w:tc>
          <w:tcPr>
            <w:tcW w:w="895" w:type="dxa"/>
            <w:tcBorders>
              <w:top w:val="single" w:color="000000" w:sz="4" w:space="0"/>
              <w:left w:val="single" w:color="000000" w:sz="4" w:space="0"/>
              <w:bottom w:val="single" w:color="000000" w:sz="4" w:space="0"/>
              <w:right w:val="single" w:color="000000" w:sz="4" w:space="0"/>
            </w:tcBorders>
            <w:vAlign w:val="center"/>
          </w:tcPr>
          <w:p w14:paraId="44A02C4E">
            <w:pPr>
              <w:rPr>
                <w:color w:val="auto"/>
              </w:rPr>
            </w:pPr>
          </w:p>
        </w:tc>
      </w:tr>
      <w:tr w14:paraId="2B7D930E">
        <w:tblPrEx>
          <w:tblCellMar>
            <w:top w:w="0" w:type="dxa"/>
            <w:left w:w="0" w:type="dxa"/>
            <w:bottom w:w="0" w:type="dxa"/>
            <w:right w:w="0" w:type="dxa"/>
          </w:tblCellMar>
        </w:tblPrEx>
        <w:trPr>
          <w:trHeight w:val="799" w:hRule="atLeast"/>
          <w:jc w:val="center"/>
        </w:trPr>
        <w:tc>
          <w:tcPr>
            <w:tcW w:w="1793" w:type="dxa"/>
            <w:tcBorders>
              <w:top w:val="single" w:color="000000" w:sz="4" w:space="0"/>
              <w:left w:val="single" w:color="000000" w:sz="4" w:space="0"/>
              <w:bottom w:val="single" w:color="000000" w:sz="4" w:space="0"/>
              <w:right w:val="single" w:color="000000" w:sz="4" w:space="0"/>
            </w:tcBorders>
            <w:vAlign w:val="center"/>
          </w:tcPr>
          <w:p w14:paraId="55978EEC">
            <w:pPr>
              <w:rPr>
                <w:color w:val="auto"/>
              </w:rPr>
            </w:pPr>
          </w:p>
        </w:tc>
        <w:tc>
          <w:tcPr>
            <w:tcW w:w="943" w:type="dxa"/>
            <w:tcBorders>
              <w:top w:val="single" w:color="000000" w:sz="4" w:space="0"/>
              <w:left w:val="single" w:color="000000" w:sz="4" w:space="0"/>
              <w:bottom w:val="single" w:color="000000" w:sz="4" w:space="0"/>
              <w:right w:val="single" w:color="000000" w:sz="4" w:space="0"/>
            </w:tcBorders>
            <w:vAlign w:val="center"/>
          </w:tcPr>
          <w:p w14:paraId="3DE40388">
            <w:pPr>
              <w:rPr>
                <w:color w:val="auto"/>
              </w:rPr>
            </w:pPr>
          </w:p>
        </w:tc>
        <w:tc>
          <w:tcPr>
            <w:tcW w:w="817" w:type="dxa"/>
            <w:tcBorders>
              <w:top w:val="single" w:color="000000" w:sz="4" w:space="0"/>
              <w:left w:val="single" w:color="000000" w:sz="4" w:space="0"/>
              <w:bottom w:val="single" w:color="000000" w:sz="4" w:space="0"/>
              <w:right w:val="single" w:color="000000" w:sz="4" w:space="0"/>
            </w:tcBorders>
            <w:vAlign w:val="center"/>
          </w:tcPr>
          <w:p w14:paraId="234B761E">
            <w:pPr>
              <w:rPr>
                <w:color w:val="auto"/>
              </w:rPr>
            </w:pPr>
          </w:p>
        </w:tc>
        <w:tc>
          <w:tcPr>
            <w:tcW w:w="818" w:type="dxa"/>
            <w:tcBorders>
              <w:top w:val="single" w:color="000000" w:sz="4" w:space="0"/>
              <w:left w:val="single" w:color="000000" w:sz="4" w:space="0"/>
              <w:bottom w:val="single" w:color="000000" w:sz="4" w:space="0"/>
              <w:right w:val="single" w:color="000000" w:sz="4" w:space="0"/>
            </w:tcBorders>
            <w:vAlign w:val="center"/>
          </w:tcPr>
          <w:p w14:paraId="47E8E180">
            <w:pPr>
              <w:rPr>
                <w:color w:val="auto"/>
              </w:rPr>
            </w:pPr>
          </w:p>
        </w:tc>
        <w:tc>
          <w:tcPr>
            <w:tcW w:w="843" w:type="dxa"/>
            <w:tcBorders>
              <w:top w:val="single" w:color="000000" w:sz="4" w:space="0"/>
              <w:left w:val="single" w:color="000000" w:sz="4" w:space="0"/>
              <w:bottom w:val="single" w:color="000000" w:sz="4" w:space="0"/>
              <w:right w:val="single" w:color="000000" w:sz="4" w:space="0"/>
            </w:tcBorders>
            <w:vAlign w:val="center"/>
          </w:tcPr>
          <w:p w14:paraId="525FA756">
            <w:pPr>
              <w:rPr>
                <w:color w:val="auto"/>
              </w:rPr>
            </w:pPr>
          </w:p>
        </w:tc>
        <w:tc>
          <w:tcPr>
            <w:tcW w:w="837" w:type="dxa"/>
            <w:tcBorders>
              <w:top w:val="single" w:color="000000" w:sz="4" w:space="0"/>
              <w:left w:val="single" w:color="000000" w:sz="4" w:space="0"/>
              <w:bottom w:val="single" w:color="000000" w:sz="4" w:space="0"/>
              <w:right w:val="single" w:color="000000" w:sz="4" w:space="0"/>
            </w:tcBorders>
            <w:vAlign w:val="center"/>
          </w:tcPr>
          <w:p w14:paraId="0DF8CCAE">
            <w:pPr>
              <w:rPr>
                <w:color w:val="auto"/>
              </w:rPr>
            </w:pPr>
          </w:p>
        </w:tc>
        <w:tc>
          <w:tcPr>
            <w:tcW w:w="908" w:type="dxa"/>
            <w:tcBorders>
              <w:top w:val="single" w:color="000000" w:sz="4" w:space="0"/>
              <w:left w:val="single" w:color="000000" w:sz="4" w:space="0"/>
              <w:bottom w:val="single" w:color="000000" w:sz="4" w:space="0"/>
              <w:right w:val="single" w:color="000000" w:sz="4" w:space="0"/>
            </w:tcBorders>
            <w:vAlign w:val="center"/>
          </w:tcPr>
          <w:p w14:paraId="123BA541">
            <w:pPr>
              <w:rPr>
                <w:color w:val="auto"/>
              </w:rPr>
            </w:pPr>
          </w:p>
        </w:tc>
        <w:tc>
          <w:tcPr>
            <w:tcW w:w="1552" w:type="dxa"/>
            <w:tcBorders>
              <w:top w:val="single" w:color="000000" w:sz="4" w:space="0"/>
              <w:left w:val="single" w:color="000000" w:sz="4" w:space="0"/>
              <w:bottom w:val="single" w:color="000000" w:sz="4" w:space="0"/>
              <w:right w:val="single" w:color="000000" w:sz="4" w:space="0"/>
            </w:tcBorders>
            <w:vAlign w:val="center"/>
          </w:tcPr>
          <w:p w14:paraId="6C7D591B">
            <w:pPr>
              <w:rPr>
                <w:color w:val="auto"/>
              </w:rPr>
            </w:pPr>
          </w:p>
        </w:tc>
        <w:tc>
          <w:tcPr>
            <w:tcW w:w="895" w:type="dxa"/>
            <w:tcBorders>
              <w:top w:val="single" w:color="000000" w:sz="4" w:space="0"/>
              <w:left w:val="single" w:color="000000" w:sz="4" w:space="0"/>
              <w:bottom w:val="single" w:color="000000" w:sz="4" w:space="0"/>
              <w:right w:val="single" w:color="000000" w:sz="4" w:space="0"/>
            </w:tcBorders>
            <w:vAlign w:val="center"/>
          </w:tcPr>
          <w:p w14:paraId="68C8C33E">
            <w:pPr>
              <w:rPr>
                <w:color w:val="auto"/>
              </w:rPr>
            </w:pPr>
          </w:p>
        </w:tc>
      </w:tr>
      <w:tr w14:paraId="7A7F96E4">
        <w:tblPrEx>
          <w:tblCellMar>
            <w:top w:w="0" w:type="dxa"/>
            <w:left w:w="0" w:type="dxa"/>
            <w:bottom w:w="0" w:type="dxa"/>
            <w:right w:w="0" w:type="dxa"/>
          </w:tblCellMar>
        </w:tblPrEx>
        <w:trPr>
          <w:trHeight w:val="799" w:hRule="atLeast"/>
          <w:jc w:val="center"/>
        </w:trPr>
        <w:tc>
          <w:tcPr>
            <w:tcW w:w="1793" w:type="dxa"/>
            <w:tcBorders>
              <w:top w:val="single" w:color="000000" w:sz="4" w:space="0"/>
              <w:left w:val="single" w:color="000000" w:sz="4" w:space="0"/>
              <w:bottom w:val="single" w:color="000000" w:sz="4" w:space="0"/>
              <w:right w:val="single" w:color="000000" w:sz="4" w:space="0"/>
            </w:tcBorders>
            <w:vAlign w:val="center"/>
          </w:tcPr>
          <w:p w14:paraId="5A854328">
            <w:pPr>
              <w:rPr>
                <w:color w:val="auto"/>
              </w:rPr>
            </w:pPr>
          </w:p>
        </w:tc>
        <w:tc>
          <w:tcPr>
            <w:tcW w:w="943" w:type="dxa"/>
            <w:tcBorders>
              <w:top w:val="single" w:color="000000" w:sz="4" w:space="0"/>
              <w:left w:val="single" w:color="000000" w:sz="4" w:space="0"/>
              <w:bottom w:val="single" w:color="000000" w:sz="4" w:space="0"/>
              <w:right w:val="single" w:color="000000" w:sz="4" w:space="0"/>
            </w:tcBorders>
            <w:vAlign w:val="center"/>
          </w:tcPr>
          <w:p w14:paraId="3A8007D9">
            <w:pPr>
              <w:rPr>
                <w:color w:val="auto"/>
              </w:rPr>
            </w:pPr>
          </w:p>
        </w:tc>
        <w:tc>
          <w:tcPr>
            <w:tcW w:w="817" w:type="dxa"/>
            <w:tcBorders>
              <w:top w:val="single" w:color="000000" w:sz="4" w:space="0"/>
              <w:left w:val="single" w:color="000000" w:sz="4" w:space="0"/>
              <w:bottom w:val="single" w:color="000000" w:sz="4" w:space="0"/>
              <w:right w:val="single" w:color="000000" w:sz="4" w:space="0"/>
            </w:tcBorders>
            <w:vAlign w:val="center"/>
          </w:tcPr>
          <w:p w14:paraId="69C5B689">
            <w:pPr>
              <w:rPr>
                <w:color w:val="auto"/>
              </w:rPr>
            </w:pPr>
          </w:p>
        </w:tc>
        <w:tc>
          <w:tcPr>
            <w:tcW w:w="818" w:type="dxa"/>
            <w:tcBorders>
              <w:top w:val="single" w:color="000000" w:sz="4" w:space="0"/>
              <w:left w:val="single" w:color="000000" w:sz="4" w:space="0"/>
              <w:bottom w:val="single" w:color="000000" w:sz="4" w:space="0"/>
              <w:right w:val="single" w:color="000000" w:sz="4" w:space="0"/>
            </w:tcBorders>
            <w:vAlign w:val="center"/>
          </w:tcPr>
          <w:p w14:paraId="1FF19957">
            <w:pPr>
              <w:rPr>
                <w:color w:val="auto"/>
              </w:rPr>
            </w:pPr>
          </w:p>
        </w:tc>
        <w:tc>
          <w:tcPr>
            <w:tcW w:w="843" w:type="dxa"/>
            <w:tcBorders>
              <w:top w:val="single" w:color="000000" w:sz="4" w:space="0"/>
              <w:left w:val="single" w:color="000000" w:sz="4" w:space="0"/>
              <w:bottom w:val="single" w:color="000000" w:sz="4" w:space="0"/>
              <w:right w:val="single" w:color="000000" w:sz="4" w:space="0"/>
            </w:tcBorders>
            <w:vAlign w:val="center"/>
          </w:tcPr>
          <w:p w14:paraId="35BC309D">
            <w:pPr>
              <w:rPr>
                <w:color w:val="auto"/>
              </w:rPr>
            </w:pPr>
          </w:p>
        </w:tc>
        <w:tc>
          <w:tcPr>
            <w:tcW w:w="837" w:type="dxa"/>
            <w:tcBorders>
              <w:top w:val="single" w:color="000000" w:sz="4" w:space="0"/>
              <w:left w:val="single" w:color="000000" w:sz="4" w:space="0"/>
              <w:bottom w:val="single" w:color="000000" w:sz="4" w:space="0"/>
              <w:right w:val="single" w:color="000000" w:sz="4" w:space="0"/>
            </w:tcBorders>
            <w:vAlign w:val="center"/>
          </w:tcPr>
          <w:p w14:paraId="240B8E9D">
            <w:pPr>
              <w:rPr>
                <w:color w:val="auto"/>
              </w:rPr>
            </w:pPr>
          </w:p>
        </w:tc>
        <w:tc>
          <w:tcPr>
            <w:tcW w:w="908" w:type="dxa"/>
            <w:tcBorders>
              <w:top w:val="single" w:color="000000" w:sz="4" w:space="0"/>
              <w:left w:val="single" w:color="000000" w:sz="4" w:space="0"/>
              <w:bottom w:val="single" w:color="000000" w:sz="4" w:space="0"/>
              <w:right w:val="single" w:color="000000" w:sz="4" w:space="0"/>
            </w:tcBorders>
            <w:vAlign w:val="center"/>
          </w:tcPr>
          <w:p w14:paraId="185829B2">
            <w:pPr>
              <w:rPr>
                <w:color w:val="auto"/>
              </w:rPr>
            </w:pPr>
          </w:p>
        </w:tc>
        <w:tc>
          <w:tcPr>
            <w:tcW w:w="1552" w:type="dxa"/>
            <w:tcBorders>
              <w:top w:val="single" w:color="000000" w:sz="4" w:space="0"/>
              <w:left w:val="single" w:color="000000" w:sz="4" w:space="0"/>
              <w:bottom w:val="single" w:color="000000" w:sz="4" w:space="0"/>
              <w:right w:val="single" w:color="000000" w:sz="4" w:space="0"/>
            </w:tcBorders>
            <w:vAlign w:val="center"/>
          </w:tcPr>
          <w:p w14:paraId="36859C85">
            <w:pPr>
              <w:rPr>
                <w:color w:val="auto"/>
              </w:rPr>
            </w:pPr>
          </w:p>
        </w:tc>
        <w:tc>
          <w:tcPr>
            <w:tcW w:w="895" w:type="dxa"/>
            <w:tcBorders>
              <w:top w:val="single" w:color="000000" w:sz="4" w:space="0"/>
              <w:left w:val="single" w:color="000000" w:sz="4" w:space="0"/>
              <w:bottom w:val="single" w:color="000000" w:sz="4" w:space="0"/>
              <w:right w:val="single" w:color="000000" w:sz="4" w:space="0"/>
            </w:tcBorders>
            <w:vAlign w:val="center"/>
          </w:tcPr>
          <w:p w14:paraId="6CF86065">
            <w:pPr>
              <w:rPr>
                <w:color w:val="auto"/>
              </w:rPr>
            </w:pPr>
          </w:p>
        </w:tc>
      </w:tr>
      <w:tr w14:paraId="14F4DD07">
        <w:tblPrEx>
          <w:tblCellMar>
            <w:top w:w="0" w:type="dxa"/>
            <w:left w:w="0" w:type="dxa"/>
            <w:bottom w:w="0" w:type="dxa"/>
            <w:right w:w="0" w:type="dxa"/>
          </w:tblCellMar>
        </w:tblPrEx>
        <w:trPr>
          <w:trHeight w:val="799" w:hRule="atLeast"/>
          <w:jc w:val="center"/>
        </w:trPr>
        <w:tc>
          <w:tcPr>
            <w:tcW w:w="1793" w:type="dxa"/>
            <w:tcBorders>
              <w:top w:val="single" w:color="000000" w:sz="4" w:space="0"/>
              <w:left w:val="single" w:color="000000" w:sz="4" w:space="0"/>
              <w:bottom w:val="single" w:color="000000" w:sz="4" w:space="0"/>
              <w:right w:val="single" w:color="000000" w:sz="4" w:space="0"/>
            </w:tcBorders>
            <w:vAlign w:val="center"/>
          </w:tcPr>
          <w:p w14:paraId="2488772B">
            <w:pPr>
              <w:rPr>
                <w:color w:val="auto"/>
              </w:rPr>
            </w:pPr>
          </w:p>
        </w:tc>
        <w:tc>
          <w:tcPr>
            <w:tcW w:w="943" w:type="dxa"/>
            <w:tcBorders>
              <w:top w:val="single" w:color="000000" w:sz="4" w:space="0"/>
              <w:left w:val="single" w:color="000000" w:sz="4" w:space="0"/>
              <w:bottom w:val="single" w:color="000000" w:sz="4" w:space="0"/>
              <w:right w:val="single" w:color="000000" w:sz="4" w:space="0"/>
            </w:tcBorders>
            <w:vAlign w:val="center"/>
          </w:tcPr>
          <w:p w14:paraId="143D29B1">
            <w:pPr>
              <w:rPr>
                <w:color w:val="auto"/>
              </w:rPr>
            </w:pPr>
          </w:p>
        </w:tc>
        <w:tc>
          <w:tcPr>
            <w:tcW w:w="817" w:type="dxa"/>
            <w:tcBorders>
              <w:top w:val="single" w:color="000000" w:sz="4" w:space="0"/>
              <w:left w:val="single" w:color="000000" w:sz="4" w:space="0"/>
              <w:bottom w:val="single" w:color="000000" w:sz="4" w:space="0"/>
              <w:right w:val="single" w:color="000000" w:sz="4" w:space="0"/>
            </w:tcBorders>
            <w:vAlign w:val="center"/>
          </w:tcPr>
          <w:p w14:paraId="0716A3A2">
            <w:pPr>
              <w:rPr>
                <w:color w:val="auto"/>
              </w:rPr>
            </w:pPr>
          </w:p>
        </w:tc>
        <w:tc>
          <w:tcPr>
            <w:tcW w:w="818" w:type="dxa"/>
            <w:tcBorders>
              <w:top w:val="single" w:color="000000" w:sz="4" w:space="0"/>
              <w:left w:val="single" w:color="000000" w:sz="4" w:space="0"/>
              <w:bottom w:val="single" w:color="000000" w:sz="4" w:space="0"/>
              <w:right w:val="single" w:color="000000" w:sz="4" w:space="0"/>
            </w:tcBorders>
            <w:vAlign w:val="center"/>
          </w:tcPr>
          <w:p w14:paraId="5CBBB915">
            <w:pPr>
              <w:rPr>
                <w:color w:val="auto"/>
              </w:rPr>
            </w:pPr>
          </w:p>
        </w:tc>
        <w:tc>
          <w:tcPr>
            <w:tcW w:w="843" w:type="dxa"/>
            <w:tcBorders>
              <w:top w:val="single" w:color="000000" w:sz="4" w:space="0"/>
              <w:left w:val="single" w:color="000000" w:sz="4" w:space="0"/>
              <w:bottom w:val="single" w:color="000000" w:sz="4" w:space="0"/>
              <w:right w:val="single" w:color="000000" w:sz="4" w:space="0"/>
            </w:tcBorders>
            <w:vAlign w:val="center"/>
          </w:tcPr>
          <w:p w14:paraId="1D964F27">
            <w:pPr>
              <w:rPr>
                <w:color w:val="auto"/>
              </w:rPr>
            </w:pPr>
          </w:p>
        </w:tc>
        <w:tc>
          <w:tcPr>
            <w:tcW w:w="837" w:type="dxa"/>
            <w:tcBorders>
              <w:top w:val="single" w:color="000000" w:sz="4" w:space="0"/>
              <w:left w:val="single" w:color="000000" w:sz="4" w:space="0"/>
              <w:bottom w:val="single" w:color="000000" w:sz="4" w:space="0"/>
              <w:right w:val="single" w:color="000000" w:sz="4" w:space="0"/>
            </w:tcBorders>
            <w:vAlign w:val="center"/>
          </w:tcPr>
          <w:p w14:paraId="20093D11">
            <w:pPr>
              <w:rPr>
                <w:color w:val="auto"/>
              </w:rPr>
            </w:pPr>
          </w:p>
        </w:tc>
        <w:tc>
          <w:tcPr>
            <w:tcW w:w="908" w:type="dxa"/>
            <w:tcBorders>
              <w:top w:val="single" w:color="000000" w:sz="4" w:space="0"/>
              <w:left w:val="single" w:color="000000" w:sz="4" w:space="0"/>
              <w:bottom w:val="single" w:color="000000" w:sz="4" w:space="0"/>
              <w:right w:val="single" w:color="000000" w:sz="4" w:space="0"/>
            </w:tcBorders>
            <w:vAlign w:val="center"/>
          </w:tcPr>
          <w:p w14:paraId="0C541CE9">
            <w:pPr>
              <w:rPr>
                <w:color w:val="auto"/>
              </w:rPr>
            </w:pPr>
          </w:p>
        </w:tc>
        <w:tc>
          <w:tcPr>
            <w:tcW w:w="1552" w:type="dxa"/>
            <w:tcBorders>
              <w:top w:val="single" w:color="000000" w:sz="4" w:space="0"/>
              <w:left w:val="single" w:color="000000" w:sz="4" w:space="0"/>
              <w:bottom w:val="single" w:color="000000" w:sz="4" w:space="0"/>
              <w:right w:val="single" w:color="000000" w:sz="4" w:space="0"/>
            </w:tcBorders>
            <w:vAlign w:val="center"/>
          </w:tcPr>
          <w:p w14:paraId="1FF1C21E">
            <w:pPr>
              <w:rPr>
                <w:color w:val="auto"/>
              </w:rPr>
            </w:pPr>
          </w:p>
        </w:tc>
        <w:tc>
          <w:tcPr>
            <w:tcW w:w="895" w:type="dxa"/>
            <w:tcBorders>
              <w:top w:val="single" w:color="000000" w:sz="4" w:space="0"/>
              <w:left w:val="single" w:color="000000" w:sz="4" w:space="0"/>
              <w:bottom w:val="single" w:color="000000" w:sz="4" w:space="0"/>
              <w:right w:val="single" w:color="000000" w:sz="4" w:space="0"/>
            </w:tcBorders>
            <w:vAlign w:val="center"/>
          </w:tcPr>
          <w:p w14:paraId="2EF57B68">
            <w:pPr>
              <w:rPr>
                <w:color w:val="auto"/>
              </w:rPr>
            </w:pPr>
          </w:p>
        </w:tc>
      </w:tr>
    </w:tbl>
    <w:p w14:paraId="4EA75577">
      <w:pPr>
        <w:bidi w:val="0"/>
        <w:rPr>
          <w:rFonts w:hint="default"/>
          <w:lang w:val="en-US" w:eastAsia="zh-CN"/>
        </w:rPr>
      </w:pPr>
    </w:p>
    <w:p w14:paraId="372C8BC4">
      <w:pPr>
        <w:bidi w:val="0"/>
        <w:rPr>
          <w:rFonts w:hint="default"/>
          <w:lang w:val="en-US" w:eastAsia="zh-CN"/>
        </w:rPr>
      </w:pPr>
    </w:p>
    <w:p w14:paraId="488A8BF5">
      <w:pPr>
        <w:bidi w:val="0"/>
        <w:rPr>
          <w:rFonts w:hint="default"/>
          <w:lang w:val="en-US" w:eastAsia="zh-CN"/>
        </w:rPr>
      </w:pPr>
    </w:p>
    <w:p w14:paraId="022D04C9">
      <w:pPr>
        <w:bidi w:val="0"/>
        <w:rPr>
          <w:rFonts w:hint="default"/>
          <w:lang w:val="en-US" w:eastAsia="zh-CN"/>
        </w:rPr>
      </w:pPr>
    </w:p>
    <w:p w14:paraId="04C8687C">
      <w:pPr>
        <w:bidi w:val="0"/>
        <w:rPr>
          <w:rFonts w:hint="default"/>
          <w:lang w:val="en-US" w:eastAsia="zh-CN"/>
        </w:rPr>
      </w:pPr>
    </w:p>
    <w:p w14:paraId="4A066BA6">
      <w:pPr>
        <w:bidi w:val="0"/>
        <w:rPr>
          <w:rFonts w:hint="default"/>
          <w:lang w:val="en-US" w:eastAsia="zh-CN"/>
        </w:rPr>
      </w:pPr>
    </w:p>
    <w:p w14:paraId="0747DC3F">
      <w:pPr>
        <w:bidi w:val="0"/>
        <w:rPr>
          <w:rFonts w:hint="default"/>
          <w:lang w:val="en-US" w:eastAsia="zh-CN"/>
        </w:rPr>
      </w:pPr>
    </w:p>
    <w:p w14:paraId="22F9B092">
      <w:pPr>
        <w:bidi w:val="0"/>
        <w:rPr>
          <w:rFonts w:hint="default"/>
          <w:lang w:val="en-US" w:eastAsia="zh-CN"/>
        </w:rPr>
      </w:pPr>
    </w:p>
    <w:p w14:paraId="0EAB76E8">
      <w:pPr>
        <w:bidi w:val="0"/>
        <w:rPr>
          <w:rFonts w:hint="default"/>
          <w:lang w:val="en-US" w:eastAsia="zh-CN"/>
        </w:rPr>
      </w:pPr>
    </w:p>
    <w:p w14:paraId="36DB8B0F">
      <w:pPr>
        <w:rPr>
          <w:rFonts w:hint="eastAsia"/>
          <w:color w:val="auto"/>
        </w:rPr>
      </w:pPr>
      <w:bookmarkStart w:id="792" w:name="_Toc21020"/>
      <w:bookmarkStart w:id="793" w:name="_Toc24405"/>
      <w:bookmarkStart w:id="794" w:name="_Toc9808"/>
    </w:p>
    <w:p w14:paraId="2A8805E1">
      <w:pPr>
        <w:spacing w:line="360" w:lineRule="auto"/>
        <w:jc w:val="center"/>
        <w:rPr>
          <w:b/>
          <w:bCs/>
          <w:color w:val="auto"/>
          <w:sz w:val="28"/>
          <w:szCs w:val="36"/>
        </w:rPr>
      </w:pPr>
      <w:r>
        <w:rPr>
          <w:rFonts w:hint="eastAsia"/>
          <w:b/>
          <w:bCs/>
          <w:color w:val="auto"/>
          <w:sz w:val="28"/>
          <w:szCs w:val="36"/>
        </w:rPr>
        <w:t>（二）主要人员简历表</w:t>
      </w:r>
      <w:bookmarkEnd w:id="792"/>
      <w:bookmarkEnd w:id="793"/>
      <w:bookmarkEnd w:id="794"/>
    </w:p>
    <w:p w14:paraId="108EF92D">
      <w:pPr>
        <w:spacing w:line="360" w:lineRule="auto"/>
        <w:ind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“主要人员简历表”中的项目经理应附注册建造师资格证、</w:t>
      </w:r>
      <w:r>
        <w:rPr>
          <w:rFonts w:hint="eastAsia" w:ascii="宋体" w:hAnsi="宋体" w:eastAsia="宋体" w:cs="宋体"/>
          <w:b w:val="0"/>
          <w:bCs w:val="0"/>
          <w:color w:val="auto"/>
          <w:sz w:val="24"/>
          <w:szCs w:val="24"/>
          <w:lang w:val="en-US" w:eastAsia="zh-CN"/>
        </w:rPr>
        <w:t>有效的</w:t>
      </w:r>
      <w:r>
        <w:rPr>
          <w:rFonts w:hint="eastAsia" w:ascii="宋体" w:hAnsi="宋体" w:eastAsia="宋体" w:cs="宋体"/>
          <w:b w:val="0"/>
          <w:bCs w:val="0"/>
          <w:color w:val="auto"/>
          <w:sz w:val="24"/>
          <w:szCs w:val="24"/>
        </w:rPr>
        <w:t>安全生产考核合格证、身份证</w:t>
      </w:r>
      <w:r>
        <w:rPr>
          <w:rFonts w:hint="eastAsia" w:ascii="宋体" w:hAnsi="宋体" w:eastAsia="宋体" w:cs="宋体"/>
          <w:b w:val="0"/>
          <w:bCs w:val="0"/>
          <w:color w:val="auto"/>
          <w:sz w:val="24"/>
          <w:szCs w:val="24"/>
          <w:lang w:eastAsia="zh-CN"/>
        </w:rPr>
        <w:t>、管理过的项目业绩须附合同协议书</w:t>
      </w:r>
      <w:r>
        <w:rPr>
          <w:rFonts w:hint="eastAsia" w:ascii="宋体" w:hAnsi="宋体" w:eastAsia="宋体" w:cs="宋体"/>
          <w:b w:val="0"/>
          <w:bCs w:val="0"/>
          <w:color w:val="auto"/>
          <w:sz w:val="24"/>
          <w:szCs w:val="24"/>
          <w:lang w:val="en-US" w:eastAsia="zh-CN"/>
        </w:rPr>
        <w:t>及中标通知书</w:t>
      </w:r>
      <w:r>
        <w:rPr>
          <w:rFonts w:hint="eastAsia" w:ascii="宋体" w:hAnsi="宋体" w:eastAsia="宋体" w:cs="宋体"/>
          <w:b w:val="0"/>
          <w:bCs w:val="0"/>
          <w:color w:val="auto"/>
          <w:sz w:val="24"/>
          <w:szCs w:val="24"/>
          <w:lang w:eastAsia="zh-CN"/>
        </w:rPr>
        <w:t>扫描件</w:t>
      </w:r>
      <w:r>
        <w:rPr>
          <w:rFonts w:hint="eastAsia" w:ascii="宋体" w:hAnsi="宋体" w:eastAsia="宋体" w:cs="宋体"/>
          <w:b w:val="0"/>
          <w:bCs w:val="0"/>
          <w:color w:val="auto"/>
          <w:sz w:val="24"/>
          <w:szCs w:val="24"/>
        </w:rPr>
        <w:t>;技术负责人应附身份证、职</w:t>
      </w:r>
      <w:r>
        <w:rPr>
          <w:rFonts w:hint="eastAsia" w:ascii="宋体" w:hAnsi="宋体" w:eastAsia="宋体" w:cs="宋体"/>
          <w:b w:val="0"/>
          <w:bCs w:val="0"/>
          <w:color w:val="auto"/>
          <w:sz w:val="24"/>
          <w:szCs w:val="24"/>
          <w:highlight w:val="none"/>
        </w:rPr>
        <w:t>称证</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如有</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等;</w:t>
      </w:r>
      <w:r>
        <w:rPr>
          <w:rFonts w:hint="eastAsia" w:ascii="宋体" w:hAnsi="宋体" w:eastAsia="宋体" w:cs="宋体"/>
          <w:b w:val="0"/>
          <w:bCs w:val="0"/>
          <w:color w:val="auto"/>
          <w:sz w:val="24"/>
          <w:szCs w:val="24"/>
        </w:rPr>
        <w:t>其他主要人员应附执业证或上岗证书扫描件(专职安全生产管理人员应附有效的安全生产考核合格证书)。</w:t>
      </w:r>
    </w:p>
    <w:tbl>
      <w:tblPr>
        <w:tblStyle w:val="21"/>
        <w:tblpPr w:leftFromText="180" w:rightFromText="180" w:vertAnchor="text" w:horzAnchor="margin" w:tblpY="34"/>
        <w:tblW w:w="9252" w:type="dxa"/>
        <w:tblInd w:w="0" w:type="dxa"/>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
      <w:tblGrid>
        <w:gridCol w:w="1187"/>
        <w:gridCol w:w="393"/>
        <w:gridCol w:w="981"/>
        <w:gridCol w:w="1084"/>
        <w:gridCol w:w="1067"/>
        <w:gridCol w:w="266"/>
        <w:gridCol w:w="1211"/>
        <w:gridCol w:w="825"/>
        <w:gridCol w:w="2238"/>
      </w:tblGrid>
      <w:tr w14:paraId="0F6E7E02">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1187" w:type="dxa"/>
            <w:tcBorders>
              <w:top w:val="single" w:color="auto" w:sz="4" w:space="0"/>
              <w:left w:val="single" w:color="auto" w:sz="4" w:space="0"/>
              <w:bottom w:val="single" w:color="000000" w:sz="4" w:space="0"/>
              <w:right w:val="single" w:color="000000" w:sz="4" w:space="0"/>
            </w:tcBorders>
            <w:vAlign w:val="center"/>
          </w:tcPr>
          <w:p w14:paraId="5505C6EE">
            <w:pPr>
              <w:rPr>
                <w:color w:val="auto"/>
              </w:rPr>
            </w:pPr>
            <w:r>
              <w:rPr>
                <w:rFonts w:hint="eastAsia"/>
                <w:color w:val="auto"/>
              </w:rPr>
              <w:t>姓名</w:t>
            </w:r>
          </w:p>
        </w:tc>
        <w:tc>
          <w:tcPr>
            <w:tcW w:w="1374" w:type="dxa"/>
            <w:gridSpan w:val="2"/>
            <w:tcBorders>
              <w:top w:val="single" w:color="auto" w:sz="4" w:space="0"/>
              <w:left w:val="nil"/>
              <w:bottom w:val="single" w:color="000000" w:sz="4" w:space="0"/>
              <w:right w:val="single" w:color="000000" w:sz="4" w:space="0"/>
            </w:tcBorders>
            <w:vAlign w:val="center"/>
          </w:tcPr>
          <w:p w14:paraId="27BC597D">
            <w:pPr>
              <w:rPr>
                <w:color w:val="auto"/>
              </w:rPr>
            </w:pPr>
          </w:p>
        </w:tc>
        <w:tc>
          <w:tcPr>
            <w:tcW w:w="1084" w:type="dxa"/>
            <w:tcBorders>
              <w:top w:val="single" w:color="auto" w:sz="4" w:space="0"/>
              <w:left w:val="nil"/>
              <w:bottom w:val="single" w:color="000000" w:sz="4" w:space="0"/>
              <w:right w:val="single" w:color="000000" w:sz="4" w:space="0"/>
            </w:tcBorders>
            <w:vAlign w:val="center"/>
          </w:tcPr>
          <w:p w14:paraId="2562BFF9">
            <w:pPr>
              <w:rPr>
                <w:color w:val="auto"/>
              </w:rPr>
            </w:pPr>
            <w:r>
              <w:rPr>
                <w:rFonts w:hint="eastAsia"/>
                <w:color w:val="auto"/>
              </w:rPr>
              <w:t>年龄</w:t>
            </w:r>
          </w:p>
        </w:tc>
        <w:tc>
          <w:tcPr>
            <w:tcW w:w="1333" w:type="dxa"/>
            <w:gridSpan w:val="2"/>
            <w:tcBorders>
              <w:top w:val="single" w:color="auto" w:sz="4" w:space="0"/>
              <w:left w:val="nil"/>
              <w:bottom w:val="single" w:color="000000" w:sz="4" w:space="0"/>
              <w:right w:val="single" w:color="000000" w:sz="4" w:space="0"/>
            </w:tcBorders>
            <w:vAlign w:val="center"/>
          </w:tcPr>
          <w:p w14:paraId="71194F49">
            <w:pPr>
              <w:rPr>
                <w:color w:val="auto"/>
              </w:rPr>
            </w:pPr>
          </w:p>
        </w:tc>
        <w:tc>
          <w:tcPr>
            <w:tcW w:w="2036" w:type="dxa"/>
            <w:gridSpan w:val="2"/>
            <w:tcBorders>
              <w:top w:val="single" w:color="auto" w:sz="4" w:space="0"/>
              <w:left w:val="nil"/>
              <w:bottom w:val="single" w:color="000000" w:sz="4" w:space="0"/>
              <w:right w:val="single" w:color="000000" w:sz="4" w:space="0"/>
            </w:tcBorders>
            <w:vAlign w:val="center"/>
          </w:tcPr>
          <w:p w14:paraId="47A0041A">
            <w:pPr>
              <w:rPr>
                <w:color w:val="auto"/>
              </w:rPr>
            </w:pPr>
            <w:r>
              <w:rPr>
                <w:rFonts w:hint="eastAsia"/>
                <w:color w:val="auto"/>
              </w:rPr>
              <w:t>学历</w:t>
            </w:r>
          </w:p>
        </w:tc>
        <w:tc>
          <w:tcPr>
            <w:tcW w:w="2238" w:type="dxa"/>
            <w:tcBorders>
              <w:top w:val="single" w:color="auto" w:sz="4" w:space="0"/>
              <w:left w:val="nil"/>
              <w:bottom w:val="single" w:color="000000" w:sz="4" w:space="0"/>
              <w:right w:val="single" w:color="000000" w:sz="4" w:space="0"/>
            </w:tcBorders>
            <w:vAlign w:val="center"/>
          </w:tcPr>
          <w:p w14:paraId="35D0F97D">
            <w:pPr>
              <w:rPr>
                <w:color w:val="auto"/>
              </w:rPr>
            </w:pPr>
          </w:p>
        </w:tc>
      </w:tr>
      <w:tr w14:paraId="6A5C691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cantSplit/>
          <w:trHeight w:val="604" w:hRule="atLeast"/>
        </w:trPr>
        <w:tc>
          <w:tcPr>
            <w:tcW w:w="1187" w:type="dxa"/>
            <w:tcBorders>
              <w:top w:val="nil"/>
              <w:left w:val="single" w:color="auto" w:sz="4" w:space="0"/>
              <w:bottom w:val="single" w:color="000000" w:sz="4" w:space="0"/>
              <w:right w:val="single" w:color="000000" w:sz="4" w:space="0"/>
            </w:tcBorders>
            <w:vAlign w:val="center"/>
          </w:tcPr>
          <w:p w14:paraId="1FD7435F">
            <w:pPr>
              <w:rPr>
                <w:color w:val="auto"/>
              </w:rPr>
            </w:pPr>
            <w:r>
              <w:rPr>
                <w:rFonts w:hint="eastAsia"/>
                <w:color w:val="auto"/>
              </w:rPr>
              <w:t>职称</w:t>
            </w:r>
          </w:p>
        </w:tc>
        <w:tc>
          <w:tcPr>
            <w:tcW w:w="1374" w:type="dxa"/>
            <w:gridSpan w:val="2"/>
            <w:tcBorders>
              <w:top w:val="nil"/>
              <w:left w:val="nil"/>
              <w:bottom w:val="single" w:color="000000" w:sz="4" w:space="0"/>
              <w:right w:val="single" w:color="000000" w:sz="4" w:space="0"/>
            </w:tcBorders>
            <w:vAlign w:val="center"/>
          </w:tcPr>
          <w:p w14:paraId="7528D115">
            <w:pPr>
              <w:rPr>
                <w:color w:val="auto"/>
              </w:rPr>
            </w:pPr>
          </w:p>
        </w:tc>
        <w:tc>
          <w:tcPr>
            <w:tcW w:w="1084" w:type="dxa"/>
            <w:tcBorders>
              <w:top w:val="nil"/>
              <w:left w:val="nil"/>
              <w:bottom w:val="single" w:color="000000" w:sz="4" w:space="0"/>
              <w:right w:val="single" w:color="000000" w:sz="4" w:space="0"/>
            </w:tcBorders>
            <w:vAlign w:val="center"/>
          </w:tcPr>
          <w:p w14:paraId="4B1B8284">
            <w:pPr>
              <w:rPr>
                <w:color w:val="auto"/>
              </w:rPr>
            </w:pPr>
            <w:r>
              <w:rPr>
                <w:rFonts w:hint="eastAsia"/>
                <w:color w:val="auto"/>
              </w:rPr>
              <w:t>职务</w:t>
            </w:r>
          </w:p>
        </w:tc>
        <w:tc>
          <w:tcPr>
            <w:tcW w:w="1333" w:type="dxa"/>
            <w:gridSpan w:val="2"/>
            <w:tcBorders>
              <w:top w:val="nil"/>
              <w:left w:val="nil"/>
              <w:bottom w:val="single" w:color="000000" w:sz="4" w:space="0"/>
              <w:right w:val="single" w:color="000000" w:sz="4" w:space="0"/>
            </w:tcBorders>
            <w:vAlign w:val="center"/>
          </w:tcPr>
          <w:p w14:paraId="60DB2D51">
            <w:pPr>
              <w:rPr>
                <w:color w:val="auto"/>
              </w:rPr>
            </w:pPr>
          </w:p>
        </w:tc>
        <w:tc>
          <w:tcPr>
            <w:tcW w:w="2036" w:type="dxa"/>
            <w:gridSpan w:val="2"/>
            <w:tcBorders>
              <w:top w:val="nil"/>
              <w:left w:val="nil"/>
              <w:bottom w:val="single" w:color="000000" w:sz="4" w:space="0"/>
              <w:right w:val="single" w:color="000000" w:sz="4" w:space="0"/>
            </w:tcBorders>
            <w:vAlign w:val="center"/>
          </w:tcPr>
          <w:p w14:paraId="323BBE27">
            <w:pPr>
              <w:rPr>
                <w:color w:val="auto"/>
              </w:rPr>
            </w:pPr>
            <w:r>
              <w:rPr>
                <w:rFonts w:hint="eastAsia"/>
                <w:color w:val="auto"/>
              </w:rPr>
              <w:t>拟在本合同任职</w:t>
            </w:r>
          </w:p>
        </w:tc>
        <w:tc>
          <w:tcPr>
            <w:tcW w:w="2238" w:type="dxa"/>
            <w:tcBorders>
              <w:top w:val="nil"/>
              <w:left w:val="nil"/>
              <w:bottom w:val="single" w:color="000000" w:sz="4" w:space="0"/>
              <w:right w:val="single" w:color="000000" w:sz="4" w:space="0"/>
            </w:tcBorders>
            <w:vAlign w:val="center"/>
          </w:tcPr>
          <w:p w14:paraId="67AD2ECC">
            <w:pPr>
              <w:rPr>
                <w:color w:val="auto"/>
              </w:rPr>
            </w:pPr>
          </w:p>
        </w:tc>
      </w:tr>
      <w:tr w14:paraId="5939A50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cantSplit/>
          <w:trHeight w:val="604" w:hRule="atLeast"/>
        </w:trPr>
        <w:tc>
          <w:tcPr>
            <w:tcW w:w="1187" w:type="dxa"/>
            <w:tcBorders>
              <w:top w:val="nil"/>
              <w:left w:val="single" w:color="auto" w:sz="4" w:space="0"/>
              <w:bottom w:val="single" w:color="000000" w:sz="4" w:space="0"/>
              <w:right w:val="single" w:color="000000" w:sz="4" w:space="0"/>
            </w:tcBorders>
            <w:vAlign w:val="center"/>
          </w:tcPr>
          <w:p w14:paraId="7DD8EEA7">
            <w:pPr>
              <w:rPr>
                <w:color w:val="auto"/>
              </w:rPr>
            </w:pPr>
            <w:r>
              <w:rPr>
                <w:rFonts w:hint="eastAsia"/>
                <w:color w:val="auto"/>
              </w:rPr>
              <w:t>毕业学校</w:t>
            </w:r>
          </w:p>
        </w:tc>
        <w:tc>
          <w:tcPr>
            <w:tcW w:w="8065" w:type="dxa"/>
            <w:gridSpan w:val="8"/>
            <w:tcBorders>
              <w:top w:val="nil"/>
              <w:left w:val="nil"/>
              <w:bottom w:val="single" w:color="000000" w:sz="4" w:space="0"/>
              <w:right w:val="single" w:color="000000" w:sz="4" w:space="0"/>
            </w:tcBorders>
            <w:vAlign w:val="center"/>
          </w:tcPr>
          <w:p w14:paraId="0F0A3B82">
            <w:pPr>
              <w:rPr>
                <w:color w:val="auto"/>
              </w:rPr>
            </w:pPr>
            <w:r>
              <w:rPr>
                <w:rFonts w:hint="eastAsia"/>
                <w:color w:val="auto"/>
              </w:rPr>
              <w:t xml:space="preserve">  年毕业于                学校              专业</w:t>
            </w:r>
          </w:p>
        </w:tc>
      </w:tr>
      <w:tr w14:paraId="2526AEE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cantSplit/>
          <w:trHeight w:val="604" w:hRule="atLeast"/>
        </w:trPr>
        <w:tc>
          <w:tcPr>
            <w:tcW w:w="9252" w:type="dxa"/>
            <w:gridSpan w:val="9"/>
            <w:tcBorders>
              <w:top w:val="nil"/>
              <w:left w:val="single" w:color="auto" w:sz="4" w:space="0"/>
              <w:bottom w:val="single" w:color="000000" w:sz="4" w:space="0"/>
              <w:right w:val="single" w:color="000000" w:sz="4" w:space="0"/>
            </w:tcBorders>
            <w:vAlign w:val="center"/>
          </w:tcPr>
          <w:p w14:paraId="536221CC">
            <w:pPr>
              <w:jc w:val="center"/>
              <w:rPr>
                <w:color w:val="auto"/>
              </w:rPr>
            </w:pPr>
            <w:r>
              <w:rPr>
                <w:rFonts w:hint="eastAsia"/>
                <w:color w:val="auto"/>
              </w:rPr>
              <w:t>主要工作经历</w:t>
            </w:r>
          </w:p>
        </w:tc>
      </w:tr>
      <w:tr w14:paraId="28289D5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cantSplit/>
          <w:trHeight w:val="604" w:hRule="atLeast"/>
        </w:trPr>
        <w:tc>
          <w:tcPr>
            <w:tcW w:w="1580" w:type="dxa"/>
            <w:gridSpan w:val="2"/>
            <w:tcBorders>
              <w:top w:val="nil"/>
              <w:left w:val="single" w:color="auto" w:sz="4" w:space="0"/>
              <w:bottom w:val="single" w:color="000000" w:sz="4" w:space="0"/>
              <w:right w:val="single" w:color="000000" w:sz="4" w:space="0"/>
            </w:tcBorders>
            <w:vAlign w:val="center"/>
          </w:tcPr>
          <w:p w14:paraId="078AE607">
            <w:pPr>
              <w:rPr>
                <w:color w:val="auto"/>
              </w:rPr>
            </w:pPr>
            <w:r>
              <w:rPr>
                <w:rFonts w:hint="eastAsia"/>
                <w:color w:val="auto"/>
              </w:rPr>
              <w:t>时间</w:t>
            </w:r>
          </w:p>
        </w:tc>
        <w:tc>
          <w:tcPr>
            <w:tcW w:w="3132" w:type="dxa"/>
            <w:gridSpan w:val="3"/>
            <w:tcBorders>
              <w:top w:val="nil"/>
              <w:left w:val="nil"/>
              <w:bottom w:val="single" w:color="000000" w:sz="4" w:space="0"/>
              <w:right w:val="single" w:color="000000" w:sz="4" w:space="0"/>
            </w:tcBorders>
            <w:vAlign w:val="center"/>
          </w:tcPr>
          <w:p w14:paraId="073424D0">
            <w:pPr>
              <w:rPr>
                <w:color w:val="auto"/>
              </w:rPr>
            </w:pPr>
            <w:r>
              <w:rPr>
                <w:rFonts w:hint="eastAsia"/>
                <w:color w:val="auto"/>
              </w:rPr>
              <w:t>参加过的类似项目</w:t>
            </w:r>
          </w:p>
        </w:tc>
        <w:tc>
          <w:tcPr>
            <w:tcW w:w="1477" w:type="dxa"/>
            <w:gridSpan w:val="2"/>
            <w:tcBorders>
              <w:top w:val="nil"/>
              <w:left w:val="nil"/>
              <w:bottom w:val="single" w:color="000000" w:sz="4" w:space="0"/>
              <w:right w:val="single" w:color="000000" w:sz="4" w:space="0"/>
            </w:tcBorders>
            <w:vAlign w:val="center"/>
          </w:tcPr>
          <w:p w14:paraId="64147651">
            <w:pPr>
              <w:rPr>
                <w:color w:val="auto"/>
              </w:rPr>
            </w:pPr>
            <w:r>
              <w:rPr>
                <w:rFonts w:hint="eastAsia"/>
                <w:color w:val="auto"/>
              </w:rPr>
              <w:t>担任职务</w:t>
            </w:r>
          </w:p>
        </w:tc>
        <w:tc>
          <w:tcPr>
            <w:tcW w:w="3063" w:type="dxa"/>
            <w:gridSpan w:val="2"/>
            <w:tcBorders>
              <w:top w:val="nil"/>
              <w:left w:val="nil"/>
              <w:bottom w:val="single" w:color="000000" w:sz="4" w:space="0"/>
              <w:right w:val="single" w:color="000000" w:sz="4" w:space="0"/>
            </w:tcBorders>
            <w:vAlign w:val="center"/>
          </w:tcPr>
          <w:p w14:paraId="2E4356BB">
            <w:pPr>
              <w:rPr>
                <w:color w:val="auto"/>
              </w:rPr>
            </w:pPr>
            <w:r>
              <w:rPr>
                <w:rFonts w:hint="eastAsia"/>
                <w:color w:val="auto"/>
              </w:rPr>
              <w:t>发包人及联系电话</w:t>
            </w:r>
          </w:p>
        </w:tc>
      </w:tr>
      <w:tr w14:paraId="12F7E04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cantSplit/>
          <w:trHeight w:val="604" w:hRule="atLeast"/>
        </w:trPr>
        <w:tc>
          <w:tcPr>
            <w:tcW w:w="1580" w:type="dxa"/>
            <w:gridSpan w:val="2"/>
            <w:tcBorders>
              <w:top w:val="nil"/>
              <w:left w:val="single" w:color="auto" w:sz="4" w:space="0"/>
              <w:bottom w:val="single" w:color="000000" w:sz="4" w:space="0"/>
              <w:right w:val="single" w:color="000000" w:sz="4" w:space="0"/>
            </w:tcBorders>
            <w:vAlign w:val="center"/>
          </w:tcPr>
          <w:p w14:paraId="0391183D">
            <w:pPr>
              <w:rPr>
                <w:color w:val="auto"/>
              </w:rPr>
            </w:pPr>
          </w:p>
        </w:tc>
        <w:tc>
          <w:tcPr>
            <w:tcW w:w="3132" w:type="dxa"/>
            <w:gridSpan w:val="3"/>
            <w:tcBorders>
              <w:top w:val="nil"/>
              <w:left w:val="nil"/>
              <w:bottom w:val="single" w:color="000000" w:sz="4" w:space="0"/>
              <w:right w:val="single" w:color="000000" w:sz="4" w:space="0"/>
            </w:tcBorders>
            <w:vAlign w:val="center"/>
          </w:tcPr>
          <w:p w14:paraId="6953E49C">
            <w:pPr>
              <w:rPr>
                <w:color w:val="auto"/>
              </w:rPr>
            </w:pPr>
          </w:p>
        </w:tc>
        <w:tc>
          <w:tcPr>
            <w:tcW w:w="1477" w:type="dxa"/>
            <w:gridSpan w:val="2"/>
            <w:tcBorders>
              <w:top w:val="nil"/>
              <w:left w:val="nil"/>
              <w:bottom w:val="single" w:color="000000" w:sz="4" w:space="0"/>
              <w:right w:val="single" w:color="000000" w:sz="4" w:space="0"/>
            </w:tcBorders>
            <w:vAlign w:val="center"/>
          </w:tcPr>
          <w:p w14:paraId="24E21E88">
            <w:pPr>
              <w:rPr>
                <w:color w:val="auto"/>
              </w:rPr>
            </w:pPr>
          </w:p>
        </w:tc>
        <w:tc>
          <w:tcPr>
            <w:tcW w:w="3063" w:type="dxa"/>
            <w:gridSpan w:val="2"/>
            <w:tcBorders>
              <w:top w:val="nil"/>
              <w:left w:val="nil"/>
              <w:bottom w:val="single" w:color="000000" w:sz="4" w:space="0"/>
              <w:right w:val="single" w:color="000000" w:sz="4" w:space="0"/>
            </w:tcBorders>
            <w:vAlign w:val="center"/>
          </w:tcPr>
          <w:p w14:paraId="0FF4A39D">
            <w:pPr>
              <w:rPr>
                <w:color w:val="auto"/>
              </w:rPr>
            </w:pPr>
          </w:p>
        </w:tc>
      </w:tr>
      <w:tr w14:paraId="591BE29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cantSplit/>
          <w:trHeight w:val="604" w:hRule="atLeast"/>
        </w:trPr>
        <w:tc>
          <w:tcPr>
            <w:tcW w:w="1580" w:type="dxa"/>
            <w:gridSpan w:val="2"/>
            <w:tcBorders>
              <w:top w:val="nil"/>
              <w:left w:val="single" w:color="auto" w:sz="4" w:space="0"/>
              <w:bottom w:val="single" w:color="000000" w:sz="4" w:space="0"/>
              <w:right w:val="single" w:color="000000" w:sz="4" w:space="0"/>
            </w:tcBorders>
            <w:vAlign w:val="center"/>
          </w:tcPr>
          <w:p w14:paraId="601A904A">
            <w:pPr>
              <w:rPr>
                <w:color w:val="auto"/>
              </w:rPr>
            </w:pPr>
          </w:p>
        </w:tc>
        <w:tc>
          <w:tcPr>
            <w:tcW w:w="3132" w:type="dxa"/>
            <w:gridSpan w:val="3"/>
            <w:tcBorders>
              <w:top w:val="nil"/>
              <w:left w:val="nil"/>
              <w:bottom w:val="single" w:color="000000" w:sz="4" w:space="0"/>
              <w:right w:val="single" w:color="000000" w:sz="4" w:space="0"/>
            </w:tcBorders>
            <w:vAlign w:val="center"/>
          </w:tcPr>
          <w:p w14:paraId="7828C155">
            <w:pPr>
              <w:rPr>
                <w:color w:val="auto"/>
              </w:rPr>
            </w:pPr>
          </w:p>
        </w:tc>
        <w:tc>
          <w:tcPr>
            <w:tcW w:w="1477" w:type="dxa"/>
            <w:gridSpan w:val="2"/>
            <w:tcBorders>
              <w:top w:val="nil"/>
              <w:left w:val="nil"/>
              <w:bottom w:val="single" w:color="000000" w:sz="4" w:space="0"/>
              <w:right w:val="single" w:color="000000" w:sz="4" w:space="0"/>
            </w:tcBorders>
            <w:vAlign w:val="center"/>
          </w:tcPr>
          <w:p w14:paraId="17220892">
            <w:pPr>
              <w:rPr>
                <w:color w:val="auto"/>
              </w:rPr>
            </w:pPr>
          </w:p>
        </w:tc>
        <w:tc>
          <w:tcPr>
            <w:tcW w:w="3063" w:type="dxa"/>
            <w:gridSpan w:val="2"/>
            <w:tcBorders>
              <w:top w:val="nil"/>
              <w:left w:val="nil"/>
              <w:bottom w:val="single" w:color="000000" w:sz="4" w:space="0"/>
              <w:right w:val="single" w:color="000000" w:sz="4" w:space="0"/>
            </w:tcBorders>
            <w:vAlign w:val="center"/>
          </w:tcPr>
          <w:p w14:paraId="7BCADEDC">
            <w:pPr>
              <w:rPr>
                <w:color w:val="auto"/>
              </w:rPr>
            </w:pPr>
          </w:p>
        </w:tc>
      </w:tr>
      <w:tr w14:paraId="3ECB5C3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cantSplit/>
          <w:trHeight w:val="604" w:hRule="atLeast"/>
        </w:trPr>
        <w:tc>
          <w:tcPr>
            <w:tcW w:w="1580" w:type="dxa"/>
            <w:gridSpan w:val="2"/>
            <w:tcBorders>
              <w:top w:val="nil"/>
              <w:left w:val="single" w:color="auto" w:sz="4" w:space="0"/>
              <w:bottom w:val="single" w:color="000000" w:sz="4" w:space="0"/>
              <w:right w:val="single" w:color="000000" w:sz="4" w:space="0"/>
            </w:tcBorders>
            <w:vAlign w:val="center"/>
          </w:tcPr>
          <w:p w14:paraId="4796CEC7">
            <w:pPr>
              <w:rPr>
                <w:color w:val="auto"/>
              </w:rPr>
            </w:pPr>
          </w:p>
        </w:tc>
        <w:tc>
          <w:tcPr>
            <w:tcW w:w="3132" w:type="dxa"/>
            <w:gridSpan w:val="3"/>
            <w:tcBorders>
              <w:top w:val="nil"/>
              <w:left w:val="nil"/>
              <w:bottom w:val="single" w:color="000000" w:sz="4" w:space="0"/>
              <w:right w:val="single" w:color="000000" w:sz="4" w:space="0"/>
            </w:tcBorders>
            <w:vAlign w:val="center"/>
          </w:tcPr>
          <w:p w14:paraId="4FA4B426">
            <w:pPr>
              <w:rPr>
                <w:color w:val="auto"/>
              </w:rPr>
            </w:pPr>
          </w:p>
        </w:tc>
        <w:tc>
          <w:tcPr>
            <w:tcW w:w="1477" w:type="dxa"/>
            <w:gridSpan w:val="2"/>
            <w:tcBorders>
              <w:top w:val="nil"/>
              <w:left w:val="nil"/>
              <w:bottom w:val="single" w:color="000000" w:sz="4" w:space="0"/>
              <w:right w:val="single" w:color="000000" w:sz="4" w:space="0"/>
            </w:tcBorders>
            <w:vAlign w:val="center"/>
          </w:tcPr>
          <w:p w14:paraId="24E6D08E">
            <w:pPr>
              <w:rPr>
                <w:color w:val="auto"/>
              </w:rPr>
            </w:pPr>
          </w:p>
        </w:tc>
        <w:tc>
          <w:tcPr>
            <w:tcW w:w="3063" w:type="dxa"/>
            <w:gridSpan w:val="2"/>
            <w:tcBorders>
              <w:top w:val="nil"/>
              <w:left w:val="nil"/>
              <w:bottom w:val="single" w:color="000000" w:sz="4" w:space="0"/>
              <w:right w:val="single" w:color="000000" w:sz="4" w:space="0"/>
            </w:tcBorders>
            <w:vAlign w:val="center"/>
          </w:tcPr>
          <w:p w14:paraId="7D2B883A">
            <w:pPr>
              <w:rPr>
                <w:color w:val="auto"/>
              </w:rPr>
            </w:pPr>
          </w:p>
        </w:tc>
      </w:tr>
      <w:tr w14:paraId="30A9B49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cantSplit/>
          <w:trHeight w:val="604" w:hRule="atLeast"/>
        </w:trPr>
        <w:tc>
          <w:tcPr>
            <w:tcW w:w="1580" w:type="dxa"/>
            <w:gridSpan w:val="2"/>
            <w:tcBorders>
              <w:top w:val="nil"/>
              <w:left w:val="single" w:color="auto" w:sz="4" w:space="0"/>
              <w:bottom w:val="single" w:color="000000" w:sz="4" w:space="0"/>
              <w:right w:val="single" w:color="000000" w:sz="4" w:space="0"/>
            </w:tcBorders>
            <w:vAlign w:val="center"/>
          </w:tcPr>
          <w:p w14:paraId="5A49AF46">
            <w:pPr>
              <w:rPr>
                <w:color w:val="auto"/>
              </w:rPr>
            </w:pPr>
          </w:p>
        </w:tc>
        <w:tc>
          <w:tcPr>
            <w:tcW w:w="3132" w:type="dxa"/>
            <w:gridSpan w:val="3"/>
            <w:tcBorders>
              <w:top w:val="nil"/>
              <w:left w:val="nil"/>
              <w:bottom w:val="single" w:color="000000" w:sz="4" w:space="0"/>
              <w:right w:val="single" w:color="000000" w:sz="4" w:space="0"/>
            </w:tcBorders>
            <w:vAlign w:val="center"/>
          </w:tcPr>
          <w:p w14:paraId="0B6E8A71">
            <w:pPr>
              <w:rPr>
                <w:color w:val="auto"/>
              </w:rPr>
            </w:pPr>
          </w:p>
        </w:tc>
        <w:tc>
          <w:tcPr>
            <w:tcW w:w="1477" w:type="dxa"/>
            <w:gridSpan w:val="2"/>
            <w:tcBorders>
              <w:top w:val="nil"/>
              <w:left w:val="nil"/>
              <w:bottom w:val="single" w:color="000000" w:sz="4" w:space="0"/>
              <w:right w:val="single" w:color="000000" w:sz="4" w:space="0"/>
            </w:tcBorders>
            <w:vAlign w:val="center"/>
          </w:tcPr>
          <w:p w14:paraId="7123D794">
            <w:pPr>
              <w:rPr>
                <w:color w:val="auto"/>
              </w:rPr>
            </w:pPr>
          </w:p>
        </w:tc>
        <w:tc>
          <w:tcPr>
            <w:tcW w:w="3063" w:type="dxa"/>
            <w:gridSpan w:val="2"/>
            <w:tcBorders>
              <w:top w:val="nil"/>
              <w:left w:val="nil"/>
              <w:bottom w:val="single" w:color="000000" w:sz="4" w:space="0"/>
              <w:right w:val="single" w:color="000000" w:sz="4" w:space="0"/>
            </w:tcBorders>
            <w:vAlign w:val="center"/>
          </w:tcPr>
          <w:p w14:paraId="5D73946B">
            <w:pPr>
              <w:rPr>
                <w:color w:val="auto"/>
              </w:rPr>
            </w:pPr>
          </w:p>
        </w:tc>
      </w:tr>
      <w:tr w14:paraId="344E092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cantSplit/>
          <w:trHeight w:val="604" w:hRule="atLeast"/>
        </w:trPr>
        <w:tc>
          <w:tcPr>
            <w:tcW w:w="1580" w:type="dxa"/>
            <w:gridSpan w:val="2"/>
            <w:tcBorders>
              <w:top w:val="nil"/>
              <w:left w:val="single" w:color="auto" w:sz="4" w:space="0"/>
              <w:bottom w:val="single" w:color="000000" w:sz="4" w:space="0"/>
              <w:right w:val="single" w:color="000000" w:sz="4" w:space="0"/>
            </w:tcBorders>
            <w:vAlign w:val="center"/>
          </w:tcPr>
          <w:p w14:paraId="697CE6A6">
            <w:pPr>
              <w:rPr>
                <w:color w:val="auto"/>
              </w:rPr>
            </w:pPr>
          </w:p>
        </w:tc>
        <w:tc>
          <w:tcPr>
            <w:tcW w:w="3132" w:type="dxa"/>
            <w:gridSpan w:val="3"/>
            <w:tcBorders>
              <w:top w:val="nil"/>
              <w:left w:val="nil"/>
              <w:bottom w:val="single" w:color="000000" w:sz="4" w:space="0"/>
              <w:right w:val="single" w:color="000000" w:sz="4" w:space="0"/>
            </w:tcBorders>
            <w:vAlign w:val="center"/>
          </w:tcPr>
          <w:p w14:paraId="237104E0">
            <w:pPr>
              <w:rPr>
                <w:color w:val="auto"/>
              </w:rPr>
            </w:pPr>
          </w:p>
        </w:tc>
        <w:tc>
          <w:tcPr>
            <w:tcW w:w="1477" w:type="dxa"/>
            <w:gridSpan w:val="2"/>
            <w:tcBorders>
              <w:top w:val="nil"/>
              <w:left w:val="nil"/>
              <w:bottom w:val="single" w:color="000000" w:sz="4" w:space="0"/>
              <w:right w:val="single" w:color="000000" w:sz="4" w:space="0"/>
            </w:tcBorders>
            <w:vAlign w:val="center"/>
          </w:tcPr>
          <w:p w14:paraId="2BD7D51F">
            <w:pPr>
              <w:rPr>
                <w:color w:val="auto"/>
              </w:rPr>
            </w:pPr>
          </w:p>
        </w:tc>
        <w:tc>
          <w:tcPr>
            <w:tcW w:w="3063" w:type="dxa"/>
            <w:gridSpan w:val="2"/>
            <w:tcBorders>
              <w:top w:val="nil"/>
              <w:left w:val="nil"/>
              <w:bottom w:val="single" w:color="000000" w:sz="4" w:space="0"/>
              <w:right w:val="single" w:color="000000" w:sz="4" w:space="0"/>
            </w:tcBorders>
            <w:vAlign w:val="center"/>
          </w:tcPr>
          <w:p w14:paraId="0C1F9F8A">
            <w:pPr>
              <w:rPr>
                <w:color w:val="auto"/>
              </w:rPr>
            </w:pPr>
          </w:p>
        </w:tc>
      </w:tr>
      <w:tr w14:paraId="526704D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cantSplit/>
          <w:trHeight w:val="604" w:hRule="atLeast"/>
        </w:trPr>
        <w:tc>
          <w:tcPr>
            <w:tcW w:w="1580" w:type="dxa"/>
            <w:gridSpan w:val="2"/>
            <w:tcBorders>
              <w:top w:val="nil"/>
              <w:left w:val="single" w:color="auto" w:sz="4" w:space="0"/>
              <w:bottom w:val="single" w:color="000000" w:sz="4" w:space="0"/>
              <w:right w:val="single" w:color="000000" w:sz="4" w:space="0"/>
            </w:tcBorders>
            <w:vAlign w:val="center"/>
          </w:tcPr>
          <w:p w14:paraId="64013E0A">
            <w:pPr>
              <w:rPr>
                <w:color w:val="auto"/>
              </w:rPr>
            </w:pPr>
          </w:p>
        </w:tc>
        <w:tc>
          <w:tcPr>
            <w:tcW w:w="3132" w:type="dxa"/>
            <w:gridSpan w:val="3"/>
            <w:tcBorders>
              <w:top w:val="nil"/>
              <w:left w:val="nil"/>
              <w:bottom w:val="single" w:color="000000" w:sz="4" w:space="0"/>
              <w:right w:val="single" w:color="000000" w:sz="4" w:space="0"/>
            </w:tcBorders>
            <w:vAlign w:val="center"/>
          </w:tcPr>
          <w:p w14:paraId="3D95A2E1">
            <w:pPr>
              <w:rPr>
                <w:color w:val="auto"/>
              </w:rPr>
            </w:pPr>
          </w:p>
        </w:tc>
        <w:tc>
          <w:tcPr>
            <w:tcW w:w="1477" w:type="dxa"/>
            <w:gridSpan w:val="2"/>
            <w:tcBorders>
              <w:top w:val="nil"/>
              <w:left w:val="nil"/>
              <w:bottom w:val="single" w:color="000000" w:sz="4" w:space="0"/>
              <w:right w:val="single" w:color="000000" w:sz="4" w:space="0"/>
            </w:tcBorders>
            <w:vAlign w:val="center"/>
          </w:tcPr>
          <w:p w14:paraId="33ADDB6D">
            <w:pPr>
              <w:rPr>
                <w:color w:val="auto"/>
              </w:rPr>
            </w:pPr>
          </w:p>
        </w:tc>
        <w:tc>
          <w:tcPr>
            <w:tcW w:w="3063" w:type="dxa"/>
            <w:gridSpan w:val="2"/>
            <w:tcBorders>
              <w:top w:val="nil"/>
              <w:left w:val="nil"/>
              <w:bottom w:val="single" w:color="000000" w:sz="4" w:space="0"/>
              <w:right w:val="single" w:color="000000" w:sz="4" w:space="0"/>
            </w:tcBorders>
            <w:vAlign w:val="center"/>
          </w:tcPr>
          <w:p w14:paraId="44AEADFA">
            <w:pPr>
              <w:rPr>
                <w:color w:val="auto"/>
              </w:rPr>
            </w:pPr>
          </w:p>
        </w:tc>
      </w:tr>
      <w:tr w14:paraId="7BA6164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cantSplit/>
          <w:trHeight w:val="604" w:hRule="atLeast"/>
        </w:trPr>
        <w:tc>
          <w:tcPr>
            <w:tcW w:w="1580" w:type="dxa"/>
            <w:gridSpan w:val="2"/>
            <w:tcBorders>
              <w:top w:val="nil"/>
              <w:left w:val="single" w:color="auto" w:sz="4" w:space="0"/>
              <w:bottom w:val="single" w:color="000000" w:sz="4" w:space="0"/>
              <w:right w:val="single" w:color="000000" w:sz="4" w:space="0"/>
            </w:tcBorders>
            <w:vAlign w:val="center"/>
          </w:tcPr>
          <w:p w14:paraId="0369E79C">
            <w:pPr>
              <w:rPr>
                <w:color w:val="auto"/>
              </w:rPr>
            </w:pPr>
          </w:p>
        </w:tc>
        <w:tc>
          <w:tcPr>
            <w:tcW w:w="3132" w:type="dxa"/>
            <w:gridSpan w:val="3"/>
            <w:tcBorders>
              <w:top w:val="nil"/>
              <w:left w:val="nil"/>
              <w:bottom w:val="single" w:color="000000" w:sz="4" w:space="0"/>
              <w:right w:val="single" w:color="000000" w:sz="4" w:space="0"/>
            </w:tcBorders>
            <w:vAlign w:val="center"/>
          </w:tcPr>
          <w:p w14:paraId="2C010BA6">
            <w:pPr>
              <w:rPr>
                <w:color w:val="auto"/>
              </w:rPr>
            </w:pPr>
          </w:p>
        </w:tc>
        <w:tc>
          <w:tcPr>
            <w:tcW w:w="1477" w:type="dxa"/>
            <w:gridSpan w:val="2"/>
            <w:tcBorders>
              <w:top w:val="nil"/>
              <w:left w:val="nil"/>
              <w:bottom w:val="single" w:color="000000" w:sz="4" w:space="0"/>
              <w:right w:val="single" w:color="000000" w:sz="4" w:space="0"/>
            </w:tcBorders>
            <w:vAlign w:val="center"/>
          </w:tcPr>
          <w:p w14:paraId="12AFE066">
            <w:pPr>
              <w:rPr>
                <w:color w:val="auto"/>
              </w:rPr>
            </w:pPr>
          </w:p>
        </w:tc>
        <w:tc>
          <w:tcPr>
            <w:tcW w:w="3063" w:type="dxa"/>
            <w:gridSpan w:val="2"/>
            <w:tcBorders>
              <w:top w:val="nil"/>
              <w:left w:val="nil"/>
              <w:bottom w:val="single" w:color="000000" w:sz="4" w:space="0"/>
              <w:right w:val="single" w:color="000000" w:sz="4" w:space="0"/>
            </w:tcBorders>
            <w:vAlign w:val="center"/>
          </w:tcPr>
          <w:p w14:paraId="3BC4717E">
            <w:pPr>
              <w:rPr>
                <w:color w:val="auto"/>
              </w:rPr>
            </w:pPr>
          </w:p>
        </w:tc>
      </w:tr>
      <w:tr w14:paraId="199D192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cantSplit/>
          <w:trHeight w:val="604" w:hRule="atLeast"/>
        </w:trPr>
        <w:tc>
          <w:tcPr>
            <w:tcW w:w="1580" w:type="dxa"/>
            <w:gridSpan w:val="2"/>
            <w:tcBorders>
              <w:top w:val="nil"/>
              <w:left w:val="single" w:color="auto" w:sz="4" w:space="0"/>
              <w:bottom w:val="single" w:color="000000" w:sz="4" w:space="0"/>
              <w:right w:val="single" w:color="000000" w:sz="4" w:space="0"/>
            </w:tcBorders>
            <w:vAlign w:val="center"/>
          </w:tcPr>
          <w:p w14:paraId="51E09033">
            <w:pPr>
              <w:rPr>
                <w:color w:val="auto"/>
              </w:rPr>
            </w:pPr>
          </w:p>
        </w:tc>
        <w:tc>
          <w:tcPr>
            <w:tcW w:w="3132" w:type="dxa"/>
            <w:gridSpan w:val="3"/>
            <w:tcBorders>
              <w:top w:val="nil"/>
              <w:left w:val="nil"/>
              <w:bottom w:val="single" w:color="000000" w:sz="4" w:space="0"/>
              <w:right w:val="single" w:color="000000" w:sz="4" w:space="0"/>
            </w:tcBorders>
            <w:vAlign w:val="center"/>
          </w:tcPr>
          <w:p w14:paraId="6DCCF824">
            <w:pPr>
              <w:rPr>
                <w:color w:val="auto"/>
              </w:rPr>
            </w:pPr>
          </w:p>
        </w:tc>
        <w:tc>
          <w:tcPr>
            <w:tcW w:w="1477" w:type="dxa"/>
            <w:gridSpan w:val="2"/>
            <w:tcBorders>
              <w:top w:val="nil"/>
              <w:left w:val="nil"/>
              <w:bottom w:val="single" w:color="000000" w:sz="4" w:space="0"/>
              <w:right w:val="single" w:color="000000" w:sz="4" w:space="0"/>
            </w:tcBorders>
            <w:vAlign w:val="center"/>
          </w:tcPr>
          <w:p w14:paraId="62FBC12C">
            <w:pPr>
              <w:rPr>
                <w:color w:val="auto"/>
              </w:rPr>
            </w:pPr>
          </w:p>
        </w:tc>
        <w:tc>
          <w:tcPr>
            <w:tcW w:w="3063" w:type="dxa"/>
            <w:gridSpan w:val="2"/>
            <w:tcBorders>
              <w:top w:val="nil"/>
              <w:left w:val="nil"/>
              <w:bottom w:val="single" w:color="000000" w:sz="4" w:space="0"/>
              <w:right w:val="single" w:color="000000" w:sz="4" w:space="0"/>
            </w:tcBorders>
            <w:vAlign w:val="center"/>
          </w:tcPr>
          <w:p w14:paraId="2EF7DF73">
            <w:pPr>
              <w:rPr>
                <w:color w:val="auto"/>
              </w:rPr>
            </w:pPr>
          </w:p>
        </w:tc>
      </w:tr>
      <w:tr w14:paraId="76F7C8C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cantSplit/>
          <w:trHeight w:val="604" w:hRule="atLeast"/>
        </w:trPr>
        <w:tc>
          <w:tcPr>
            <w:tcW w:w="1580" w:type="dxa"/>
            <w:gridSpan w:val="2"/>
            <w:tcBorders>
              <w:top w:val="nil"/>
              <w:left w:val="single" w:color="auto" w:sz="4" w:space="0"/>
              <w:bottom w:val="single" w:color="000000" w:sz="4" w:space="0"/>
              <w:right w:val="single" w:color="000000" w:sz="4" w:space="0"/>
            </w:tcBorders>
            <w:vAlign w:val="center"/>
          </w:tcPr>
          <w:p w14:paraId="380D069D">
            <w:pPr>
              <w:rPr>
                <w:color w:val="auto"/>
              </w:rPr>
            </w:pPr>
          </w:p>
        </w:tc>
        <w:tc>
          <w:tcPr>
            <w:tcW w:w="3132" w:type="dxa"/>
            <w:gridSpan w:val="3"/>
            <w:tcBorders>
              <w:top w:val="nil"/>
              <w:left w:val="nil"/>
              <w:bottom w:val="single" w:color="000000" w:sz="4" w:space="0"/>
              <w:right w:val="single" w:color="000000" w:sz="4" w:space="0"/>
            </w:tcBorders>
            <w:vAlign w:val="center"/>
          </w:tcPr>
          <w:p w14:paraId="2CD684F1">
            <w:pPr>
              <w:rPr>
                <w:color w:val="auto"/>
              </w:rPr>
            </w:pPr>
          </w:p>
        </w:tc>
        <w:tc>
          <w:tcPr>
            <w:tcW w:w="1477" w:type="dxa"/>
            <w:gridSpan w:val="2"/>
            <w:tcBorders>
              <w:top w:val="nil"/>
              <w:left w:val="nil"/>
              <w:bottom w:val="single" w:color="000000" w:sz="4" w:space="0"/>
              <w:right w:val="single" w:color="000000" w:sz="4" w:space="0"/>
            </w:tcBorders>
            <w:vAlign w:val="center"/>
          </w:tcPr>
          <w:p w14:paraId="3F4A88D3">
            <w:pPr>
              <w:rPr>
                <w:color w:val="auto"/>
              </w:rPr>
            </w:pPr>
          </w:p>
        </w:tc>
        <w:tc>
          <w:tcPr>
            <w:tcW w:w="3063" w:type="dxa"/>
            <w:gridSpan w:val="2"/>
            <w:tcBorders>
              <w:top w:val="nil"/>
              <w:left w:val="nil"/>
              <w:bottom w:val="single" w:color="000000" w:sz="4" w:space="0"/>
              <w:right w:val="single" w:color="000000" w:sz="4" w:space="0"/>
            </w:tcBorders>
            <w:vAlign w:val="center"/>
          </w:tcPr>
          <w:p w14:paraId="7E3B2FC1">
            <w:pPr>
              <w:rPr>
                <w:color w:val="auto"/>
              </w:rPr>
            </w:pPr>
          </w:p>
        </w:tc>
      </w:tr>
      <w:tr w14:paraId="3A72604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cantSplit/>
          <w:trHeight w:val="604" w:hRule="atLeast"/>
        </w:trPr>
        <w:tc>
          <w:tcPr>
            <w:tcW w:w="1580" w:type="dxa"/>
            <w:gridSpan w:val="2"/>
            <w:tcBorders>
              <w:top w:val="nil"/>
              <w:left w:val="single" w:color="auto" w:sz="4" w:space="0"/>
              <w:bottom w:val="single" w:color="000000" w:sz="4" w:space="0"/>
              <w:right w:val="single" w:color="000000" w:sz="4" w:space="0"/>
            </w:tcBorders>
            <w:vAlign w:val="center"/>
          </w:tcPr>
          <w:p w14:paraId="1288FDB5">
            <w:pPr>
              <w:rPr>
                <w:color w:val="auto"/>
              </w:rPr>
            </w:pPr>
          </w:p>
        </w:tc>
        <w:tc>
          <w:tcPr>
            <w:tcW w:w="3132" w:type="dxa"/>
            <w:gridSpan w:val="3"/>
            <w:tcBorders>
              <w:top w:val="nil"/>
              <w:left w:val="nil"/>
              <w:bottom w:val="single" w:color="000000" w:sz="4" w:space="0"/>
              <w:right w:val="single" w:color="000000" w:sz="4" w:space="0"/>
            </w:tcBorders>
            <w:vAlign w:val="center"/>
          </w:tcPr>
          <w:p w14:paraId="183F6FC3">
            <w:pPr>
              <w:rPr>
                <w:color w:val="auto"/>
              </w:rPr>
            </w:pPr>
          </w:p>
        </w:tc>
        <w:tc>
          <w:tcPr>
            <w:tcW w:w="1477" w:type="dxa"/>
            <w:gridSpan w:val="2"/>
            <w:tcBorders>
              <w:top w:val="nil"/>
              <w:left w:val="nil"/>
              <w:bottom w:val="single" w:color="000000" w:sz="4" w:space="0"/>
              <w:right w:val="single" w:color="000000" w:sz="4" w:space="0"/>
            </w:tcBorders>
            <w:vAlign w:val="center"/>
          </w:tcPr>
          <w:p w14:paraId="176CD2B7">
            <w:pPr>
              <w:rPr>
                <w:color w:val="auto"/>
              </w:rPr>
            </w:pPr>
          </w:p>
        </w:tc>
        <w:tc>
          <w:tcPr>
            <w:tcW w:w="3063" w:type="dxa"/>
            <w:gridSpan w:val="2"/>
            <w:tcBorders>
              <w:top w:val="nil"/>
              <w:left w:val="nil"/>
              <w:bottom w:val="single" w:color="000000" w:sz="4" w:space="0"/>
              <w:right w:val="single" w:color="000000" w:sz="4" w:space="0"/>
            </w:tcBorders>
            <w:vAlign w:val="center"/>
          </w:tcPr>
          <w:p w14:paraId="55060AAF">
            <w:pPr>
              <w:rPr>
                <w:color w:val="auto"/>
              </w:rPr>
            </w:pPr>
          </w:p>
        </w:tc>
      </w:tr>
      <w:tr w14:paraId="3237DA68">
        <w:tblPrEx>
          <w:tblBorders>
            <w:top w:val="none" w:color="auto" w:sz="0"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1580" w:type="dxa"/>
            <w:gridSpan w:val="2"/>
            <w:tcBorders>
              <w:top w:val="nil"/>
              <w:left w:val="single" w:color="auto" w:sz="4" w:space="0"/>
              <w:bottom w:val="single" w:color="000000" w:sz="4" w:space="0"/>
              <w:right w:val="single" w:color="000000" w:sz="4" w:space="0"/>
            </w:tcBorders>
            <w:vAlign w:val="center"/>
          </w:tcPr>
          <w:p w14:paraId="4B4A5E57">
            <w:pPr>
              <w:rPr>
                <w:color w:val="auto"/>
              </w:rPr>
            </w:pPr>
          </w:p>
        </w:tc>
        <w:tc>
          <w:tcPr>
            <w:tcW w:w="3132" w:type="dxa"/>
            <w:gridSpan w:val="3"/>
            <w:tcBorders>
              <w:top w:val="nil"/>
              <w:left w:val="nil"/>
              <w:bottom w:val="single" w:color="000000" w:sz="4" w:space="0"/>
              <w:right w:val="single" w:color="000000" w:sz="4" w:space="0"/>
            </w:tcBorders>
            <w:vAlign w:val="center"/>
          </w:tcPr>
          <w:p w14:paraId="63A7E45D">
            <w:pPr>
              <w:rPr>
                <w:color w:val="auto"/>
              </w:rPr>
            </w:pPr>
          </w:p>
        </w:tc>
        <w:tc>
          <w:tcPr>
            <w:tcW w:w="1477" w:type="dxa"/>
            <w:gridSpan w:val="2"/>
            <w:tcBorders>
              <w:top w:val="nil"/>
              <w:left w:val="nil"/>
              <w:bottom w:val="single" w:color="000000" w:sz="4" w:space="0"/>
              <w:right w:val="single" w:color="000000" w:sz="4" w:space="0"/>
            </w:tcBorders>
            <w:vAlign w:val="center"/>
          </w:tcPr>
          <w:p w14:paraId="70697838">
            <w:pPr>
              <w:rPr>
                <w:color w:val="auto"/>
              </w:rPr>
            </w:pPr>
          </w:p>
        </w:tc>
        <w:tc>
          <w:tcPr>
            <w:tcW w:w="3063" w:type="dxa"/>
            <w:gridSpan w:val="2"/>
            <w:tcBorders>
              <w:top w:val="nil"/>
              <w:left w:val="nil"/>
              <w:bottom w:val="single" w:color="000000" w:sz="4" w:space="0"/>
              <w:right w:val="single" w:color="000000" w:sz="4" w:space="0"/>
            </w:tcBorders>
            <w:vAlign w:val="center"/>
          </w:tcPr>
          <w:p w14:paraId="6E53A478">
            <w:pPr>
              <w:rPr>
                <w:color w:val="auto"/>
              </w:rPr>
            </w:pPr>
          </w:p>
        </w:tc>
      </w:tr>
    </w:tbl>
    <w:p w14:paraId="0906A7BF">
      <w:pPr>
        <w:rPr>
          <w:color w:val="auto"/>
        </w:rPr>
      </w:pPr>
    </w:p>
    <w:p w14:paraId="62195AE3">
      <w:pPr>
        <w:rPr>
          <w:color w:val="auto"/>
        </w:rPr>
      </w:pPr>
    </w:p>
    <w:p w14:paraId="7C315DA6">
      <w:pPr>
        <w:rPr>
          <w:color w:val="auto"/>
        </w:rPr>
      </w:pPr>
    </w:p>
    <w:p w14:paraId="7968C634">
      <w:pPr>
        <w:rPr>
          <w:rFonts w:hint="eastAsia"/>
          <w:color w:val="auto"/>
        </w:rPr>
      </w:pPr>
    </w:p>
    <w:p w14:paraId="7DC06FBF">
      <w:pPr>
        <w:rPr>
          <w:rFonts w:hint="eastAsia"/>
          <w:color w:val="auto"/>
        </w:rPr>
      </w:pPr>
    </w:p>
    <w:p w14:paraId="428F3C23">
      <w:pPr>
        <w:pStyle w:val="3"/>
        <w:numPr>
          <w:ilvl w:val="0"/>
          <w:numId w:val="0"/>
        </w:numPr>
        <w:tabs>
          <w:tab w:val="left" w:pos="425"/>
        </w:tabs>
        <w:spacing w:line="480" w:lineRule="exact"/>
        <w:ind w:firstLine="3092" w:firstLineChars="1100"/>
        <w:jc w:val="both"/>
        <w:rPr>
          <w:rFonts w:ascii="宋体" w:hAnsi="宋体"/>
          <w:color w:val="auto"/>
          <w:sz w:val="28"/>
          <w:szCs w:val="28"/>
          <w:highlight w:val="none"/>
        </w:rPr>
      </w:pPr>
      <w:r>
        <w:rPr>
          <w:rFonts w:hint="eastAsia" w:ascii="宋体" w:hAnsi="宋体"/>
          <w:color w:val="auto"/>
          <w:sz w:val="28"/>
          <w:szCs w:val="28"/>
          <w:highlight w:val="none"/>
          <w:lang w:val="en-US" w:eastAsia="zh-CN"/>
        </w:rPr>
        <w:t>八、</w:t>
      </w:r>
      <w:r>
        <w:rPr>
          <w:rFonts w:ascii="宋体" w:hAnsi="宋体"/>
          <w:color w:val="auto"/>
          <w:sz w:val="28"/>
          <w:szCs w:val="28"/>
          <w:highlight w:val="none"/>
        </w:rPr>
        <w:t>供应商基本情况表</w:t>
      </w:r>
    </w:p>
    <w:p w14:paraId="04C08A60">
      <w:pPr>
        <w:numPr>
          <w:ilvl w:val="0"/>
          <w:numId w:val="0"/>
        </w:numPr>
        <w:jc w:val="center"/>
        <w:rPr>
          <w:rFonts w:hint="default" w:eastAsiaTheme="minorEastAsia"/>
          <w:lang w:val="en-US" w:eastAsia="zh-CN"/>
        </w:rPr>
      </w:pPr>
      <w:r>
        <w:rPr>
          <w:rFonts w:hint="eastAsia"/>
          <w:lang w:eastAsia="zh-CN"/>
        </w:rPr>
        <w:t>（</w:t>
      </w:r>
      <w:r>
        <w:rPr>
          <w:rFonts w:hint="eastAsia"/>
          <w:lang w:val="en-US" w:eastAsia="zh-CN"/>
        </w:rPr>
        <w:t>一</w:t>
      </w:r>
      <w:r>
        <w:rPr>
          <w:rFonts w:hint="eastAsia"/>
          <w:lang w:eastAsia="zh-CN"/>
        </w:rPr>
        <w:t>）</w:t>
      </w:r>
      <w:r>
        <w:rPr>
          <w:rFonts w:hint="eastAsia"/>
          <w:lang w:val="en-US" w:eastAsia="zh-CN"/>
        </w:rPr>
        <w:t>基本情况表</w:t>
      </w:r>
    </w:p>
    <w:tbl>
      <w:tblPr>
        <w:tblStyle w:val="2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30"/>
        <w:gridCol w:w="1048"/>
        <w:gridCol w:w="1079"/>
        <w:gridCol w:w="1305"/>
        <w:gridCol w:w="595"/>
        <w:gridCol w:w="695"/>
        <w:gridCol w:w="537"/>
        <w:gridCol w:w="888"/>
        <w:gridCol w:w="1210"/>
      </w:tblGrid>
      <w:tr w14:paraId="25938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73D5253D">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供应商名称</w:t>
            </w:r>
          </w:p>
        </w:tc>
        <w:tc>
          <w:tcPr>
            <w:tcW w:w="7357" w:type="dxa"/>
            <w:gridSpan w:val="8"/>
            <w:tcBorders>
              <w:top w:val="single" w:color="auto" w:sz="4" w:space="0"/>
              <w:left w:val="nil"/>
              <w:bottom w:val="single" w:color="auto" w:sz="4" w:space="0"/>
              <w:right w:val="single" w:color="auto" w:sz="4" w:space="0"/>
            </w:tcBorders>
            <w:noWrap w:val="0"/>
            <w:vAlign w:val="center"/>
          </w:tcPr>
          <w:p w14:paraId="321F6D0C">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p>
        </w:tc>
      </w:tr>
      <w:tr w14:paraId="4286D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6"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41B35C52">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注册地址</w:t>
            </w:r>
          </w:p>
        </w:tc>
        <w:tc>
          <w:tcPr>
            <w:tcW w:w="4027" w:type="dxa"/>
            <w:gridSpan w:val="4"/>
            <w:tcBorders>
              <w:top w:val="single" w:color="auto" w:sz="4" w:space="0"/>
              <w:left w:val="nil"/>
              <w:bottom w:val="single" w:color="auto" w:sz="4" w:space="0"/>
              <w:right w:val="single" w:color="auto" w:sz="4" w:space="0"/>
            </w:tcBorders>
            <w:noWrap w:val="0"/>
            <w:vAlign w:val="center"/>
          </w:tcPr>
          <w:p w14:paraId="726DE0B1">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p>
        </w:tc>
        <w:tc>
          <w:tcPr>
            <w:tcW w:w="1232" w:type="dxa"/>
            <w:gridSpan w:val="2"/>
            <w:tcBorders>
              <w:top w:val="single" w:color="auto" w:sz="4" w:space="0"/>
              <w:left w:val="nil"/>
              <w:bottom w:val="single" w:color="auto" w:sz="4" w:space="0"/>
              <w:right w:val="single" w:color="auto" w:sz="4" w:space="0"/>
            </w:tcBorders>
            <w:noWrap w:val="0"/>
            <w:vAlign w:val="center"/>
          </w:tcPr>
          <w:p w14:paraId="76C6F861">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邮政编码</w:t>
            </w:r>
          </w:p>
        </w:tc>
        <w:tc>
          <w:tcPr>
            <w:tcW w:w="2098" w:type="dxa"/>
            <w:gridSpan w:val="2"/>
            <w:tcBorders>
              <w:top w:val="single" w:color="auto" w:sz="4" w:space="0"/>
              <w:left w:val="nil"/>
              <w:bottom w:val="single" w:color="auto" w:sz="4" w:space="0"/>
              <w:right w:val="single" w:color="auto" w:sz="4" w:space="0"/>
            </w:tcBorders>
            <w:noWrap w:val="0"/>
            <w:vAlign w:val="center"/>
          </w:tcPr>
          <w:p w14:paraId="22B50231">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p>
        </w:tc>
      </w:tr>
      <w:tr w14:paraId="37870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1930" w:type="dxa"/>
            <w:vMerge w:val="restart"/>
            <w:tcBorders>
              <w:top w:val="nil"/>
              <w:left w:val="single" w:color="auto" w:sz="4" w:space="0"/>
              <w:bottom w:val="single" w:color="auto" w:sz="4" w:space="0"/>
              <w:right w:val="single" w:color="auto" w:sz="4" w:space="0"/>
            </w:tcBorders>
            <w:noWrap w:val="0"/>
            <w:vAlign w:val="center"/>
          </w:tcPr>
          <w:p w14:paraId="36E6BB70">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联系方式</w:t>
            </w:r>
          </w:p>
        </w:tc>
        <w:tc>
          <w:tcPr>
            <w:tcW w:w="1048" w:type="dxa"/>
            <w:tcBorders>
              <w:top w:val="single" w:color="auto" w:sz="4" w:space="0"/>
              <w:left w:val="nil"/>
              <w:bottom w:val="single" w:color="auto" w:sz="4" w:space="0"/>
              <w:right w:val="single" w:color="auto" w:sz="4" w:space="0"/>
            </w:tcBorders>
            <w:noWrap w:val="0"/>
            <w:vAlign w:val="center"/>
          </w:tcPr>
          <w:p w14:paraId="2276E236">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联系人</w:t>
            </w:r>
          </w:p>
        </w:tc>
        <w:tc>
          <w:tcPr>
            <w:tcW w:w="2979" w:type="dxa"/>
            <w:gridSpan w:val="3"/>
            <w:tcBorders>
              <w:top w:val="single" w:color="auto" w:sz="4" w:space="0"/>
              <w:left w:val="nil"/>
              <w:bottom w:val="single" w:color="auto" w:sz="4" w:space="0"/>
              <w:right w:val="single" w:color="auto" w:sz="4" w:space="0"/>
            </w:tcBorders>
            <w:noWrap w:val="0"/>
            <w:vAlign w:val="center"/>
          </w:tcPr>
          <w:p w14:paraId="6A4F3FBE">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p>
        </w:tc>
        <w:tc>
          <w:tcPr>
            <w:tcW w:w="1232" w:type="dxa"/>
            <w:gridSpan w:val="2"/>
            <w:tcBorders>
              <w:top w:val="single" w:color="auto" w:sz="4" w:space="0"/>
              <w:left w:val="nil"/>
              <w:bottom w:val="single" w:color="auto" w:sz="4" w:space="0"/>
              <w:right w:val="single" w:color="auto" w:sz="4" w:space="0"/>
            </w:tcBorders>
            <w:noWrap w:val="0"/>
            <w:vAlign w:val="center"/>
          </w:tcPr>
          <w:p w14:paraId="4ED90BF3">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电话</w:t>
            </w:r>
          </w:p>
        </w:tc>
        <w:tc>
          <w:tcPr>
            <w:tcW w:w="2098" w:type="dxa"/>
            <w:gridSpan w:val="2"/>
            <w:tcBorders>
              <w:top w:val="single" w:color="auto" w:sz="4" w:space="0"/>
              <w:left w:val="nil"/>
              <w:bottom w:val="single" w:color="auto" w:sz="4" w:space="0"/>
              <w:right w:val="single" w:color="auto" w:sz="4" w:space="0"/>
            </w:tcBorders>
            <w:noWrap w:val="0"/>
            <w:vAlign w:val="center"/>
          </w:tcPr>
          <w:p w14:paraId="7DA5E66E">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p>
        </w:tc>
      </w:tr>
      <w:tr w14:paraId="48B84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2" w:hRule="atLeast"/>
          <w:jc w:val="center"/>
        </w:trPr>
        <w:tc>
          <w:tcPr>
            <w:tcW w:w="1930" w:type="dxa"/>
            <w:vMerge w:val="continue"/>
            <w:tcBorders>
              <w:top w:val="nil"/>
              <w:left w:val="single" w:color="auto" w:sz="4" w:space="0"/>
              <w:bottom w:val="single" w:color="auto" w:sz="4" w:space="0"/>
              <w:right w:val="single" w:color="auto" w:sz="4" w:space="0"/>
            </w:tcBorders>
            <w:noWrap w:val="0"/>
            <w:vAlign w:val="center"/>
          </w:tcPr>
          <w:p w14:paraId="3EC143BA">
            <w:pPr>
              <w:widowControl/>
              <w:spacing w:before="0" w:beforeLines="0" w:beforeAutospacing="0" w:afterAutospacing="0"/>
              <w:ind w:left="0" w:right="0"/>
              <w:rPr>
                <w:rFonts w:ascii="宋体" w:hAnsi="宋体" w:eastAsia="宋体" w:cs="Calibri"/>
                <w:color w:val="auto"/>
                <w:kern w:val="2"/>
                <w:sz w:val="24"/>
                <w:szCs w:val="24"/>
                <w:highlight w:val="none"/>
              </w:rPr>
            </w:pPr>
          </w:p>
        </w:tc>
        <w:tc>
          <w:tcPr>
            <w:tcW w:w="1048" w:type="dxa"/>
            <w:tcBorders>
              <w:top w:val="single" w:color="auto" w:sz="4" w:space="0"/>
              <w:left w:val="nil"/>
              <w:bottom w:val="single" w:color="auto" w:sz="4" w:space="0"/>
              <w:right w:val="single" w:color="auto" w:sz="4" w:space="0"/>
            </w:tcBorders>
            <w:noWrap w:val="0"/>
            <w:vAlign w:val="center"/>
          </w:tcPr>
          <w:p w14:paraId="31507033">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传真</w:t>
            </w:r>
          </w:p>
        </w:tc>
        <w:tc>
          <w:tcPr>
            <w:tcW w:w="2979" w:type="dxa"/>
            <w:gridSpan w:val="3"/>
            <w:tcBorders>
              <w:top w:val="single" w:color="auto" w:sz="4" w:space="0"/>
              <w:left w:val="nil"/>
              <w:bottom w:val="single" w:color="auto" w:sz="4" w:space="0"/>
              <w:right w:val="single" w:color="auto" w:sz="4" w:space="0"/>
            </w:tcBorders>
            <w:noWrap w:val="0"/>
            <w:vAlign w:val="center"/>
          </w:tcPr>
          <w:p w14:paraId="77CA739B">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p>
        </w:tc>
        <w:tc>
          <w:tcPr>
            <w:tcW w:w="1232" w:type="dxa"/>
            <w:gridSpan w:val="2"/>
            <w:tcBorders>
              <w:top w:val="single" w:color="auto" w:sz="4" w:space="0"/>
              <w:left w:val="nil"/>
              <w:bottom w:val="single" w:color="auto" w:sz="4" w:space="0"/>
              <w:right w:val="single" w:color="auto" w:sz="4" w:space="0"/>
            </w:tcBorders>
            <w:noWrap w:val="0"/>
            <w:vAlign w:val="center"/>
          </w:tcPr>
          <w:p w14:paraId="4EEF9956">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网址</w:t>
            </w:r>
          </w:p>
        </w:tc>
        <w:tc>
          <w:tcPr>
            <w:tcW w:w="2098" w:type="dxa"/>
            <w:gridSpan w:val="2"/>
            <w:tcBorders>
              <w:top w:val="single" w:color="auto" w:sz="4" w:space="0"/>
              <w:left w:val="nil"/>
              <w:bottom w:val="single" w:color="auto" w:sz="4" w:space="0"/>
              <w:right w:val="single" w:color="auto" w:sz="4" w:space="0"/>
            </w:tcBorders>
            <w:noWrap w:val="0"/>
            <w:vAlign w:val="center"/>
          </w:tcPr>
          <w:p w14:paraId="2EC357CF">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p>
        </w:tc>
      </w:tr>
      <w:tr w14:paraId="1113D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6"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7859A83E">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组织结构</w:t>
            </w:r>
          </w:p>
        </w:tc>
        <w:tc>
          <w:tcPr>
            <w:tcW w:w="7357" w:type="dxa"/>
            <w:gridSpan w:val="8"/>
            <w:tcBorders>
              <w:top w:val="single" w:color="auto" w:sz="4" w:space="0"/>
              <w:left w:val="nil"/>
              <w:bottom w:val="single" w:color="auto" w:sz="4" w:space="0"/>
              <w:right w:val="single" w:color="auto" w:sz="4" w:space="0"/>
            </w:tcBorders>
            <w:noWrap w:val="0"/>
            <w:vAlign w:val="center"/>
          </w:tcPr>
          <w:p w14:paraId="46BF358C">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p>
        </w:tc>
      </w:tr>
      <w:tr w14:paraId="2D63F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532DA291">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法定代表人</w:t>
            </w:r>
          </w:p>
        </w:tc>
        <w:tc>
          <w:tcPr>
            <w:tcW w:w="1048" w:type="dxa"/>
            <w:tcBorders>
              <w:top w:val="single" w:color="auto" w:sz="4" w:space="0"/>
              <w:left w:val="nil"/>
              <w:bottom w:val="single" w:color="auto" w:sz="4" w:space="0"/>
              <w:right w:val="single" w:color="auto" w:sz="4" w:space="0"/>
            </w:tcBorders>
            <w:noWrap w:val="0"/>
            <w:vAlign w:val="center"/>
          </w:tcPr>
          <w:p w14:paraId="6CF821C6">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姓名</w:t>
            </w:r>
          </w:p>
        </w:tc>
        <w:tc>
          <w:tcPr>
            <w:tcW w:w="1079" w:type="dxa"/>
            <w:tcBorders>
              <w:top w:val="single" w:color="auto" w:sz="4" w:space="0"/>
              <w:left w:val="nil"/>
              <w:bottom w:val="single" w:color="auto" w:sz="4" w:space="0"/>
              <w:right w:val="single" w:color="auto" w:sz="4" w:space="0"/>
            </w:tcBorders>
            <w:noWrap w:val="0"/>
            <w:vAlign w:val="center"/>
          </w:tcPr>
          <w:p w14:paraId="79F4D73D">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p>
        </w:tc>
        <w:tc>
          <w:tcPr>
            <w:tcW w:w="1305" w:type="dxa"/>
            <w:tcBorders>
              <w:top w:val="single" w:color="auto" w:sz="4" w:space="0"/>
              <w:left w:val="nil"/>
              <w:bottom w:val="single" w:color="auto" w:sz="4" w:space="0"/>
              <w:right w:val="single" w:color="auto" w:sz="4" w:space="0"/>
            </w:tcBorders>
            <w:noWrap w:val="0"/>
            <w:vAlign w:val="center"/>
          </w:tcPr>
          <w:p w14:paraId="1E7443C0">
            <w:pPr>
              <w:widowControl/>
              <w:tabs>
                <w:tab w:val="left" w:pos="222"/>
              </w:tabs>
              <w:spacing w:before="0" w:beforeLines="0" w:beforeAutospacing="0" w:afterAutospacing="0" w:line="360" w:lineRule="auto"/>
              <w:ind w:left="0" w:right="0"/>
              <w:jc w:val="left"/>
              <w:rPr>
                <w:rFonts w:hint="default" w:ascii="宋体" w:hAnsi="宋体" w:eastAsia="宋体" w:cs="Calibri"/>
                <w:color w:val="auto"/>
                <w:kern w:val="2"/>
                <w:sz w:val="24"/>
                <w:szCs w:val="24"/>
                <w:highlight w:val="none"/>
                <w:lang w:val="en-US" w:eastAsia="zh-CN"/>
              </w:rPr>
            </w:pPr>
            <w:r>
              <w:rPr>
                <w:rFonts w:hint="eastAsia" w:ascii="宋体" w:hAnsi="宋体" w:eastAsia="宋体" w:cs="Calibri"/>
                <w:color w:val="auto"/>
                <w:kern w:val="2"/>
                <w:sz w:val="24"/>
                <w:szCs w:val="24"/>
                <w:highlight w:val="none"/>
                <w:lang w:val="en-US" w:eastAsia="zh-CN"/>
              </w:rPr>
              <w:t>技术职称</w:t>
            </w:r>
          </w:p>
        </w:tc>
        <w:tc>
          <w:tcPr>
            <w:tcW w:w="1290" w:type="dxa"/>
            <w:gridSpan w:val="2"/>
            <w:tcBorders>
              <w:top w:val="single" w:color="auto" w:sz="4" w:space="0"/>
              <w:left w:val="nil"/>
              <w:bottom w:val="single" w:color="auto" w:sz="4" w:space="0"/>
              <w:right w:val="single" w:color="auto" w:sz="4" w:space="0"/>
            </w:tcBorders>
            <w:noWrap w:val="0"/>
            <w:vAlign w:val="center"/>
          </w:tcPr>
          <w:p w14:paraId="33B9E7C3">
            <w:pPr>
              <w:widowControl/>
              <w:tabs>
                <w:tab w:val="left" w:pos="222"/>
              </w:tabs>
              <w:spacing w:before="0" w:beforeLines="0" w:beforeAutospacing="0" w:afterAutospacing="0" w:line="360" w:lineRule="auto"/>
              <w:ind w:left="0" w:right="0"/>
              <w:jc w:val="left"/>
              <w:rPr>
                <w:rFonts w:hint="eastAsia" w:ascii="宋体" w:hAnsi="宋体" w:eastAsia="宋体" w:cs="Calibri"/>
                <w:color w:val="auto"/>
                <w:kern w:val="2"/>
                <w:sz w:val="24"/>
                <w:szCs w:val="24"/>
                <w:highlight w:val="none"/>
                <w:lang w:eastAsia="zh-CN"/>
              </w:rPr>
            </w:pPr>
          </w:p>
        </w:tc>
        <w:tc>
          <w:tcPr>
            <w:tcW w:w="1425" w:type="dxa"/>
            <w:gridSpan w:val="2"/>
            <w:tcBorders>
              <w:top w:val="single" w:color="auto" w:sz="4" w:space="0"/>
              <w:left w:val="nil"/>
              <w:bottom w:val="single" w:color="auto" w:sz="4" w:space="0"/>
              <w:right w:val="single" w:color="auto" w:sz="4" w:space="0"/>
            </w:tcBorders>
            <w:noWrap w:val="0"/>
            <w:vAlign w:val="center"/>
          </w:tcPr>
          <w:p w14:paraId="0E694CD7">
            <w:pPr>
              <w:widowControl/>
              <w:spacing w:before="0" w:beforeLines="0" w:beforeAutospacing="0" w:afterAutospacing="0" w:line="360" w:lineRule="auto"/>
              <w:ind w:left="0" w:leftChars="0" w:right="0" w:rightChars="0"/>
              <w:jc w:val="center"/>
              <w:rPr>
                <w:rFonts w:hint="eastAsia"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联系方式</w:t>
            </w:r>
          </w:p>
        </w:tc>
        <w:tc>
          <w:tcPr>
            <w:tcW w:w="1210" w:type="dxa"/>
            <w:tcBorders>
              <w:top w:val="single" w:color="auto" w:sz="4" w:space="0"/>
              <w:left w:val="nil"/>
              <w:bottom w:val="single" w:color="auto" w:sz="4" w:space="0"/>
              <w:right w:val="single" w:color="auto" w:sz="4" w:space="0"/>
            </w:tcBorders>
            <w:noWrap w:val="0"/>
            <w:vAlign w:val="center"/>
          </w:tcPr>
          <w:p w14:paraId="351513BD">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p>
        </w:tc>
      </w:tr>
      <w:tr w14:paraId="24763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3"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0A0A0BAC">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lang w:val="en-US" w:eastAsia="zh-CN"/>
              </w:rPr>
              <w:t>技术</w:t>
            </w:r>
            <w:r>
              <w:rPr>
                <w:rFonts w:hint="eastAsia" w:ascii="宋体" w:hAnsi="宋体" w:eastAsia="宋体" w:cs="Calibri"/>
                <w:color w:val="auto"/>
                <w:kern w:val="2"/>
                <w:sz w:val="24"/>
                <w:szCs w:val="24"/>
                <w:highlight w:val="none"/>
              </w:rPr>
              <w:t>负责人</w:t>
            </w:r>
          </w:p>
        </w:tc>
        <w:tc>
          <w:tcPr>
            <w:tcW w:w="1048" w:type="dxa"/>
            <w:tcBorders>
              <w:top w:val="single" w:color="auto" w:sz="4" w:space="0"/>
              <w:left w:val="nil"/>
              <w:bottom w:val="single" w:color="auto" w:sz="4" w:space="0"/>
              <w:right w:val="single" w:color="auto" w:sz="4" w:space="0"/>
            </w:tcBorders>
            <w:noWrap w:val="0"/>
            <w:vAlign w:val="center"/>
          </w:tcPr>
          <w:p w14:paraId="14217202">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姓名</w:t>
            </w:r>
          </w:p>
        </w:tc>
        <w:tc>
          <w:tcPr>
            <w:tcW w:w="1079" w:type="dxa"/>
            <w:tcBorders>
              <w:top w:val="single" w:color="auto" w:sz="4" w:space="0"/>
              <w:left w:val="nil"/>
              <w:bottom w:val="single" w:color="auto" w:sz="4" w:space="0"/>
              <w:right w:val="single" w:color="auto" w:sz="4" w:space="0"/>
            </w:tcBorders>
            <w:noWrap w:val="0"/>
            <w:vAlign w:val="center"/>
          </w:tcPr>
          <w:p w14:paraId="60CD1B53">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p>
        </w:tc>
        <w:tc>
          <w:tcPr>
            <w:tcW w:w="1305" w:type="dxa"/>
            <w:tcBorders>
              <w:top w:val="single" w:color="auto" w:sz="4" w:space="0"/>
              <w:left w:val="nil"/>
              <w:bottom w:val="single" w:color="auto" w:sz="4" w:space="0"/>
              <w:right w:val="single" w:color="auto" w:sz="4" w:space="0"/>
            </w:tcBorders>
            <w:noWrap w:val="0"/>
            <w:vAlign w:val="center"/>
          </w:tcPr>
          <w:p w14:paraId="33304E2B">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lang w:val="en-US" w:eastAsia="zh-CN"/>
              </w:rPr>
              <w:t>技术职称</w:t>
            </w:r>
          </w:p>
        </w:tc>
        <w:tc>
          <w:tcPr>
            <w:tcW w:w="1290" w:type="dxa"/>
            <w:gridSpan w:val="2"/>
            <w:tcBorders>
              <w:top w:val="single" w:color="auto" w:sz="4" w:space="0"/>
              <w:left w:val="nil"/>
              <w:bottom w:val="single" w:color="auto" w:sz="4" w:space="0"/>
              <w:right w:val="single" w:color="auto" w:sz="4" w:space="0"/>
            </w:tcBorders>
            <w:noWrap w:val="0"/>
            <w:vAlign w:val="center"/>
          </w:tcPr>
          <w:p w14:paraId="5E792D8C">
            <w:pPr>
              <w:widowControl/>
              <w:spacing w:before="0" w:beforeLines="0" w:beforeAutospacing="0" w:afterAutospacing="0" w:line="360" w:lineRule="auto"/>
              <w:ind w:left="0" w:right="0"/>
              <w:jc w:val="center"/>
              <w:rPr>
                <w:rFonts w:hint="eastAsia" w:ascii="宋体" w:hAnsi="宋体" w:eastAsia="宋体" w:cs="Calibri"/>
                <w:color w:val="auto"/>
                <w:kern w:val="2"/>
                <w:sz w:val="24"/>
                <w:szCs w:val="24"/>
                <w:highlight w:val="none"/>
                <w:lang w:val="en-US" w:eastAsia="zh-CN"/>
              </w:rPr>
            </w:pPr>
          </w:p>
        </w:tc>
        <w:tc>
          <w:tcPr>
            <w:tcW w:w="1425" w:type="dxa"/>
            <w:gridSpan w:val="2"/>
            <w:tcBorders>
              <w:top w:val="single" w:color="auto" w:sz="4" w:space="0"/>
              <w:left w:val="nil"/>
              <w:bottom w:val="single" w:color="auto" w:sz="4" w:space="0"/>
              <w:right w:val="single" w:color="auto" w:sz="4" w:space="0"/>
            </w:tcBorders>
            <w:noWrap w:val="0"/>
            <w:vAlign w:val="center"/>
          </w:tcPr>
          <w:p w14:paraId="2DAFD8C2">
            <w:pPr>
              <w:widowControl/>
              <w:spacing w:before="0" w:beforeLines="0" w:beforeAutospacing="0" w:afterAutospacing="0" w:line="360" w:lineRule="auto"/>
              <w:ind w:left="0" w:leftChars="0" w:right="0" w:rightChars="0"/>
              <w:jc w:val="center"/>
              <w:rPr>
                <w:rFonts w:hint="eastAsia"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联系方式</w:t>
            </w:r>
          </w:p>
        </w:tc>
        <w:tc>
          <w:tcPr>
            <w:tcW w:w="1210" w:type="dxa"/>
            <w:tcBorders>
              <w:top w:val="single" w:color="auto" w:sz="4" w:space="0"/>
              <w:left w:val="nil"/>
              <w:bottom w:val="single" w:color="auto" w:sz="4" w:space="0"/>
              <w:right w:val="single" w:color="auto" w:sz="4" w:space="0"/>
            </w:tcBorders>
            <w:noWrap w:val="0"/>
            <w:vAlign w:val="center"/>
          </w:tcPr>
          <w:p w14:paraId="2AD7B2A9">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p>
        </w:tc>
      </w:tr>
      <w:tr w14:paraId="4D670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0E75A98D">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成立时间</w:t>
            </w:r>
          </w:p>
        </w:tc>
        <w:tc>
          <w:tcPr>
            <w:tcW w:w="2127" w:type="dxa"/>
            <w:gridSpan w:val="2"/>
            <w:tcBorders>
              <w:top w:val="single" w:color="auto" w:sz="4" w:space="0"/>
              <w:left w:val="nil"/>
              <w:bottom w:val="single" w:color="auto" w:sz="4" w:space="0"/>
              <w:right w:val="single" w:color="auto" w:sz="4" w:space="0"/>
            </w:tcBorders>
            <w:noWrap w:val="0"/>
            <w:vAlign w:val="center"/>
          </w:tcPr>
          <w:p w14:paraId="25DC363E">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p>
        </w:tc>
        <w:tc>
          <w:tcPr>
            <w:tcW w:w="5230" w:type="dxa"/>
            <w:gridSpan w:val="6"/>
            <w:tcBorders>
              <w:top w:val="single" w:color="auto" w:sz="4" w:space="0"/>
              <w:left w:val="nil"/>
              <w:bottom w:val="single" w:color="auto" w:sz="4" w:space="0"/>
              <w:right w:val="single" w:color="auto" w:sz="4" w:space="0"/>
            </w:tcBorders>
            <w:noWrap w:val="0"/>
            <w:vAlign w:val="center"/>
          </w:tcPr>
          <w:p w14:paraId="24E6A01B">
            <w:pPr>
              <w:widowControl/>
              <w:spacing w:before="0" w:beforeLines="0" w:beforeAutospacing="0" w:afterAutospacing="0" w:line="360" w:lineRule="auto"/>
              <w:ind w:left="0" w:right="0"/>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员工总人数：</w:t>
            </w:r>
          </w:p>
        </w:tc>
      </w:tr>
      <w:tr w14:paraId="22571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9"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145C594A">
            <w:pPr>
              <w:widowControl/>
              <w:tabs>
                <w:tab w:val="left" w:pos="574"/>
              </w:tabs>
              <w:spacing w:before="0" w:beforeLines="0" w:beforeAutospacing="0" w:afterAutospacing="0" w:line="360" w:lineRule="auto"/>
              <w:ind w:left="0" w:right="0"/>
              <w:jc w:val="left"/>
              <w:rPr>
                <w:rFonts w:hint="eastAsia" w:ascii="宋体" w:hAnsi="宋体" w:eastAsia="宋体" w:cs="Calibri"/>
                <w:color w:val="auto"/>
                <w:kern w:val="2"/>
                <w:sz w:val="24"/>
                <w:szCs w:val="24"/>
                <w:highlight w:val="none"/>
                <w:lang w:eastAsia="zh-CN"/>
              </w:rPr>
            </w:pPr>
            <w:r>
              <w:rPr>
                <w:rFonts w:hint="eastAsia" w:ascii="宋体" w:hAnsi="宋体" w:eastAsia="宋体" w:cs="Calibri"/>
                <w:color w:val="auto"/>
                <w:kern w:val="2"/>
                <w:sz w:val="24"/>
                <w:szCs w:val="24"/>
                <w:highlight w:val="none"/>
                <w:lang w:eastAsia="zh-CN"/>
              </w:rPr>
              <w:t>企业资质等级</w:t>
            </w:r>
          </w:p>
        </w:tc>
        <w:tc>
          <w:tcPr>
            <w:tcW w:w="7357" w:type="dxa"/>
            <w:gridSpan w:val="8"/>
            <w:tcBorders>
              <w:top w:val="single" w:color="auto" w:sz="4" w:space="0"/>
              <w:left w:val="nil"/>
              <w:bottom w:val="single" w:color="auto" w:sz="4" w:space="0"/>
              <w:right w:val="single" w:color="auto" w:sz="4" w:space="0"/>
            </w:tcBorders>
            <w:noWrap w:val="0"/>
            <w:vAlign w:val="center"/>
          </w:tcPr>
          <w:p w14:paraId="54EE3157">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p>
        </w:tc>
      </w:tr>
      <w:tr w14:paraId="1C1B9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9"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0D714CCC">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营业执照号</w:t>
            </w:r>
          </w:p>
        </w:tc>
        <w:tc>
          <w:tcPr>
            <w:tcW w:w="7357" w:type="dxa"/>
            <w:gridSpan w:val="8"/>
            <w:tcBorders>
              <w:top w:val="single" w:color="auto" w:sz="4" w:space="0"/>
              <w:left w:val="nil"/>
              <w:bottom w:val="single" w:color="auto" w:sz="4" w:space="0"/>
              <w:right w:val="single" w:color="auto" w:sz="4" w:space="0"/>
            </w:tcBorders>
            <w:noWrap w:val="0"/>
            <w:vAlign w:val="center"/>
          </w:tcPr>
          <w:p w14:paraId="583C5248">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p>
        </w:tc>
      </w:tr>
      <w:tr w14:paraId="7D7E1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5DC3CB1E">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注册资金</w:t>
            </w:r>
          </w:p>
        </w:tc>
        <w:tc>
          <w:tcPr>
            <w:tcW w:w="7357" w:type="dxa"/>
            <w:gridSpan w:val="8"/>
            <w:tcBorders>
              <w:top w:val="single" w:color="auto" w:sz="4" w:space="0"/>
              <w:left w:val="nil"/>
              <w:bottom w:val="single" w:color="auto" w:sz="4" w:space="0"/>
              <w:right w:val="single" w:color="auto" w:sz="4" w:space="0"/>
            </w:tcBorders>
            <w:noWrap w:val="0"/>
            <w:vAlign w:val="center"/>
          </w:tcPr>
          <w:p w14:paraId="2C67992D">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p>
        </w:tc>
      </w:tr>
      <w:tr w14:paraId="0AD10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7FFDD263">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开户银行</w:t>
            </w:r>
          </w:p>
        </w:tc>
        <w:tc>
          <w:tcPr>
            <w:tcW w:w="7357" w:type="dxa"/>
            <w:gridSpan w:val="8"/>
            <w:tcBorders>
              <w:top w:val="single" w:color="auto" w:sz="4" w:space="0"/>
              <w:left w:val="nil"/>
              <w:bottom w:val="single" w:color="auto" w:sz="4" w:space="0"/>
              <w:right w:val="single" w:color="auto" w:sz="4" w:space="0"/>
            </w:tcBorders>
            <w:noWrap w:val="0"/>
            <w:vAlign w:val="center"/>
          </w:tcPr>
          <w:p w14:paraId="3C9DBD53">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p>
        </w:tc>
      </w:tr>
      <w:tr w14:paraId="4CBF6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7"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16326D90">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账号</w:t>
            </w:r>
          </w:p>
        </w:tc>
        <w:tc>
          <w:tcPr>
            <w:tcW w:w="7357" w:type="dxa"/>
            <w:gridSpan w:val="8"/>
            <w:tcBorders>
              <w:top w:val="single" w:color="auto" w:sz="4" w:space="0"/>
              <w:left w:val="nil"/>
              <w:bottom w:val="single" w:color="auto" w:sz="4" w:space="0"/>
              <w:right w:val="single" w:color="auto" w:sz="4" w:space="0"/>
            </w:tcBorders>
            <w:noWrap w:val="0"/>
            <w:vAlign w:val="center"/>
          </w:tcPr>
          <w:p w14:paraId="06E8FB3C">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p>
        </w:tc>
      </w:tr>
      <w:tr w14:paraId="30714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6"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1A21CACA">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经营范围</w:t>
            </w:r>
          </w:p>
        </w:tc>
        <w:tc>
          <w:tcPr>
            <w:tcW w:w="7357" w:type="dxa"/>
            <w:gridSpan w:val="8"/>
            <w:tcBorders>
              <w:top w:val="single" w:color="auto" w:sz="4" w:space="0"/>
              <w:left w:val="nil"/>
              <w:bottom w:val="single" w:color="auto" w:sz="4" w:space="0"/>
              <w:right w:val="single" w:color="auto" w:sz="4" w:space="0"/>
            </w:tcBorders>
            <w:noWrap w:val="0"/>
            <w:vAlign w:val="center"/>
          </w:tcPr>
          <w:p w14:paraId="6863F325">
            <w:pPr>
              <w:widowControl/>
              <w:spacing w:before="0" w:beforeLines="0" w:beforeAutospacing="0" w:afterAutospacing="0" w:line="360" w:lineRule="auto"/>
              <w:ind w:left="0" w:right="0" w:firstLine="480" w:firstLineChars="200"/>
              <w:jc w:val="center"/>
              <w:rPr>
                <w:rFonts w:ascii="宋体" w:hAnsi="宋体" w:eastAsia="宋体" w:cs="Calibri"/>
                <w:color w:val="auto"/>
                <w:kern w:val="2"/>
                <w:sz w:val="24"/>
                <w:szCs w:val="24"/>
                <w:highlight w:val="none"/>
              </w:rPr>
            </w:pPr>
          </w:p>
        </w:tc>
      </w:tr>
      <w:tr w14:paraId="3927B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1" w:hRule="atLeast"/>
          <w:jc w:val="center"/>
        </w:trPr>
        <w:tc>
          <w:tcPr>
            <w:tcW w:w="1930" w:type="dxa"/>
            <w:tcBorders>
              <w:top w:val="single" w:color="auto" w:sz="4" w:space="0"/>
              <w:left w:val="single" w:color="auto" w:sz="4" w:space="0"/>
              <w:bottom w:val="single" w:color="auto" w:sz="4" w:space="0"/>
              <w:right w:val="single" w:color="auto" w:sz="4" w:space="0"/>
            </w:tcBorders>
            <w:noWrap w:val="0"/>
            <w:vAlign w:val="center"/>
          </w:tcPr>
          <w:p w14:paraId="38B1A2D9">
            <w:pPr>
              <w:widowControl/>
              <w:spacing w:before="0" w:beforeLines="0" w:beforeAutospacing="0" w:afterAutospacing="0" w:line="360" w:lineRule="auto"/>
              <w:ind w:left="0" w:right="0"/>
              <w:jc w:val="center"/>
              <w:rPr>
                <w:rFonts w:ascii="宋体" w:hAnsi="宋体" w:eastAsia="宋体" w:cs="Calibri"/>
                <w:color w:val="auto"/>
                <w:kern w:val="2"/>
                <w:sz w:val="24"/>
                <w:szCs w:val="24"/>
                <w:highlight w:val="none"/>
              </w:rPr>
            </w:pPr>
            <w:r>
              <w:rPr>
                <w:rFonts w:hint="eastAsia" w:ascii="宋体" w:hAnsi="宋体" w:eastAsia="宋体" w:cs="Calibri"/>
                <w:color w:val="auto"/>
                <w:kern w:val="2"/>
                <w:sz w:val="24"/>
                <w:szCs w:val="24"/>
                <w:highlight w:val="none"/>
              </w:rPr>
              <w:t>备注</w:t>
            </w:r>
          </w:p>
        </w:tc>
        <w:tc>
          <w:tcPr>
            <w:tcW w:w="7357" w:type="dxa"/>
            <w:gridSpan w:val="8"/>
            <w:tcBorders>
              <w:top w:val="single" w:color="auto" w:sz="4" w:space="0"/>
              <w:left w:val="nil"/>
              <w:bottom w:val="single" w:color="auto" w:sz="4" w:space="0"/>
              <w:right w:val="single" w:color="auto" w:sz="4" w:space="0"/>
            </w:tcBorders>
            <w:noWrap w:val="0"/>
            <w:vAlign w:val="center"/>
          </w:tcPr>
          <w:p w14:paraId="1AFA14D7">
            <w:pPr>
              <w:widowControl/>
              <w:spacing w:before="0" w:beforeLines="0" w:beforeAutospacing="0" w:afterAutospacing="0" w:line="360" w:lineRule="auto"/>
              <w:ind w:left="0" w:right="0" w:firstLine="480" w:firstLineChars="200"/>
              <w:jc w:val="center"/>
              <w:rPr>
                <w:rFonts w:ascii="宋体" w:hAnsi="宋体" w:eastAsia="宋体" w:cs="Calibri"/>
                <w:color w:val="auto"/>
                <w:kern w:val="2"/>
                <w:sz w:val="24"/>
                <w:szCs w:val="24"/>
                <w:highlight w:val="none"/>
              </w:rPr>
            </w:pPr>
          </w:p>
        </w:tc>
      </w:tr>
    </w:tbl>
    <w:p w14:paraId="53897F9E">
      <w:pPr>
        <w:spacing w:line="360" w:lineRule="auto"/>
        <w:jc w:val="center"/>
        <w:outlineLvl w:val="0"/>
        <w:rPr>
          <w:rFonts w:ascii="宋体" w:hAnsi="宋体" w:eastAsia="宋体"/>
          <w:b/>
          <w:bCs/>
          <w:color w:val="auto"/>
          <w:sz w:val="21"/>
          <w:szCs w:val="21"/>
          <w:highlight w:val="none"/>
        </w:rPr>
      </w:pPr>
    </w:p>
    <w:p w14:paraId="224C9FF8">
      <w:pPr>
        <w:pStyle w:val="13"/>
        <w:rPr>
          <w:rFonts w:ascii="宋体" w:hAnsi="宋体" w:eastAsia="宋体"/>
          <w:b/>
          <w:bCs/>
          <w:color w:val="auto"/>
          <w:sz w:val="21"/>
          <w:szCs w:val="21"/>
          <w:highlight w:val="none"/>
        </w:rPr>
      </w:pPr>
    </w:p>
    <w:p w14:paraId="4B9C7B8F">
      <w:pPr>
        <w:pStyle w:val="13"/>
        <w:rPr>
          <w:rFonts w:ascii="宋体" w:hAnsi="宋体" w:eastAsia="宋体"/>
          <w:b/>
          <w:bCs/>
          <w:color w:val="auto"/>
          <w:sz w:val="21"/>
          <w:szCs w:val="21"/>
          <w:highlight w:val="none"/>
        </w:rPr>
      </w:pPr>
    </w:p>
    <w:p w14:paraId="7E688D0A">
      <w:pPr>
        <w:pStyle w:val="13"/>
        <w:rPr>
          <w:rFonts w:ascii="宋体" w:hAnsi="宋体" w:eastAsia="宋体"/>
          <w:b/>
          <w:bCs/>
          <w:color w:val="auto"/>
          <w:sz w:val="21"/>
          <w:szCs w:val="21"/>
          <w:highlight w:val="none"/>
        </w:rPr>
      </w:pPr>
    </w:p>
    <w:bookmarkEnd w:id="785"/>
    <w:bookmarkEnd w:id="786"/>
    <w:bookmarkEnd w:id="787"/>
    <w:bookmarkEnd w:id="788"/>
    <w:p w14:paraId="53EA79E2">
      <w:pPr>
        <w:widowControl/>
        <w:numPr>
          <w:ilvl w:val="0"/>
          <w:numId w:val="6"/>
        </w:numPr>
        <w:spacing w:line="520" w:lineRule="atLeast"/>
        <w:jc w:val="center"/>
        <w:rPr>
          <w:rFonts w:hint="eastAsia" w:ascii="宋体" w:hAnsi="宋体"/>
          <w:b/>
          <w:bCs/>
          <w:color w:val="000000"/>
          <w:sz w:val="24"/>
          <w:szCs w:val="24"/>
          <w:highlight w:val="none"/>
        </w:rPr>
      </w:pPr>
      <w:bookmarkStart w:id="795" w:name="_Toc12150"/>
      <w:bookmarkStart w:id="796" w:name="_Toc30810"/>
      <w:bookmarkStart w:id="797" w:name="_Toc16636"/>
      <w:bookmarkStart w:id="798" w:name="_Toc4114"/>
      <w:r>
        <w:rPr>
          <w:rFonts w:hint="eastAsia" w:ascii="宋体" w:hAnsi="宋体"/>
          <w:b/>
          <w:bCs/>
          <w:color w:val="000000"/>
          <w:sz w:val="24"/>
          <w:szCs w:val="24"/>
          <w:highlight w:val="none"/>
        </w:rPr>
        <w:t>资格证明资料</w:t>
      </w:r>
    </w:p>
    <w:p w14:paraId="0494A402">
      <w:pPr>
        <w:pStyle w:val="20"/>
        <w:ind w:left="0" w:leftChars="0" w:firstLine="0" w:firstLineChars="0"/>
        <w:jc w:val="center"/>
      </w:pPr>
      <w:r>
        <w:rPr>
          <w:rFonts w:hint="eastAsia" w:ascii="宋体" w:hAnsi="宋体" w:cs="宋体"/>
          <w:b/>
          <w:bCs/>
          <w:sz w:val="22"/>
          <w:szCs w:val="28"/>
          <w:highlight w:val="none"/>
          <w:lang w:val="en-US" w:eastAsia="zh-CN"/>
        </w:rPr>
        <w:t>注：附供应商“</w:t>
      </w:r>
      <w:r>
        <w:rPr>
          <w:rFonts w:hint="eastAsia" w:ascii="宋体" w:hAnsi="宋体" w:cs="宋体"/>
          <w:b/>
          <w:bCs/>
          <w:sz w:val="22"/>
          <w:szCs w:val="28"/>
          <w:highlight w:val="none"/>
        </w:rPr>
        <w:t>资格审查</w:t>
      </w:r>
      <w:r>
        <w:rPr>
          <w:rFonts w:hint="eastAsia" w:ascii="宋体" w:hAnsi="宋体" w:cs="宋体"/>
          <w:b/>
          <w:bCs/>
          <w:sz w:val="22"/>
          <w:szCs w:val="28"/>
          <w:highlight w:val="none"/>
          <w:lang w:val="en-US" w:eastAsia="zh-CN"/>
        </w:rPr>
        <w:t>”</w:t>
      </w:r>
      <w:r>
        <w:rPr>
          <w:rFonts w:hint="eastAsia" w:ascii="宋体" w:hAnsi="宋体" w:cs="宋体"/>
          <w:b/>
          <w:bCs/>
          <w:sz w:val="22"/>
          <w:szCs w:val="28"/>
          <w:highlight w:val="none"/>
        </w:rPr>
        <w:t>规定所有证件的原件扫描件</w:t>
      </w:r>
      <w:r>
        <w:rPr>
          <w:rFonts w:hint="eastAsia" w:ascii="宋体" w:hAnsi="宋体" w:cs="宋体"/>
          <w:b/>
          <w:bCs/>
          <w:sz w:val="22"/>
          <w:szCs w:val="28"/>
          <w:highlight w:val="none"/>
          <w:lang w:val="en-US" w:eastAsia="zh-CN"/>
        </w:rPr>
        <w:t>并加盖电子签章</w:t>
      </w:r>
      <w:r>
        <w:rPr>
          <w:rFonts w:hint="eastAsia" w:ascii="宋体" w:hAnsi="宋体" w:cs="宋体"/>
          <w:b/>
          <w:bCs/>
          <w:sz w:val="22"/>
          <w:szCs w:val="28"/>
          <w:highlight w:val="none"/>
        </w:rPr>
        <w:t>（扫描件须清晰可辨）</w:t>
      </w:r>
    </w:p>
    <w:p w14:paraId="382CCB64">
      <w:pPr>
        <w:pStyle w:val="19"/>
      </w:pPr>
    </w:p>
    <w:p w14:paraId="1DC02309">
      <w:pPr>
        <w:pStyle w:val="20"/>
      </w:pPr>
    </w:p>
    <w:p w14:paraId="786CA74C">
      <w:pPr>
        <w:pStyle w:val="19"/>
      </w:pPr>
    </w:p>
    <w:p w14:paraId="71C32C2B">
      <w:pPr>
        <w:pStyle w:val="20"/>
      </w:pPr>
    </w:p>
    <w:p w14:paraId="6B11315F">
      <w:pPr>
        <w:pStyle w:val="19"/>
      </w:pPr>
    </w:p>
    <w:p w14:paraId="219A06C5">
      <w:pPr>
        <w:pStyle w:val="20"/>
      </w:pPr>
    </w:p>
    <w:p w14:paraId="2FC86F73">
      <w:pPr>
        <w:pStyle w:val="19"/>
      </w:pPr>
    </w:p>
    <w:p w14:paraId="4F1C61F1">
      <w:pPr>
        <w:pStyle w:val="20"/>
      </w:pPr>
    </w:p>
    <w:p w14:paraId="3B6CDFDB">
      <w:pPr>
        <w:pStyle w:val="19"/>
      </w:pPr>
    </w:p>
    <w:p w14:paraId="2894A2DC">
      <w:pPr>
        <w:pStyle w:val="20"/>
      </w:pPr>
    </w:p>
    <w:p w14:paraId="1BC748A4">
      <w:pPr>
        <w:pStyle w:val="19"/>
      </w:pPr>
    </w:p>
    <w:p w14:paraId="1AABB1CE">
      <w:pPr>
        <w:pStyle w:val="20"/>
      </w:pPr>
    </w:p>
    <w:p w14:paraId="50F8DAD5">
      <w:pPr>
        <w:pStyle w:val="19"/>
      </w:pPr>
    </w:p>
    <w:p w14:paraId="118B072D">
      <w:pPr>
        <w:pStyle w:val="20"/>
      </w:pPr>
    </w:p>
    <w:p w14:paraId="1B4BACCD">
      <w:pPr>
        <w:pStyle w:val="19"/>
      </w:pPr>
    </w:p>
    <w:p w14:paraId="543B22EC">
      <w:pPr>
        <w:pStyle w:val="19"/>
      </w:pPr>
    </w:p>
    <w:p w14:paraId="417B1769">
      <w:pPr>
        <w:pStyle w:val="20"/>
      </w:pPr>
    </w:p>
    <w:p w14:paraId="08EAB371">
      <w:pPr>
        <w:pStyle w:val="19"/>
      </w:pPr>
    </w:p>
    <w:bookmarkEnd w:id="795"/>
    <w:bookmarkEnd w:id="796"/>
    <w:bookmarkEnd w:id="797"/>
    <w:bookmarkEnd w:id="798"/>
    <w:p w14:paraId="3E7BEC74">
      <w:pPr>
        <w:widowControl/>
        <w:numPr>
          <w:ilvl w:val="0"/>
          <w:numId w:val="0"/>
        </w:numPr>
        <w:spacing w:line="520" w:lineRule="atLeast"/>
        <w:ind w:leftChars="0"/>
        <w:jc w:val="center"/>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（三）近年完成的类似项目情况表</w:t>
      </w:r>
    </w:p>
    <w:p w14:paraId="7F59F419">
      <w:pPr>
        <w:pStyle w:val="13"/>
        <w:numPr>
          <w:ilvl w:val="0"/>
          <w:numId w:val="0"/>
        </w:numPr>
        <w:ind w:leftChars="0"/>
        <w:rPr>
          <w:rFonts w:hint="eastAsia"/>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4B57C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ign w:val="center"/>
          </w:tcPr>
          <w:p w14:paraId="3405E6DE">
            <w:pPr>
              <w:ind w:firstLine="480"/>
              <w:jc w:val="center"/>
              <w:rPr>
                <w:rFonts w:ascii="宋体"/>
                <w:sz w:val="24"/>
              </w:rPr>
            </w:pPr>
            <w:r>
              <w:rPr>
                <w:rFonts w:hint="eastAsia" w:ascii="宋体" w:hAnsi="宋体"/>
                <w:sz w:val="24"/>
              </w:rPr>
              <w:t>项目名称</w:t>
            </w:r>
          </w:p>
        </w:tc>
        <w:tc>
          <w:tcPr>
            <w:tcW w:w="6094" w:type="dxa"/>
            <w:noWrap/>
            <w:vAlign w:val="center"/>
          </w:tcPr>
          <w:p w14:paraId="733E15CF">
            <w:pPr>
              <w:ind w:firstLine="480"/>
              <w:jc w:val="center"/>
              <w:rPr>
                <w:rFonts w:ascii="宋体"/>
                <w:sz w:val="24"/>
              </w:rPr>
            </w:pPr>
          </w:p>
        </w:tc>
      </w:tr>
      <w:tr w14:paraId="68673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ign w:val="center"/>
          </w:tcPr>
          <w:p w14:paraId="72B0C7EA">
            <w:pPr>
              <w:ind w:firstLine="480"/>
              <w:jc w:val="center"/>
              <w:rPr>
                <w:rFonts w:ascii="宋体"/>
                <w:sz w:val="24"/>
              </w:rPr>
            </w:pPr>
            <w:r>
              <w:rPr>
                <w:rFonts w:hint="eastAsia" w:ascii="宋体" w:hAnsi="宋体"/>
                <w:sz w:val="24"/>
              </w:rPr>
              <w:t>项目所在地</w:t>
            </w:r>
          </w:p>
        </w:tc>
        <w:tc>
          <w:tcPr>
            <w:tcW w:w="6094" w:type="dxa"/>
            <w:noWrap/>
            <w:vAlign w:val="center"/>
          </w:tcPr>
          <w:p w14:paraId="3B2DFF85">
            <w:pPr>
              <w:ind w:firstLine="480"/>
              <w:jc w:val="center"/>
              <w:rPr>
                <w:rFonts w:ascii="宋体"/>
                <w:sz w:val="24"/>
              </w:rPr>
            </w:pPr>
          </w:p>
        </w:tc>
      </w:tr>
      <w:tr w14:paraId="05D15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ign w:val="center"/>
          </w:tcPr>
          <w:p w14:paraId="7E31DB88">
            <w:pPr>
              <w:ind w:firstLine="480"/>
              <w:jc w:val="center"/>
              <w:rPr>
                <w:rFonts w:ascii="宋体"/>
                <w:sz w:val="24"/>
              </w:rPr>
            </w:pPr>
            <w:r>
              <w:rPr>
                <w:rFonts w:hint="eastAsia" w:ascii="宋体" w:hAnsi="宋体"/>
                <w:sz w:val="24"/>
              </w:rPr>
              <w:t>发包人名称</w:t>
            </w:r>
          </w:p>
        </w:tc>
        <w:tc>
          <w:tcPr>
            <w:tcW w:w="6094" w:type="dxa"/>
            <w:noWrap/>
            <w:vAlign w:val="center"/>
          </w:tcPr>
          <w:p w14:paraId="01776CF3">
            <w:pPr>
              <w:ind w:firstLine="480"/>
              <w:jc w:val="center"/>
              <w:rPr>
                <w:rFonts w:ascii="宋体"/>
                <w:sz w:val="24"/>
              </w:rPr>
            </w:pPr>
          </w:p>
        </w:tc>
      </w:tr>
      <w:tr w14:paraId="72C65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ign w:val="center"/>
          </w:tcPr>
          <w:p w14:paraId="6C48F230">
            <w:pPr>
              <w:ind w:firstLine="480"/>
              <w:jc w:val="center"/>
              <w:rPr>
                <w:rFonts w:ascii="宋体"/>
                <w:sz w:val="24"/>
              </w:rPr>
            </w:pPr>
            <w:r>
              <w:rPr>
                <w:rFonts w:hint="eastAsia" w:ascii="宋体" w:hAnsi="宋体"/>
                <w:sz w:val="24"/>
              </w:rPr>
              <w:t>发包人地址</w:t>
            </w:r>
          </w:p>
        </w:tc>
        <w:tc>
          <w:tcPr>
            <w:tcW w:w="6094" w:type="dxa"/>
            <w:noWrap/>
            <w:vAlign w:val="center"/>
          </w:tcPr>
          <w:p w14:paraId="3F322F9B">
            <w:pPr>
              <w:ind w:firstLine="480"/>
              <w:jc w:val="center"/>
              <w:rPr>
                <w:rFonts w:ascii="宋体"/>
                <w:sz w:val="24"/>
              </w:rPr>
            </w:pPr>
          </w:p>
        </w:tc>
      </w:tr>
      <w:tr w14:paraId="69B89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ign w:val="center"/>
          </w:tcPr>
          <w:p w14:paraId="1EFAFC50">
            <w:pPr>
              <w:ind w:firstLine="480"/>
              <w:jc w:val="center"/>
              <w:rPr>
                <w:rFonts w:ascii="宋体"/>
                <w:sz w:val="24"/>
              </w:rPr>
            </w:pPr>
            <w:r>
              <w:rPr>
                <w:rFonts w:hint="eastAsia" w:ascii="宋体" w:hAnsi="宋体"/>
                <w:sz w:val="24"/>
              </w:rPr>
              <w:t>发包人联系人及电话</w:t>
            </w:r>
          </w:p>
        </w:tc>
        <w:tc>
          <w:tcPr>
            <w:tcW w:w="6094" w:type="dxa"/>
            <w:noWrap/>
            <w:vAlign w:val="center"/>
          </w:tcPr>
          <w:p w14:paraId="1449AA8B">
            <w:pPr>
              <w:ind w:firstLine="480"/>
              <w:jc w:val="center"/>
              <w:rPr>
                <w:rFonts w:ascii="宋体"/>
                <w:sz w:val="24"/>
              </w:rPr>
            </w:pPr>
          </w:p>
        </w:tc>
      </w:tr>
      <w:tr w14:paraId="45BA8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ign w:val="center"/>
          </w:tcPr>
          <w:p w14:paraId="264B2FE4">
            <w:pPr>
              <w:ind w:firstLine="480"/>
              <w:jc w:val="center"/>
              <w:rPr>
                <w:rFonts w:ascii="宋体"/>
                <w:sz w:val="24"/>
              </w:rPr>
            </w:pPr>
            <w:r>
              <w:rPr>
                <w:rFonts w:hint="eastAsia" w:ascii="宋体" w:hAnsi="宋体"/>
                <w:sz w:val="24"/>
              </w:rPr>
              <w:t>合同价格</w:t>
            </w:r>
          </w:p>
        </w:tc>
        <w:tc>
          <w:tcPr>
            <w:tcW w:w="6094" w:type="dxa"/>
            <w:noWrap/>
            <w:vAlign w:val="center"/>
          </w:tcPr>
          <w:p w14:paraId="3161D6AB">
            <w:pPr>
              <w:ind w:firstLine="480"/>
              <w:jc w:val="center"/>
              <w:rPr>
                <w:rFonts w:ascii="宋体"/>
                <w:sz w:val="24"/>
              </w:rPr>
            </w:pPr>
          </w:p>
        </w:tc>
      </w:tr>
      <w:tr w14:paraId="69C18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ign w:val="center"/>
          </w:tcPr>
          <w:p w14:paraId="1B4C534F">
            <w:pPr>
              <w:ind w:firstLine="480"/>
              <w:jc w:val="center"/>
              <w:rPr>
                <w:rFonts w:ascii="宋体"/>
                <w:sz w:val="24"/>
              </w:rPr>
            </w:pPr>
            <w:r>
              <w:rPr>
                <w:rFonts w:hint="eastAsia" w:ascii="宋体" w:hAnsi="宋体"/>
                <w:sz w:val="24"/>
              </w:rPr>
              <w:t>开工日期</w:t>
            </w:r>
          </w:p>
        </w:tc>
        <w:tc>
          <w:tcPr>
            <w:tcW w:w="6094" w:type="dxa"/>
            <w:noWrap/>
            <w:vAlign w:val="center"/>
          </w:tcPr>
          <w:p w14:paraId="360CCED0">
            <w:pPr>
              <w:ind w:firstLine="480"/>
              <w:jc w:val="center"/>
              <w:rPr>
                <w:rFonts w:ascii="宋体"/>
                <w:sz w:val="24"/>
              </w:rPr>
            </w:pPr>
          </w:p>
        </w:tc>
      </w:tr>
      <w:tr w14:paraId="47190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ign w:val="center"/>
          </w:tcPr>
          <w:p w14:paraId="6E28C2BE">
            <w:pPr>
              <w:ind w:firstLine="480"/>
              <w:jc w:val="center"/>
              <w:rPr>
                <w:rFonts w:ascii="宋体"/>
                <w:sz w:val="24"/>
              </w:rPr>
            </w:pPr>
            <w:r>
              <w:rPr>
                <w:rFonts w:hint="eastAsia" w:ascii="宋体" w:hAnsi="宋体"/>
                <w:sz w:val="24"/>
              </w:rPr>
              <w:t>竣工日期</w:t>
            </w:r>
          </w:p>
        </w:tc>
        <w:tc>
          <w:tcPr>
            <w:tcW w:w="6094" w:type="dxa"/>
            <w:noWrap/>
            <w:vAlign w:val="center"/>
          </w:tcPr>
          <w:p w14:paraId="1FC585C1">
            <w:pPr>
              <w:ind w:firstLine="480"/>
              <w:jc w:val="center"/>
              <w:rPr>
                <w:rFonts w:ascii="宋体"/>
                <w:sz w:val="24"/>
              </w:rPr>
            </w:pPr>
          </w:p>
        </w:tc>
      </w:tr>
      <w:tr w14:paraId="6279D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ign w:val="center"/>
          </w:tcPr>
          <w:p w14:paraId="59328EEB">
            <w:pPr>
              <w:ind w:firstLine="480"/>
              <w:jc w:val="center"/>
              <w:rPr>
                <w:rFonts w:ascii="宋体"/>
                <w:sz w:val="24"/>
              </w:rPr>
            </w:pPr>
            <w:r>
              <w:rPr>
                <w:rFonts w:hint="eastAsia" w:ascii="宋体" w:hAnsi="宋体"/>
                <w:sz w:val="24"/>
              </w:rPr>
              <w:t>承担的工作</w:t>
            </w:r>
          </w:p>
        </w:tc>
        <w:tc>
          <w:tcPr>
            <w:tcW w:w="6094" w:type="dxa"/>
            <w:noWrap/>
            <w:vAlign w:val="center"/>
          </w:tcPr>
          <w:p w14:paraId="0F9DD809">
            <w:pPr>
              <w:ind w:firstLine="480"/>
              <w:jc w:val="center"/>
              <w:rPr>
                <w:rFonts w:ascii="宋体"/>
                <w:sz w:val="24"/>
              </w:rPr>
            </w:pPr>
          </w:p>
        </w:tc>
      </w:tr>
      <w:tr w14:paraId="757AC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ign w:val="center"/>
          </w:tcPr>
          <w:p w14:paraId="151B3DB9">
            <w:pPr>
              <w:ind w:firstLine="480"/>
              <w:jc w:val="center"/>
              <w:rPr>
                <w:rFonts w:ascii="宋体"/>
                <w:sz w:val="24"/>
              </w:rPr>
            </w:pPr>
            <w:r>
              <w:rPr>
                <w:rFonts w:hint="eastAsia" w:ascii="宋体" w:hAnsi="宋体"/>
                <w:sz w:val="24"/>
              </w:rPr>
              <w:t>工程质量</w:t>
            </w:r>
          </w:p>
        </w:tc>
        <w:tc>
          <w:tcPr>
            <w:tcW w:w="6094" w:type="dxa"/>
            <w:noWrap/>
            <w:vAlign w:val="center"/>
          </w:tcPr>
          <w:p w14:paraId="068B4EC7">
            <w:pPr>
              <w:ind w:firstLine="480"/>
              <w:jc w:val="center"/>
              <w:rPr>
                <w:rFonts w:ascii="宋体"/>
                <w:sz w:val="24"/>
              </w:rPr>
            </w:pPr>
          </w:p>
        </w:tc>
      </w:tr>
      <w:tr w14:paraId="76BD0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ign w:val="center"/>
          </w:tcPr>
          <w:p w14:paraId="39D6308F">
            <w:pPr>
              <w:ind w:firstLine="480"/>
              <w:jc w:val="center"/>
              <w:rPr>
                <w:rFonts w:ascii="宋体"/>
                <w:sz w:val="24"/>
              </w:rPr>
            </w:pPr>
            <w:r>
              <w:rPr>
                <w:rFonts w:hint="eastAsia" w:ascii="宋体" w:hAnsi="宋体"/>
                <w:sz w:val="24"/>
              </w:rPr>
              <w:t>项目负责人</w:t>
            </w:r>
          </w:p>
        </w:tc>
        <w:tc>
          <w:tcPr>
            <w:tcW w:w="6094" w:type="dxa"/>
            <w:noWrap/>
            <w:vAlign w:val="center"/>
          </w:tcPr>
          <w:p w14:paraId="64A0EE91">
            <w:pPr>
              <w:ind w:firstLine="480"/>
              <w:jc w:val="center"/>
              <w:rPr>
                <w:rFonts w:ascii="宋体"/>
                <w:sz w:val="24"/>
              </w:rPr>
            </w:pPr>
          </w:p>
        </w:tc>
      </w:tr>
      <w:tr w14:paraId="098F9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7" w:hRule="atLeast"/>
          <w:jc w:val="center"/>
        </w:trPr>
        <w:tc>
          <w:tcPr>
            <w:tcW w:w="2411" w:type="dxa"/>
            <w:noWrap/>
            <w:vAlign w:val="center"/>
          </w:tcPr>
          <w:p w14:paraId="2F2B91AA">
            <w:pPr>
              <w:ind w:firstLine="480"/>
              <w:jc w:val="center"/>
              <w:rPr>
                <w:rFonts w:ascii="宋体"/>
                <w:sz w:val="24"/>
              </w:rPr>
            </w:pPr>
            <w:r>
              <w:rPr>
                <w:rFonts w:hint="eastAsia" w:ascii="宋体" w:hAnsi="宋体"/>
                <w:sz w:val="24"/>
              </w:rPr>
              <w:t>项目描述</w:t>
            </w:r>
          </w:p>
        </w:tc>
        <w:tc>
          <w:tcPr>
            <w:tcW w:w="6094" w:type="dxa"/>
            <w:noWrap/>
            <w:vAlign w:val="center"/>
          </w:tcPr>
          <w:p w14:paraId="7A6280C0">
            <w:pPr>
              <w:ind w:firstLine="480"/>
              <w:jc w:val="center"/>
              <w:rPr>
                <w:rFonts w:ascii="宋体"/>
                <w:sz w:val="24"/>
              </w:rPr>
            </w:pPr>
          </w:p>
        </w:tc>
      </w:tr>
      <w:tr w14:paraId="2D159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ign w:val="center"/>
          </w:tcPr>
          <w:p w14:paraId="3B949C6A">
            <w:pPr>
              <w:ind w:firstLine="480"/>
              <w:jc w:val="center"/>
              <w:rPr>
                <w:rFonts w:ascii="宋体"/>
                <w:sz w:val="24"/>
              </w:rPr>
            </w:pPr>
            <w:r>
              <w:rPr>
                <w:rFonts w:hint="eastAsia" w:ascii="宋体" w:hAnsi="宋体"/>
                <w:sz w:val="24"/>
              </w:rPr>
              <w:t>备注</w:t>
            </w:r>
          </w:p>
        </w:tc>
        <w:tc>
          <w:tcPr>
            <w:tcW w:w="6094" w:type="dxa"/>
            <w:noWrap/>
            <w:vAlign w:val="center"/>
          </w:tcPr>
          <w:p w14:paraId="5352810E">
            <w:pPr>
              <w:ind w:firstLine="480"/>
              <w:jc w:val="center"/>
              <w:rPr>
                <w:rFonts w:ascii="宋体"/>
                <w:sz w:val="24"/>
              </w:rPr>
            </w:pPr>
          </w:p>
        </w:tc>
      </w:tr>
    </w:tbl>
    <w:p w14:paraId="3E92FA45">
      <w:pPr>
        <w:spacing w:line="360" w:lineRule="auto"/>
        <w:ind w:firstLine="105" w:firstLineChars="50"/>
        <w:rPr>
          <w:rFonts w:hint="eastAsia" w:ascii="宋体" w:hAnsi="宋体" w:eastAsia="宋体"/>
          <w:b/>
          <w:bCs/>
          <w:color w:val="auto"/>
          <w:sz w:val="21"/>
          <w:szCs w:val="21"/>
          <w:highlight w:val="none"/>
        </w:rPr>
      </w:pPr>
    </w:p>
    <w:p w14:paraId="72428EFF">
      <w:pPr>
        <w:spacing w:line="360" w:lineRule="auto"/>
        <w:ind w:firstLine="105" w:firstLineChars="50"/>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备注</w:t>
      </w:r>
      <w:r>
        <w:rPr>
          <w:rFonts w:hint="eastAsia" w:ascii="宋体" w:hAnsi="宋体" w:eastAsia="宋体"/>
          <w:b/>
          <w:bCs/>
          <w:color w:val="auto"/>
          <w:sz w:val="21"/>
          <w:szCs w:val="21"/>
          <w:highlight w:val="none"/>
        </w:rPr>
        <w:t>：本表后附合同协议书</w:t>
      </w:r>
      <w:r>
        <w:rPr>
          <w:rFonts w:hint="eastAsia" w:ascii="宋体" w:hAnsi="宋体" w:eastAsia="宋体"/>
          <w:b/>
          <w:bCs/>
          <w:color w:val="auto"/>
          <w:sz w:val="21"/>
          <w:szCs w:val="21"/>
          <w:highlight w:val="none"/>
          <w:lang w:val="en-US" w:eastAsia="zh-CN"/>
        </w:rPr>
        <w:t>及</w:t>
      </w:r>
      <w:r>
        <w:rPr>
          <w:rFonts w:hint="eastAsia" w:ascii="宋体" w:hAnsi="宋体" w:eastAsia="宋体"/>
          <w:b/>
          <w:bCs/>
          <w:color w:val="auto"/>
          <w:sz w:val="21"/>
          <w:szCs w:val="21"/>
          <w:highlight w:val="none"/>
        </w:rPr>
        <w:t>中标通知书的</w:t>
      </w:r>
      <w:r>
        <w:rPr>
          <w:rFonts w:hint="eastAsia" w:ascii="宋体" w:hAnsi="宋体" w:eastAsia="宋体"/>
          <w:b/>
          <w:bCs/>
          <w:color w:val="auto"/>
          <w:sz w:val="21"/>
          <w:szCs w:val="21"/>
          <w:highlight w:val="none"/>
          <w:lang w:eastAsia="zh-CN"/>
        </w:rPr>
        <w:t>原件扫描件，每张表格只填写一个项目，并标明序号</w:t>
      </w:r>
      <w:r>
        <w:rPr>
          <w:rFonts w:hint="eastAsia" w:ascii="宋体" w:hAnsi="宋体" w:eastAsia="宋体"/>
          <w:b/>
          <w:bCs/>
          <w:color w:val="auto"/>
          <w:sz w:val="21"/>
          <w:szCs w:val="21"/>
          <w:highlight w:val="none"/>
          <w:lang w:val="en-US" w:eastAsia="zh-CN"/>
        </w:rPr>
        <w:t>。</w:t>
      </w:r>
    </w:p>
    <w:p w14:paraId="55119442">
      <w:pPr>
        <w:widowControl/>
        <w:wordWrap/>
        <w:adjustRightInd w:val="0"/>
        <w:snapToGrid w:val="0"/>
        <w:spacing w:after="0" w:afterLines="0" w:line="480" w:lineRule="exact"/>
        <w:ind w:firstLine="480" w:firstLineChars="200"/>
        <w:jc w:val="both"/>
        <w:textAlignment w:val="auto"/>
        <w:outlineLvl w:val="0"/>
        <w:rPr>
          <w:rFonts w:hint="eastAsia" w:ascii="宋体" w:hAnsi="宋体" w:eastAsia="宋体"/>
          <w:color w:val="auto"/>
          <w:sz w:val="24"/>
          <w:szCs w:val="24"/>
          <w:highlight w:val="none"/>
        </w:rPr>
      </w:pPr>
    </w:p>
    <w:p w14:paraId="514699AD">
      <w:pPr>
        <w:spacing w:line="360" w:lineRule="auto"/>
        <w:jc w:val="center"/>
        <w:outlineLvl w:val="0"/>
        <w:rPr>
          <w:rFonts w:hint="eastAsia" w:ascii="宋体" w:hAnsi="宋体" w:eastAsia="宋体"/>
          <w:b/>
          <w:bCs/>
          <w:color w:val="auto"/>
          <w:sz w:val="28"/>
          <w:szCs w:val="28"/>
          <w:highlight w:val="none"/>
          <w:lang w:val="en-US" w:eastAsia="zh-CN"/>
        </w:rPr>
      </w:pPr>
      <w:bookmarkStart w:id="799" w:name="_Toc13945"/>
      <w:bookmarkStart w:id="800" w:name="_Toc6662"/>
      <w:bookmarkStart w:id="801" w:name="_Toc24449"/>
      <w:bookmarkStart w:id="802" w:name="_Toc28318"/>
      <w:bookmarkStart w:id="803" w:name="_Toc5608"/>
      <w:bookmarkStart w:id="804" w:name="_Toc19707"/>
      <w:bookmarkStart w:id="805" w:name="_Toc7893"/>
    </w:p>
    <w:p w14:paraId="22FFB27F">
      <w:pPr>
        <w:spacing w:line="360" w:lineRule="auto"/>
        <w:jc w:val="center"/>
        <w:outlineLvl w:val="0"/>
        <w:rPr>
          <w:rFonts w:hint="eastAsia" w:ascii="宋体" w:hAnsi="宋体" w:eastAsia="宋体"/>
          <w:b/>
          <w:bCs/>
          <w:color w:val="auto"/>
          <w:sz w:val="28"/>
          <w:szCs w:val="28"/>
          <w:highlight w:val="none"/>
          <w:lang w:val="en-US" w:eastAsia="zh-CN"/>
        </w:rPr>
      </w:pPr>
    </w:p>
    <w:p w14:paraId="14256C2D">
      <w:pPr>
        <w:spacing w:line="360" w:lineRule="auto"/>
        <w:jc w:val="both"/>
        <w:outlineLvl w:val="0"/>
        <w:rPr>
          <w:rFonts w:hint="eastAsia" w:ascii="宋体" w:hAnsi="宋体" w:eastAsia="宋体"/>
          <w:b/>
          <w:bCs/>
          <w:color w:val="auto"/>
          <w:sz w:val="28"/>
          <w:szCs w:val="28"/>
          <w:highlight w:val="none"/>
          <w:lang w:val="en-US" w:eastAsia="zh-CN"/>
        </w:rPr>
      </w:pPr>
    </w:p>
    <w:p w14:paraId="3A72D511">
      <w:pPr>
        <w:spacing w:line="360" w:lineRule="auto"/>
        <w:ind w:firstLine="3654" w:firstLineChars="1300"/>
        <w:jc w:val="both"/>
        <w:outlineLvl w:val="0"/>
        <w:rPr>
          <w:rFonts w:ascii="宋体" w:hAnsi="宋体" w:eastAsia="宋体"/>
          <w:b/>
          <w:bCs/>
          <w:color w:val="auto"/>
          <w:sz w:val="28"/>
          <w:szCs w:val="28"/>
          <w:highlight w:val="none"/>
        </w:rPr>
      </w:pPr>
      <w:r>
        <w:rPr>
          <w:rFonts w:hint="eastAsia" w:ascii="宋体" w:hAnsi="宋体" w:eastAsia="宋体"/>
          <w:b/>
          <w:bCs/>
          <w:color w:val="auto"/>
          <w:sz w:val="28"/>
          <w:szCs w:val="28"/>
          <w:highlight w:val="none"/>
          <w:lang w:val="en-US" w:eastAsia="zh-CN"/>
        </w:rPr>
        <w:t>九</w:t>
      </w:r>
      <w:r>
        <w:rPr>
          <w:rFonts w:hint="eastAsia" w:ascii="宋体" w:hAnsi="宋体" w:eastAsia="宋体"/>
          <w:b/>
          <w:bCs/>
          <w:color w:val="auto"/>
          <w:sz w:val="28"/>
          <w:szCs w:val="28"/>
          <w:highlight w:val="none"/>
        </w:rPr>
        <w:t>、其他</w:t>
      </w:r>
      <w:r>
        <w:rPr>
          <w:rFonts w:hint="eastAsia" w:ascii="宋体" w:hAnsi="宋体" w:eastAsia="宋体"/>
          <w:b/>
          <w:bCs/>
          <w:color w:val="auto"/>
          <w:sz w:val="28"/>
          <w:szCs w:val="28"/>
          <w:highlight w:val="none"/>
          <w:lang w:eastAsia="zh-CN"/>
        </w:rPr>
        <w:t>资</w:t>
      </w:r>
      <w:r>
        <w:rPr>
          <w:rFonts w:hint="eastAsia" w:ascii="宋体" w:hAnsi="宋体" w:eastAsia="宋体"/>
          <w:b/>
          <w:bCs/>
          <w:color w:val="auto"/>
          <w:sz w:val="28"/>
          <w:szCs w:val="28"/>
          <w:highlight w:val="none"/>
        </w:rPr>
        <w:t>料</w:t>
      </w:r>
      <w:bookmarkEnd w:id="799"/>
      <w:bookmarkEnd w:id="800"/>
      <w:bookmarkEnd w:id="801"/>
      <w:bookmarkEnd w:id="802"/>
      <w:bookmarkEnd w:id="803"/>
      <w:bookmarkEnd w:id="804"/>
      <w:bookmarkEnd w:id="805"/>
    </w:p>
    <w:p w14:paraId="22FD4FA1">
      <w:pPr>
        <w:jc w:val="center"/>
        <w:rPr>
          <w:rFonts w:hint="eastAsia" w:ascii="宋体" w:hAnsi="宋体" w:eastAsia="宋体"/>
          <w:color w:val="auto"/>
          <w:sz w:val="28"/>
          <w:szCs w:val="28"/>
          <w:highlight w:val="none"/>
        </w:rPr>
      </w:pPr>
      <w:r>
        <w:rPr>
          <w:rFonts w:hint="eastAsia" w:ascii="宋体" w:hAnsi="宋体" w:eastAsia="宋体"/>
          <w:color w:val="auto"/>
          <w:sz w:val="28"/>
          <w:szCs w:val="28"/>
          <w:highlight w:val="none"/>
        </w:rPr>
        <w:t>（供应商认为应附的其他资料）</w:t>
      </w:r>
      <w:bookmarkEnd w:id="778"/>
    </w:p>
    <w:p w14:paraId="01344324">
      <w:pPr>
        <w:rPr>
          <w:rFonts w:hint="eastAsia" w:ascii="宋体" w:hAnsi="宋体" w:eastAsia="宋体"/>
          <w:color w:val="auto"/>
          <w:sz w:val="28"/>
          <w:szCs w:val="28"/>
          <w:highlight w:val="none"/>
        </w:rPr>
      </w:pPr>
    </w:p>
    <w:p w14:paraId="5BED6B76">
      <w:pPr>
        <w:rPr>
          <w:rFonts w:hint="eastAsia" w:ascii="宋体" w:hAnsi="宋体" w:eastAsia="宋体"/>
          <w:color w:val="auto"/>
          <w:sz w:val="28"/>
          <w:szCs w:val="28"/>
          <w:highlight w:val="none"/>
        </w:rPr>
      </w:pPr>
    </w:p>
    <w:p w14:paraId="14708397">
      <w:pPr>
        <w:rPr>
          <w:rFonts w:hint="eastAsia" w:ascii="宋体" w:hAnsi="宋体" w:eastAsia="宋体"/>
          <w:color w:val="auto"/>
          <w:sz w:val="28"/>
          <w:szCs w:val="28"/>
          <w:highlight w:val="none"/>
        </w:rPr>
      </w:pPr>
    </w:p>
    <w:p w14:paraId="65857B00">
      <w:pPr>
        <w:rPr>
          <w:rFonts w:hint="eastAsia" w:ascii="宋体" w:hAnsi="宋体" w:eastAsia="宋体"/>
          <w:color w:val="auto"/>
          <w:sz w:val="28"/>
          <w:szCs w:val="28"/>
          <w:highlight w:val="none"/>
        </w:rPr>
      </w:pPr>
    </w:p>
    <w:p w14:paraId="48A6D2D2">
      <w:pPr>
        <w:rPr>
          <w:rFonts w:hint="eastAsia" w:ascii="宋体" w:hAnsi="宋体" w:eastAsia="宋体"/>
          <w:color w:val="auto"/>
          <w:sz w:val="28"/>
          <w:szCs w:val="28"/>
          <w:highlight w:val="none"/>
        </w:rPr>
      </w:pPr>
    </w:p>
    <w:p w14:paraId="3BC249E3">
      <w:pPr>
        <w:rPr>
          <w:rFonts w:hint="eastAsia" w:ascii="宋体" w:hAnsi="宋体" w:eastAsia="宋体"/>
          <w:color w:val="auto"/>
          <w:sz w:val="28"/>
          <w:szCs w:val="28"/>
          <w:highlight w:val="none"/>
        </w:rPr>
      </w:pPr>
    </w:p>
    <w:p w14:paraId="24DA5908">
      <w:pPr>
        <w:rPr>
          <w:rFonts w:hint="eastAsia" w:ascii="宋体" w:hAnsi="宋体" w:eastAsia="宋体"/>
          <w:color w:val="auto"/>
          <w:sz w:val="28"/>
          <w:szCs w:val="28"/>
          <w:highlight w:val="none"/>
        </w:rPr>
      </w:pPr>
    </w:p>
    <w:p w14:paraId="7FA17685">
      <w:pPr>
        <w:rPr>
          <w:rFonts w:hint="eastAsia" w:ascii="宋体" w:hAnsi="宋体" w:eastAsia="宋体"/>
          <w:color w:val="auto"/>
          <w:sz w:val="28"/>
          <w:szCs w:val="28"/>
          <w:highlight w:val="none"/>
        </w:rPr>
      </w:pPr>
    </w:p>
    <w:p w14:paraId="39B78036">
      <w:pPr>
        <w:rPr>
          <w:rFonts w:hint="eastAsia" w:ascii="宋体" w:hAnsi="宋体" w:eastAsia="宋体"/>
          <w:color w:val="auto"/>
          <w:sz w:val="28"/>
          <w:szCs w:val="28"/>
          <w:highlight w:val="none"/>
        </w:rPr>
      </w:pPr>
    </w:p>
    <w:p w14:paraId="3BDB0862">
      <w:pPr>
        <w:rPr>
          <w:rFonts w:hint="eastAsia" w:ascii="宋体" w:hAnsi="宋体" w:eastAsia="宋体"/>
          <w:color w:val="auto"/>
          <w:sz w:val="28"/>
          <w:szCs w:val="28"/>
          <w:highlight w:val="none"/>
        </w:rPr>
      </w:pPr>
    </w:p>
    <w:p w14:paraId="0F1E9F1B">
      <w:pPr>
        <w:rPr>
          <w:rFonts w:hint="eastAsia" w:ascii="宋体" w:hAnsi="宋体" w:eastAsia="宋体"/>
          <w:color w:val="auto"/>
          <w:sz w:val="28"/>
          <w:szCs w:val="28"/>
          <w:highlight w:val="none"/>
        </w:rPr>
      </w:pPr>
    </w:p>
    <w:p w14:paraId="07F15E46">
      <w:pPr>
        <w:rPr>
          <w:rFonts w:hint="eastAsia" w:ascii="宋体" w:hAnsi="宋体" w:eastAsia="宋体"/>
          <w:color w:val="auto"/>
          <w:sz w:val="28"/>
          <w:szCs w:val="28"/>
          <w:highlight w:val="none"/>
        </w:rPr>
      </w:pPr>
    </w:p>
    <w:p w14:paraId="77709663">
      <w:pPr>
        <w:rPr>
          <w:rFonts w:hint="eastAsia" w:ascii="宋体" w:hAnsi="宋体" w:eastAsia="宋体"/>
          <w:color w:val="auto"/>
          <w:sz w:val="28"/>
          <w:szCs w:val="28"/>
          <w:highlight w:val="none"/>
        </w:rPr>
      </w:pPr>
    </w:p>
    <w:p w14:paraId="4DEE5A37">
      <w:pPr>
        <w:rPr>
          <w:rFonts w:hint="eastAsia" w:ascii="宋体" w:hAnsi="宋体" w:eastAsia="宋体"/>
          <w:color w:val="auto"/>
          <w:sz w:val="28"/>
          <w:szCs w:val="28"/>
          <w:highlight w:val="none"/>
        </w:rPr>
      </w:pPr>
    </w:p>
    <w:p w14:paraId="0A69173B">
      <w:pPr>
        <w:rPr>
          <w:rFonts w:hint="eastAsia" w:ascii="宋体" w:hAnsi="宋体" w:eastAsia="宋体"/>
          <w:color w:val="auto"/>
          <w:sz w:val="28"/>
          <w:szCs w:val="28"/>
          <w:highlight w:val="none"/>
        </w:rPr>
      </w:pPr>
    </w:p>
    <w:p w14:paraId="6238326C">
      <w:pPr>
        <w:rPr>
          <w:rFonts w:hint="eastAsia" w:ascii="宋体" w:hAnsi="宋体" w:eastAsia="宋体"/>
          <w:color w:val="auto"/>
          <w:sz w:val="28"/>
          <w:szCs w:val="28"/>
          <w:highlight w:val="none"/>
        </w:rPr>
      </w:pPr>
    </w:p>
    <w:p w14:paraId="7CC1B652">
      <w:pPr>
        <w:rPr>
          <w:rFonts w:hint="eastAsia" w:ascii="宋体" w:hAnsi="宋体" w:eastAsia="宋体"/>
          <w:color w:val="auto"/>
          <w:sz w:val="28"/>
          <w:szCs w:val="28"/>
          <w:highlight w:val="none"/>
        </w:rPr>
      </w:pPr>
    </w:p>
    <w:p w14:paraId="25342086">
      <w:pPr>
        <w:rPr>
          <w:rFonts w:hint="eastAsia" w:ascii="宋体" w:hAnsi="宋体" w:eastAsia="宋体"/>
          <w:color w:val="auto"/>
          <w:sz w:val="28"/>
          <w:szCs w:val="28"/>
          <w:highlight w:val="none"/>
        </w:rPr>
      </w:pPr>
    </w:p>
    <w:p w14:paraId="278F6413">
      <w:pPr>
        <w:rPr>
          <w:rFonts w:hint="eastAsia" w:ascii="宋体" w:hAnsi="宋体" w:eastAsia="宋体"/>
          <w:color w:val="auto"/>
          <w:sz w:val="28"/>
          <w:szCs w:val="28"/>
          <w:highlight w:val="none"/>
        </w:rPr>
      </w:pPr>
    </w:p>
    <w:p w14:paraId="0598D45B">
      <w:pPr>
        <w:rPr>
          <w:rFonts w:hint="eastAsia" w:ascii="宋体" w:hAnsi="宋体" w:eastAsia="宋体"/>
          <w:color w:val="auto"/>
          <w:sz w:val="28"/>
          <w:szCs w:val="28"/>
          <w:highlight w:val="none"/>
        </w:rPr>
      </w:pPr>
    </w:p>
    <w:p w14:paraId="11B003AF">
      <w:pPr>
        <w:rPr>
          <w:rFonts w:hint="eastAsia" w:ascii="宋体" w:hAnsi="宋体" w:eastAsia="宋体"/>
          <w:color w:val="auto"/>
          <w:sz w:val="28"/>
          <w:szCs w:val="28"/>
          <w:highlight w:val="none"/>
        </w:rPr>
      </w:pPr>
    </w:p>
    <w:p w14:paraId="637C978B">
      <w:pPr>
        <w:rPr>
          <w:rFonts w:hint="eastAsia" w:ascii="宋体" w:hAnsi="宋体" w:eastAsia="宋体"/>
          <w:color w:val="auto"/>
          <w:sz w:val="28"/>
          <w:szCs w:val="28"/>
          <w:highlight w:val="none"/>
        </w:rPr>
      </w:pPr>
    </w:p>
    <w:p w14:paraId="62DB495C">
      <w:pPr>
        <w:rPr>
          <w:rFonts w:hint="eastAsia" w:ascii="宋体" w:hAnsi="宋体" w:eastAsia="宋体"/>
          <w:color w:val="auto"/>
          <w:sz w:val="28"/>
          <w:szCs w:val="28"/>
          <w:highlight w:val="none"/>
        </w:rPr>
      </w:pPr>
    </w:p>
    <w:p w14:paraId="348A8836">
      <w:pPr>
        <w:rPr>
          <w:rFonts w:hint="eastAsia" w:ascii="宋体" w:hAnsi="宋体" w:eastAsia="宋体"/>
          <w:color w:val="auto"/>
          <w:sz w:val="28"/>
          <w:szCs w:val="28"/>
          <w:highlight w:val="none"/>
        </w:rPr>
      </w:pPr>
    </w:p>
    <w:p w14:paraId="0092C30B">
      <w:pPr>
        <w:rPr>
          <w:rFonts w:hint="eastAsia" w:ascii="宋体" w:hAnsi="宋体" w:eastAsia="宋体"/>
          <w:color w:val="auto"/>
          <w:sz w:val="28"/>
          <w:szCs w:val="28"/>
          <w:highlight w:val="none"/>
        </w:rPr>
      </w:pPr>
    </w:p>
    <w:p w14:paraId="4FCD3935">
      <w:pPr>
        <w:rPr>
          <w:rFonts w:hint="eastAsia" w:ascii="宋体" w:hAnsi="宋体" w:eastAsia="宋体"/>
          <w:color w:val="auto"/>
          <w:sz w:val="28"/>
          <w:szCs w:val="28"/>
          <w:highlight w:val="none"/>
        </w:rPr>
      </w:pPr>
    </w:p>
    <w:p w14:paraId="619A5C84">
      <w:pPr>
        <w:rPr>
          <w:rFonts w:hint="eastAsia" w:ascii="宋体" w:hAnsi="宋体" w:eastAsia="宋体"/>
          <w:color w:val="auto"/>
          <w:sz w:val="28"/>
          <w:szCs w:val="28"/>
          <w:highlight w:val="none"/>
        </w:rPr>
      </w:pPr>
    </w:p>
    <w:p w14:paraId="3E14DB07">
      <w:pPr>
        <w:rPr>
          <w:rFonts w:hint="eastAsia" w:ascii="宋体" w:hAnsi="宋体" w:eastAsia="宋体"/>
          <w:color w:val="auto"/>
          <w:sz w:val="28"/>
          <w:szCs w:val="28"/>
          <w:highlight w:val="none"/>
        </w:rPr>
      </w:pPr>
    </w:p>
    <w:p w14:paraId="28B1EF44">
      <w:pPr>
        <w:rPr>
          <w:rFonts w:hint="eastAsia" w:ascii="宋体" w:hAnsi="宋体" w:eastAsia="宋体"/>
          <w:color w:val="auto"/>
          <w:sz w:val="28"/>
          <w:szCs w:val="28"/>
          <w:highlight w:val="none"/>
        </w:rPr>
      </w:pPr>
    </w:p>
    <w:p w14:paraId="3541188B">
      <w:pPr>
        <w:rPr>
          <w:rFonts w:hint="eastAsia" w:ascii="宋体" w:hAnsi="宋体" w:eastAsia="宋体"/>
          <w:color w:val="auto"/>
          <w:sz w:val="28"/>
          <w:szCs w:val="28"/>
          <w:highlight w:val="none"/>
        </w:rPr>
      </w:pPr>
    </w:p>
    <w:p w14:paraId="23C673EF">
      <w:pPr>
        <w:rPr>
          <w:rFonts w:hint="eastAsia" w:ascii="宋体" w:hAnsi="宋体" w:eastAsia="宋体"/>
          <w:color w:val="auto"/>
          <w:sz w:val="28"/>
          <w:szCs w:val="28"/>
          <w:highlight w:val="none"/>
        </w:rPr>
      </w:pPr>
    </w:p>
    <w:p w14:paraId="368473C0">
      <w:pPr>
        <w:pStyle w:val="7"/>
        <w:rPr>
          <w:rFonts w:hint="eastAsia"/>
        </w:rPr>
      </w:pPr>
    </w:p>
    <w:p w14:paraId="69F891DB">
      <w:pPr>
        <w:rPr>
          <w:rFonts w:hint="eastAsia" w:ascii="宋体" w:hAnsi="宋体" w:eastAsia="宋体"/>
          <w:color w:val="auto"/>
          <w:sz w:val="28"/>
          <w:szCs w:val="28"/>
          <w:highlight w:val="none"/>
        </w:rPr>
      </w:pPr>
    </w:p>
    <w:p w14:paraId="7418BC21">
      <w:pPr>
        <w:spacing w:line="480" w:lineRule="auto"/>
        <w:ind w:right="140"/>
        <w:jc w:val="both"/>
        <w:outlineLvl w:val="1"/>
        <w:rPr>
          <w:rFonts w:hint="eastAsia" w:ascii="宋体" w:hAnsi="宋体" w:cs="宋体"/>
          <w:b/>
          <w:bCs/>
          <w:color w:val="000000"/>
          <w:kern w:val="10"/>
          <w:sz w:val="28"/>
          <w:szCs w:val="28"/>
          <w:shd w:val="clear" w:color="auto" w:fill="FFFFFF" w:themeFill="background1"/>
          <w:lang w:val="en-US" w:eastAsia="zh-CN"/>
        </w:rPr>
      </w:pPr>
    </w:p>
    <w:p w14:paraId="7691E05B">
      <w:pPr>
        <w:spacing w:line="480" w:lineRule="auto"/>
        <w:ind w:right="140"/>
        <w:jc w:val="both"/>
        <w:outlineLvl w:val="1"/>
        <w:rPr>
          <w:rFonts w:hint="eastAsia" w:ascii="宋体" w:hAnsi="宋体" w:eastAsia="宋体" w:cs="宋体"/>
          <w:b/>
          <w:bCs/>
          <w:color w:val="000000"/>
          <w:kern w:val="10"/>
          <w:sz w:val="28"/>
          <w:szCs w:val="28"/>
          <w:shd w:val="clear" w:color="auto" w:fill="FFFFFF" w:themeFill="background1"/>
          <w:lang w:val="en-US" w:eastAsia="zh-CN"/>
        </w:rPr>
      </w:pPr>
      <w:r>
        <w:rPr>
          <w:rFonts w:hint="eastAsia" w:ascii="宋体" w:hAnsi="宋体" w:cs="宋体"/>
          <w:b/>
          <w:bCs/>
          <w:color w:val="000000"/>
          <w:kern w:val="10"/>
          <w:sz w:val="28"/>
          <w:szCs w:val="28"/>
          <w:shd w:val="clear" w:color="auto" w:fill="FFFFFF" w:themeFill="background1"/>
          <w:lang w:val="en-US" w:eastAsia="zh-CN"/>
        </w:rPr>
        <w:t>附件1：</w:t>
      </w:r>
    </w:p>
    <w:p w14:paraId="0AF417A4">
      <w:pPr>
        <w:pageBreakBefore w:val="0"/>
        <w:overflowPunct/>
        <w:topLinePunct w:val="0"/>
        <w:bidi w:val="0"/>
        <w:spacing w:line="500" w:lineRule="exact"/>
        <w:jc w:val="center"/>
        <w:textAlignment w:val="center"/>
        <w:rPr>
          <w:rFonts w:hint="default" w:ascii="宋体" w:hAnsi="宋体" w:cs="宋体"/>
          <w:b/>
          <w:sz w:val="28"/>
          <w:szCs w:val="28"/>
          <w:lang w:val="en-US" w:eastAsia="zh-CN"/>
        </w:rPr>
      </w:pPr>
      <w:r>
        <w:rPr>
          <w:rFonts w:hint="eastAsia" w:ascii="宋体" w:hAnsi="宋体" w:cs="宋体"/>
          <w:b/>
          <w:sz w:val="28"/>
          <w:szCs w:val="28"/>
          <w:lang w:val="en-US" w:eastAsia="zh-CN"/>
        </w:rPr>
        <w:t>农民工工资承诺书</w:t>
      </w:r>
    </w:p>
    <w:p w14:paraId="251DD4CF">
      <w:pPr>
        <w:pStyle w:val="7"/>
        <w:jc w:val="both"/>
        <w:rPr>
          <w:rFonts w:hint="eastAsia" w:ascii="宋体" w:hAnsi="宋体" w:eastAsia="宋体" w:cs="宋体"/>
          <w:color w:val="auto"/>
          <w:kern w:val="0"/>
          <w:sz w:val="24"/>
          <w:lang w:val="en-US" w:eastAsia="zh-CN" w:bidi="ar-SA"/>
        </w:rPr>
      </w:pPr>
    </w:p>
    <w:p w14:paraId="47EC59D7">
      <w:pPr>
        <w:pStyle w:val="7"/>
        <w:spacing w:line="480" w:lineRule="auto"/>
        <w:jc w:val="both"/>
        <w:rPr>
          <w:rFonts w:hint="eastAsia" w:ascii="宋体" w:hAnsi="宋体" w:eastAsia="宋体" w:cs="宋体"/>
          <w:color w:val="auto"/>
          <w:kern w:val="0"/>
          <w:sz w:val="24"/>
          <w:lang w:val="en-US" w:eastAsia="zh-CN" w:bidi="ar-SA"/>
        </w:rPr>
      </w:pPr>
      <w:r>
        <w:rPr>
          <w:rFonts w:hint="eastAsia" w:ascii="宋体" w:hAnsi="宋体" w:eastAsia="宋体" w:cs="宋体"/>
          <w:color w:val="auto"/>
          <w:kern w:val="0"/>
          <w:sz w:val="24"/>
          <w:lang w:val="en-US" w:eastAsia="zh-CN" w:bidi="ar-SA"/>
        </w:rPr>
        <w:t>致：</w:t>
      </w:r>
      <w:r>
        <w:rPr>
          <w:rFonts w:hint="eastAsia" w:ascii="宋体" w:hAnsi="宋体" w:eastAsia="宋体" w:cs="宋体"/>
          <w:color w:val="auto"/>
          <w:kern w:val="0"/>
          <w:sz w:val="24"/>
          <w:u w:val="single"/>
          <w:lang w:val="en-US" w:eastAsia="zh-CN" w:bidi="ar-SA"/>
        </w:rPr>
        <w:t xml:space="preserve">        （采购人名称）</w:t>
      </w:r>
      <w:r>
        <w:rPr>
          <w:rFonts w:hint="eastAsia" w:ascii="宋体" w:hAnsi="宋体" w:eastAsia="宋体" w:cs="宋体"/>
          <w:color w:val="auto"/>
          <w:kern w:val="0"/>
          <w:sz w:val="24"/>
          <w:lang w:val="en-US" w:eastAsia="zh-CN" w:bidi="ar-SA"/>
        </w:rPr>
        <w:t xml:space="preserve"> </w:t>
      </w:r>
    </w:p>
    <w:p w14:paraId="44645AD8">
      <w:pPr>
        <w:pStyle w:val="7"/>
        <w:spacing w:line="480" w:lineRule="auto"/>
        <w:ind w:firstLine="480" w:firstLineChars="200"/>
        <w:jc w:val="both"/>
        <w:rPr>
          <w:rFonts w:hint="eastAsia" w:ascii="宋体" w:hAnsi="宋体" w:eastAsia="宋体" w:cs="宋体"/>
          <w:color w:val="auto"/>
          <w:kern w:val="0"/>
          <w:sz w:val="24"/>
          <w:lang w:val="en-US" w:eastAsia="zh-CN" w:bidi="ar-SA"/>
        </w:rPr>
      </w:pPr>
      <w:r>
        <w:rPr>
          <w:rFonts w:hint="eastAsia" w:ascii="宋体" w:hAnsi="宋体" w:eastAsia="宋体" w:cs="宋体"/>
          <w:color w:val="auto"/>
          <w:kern w:val="0"/>
          <w:sz w:val="24"/>
          <w:lang w:val="en-US" w:eastAsia="zh-CN" w:bidi="ar-SA"/>
        </w:rPr>
        <w:t>我公司承诺如若中标，在施工期间不拖欠农民工工资，能够及时、足额存入农民工工资保障金。一旦其承包的工程项目中出现拖欠农民工工资情况的，由建设行政主管部门从农民工工资保障金中先于划支。中标人应按豫劳社监察（2003）19号文件规定，缴纳农民工工资保障金，保障金为中标价的2%。</w:t>
      </w:r>
    </w:p>
    <w:p w14:paraId="12A1F3F9">
      <w:pPr>
        <w:pStyle w:val="7"/>
        <w:spacing w:line="480" w:lineRule="auto"/>
        <w:jc w:val="both"/>
        <w:rPr>
          <w:rFonts w:hint="eastAsia" w:ascii="宋体" w:hAnsi="宋体" w:eastAsia="宋体" w:cs="宋体"/>
          <w:color w:val="auto"/>
          <w:kern w:val="0"/>
          <w:sz w:val="24"/>
          <w:lang w:val="en-US" w:eastAsia="zh-CN" w:bidi="ar-SA"/>
        </w:rPr>
      </w:pPr>
    </w:p>
    <w:p w14:paraId="15F4AD12">
      <w:pPr>
        <w:pStyle w:val="7"/>
        <w:spacing w:line="480" w:lineRule="auto"/>
        <w:jc w:val="both"/>
        <w:rPr>
          <w:rFonts w:hint="eastAsia" w:ascii="宋体" w:hAnsi="宋体" w:eastAsia="宋体" w:cs="宋体"/>
          <w:color w:val="auto"/>
          <w:kern w:val="0"/>
          <w:sz w:val="24"/>
          <w:lang w:val="en-US" w:eastAsia="zh-CN" w:bidi="ar-SA"/>
        </w:rPr>
      </w:pPr>
      <w:r>
        <w:rPr>
          <w:rFonts w:hint="eastAsia" w:ascii="宋体" w:hAnsi="宋体" w:eastAsia="宋体" w:cs="宋体"/>
          <w:color w:val="auto"/>
          <w:kern w:val="0"/>
          <w:sz w:val="24"/>
          <w:lang w:val="en-US" w:eastAsia="zh-CN" w:bidi="ar-SA"/>
        </w:rPr>
        <w:t>特此承诺！</w:t>
      </w:r>
    </w:p>
    <w:p w14:paraId="269EF816">
      <w:pPr>
        <w:wordWrap w:val="0"/>
        <w:topLinePunct/>
        <w:spacing w:line="600" w:lineRule="exact"/>
        <w:ind w:left="3150" w:leftChars="1500"/>
        <w:jc w:val="both"/>
        <w:rPr>
          <w:rFonts w:hint="eastAsia" w:ascii="宋体" w:hAnsi="宋体" w:eastAsia="宋体" w:cs="宋体"/>
          <w:sz w:val="24"/>
          <w:szCs w:val="24"/>
          <w:highlight w:val="none"/>
        </w:rPr>
      </w:pPr>
    </w:p>
    <w:p w14:paraId="0BD33975">
      <w:pPr>
        <w:wordWrap w:val="0"/>
        <w:topLinePunct/>
        <w:spacing w:line="600" w:lineRule="exact"/>
        <w:ind w:left="3150" w:leftChars="1500"/>
        <w:jc w:val="both"/>
        <w:rPr>
          <w:rFonts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sz w:val="24"/>
          <w:szCs w:val="24"/>
        </w:rPr>
        <w:t>公章签章</w:t>
      </w:r>
      <w:r>
        <w:rPr>
          <w:rFonts w:hint="eastAsia" w:ascii="宋体" w:hAnsi="宋体" w:eastAsia="宋体" w:cs="宋体"/>
          <w:sz w:val="24"/>
          <w:szCs w:val="24"/>
          <w:highlight w:val="none"/>
        </w:rPr>
        <w:t>）</w:t>
      </w:r>
    </w:p>
    <w:p w14:paraId="2A2620C8">
      <w:pPr>
        <w:wordWrap w:val="0"/>
        <w:topLinePunct/>
        <w:spacing w:line="600" w:lineRule="exact"/>
        <w:ind w:left="3150" w:leftChars="1500"/>
        <w:jc w:val="both"/>
        <w:rPr>
          <w:rFonts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电子签章</w:t>
      </w:r>
      <w:r>
        <w:rPr>
          <w:rFonts w:hint="eastAsia" w:ascii="宋体" w:hAnsi="宋体" w:eastAsia="宋体" w:cs="宋体"/>
          <w:sz w:val="24"/>
          <w:szCs w:val="24"/>
          <w:highlight w:val="none"/>
        </w:rPr>
        <w:t>）</w:t>
      </w:r>
    </w:p>
    <w:p w14:paraId="5E8735FE">
      <w:pPr>
        <w:wordWrap w:val="0"/>
        <w:topLinePunct/>
        <w:spacing w:line="600" w:lineRule="exact"/>
        <w:ind w:left="3150" w:leftChars="1500" w:firstLine="0" w:firstLineChars="0"/>
        <w:jc w:val="both"/>
        <w:rPr>
          <w:rFonts w:hint="eastAsia" w:ascii="Arial" w:hAnsi="Arial" w:eastAsia="宋体" w:cs="Times New Roman"/>
          <w:b/>
          <w:bCs/>
          <w:sz w:val="32"/>
          <w:szCs w:val="40"/>
        </w:rPr>
      </w:pP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4E9AD14E">
      <w:pPr>
        <w:spacing w:line="480" w:lineRule="auto"/>
        <w:ind w:right="140" w:firstLine="1687" w:firstLineChars="600"/>
        <w:jc w:val="both"/>
        <w:outlineLvl w:val="1"/>
        <w:rPr>
          <w:rFonts w:hint="eastAsia" w:ascii="宋体" w:hAnsi="宋体" w:cs="宋体"/>
          <w:b/>
          <w:bCs/>
          <w:color w:val="000000"/>
          <w:kern w:val="10"/>
          <w:sz w:val="28"/>
          <w:szCs w:val="28"/>
          <w:shd w:val="clear" w:color="auto" w:fill="FFFFFF" w:themeFill="background1"/>
        </w:rPr>
      </w:pPr>
    </w:p>
    <w:p w14:paraId="1F0AD617">
      <w:pPr>
        <w:spacing w:line="480" w:lineRule="auto"/>
        <w:ind w:right="140" w:firstLine="1687" w:firstLineChars="600"/>
        <w:jc w:val="both"/>
        <w:outlineLvl w:val="1"/>
        <w:rPr>
          <w:rFonts w:hint="eastAsia" w:ascii="宋体" w:hAnsi="宋体" w:cs="宋体"/>
          <w:b/>
          <w:bCs/>
          <w:color w:val="000000"/>
          <w:kern w:val="10"/>
          <w:sz w:val="28"/>
          <w:szCs w:val="28"/>
          <w:shd w:val="clear" w:color="auto" w:fill="FFFFFF" w:themeFill="background1"/>
        </w:rPr>
      </w:pPr>
    </w:p>
    <w:p w14:paraId="36C39974">
      <w:pPr>
        <w:rPr>
          <w:rFonts w:hint="eastAsia" w:ascii="宋体" w:hAnsi="宋体" w:eastAsia="宋体"/>
          <w:color w:val="auto"/>
          <w:sz w:val="28"/>
          <w:szCs w:val="28"/>
          <w:highlight w:val="none"/>
        </w:rPr>
      </w:pPr>
    </w:p>
    <w:p w14:paraId="2EDA9B70">
      <w:pPr>
        <w:rPr>
          <w:rFonts w:hint="eastAsia"/>
          <w:color w:val="auto"/>
          <w:sz w:val="28"/>
          <w:szCs w:val="28"/>
          <w:highlight w:val="none"/>
        </w:rPr>
      </w:pPr>
    </w:p>
    <w:p w14:paraId="03B2DC9B">
      <w:pPr>
        <w:rPr>
          <w:rFonts w:hint="eastAsia"/>
          <w:color w:val="auto"/>
          <w:sz w:val="28"/>
          <w:szCs w:val="28"/>
          <w:highlight w:val="none"/>
        </w:rPr>
      </w:pPr>
    </w:p>
    <w:p w14:paraId="14535B19">
      <w:pPr>
        <w:rPr>
          <w:rFonts w:hint="eastAsia"/>
          <w:color w:val="auto"/>
          <w:sz w:val="28"/>
          <w:szCs w:val="28"/>
          <w:highlight w:val="none"/>
        </w:rPr>
      </w:pPr>
    </w:p>
    <w:p w14:paraId="2276076F">
      <w:pPr>
        <w:rPr>
          <w:rFonts w:hint="eastAsia"/>
          <w:color w:val="auto"/>
          <w:sz w:val="28"/>
          <w:szCs w:val="28"/>
          <w:highlight w:val="none"/>
        </w:rPr>
      </w:pPr>
    </w:p>
    <w:p w14:paraId="7010260A">
      <w:pPr>
        <w:rPr>
          <w:rFonts w:hint="eastAsia"/>
          <w:color w:val="auto"/>
          <w:sz w:val="28"/>
          <w:szCs w:val="28"/>
          <w:highlight w:val="none"/>
        </w:rPr>
      </w:pPr>
    </w:p>
    <w:p w14:paraId="41E5EFE9">
      <w:pPr>
        <w:rPr>
          <w:rFonts w:hint="eastAsia"/>
          <w:color w:val="auto"/>
          <w:sz w:val="28"/>
          <w:szCs w:val="28"/>
          <w:highlight w:val="none"/>
        </w:rPr>
      </w:pPr>
    </w:p>
    <w:p w14:paraId="16B8E9A6">
      <w:pPr>
        <w:rPr>
          <w:rFonts w:hint="eastAsia"/>
          <w:color w:val="auto"/>
          <w:sz w:val="28"/>
          <w:szCs w:val="28"/>
          <w:highlight w:val="none"/>
        </w:rPr>
      </w:pPr>
    </w:p>
    <w:p w14:paraId="0BC960F9">
      <w:pPr>
        <w:rPr>
          <w:rFonts w:hint="eastAsia"/>
          <w:color w:val="auto"/>
          <w:sz w:val="28"/>
          <w:szCs w:val="28"/>
          <w:highlight w:val="none"/>
        </w:rPr>
      </w:pPr>
    </w:p>
    <w:p w14:paraId="2A4D85F9">
      <w:pPr>
        <w:rPr>
          <w:rFonts w:hint="eastAsia" w:eastAsiaTheme="minorEastAsia"/>
          <w:color w:val="auto"/>
          <w:sz w:val="28"/>
          <w:szCs w:val="28"/>
          <w:highlight w:val="none"/>
          <w:lang w:eastAsia="zh-CN"/>
        </w:rPr>
      </w:pPr>
      <w:r>
        <w:rPr>
          <w:rFonts w:hint="eastAsia"/>
          <w:color w:val="auto"/>
          <w:sz w:val="28"/>
          <w:szCs w:val="28"/>
          <w:highlight w:val="none"/>
        </w:rPr>
        <w:t>附件</w:t>
      </w:r>
      <w:r>
        <w:rPr>
          <w:rFonts w:hint="eastAsia"/>
          <w:color w:val="auto"/>
          <w:sz w:val="28"/>
          <w:szCs w:val="28"/>
          <w:highlight w:val="none"/>
          <w:lang w:val="en-US" w:eastAsia="zh-CN"/>
        </w:rPr>
        <w:t>2</w:t>
      </w:r>
    </w:p>
    <w:p w14:paraId="74CC414B">
      <w:pPr>
        <w:pStyle w:val="7"/>
        <w:spacing w:after="0" w:line="362" w:lineRule="auto"/>
        <w:ind w:left="63" w:right="63"/>
        <w:jc w:val="center"/>
        <w:rPr>
          <w:rFonts w:hint="eastAsia"/>
          <w:b/>
          <w:color w:val="auto"/>
          <w:sz w:val="28"/>
          <w:szCs w:val="28"/>
          <w:highlight w:val="none"/>
        </w:rPr>
      </w:pPr>
      <w:r>
        <w:rPr>
          <w:rFonts w:hint="eastAsia"/>
          <w:b/>
          <w:color w:val="auto"/>
          <w:sz w:val="28"/>
          <w:szCs w:val="28"/>
          <w:highlight w:val="none"/>
        </w:rPr>
        <w:t>中小微企业声明函（</w:t>
      </w:r>
      <w:r>
        <w:rPr>
          <w:rFonts w:hint="eastAsia"/>
          <w:b/>
          <w:color w:val="auto"/>
          <w:sz w:val="28"/>
          <w:szCs w:val="28"/>
          <w:highlight w:val="none"/>
          <w:lang w:val="en-US" w:eastAsia="zh-CN"/>
        </w:rPr>
        <w:t>供应商</w:t>
      </w:r>
      <w:r>
        <w:rPr>
          <w:rFonts w:hint="eastAsia"/>
          <w:b/>
          <w:color w:val="auto"/>
          <w:sz w:val="28"/>
          <w:szCs w:val="28"/>
          <w:highlight w:val="none"/>
        </w:rPr>
        <w:t>）</w:t>
      </w:r>
    </w:p>
    <w:p w14:paraId="4E638EC6">
      <w:pPr>
        <w:jc w:val="center"/>
        <w:rPr>
          <w:rFonts w:ascii="宋体" w:hAnsi="宋体" w:cs="宋体"/>
          <w:b/>
          <w:bCs/>
          <w:iCs/>
          <w:color w:val="auto"/>
          <w:sz w:val="24"/>
          <w:szCs w:val="24"/>
          <w:highlight w:val="none"/>
        </w:rPr>
      </w:pPr>
      <w:r>
        <w:rPr>
          <w:rFonts w:hint="eastAsia" w:ascii="宋体" w:hAnsi="宋体" w:cs="宋体"/>
          <w:b/>
          <w:bCs/>
          <w:iCs/>
          <w:color w:val="auto"/>
          <w:sz w:val="24"/>
          <w:szCs w:val="24"/>
          <w:highlight w:val="none"/>
        </w:rPr>
        <w:t>（属于中小微企业的填写，不属于的无需填写此项内容）</w:t>
      </w:r>
    </w:p>
    <w:p w14:paraId="7CE99217">
      <w:pPr>
        <w:rPr>
          <w:rFonts w:hint="eastAsia"/>
        </w:rPr>
      </w:pPr>
    </w:p>
    <w:p w14:paraId="3696A2BF">
      <w:pPr>
        <w:spacing w:line="360" w:lineRule="auto"/>
        <w:ind w:firstLine="540" w:firstLineChars="22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本公司郑重声明，根据《政府采购促进中小企业发展管理办法》（财库﹝2020﹞46 号）的规定，本公司参加</w:t>
      </w:r>
      <w:r>
        <w:rPr>
          <w:rFonts w:hint="eastAsia" w:ascii="宋体" w:hAnsi="宋体" w:eastAsia="宋体" w:cs="宋体"/>
          <w:color w:val="auto"/>
          <w:sz w:val="24"/>
          <w:szCs w:val="24"/>
          <w:highlight w:val="none"/>
          <w:u w:val="single"/>
          <w:lang w:val="en-US" w:eastAsia="zh-CN"/>
        </w:rPr>
        <w:t xml:space="preserve">    （单位名称）    </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u w:val="single"/>
          <w:lang w:val="en-US" w:eastAsia="zh-CN"/>
        </w:rPr>
        <w:t xml:space="preserve">   （项目名称）  </w:t>
      </w:r>
      <w:r>
        <w:rPr>
          <w:rFonts w:hint="eastAsia" w:ascii="宋体" w:hAnsi="宋体" w:eastAsia="宋体" w:cs="宋体"/>
          <w:color w:val="auto"/>
          <w:sz w:val="24"/>
          <w:szCs w:val="24"/>
          <w:highlight w:val="none"/>
          <w:lang w:val="en-US" w:eastAsia="zh-CN"/>
        </w:rPr>
        <w:t>采购活动，工程的施工单位全部为符合政策要求的中小企业。具体情况如下：</w:t>
      </w:r>
    </w:p>
    <w:p w14:paraId="2E89EE13">
      <w:pPr>
        <w:numPr>
          <w:ilvl w:val="0"/>
          <w:numId w:val="0"/>
        </w:numPr>
        <w:spacing w:line="360" w:lineRule="auto"/>
        <w:ind w:firstLine="480" w:firstLineChars="2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single"/>
          <w:lang w:val="en-US" w:eastAsia="zh-CN"/>
        </w:rPr>
        <w:t xml:space="preserve">（标的名称） </w:t>
      </w:r>
      <w:r>
        <w:rPr>
          <w:rFonts w:hint="eastAsia" w:ascii="宋体" w:hAnsi="宋体" w:eastAsia="宋体" w:cs="宋体"/>
          <w:color w:val="auto"/>
          <w:sz w:val="24"/>
          <w:szCs w:val="24"/>
          <w:highlight w:val="none"/>
          <w:lang w:val="en-US" w:eastAsia="zh-CN"/>
        </w:rPr>
        <w:t>，属于</w:t>
      </w:r>
      <w:r>
        <w:rPr>
          <w:rFonts w:hint="eastAsia" w:ascii="宋体" w:hAnsi="宋体" w:eastAsia="宋体" w:cs="宋体"/>
          <w:color w:val="auto"/>
          <w:sz w:val="24"/>
          <w:szCs w:val="24"/>
          <w:highlight w:val="none"/>
          <w:u w:val="single"/>
          <w:lang w:val="en-US" w:eastAsia="zh-CN"/>
        </w:rPr>
        <w:t xml:space="preserve">   （所属行业）   </w:t>
      </w:r>
      <w:r>
        <w:rPr>
          <w:rFonts w:hint="eastAsia" w:ascii="宋体" w:hAnsi="宋体" w:eastAsia="宋体" w:cs="宋体"/>
          <w:color w:val="auto"/>
          <w:sz w:val="24"/>
          <w:szCs w:val="24"/>
          <w:highlight w:val="none"/>
          <w:lang w:val="en-US" w:eastAsia="zh-CN"/>
        </w:rPr>
        <w:t>；承建（承接）企业为</w:t>
      </w:r>
      <w:r>
        <w:rPr>
          <w:rFonts w:hint="eastAsia" w:ascii="宋体" w:hAnsi="宋体" w:eastAsia="宋体" w:cs="宋体"/>
          <w:color w:val="auto"/>
          <w:sz w:val="24"/>
          <w:szCs w:val="24"/>
          <w:highlight w:val="none"/>
          <w:u w:val="single"/>
          <w:lang w:val="en-US" w:eastAsia="zh-CN"/>
        </w:rPr>
        <w:t xml:space="preserve"> （企业名称） </w:t>
      </w:r>
      <w:r>
        <w:rPr>
          <w:rFonts w:hint="eastAsia" w:ascii="宋体" w:hAnsi="宋体" w:eastAsia="宋体" w:cs="宋体"/>
          <w:color w:val="auto"/>
          <w:sz w:val="24"/>
          <w:szCs w:val="24"/>
          <w:highlight w:val="none"/>
          <w:u w:val="none"/>
          <w:lang w:val="en-US" w:eastAsia="zh-CN"/>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万元，属于</w:t>
      </w:r>
      <w:r>
        <w:rPr>
          <w:rFonts w:hint="eastAsia" w:ascii="宋体" w:hAnsi="宋体" w:eastAsia="宋体" w:cs="宋体"/>
          <w:color w:val="auto"/>
          <w:sz w:val="24"/>
          <w:szCs w:val="24"/>
          <w:highlight w:val="none"/>
          <w:u w:val="single"/>
          <w:lang w:val="en-US" w:eastAsia="zh-CN"/>
        </w:rPr>
        <w:t>（中型企业、小型企业、微型企业）</w:t>
      </w:r>
      <w:r>
        <w:rPr>
          <w:rFonts w:hint="eastAsia" w:ascii="宋体" w:hAnsi="宋体" w:eastAsia="宋体" w:cs="宋体"/>
          <w:color w:val="auto"/>
          <w:sz w:val="24"/>
          <w:szCs w:val="24"/>
          <w:highlight w:val="none"/>
          <w:u w:val="none"/>
          <w:lang w:val="en-US" w:eastAsia="zh-CN"/>
        </w:rPr>
        <w:t>；</w:t>
      </w:r>
    </w:p>
    <w:p w14:paraId="58CA163B">
      <w:pPr>
        <w:spacing w:line="360" w:lineRule="auto"/>
        <w:ind w:firstLine="540" w:firstLineChars="2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本企业不属于大企业的分支机构，不存在控股股东为大企业的情形，也不存在与大企业的负责人为同一人的情形。</w:t>
      </w:r>
    </w:p>
    <w:p w14:paraId="6189D9FC">
      <w:pPr>
        <w:spacing w:line="360" w:lineRule="auto"/>
        <w:ind w:firstLine="540" w:firstLineChars="22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本企业对上述声明内容的真实性负责。如有虚假，将依法承担相应责任。 </w:t>
      </w:r>
    </w:p>
    <w:p w14:paraId="61B7DE7A">
      <w:pPr>
        <w:spacing w:line="360" w:lineRule="auto"/>
        <w:jc w:val="both"/>
        <w:rPr>
          <w:rFonts w:hint="eastAsia" w:ascii="宋体" w:hAnsi="宋体" w:eastAsia="宋体" w:cs="宋体"/>
          <w:color w:val="auto"/>
          <w:sz w:val="24"/>
          <w:szCs w:val="24"/>
          <w:highlight w:val="none"/>
          <w:lang w:val="en-US" w:eastAsia="zh-CN"/>
        </w:rPr>
      </w:pPr>
    </w:p>
    <w:p w14:paraId="19E5C978">
      <w:pPr>
        <w:spacing w:line="360" w:lineRule="auto"/>
        <w:ind w:firstLine="540" w:firstLineChars="2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企业名称（</w:t>
      </w:r>
      <w:r>
        <w:rPr>
          <w:rFonts w:hint="eastAsia" w:ascii="宋体" w:hAnsi="宋体" w:cs="宋体"/>
          <w:sz w:val="24"/>
          <w:shd w:val="clear" w:color="auto" w:fill="FFFFFF" w:themeFill="background1"/>
          <w:lang w:val="en-US" w:eastAsia="zh-CN"/>
        </w:rPr>
        <w:t>电子签章</w:t>
      </w:r>
      <w:r>
        <w:rPr>
          <w:rFonts w:hint="eastAsia" w:ascii="宋体" w:hAnsi="宋体" w:eastAsia="宋体" w:cs="宋体"/>
          <w:color w:val="auto"/>
          <w:sz w:val="24"/>
          <w:szCs w:val="24"/>
          <w:highlight w:val="none"/>
          <w:lang w:val="en-US" w:eastAsia="zh-CN"/>
        </w:rPr>
        <w:t xml:space="preserve">）： </w:t>
      </w:r>
    </w:p>
    <w:p w14:paraId="51A88C4E">
      <w:pPr>
        <w:spacing w:line="360" w:lineRule="auto"/>
        <w:ind w:firstLine="540" w:firstLineChars="2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 期： </w:t>
      </w:r>
    </w:p>
    <w:p w14:paraId="2085BBF8">
      <w:pPr>
        <w:spacing w:line="360" w:lineRule="auto"/>
        <w:ind w:firstLine="540" w:firstLineChars="225"/>
        <w:rPr>
          <w:rFonts w:hint="eastAsia" w:ascii="宋体" w:hAnsi="宋体" w:eastAsia="宋体" w:cs="宋体"/>
          <w:color w:val="auto"/>
          <w:sz w:val="24"/>
          <w:szCs w:val="24"/>
          <w:highlight w:val="none"/>
          <w:lang w:val="en-US" w:eastAsia="zh-CN"/>
        </w:rPr>
      </w:pPr>
    </w:p>
    <w:p w14:paraId="0EC89A61">
      <w:pPr>
        <w:adjustRightInd w:val="0"/>
        <w:snapToGrid w:val="0"/>
        <w:spacing w:line="360" w:lineRule="auto"/>
        <w:rPr>
          <w:rFonts w:hint="eastAsia" w:ascii="宋体" w:hAnsi="宋体" w:eastAsia="宋体" w:cs="宋体"/>
          <w:color w:val="auto"/>
          <w:spacing w:val="6"/>
          <w:kern w:val="0"/>
          <w:sz w:val="24"/>
          <w:szCs w:val="24"/>
          <w:highlight w:val="none"/>
        </w:rPr>
      </w:pPr>
      <w:r>
        <w:rPr>
          <w:rFonts w:hint="eastAsia" w:ascii="宋体" w:hAnsi="宋体" w:eastAsia="宋体" w:cs="宋体"/>
          <w:color w:val="auto"/>
          <w:spacing w:val="6"/>
          <w:kern w:val="0"/>
          <w:sz w:val="24"/>
          <w:szCs w:val="24"/>
          <w:highlight w:val="none"/>
        </w:rPr>
        <w:t>说明：</w:t>
      </w:r>
    </w:p>
    <w:p w14:paraId="2D8522CA">
      <w:pPr>
        <w:adjustRightInd w:val="0"/>
        <w:snapToGrid w:val="0"/>
        <w:spacing w:line="360" w:lineRule="auto"/>
        <w:rPr>
          <w:rFonts w:hint="eastAsia" w:ascii="宋体" w:hAnsi="宋体" w:eastAsia="宋体" w:cs="宋体"/>
          <w:color w:val="auto"/>
          <w:spacing w:val="6"/>
          <w:kern w:val="0"/>
          <w:sz w:val="24"/>
          <w:szCs w:val="24"/>
          <w:highlight w:val="none"/>
        </w:rPr>
      </w:pPr>
      <w:r>
        <w:rPr>
          <w:rFonts w:hint="eastAsia" w:ascii="宋体" w:hAnsi="宋体" w:eastAsia="宋体" w:cs="宋体"/>
          <w:color w:val="auto"/>
          <w:spacing w:val="6"/>
          <w:kern w:val="0"/>
          <w:sz w:val="24"/>
          <w:szCs w:val="24"/>
          <w:highlight w:val="none"/>
        </w:rPr>
        <w:t>1、从业人员、营业收入、资产总额填报上一年度数据，无上一年度数据的新成立企业可不填报。</w:t>
      </w:r>
    </w:p>
    <w:p w14:paraId="4A54BEF1">
      <w:pPr>
        <w:adjustRightInd w:val="0"/>
        <w:snapToGrid w:val="0"/>
        <w:spacing w:line="360" w:lineRule="auto"/>
        <w:rPr>
          <w:rFonts w:hint="eastAsia" w:ascii="宋体" w:hAnsi="宋体" w:eastAsia="宋体" w:cs="宋体"/>
          <w:color w:val="auto"/>
          <w:spacing w:val="6"/>
          <w:kern w:val="0"/>
          <w:sz w:val="24"/>
          <w:szCs w:val="24"/>
          <w:highlight w:val="none"/>
        </w:rPr>
      </w:pPr>
      <w:r>
        <w:rPr>
          <w:rFonts w:hint="eastAsia" w:ascii="宋体" w:hAnsi="宋体" w:eastAsia="宋体" w:cs="宋体"/>
          <w:color w:val="auto"/>
          <w:spacing w:val="6"/>
          <w:kern w:val="0"/>
          <w:sz w:val="24"/>
          <w:szCs w:val="24"/>
          <w:highlight w:val="none"/>
        </w:rPr>
        <w:t>2、填写前请认真阅读《关于印发中小企业划型标准规定的通知》（工信部联企业[2011]300号）和《关于印发＜</w:t>
      </w:r>
      <w:r>
        <w:rPr>
          <w:rFonts w:hint="eastAsia" w:ascii="宋体" w:hAnsi="宋体" w:eastAsia="宋体" w:cs="宋体"/>
          <w:color w:val="auto"/>
          <w:spacing w:val="-2"/>
          <w:sz w:val="24"/>
          <w:szCs w:val="24"/>
          <w:highlight w:val="none"/>
        </w:rPr>
        <w:t>政府采购促进中小</w:t>
      </w:r>
      <w:r>
        <w:rPr>
          <w:rFonts w:hint="eastAsia" w:ascii="宋体" w:hAnsi="宋体" w:eastAsia="宋体" w:cs="宋体"/>
          <w:color w:val="auto"/>
          <w:spacing w:val="-18"/>
          <w:sz w:val="24"/>
          <w:szCs w:val="24"/>
          <w:highlight w:val="none"/>
        </w:rPr>
        <w:t>企业发展管理办法</w:t>
      </w:r>
      <w:r>
        <w:rPr>
          <w:rFonts w:hint="eastAsia" w:ascii="宋体" w:hAnsi="宋体" w:eastAsia="宋体" w:cs="宋体"/>
          <w:color w:val="auto"/>
          <w:spacing w:val="6"/>
          <w:kern w:val="0"/>
          <w:sz w:val="24"/>
          <w:szCs w:val="24"/>
          <w:highlight w:val="none"/>
        </w:rPr>
        <w:t>＞的通知》(</w:t>
      </w:r>
      <w:r>
        <w:rPr>
          <w:rFonts w:hint="eastAsia" w:ascii="宋体" w:hAnsi="宋体" w:eastAsia="宋体" w:cs="宋体"/>
          <w:color w:val="auto"/>
          <w:spacing w:val="5"/>
          <w:sz w:val="24"/>
          <w:szCs w:val="24"/>
          <w:highlight w:val="none"/>
        </w:rPr>
        <w:t>财库</w:t>
      </w:r>
      <w:r>
        <w:rPr>
          <w:rFonts w:hint="eastAsia" w:ascii="宋体" w:hAnsi="宋体" w:eastAsia="宋体" w:cs="宋体"/>
          <w:color w:val="auto"/>
          <w:sz w:val="24"/>
          <w:szCs w:val="24"/>
          <w:highlight w:val="none"/>
        </w:rPr>
        <w:t>﹝2020﹞46</w:t>
      </w:r>
      <w:r>
        <w:rPr>
          <w:rFonts w:hint="eastAsia" w:ascii="宋体" w:hAnsi="宋体" w:eastAsia="宋体" w:cs="宋体"/>
          <w:color w:val="auto"/>
          <w:spacing w:val="-38"/>
          <w:sz w:val="24"/>
          <w:szCs w:val="24"/>
          <w:highlight w:val="none"/>
        </w:rPr>
        <w:t xml:space="preserve"> 号  </w:t>
      </w:r>
      <w:r>
        <w:rPr>
          <w:rFonts w:hint="eastAsia" w:ascii="宋体" w:hAnsi="宋体" w:eastAsia="宋体" w:cs="宋体"/>
          <w:color w:val="auto"/>
          <w:spacing w:val="6"/>
          <w:kern w:val="0"/>
          <w:sz w:val="24"/>
          <w:szCs w:val="24"/>
          <w:highlight w:val="none"/>
        </w:rPr>
        <w:t>)相关规定。</w:t>
      </w:r>
    </w:p>
    <w:p w14:paraId="6AA69639">
      <w:pPr>
        <w:adjustRightInd w:val="0"/>
        <w:snapToGrid w:val="0"/>
        <w:spacing w:line="360" w:lineRule="auto"/>
        <w:rPr>
          <w:rFonts w:hint="eastAsia" w:ascii="宋体" w:hAnsi="宋体" w:eastAsia="宋体" w:cs="宋体"/>
          <w:color w:val="auto"/>
          <w:spacing w:val="6"/>
          <w:kern w:val="0"/>
          <w:sz w:val="24"/>
          <w:szCs w:val="24"/>
          <w:highlight w:val="none"/>
        </w:rPr>
      </w:pPr>
      <w:r>
        <w:rPr>
          <w:rFonts w:hint="eastAsia" w:ascii="宋体" w:hAnsi="宋体" w:eastAsia="宋体" w:cs="宋体"/>
          <w:color w:val="auto"/>
          <w:spacing w:val="6"/>
          <w:kern w:val="0"/>
          <w:sz w:val="24"/>
          <w:szCs w:val="24"/>
          <w:highlight w:val="none"/>
        </w:rPr>
        <w:t>3、未按上述要求提供、填写的，评审时不予以考虑。</w:t>
      </w:r>
    </w:p>
    <w:p w14:paraId="4E0B42DB">
      <w:pPr>
        <w:pStyle w:val="7"/>
        <w:rPr>
          <w:rFonts w:hint="eastAsia" w:ascii="宋体" w:hAnsi="宋体" w:eastAsia="宋体" w:cs="宋体"/>
          <w:color w:val="auto"/>
          <w:spacing w:val="6"/>
          <w:kern w:val="0"/>
          <w:sz w:val="24"/>
          <w:szCs w:val="24"/>
          <w:highlight w:val="none"/>
        </w:rPr>
      </w:pPr>
    </w:p>
    <w:p w14:paraId="5110157C">
      <w:pPr>
        <w:widowControl/>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（提醒：</w:t>
      </w:r>
      <w:r>
        <w:rPr>
          <w:rFonts w:hint="eastAsia" w:ascii="宋体" w:hAnsi="宋体" w:eastAsia="宋体" w:cs="宋体"/>
          <w:b/>
          <w:color w:val="auto"/>
          <w:sz w:val="24"/>
          <w:szCs w:val="24"/>
          <w:highlight w:val="none"/>
          <w:lang w:val="en-US" w:eastAsia="zh-CN"/>
        </w:rPr>
        <w:t>1.本项目专门面向中小企业采购，</w:t>
      </w:r>
      <w:r>
        <w:rPr>
          <w:rFonts w:hint="eastAsia" w:ascii="宋体" w:hAnsi="宋体" w:eastAsia="宋体" w:cs="宋体"/>
          <w:b/>
          <w:color w:val="auto"/>
          <w:sz w:val="24"/>
          <w:szCs w:val="24"/>
          <w:highlight w:val="none"/>
        </w:rPr>
        <w:t>参加政府采购活动的中小企业</w:t>
      </w:r>
      <w:r>
        <w:rPr>
          <w:rFonts w:hint="eastAsia" w:ascii="宋体" w:hAnsi="宋体" w:eastAsia="宋体" w:cs="宋体"/>
          <w:b/>
          <w:color w:val="auto"/>
          <w:sz w:val="24"/>
          <w:szCs w:val="24"/>
          <w:highlight w:val="none"/>
          <w:lang w:eastAsia="zh-CN"/>
        </w:rPr>
        <w:t>须</w:t>
      </w:r>
      <w:r>
        <w:rPr>
          <w:rFonts w:hint="eastAsia" w:ascii="宋体" w:hAnsi="宋体" w:eastAsia="宋体" w:cs="宋体"/>
          <w:b/>
          <w:color w:val="auto"/>
          <w:sz w:val="24"/>
          <w:szCs w:val="24"/>
          <w:highlight w:val="none"/>
        </w:rPr>
        <w:t>提供《中小企业声明函》</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2.关于监狱企业：视同小微企业。须提供由省级以上监狱管理局、戒毒管理局（含新疆生产建设兵团）出具的属于监狱企业的证明文件；3.关于残疾人福利性单位：视同小微企业。须提供完整的“残疾人福利性单位声明函”。4.本项目对应的中小企业划分标准所属行业为：建筑业</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eastAsia="zh-CN"/>
        </w:rPr>
        <w:t>。</w:t>
      </w:r>
    </w:p>
    <w:p w14:paraId="2B7EF7BC">
      <w:pPr>
        <w:rPr>
          <w:rFonts w:hint="eastAsia"/>
          <w:highlight w:val="none"/>
        </w:rPr>
        <w:sectPr>
          <w:footerReference r:id="rId4" w:type="default"/>
          <w:pgSz w:w="11905" w:h="16838"/>
          <w:pgMar w:top="1417" w:right="1372" w:bottom="1417" w:left="1361" w:header="0" w:footer="1595" w:gutter="0"/>
          <w:pgNumType w:fmt="decimal"/>
          <w:cols w:space="720" w:num="1"/>
          <w:rtlGutter w:val="0"/>
        </w:sectPr>
      </w:pPr>
    </w:p>
    <w:p w14:paraId="65213B39">
      <w:pPr>
        <w:pageBreakBefore/>
        <w:rPr>
          <w:rFonts w:hint="eastAsia" w:eastAsiaTheme="minorEastAsia"/>
          <w:color w:val="auto"/>
          <w:sz w:val="28"/>
          <w:szCs w:val="28"/>
          <w:highlight w:val="none"/>
          <w:lang w:eastAsia="zh-CN"/>
        </w:rPr>
      </w:pPr>
      <w:r>
        <w:rPr>
          <w:rFonts w:hint="eastAsia"/>
          <w:color w:val="auto"/>
          <w:sz w:val="28"/>
          <w:szCs w:val="28"/>
          <w:highlight w:val="none"/>
        </w:rPr>
        <w:t>附件</w:t>
      </w:r>
      <w:r>
        <w:rPr>
          <w:rFonts w:hint="eastAsia"/>
          <w:color w:val="auto"/>
          <w:sz w:val="28"/>
          <w:szCs w:val="28"/>
          <w:highlight w:val="none"/>
          <w:lang w:val="en-US" w:eastAsia="zh-CN"/>
        </w:rPr>
        <w:t>3</w:t>
      </w:r>
    </w:p>
    <w:p w14:paraId="6FBCC8C1">
      <w:pPr>
        <w:pStyle w:val="3"/>
        <w:numPr>
          <w:ilvl w:val="1"/>
          <w:numId w:val="0"/>
        </w:numPr>
        <w:tabs>
          <w:tab w:val="left" w:pos="840"/>
        </w:tabs>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监狱企业证明文件</w:t>
      </w:r>
    </w:p>
    <w:p w14:paraId="76CFE130">
      <w:pPr>
        <w:spacing w:line="360" w:lineRule="auto"/>
        <w:ind w:firstLine="504" w:firstLineChars="200"/>
        <w:jc w:val="left"/>
        <w:outlineLvl w:val="1"/>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监狱企业参加政府采购活动时，应当提供由省级以上监狱管理局、戒毒管理局（含新疆生产建设兵团）出具的属于监狱企业的证明文件。</w:t>
      </w:r>
    </w:p>
    <w:p w14:paraId="3271279F">
      <w:pPr>
        <w:spacing w:line="360" w:lineRule="auto"/>
        <w:ind w:firstLine="562" w:firstLineChars="200"/>
        <w:jc w:val="left"/>
        <w:outlineLvl w:val="1"/>
        <w:rPr>
          <w:rFonts w:ascii="宋体" w:hAnsi="宋体" w:cs="宋体"/>
          <w:b/>
          <w:bCs/>
          <w:color w:val="000000"/>
          <w:kern w:val="10"/>
          <w:sz w:val="28"/>
          <w:szCs w:val="28"/>
          <w:shd w:val="clear" w:color="auto" w:fill="FFFFFF" w:themeFill="background1"/>
          <w:lang w:val="en-GB"/>
        </w:rPr>
      </w:pPr>
    </w:p>
    <w:p w14:paraId="0D3E6186">
      <w:pPr>
        <w:widowControl/>
        <w:spacing w:line="360" w:lineRule="auto"/>
        <w:ind w:firstLine="241" w:firstLineChars="100"/>
        <w:rPr>
          <w:rFonts w:ascii="宋体" w:hAnsi="宋体" w:cs="宋体"/>
          <w:b/>
          <w:color w:val="000000"/>
          <w:sz w:val="24"/>
        </w:rPr>
      </w:pPr>
      <w:r>
        <w:rPr>
          <w:rFonts w:hint="eastAsia" w:ascii="宋体" w:hAnsi="宋体" w:cs="宋体"/>
          <w:b/>
          <w:color w:val="000000"/>
          <w:sz w:val="24"/>
        </w:rPr>
        <w:t>（提醒：如果投标人</w:t>
      </w:r>
      <w:r>
        <w:rPr>
          <w:rFonts w:hint="eastAsia" w:ascii="宋体" w:hAnsi="宋体" w:cs="宋体"/>
          <w:b/>
          <w:color w:val="000000"/>
          <w:spacing w:val="10"/>
          <w:kern w:val="0"/>
          <w:sz w:val="24"/>
        </w:rPr>
        <w:t>不是</w:t>
      </w:r>
      <w:r>
        <w:rPr>
          <w:rFonts w:hint="eastAsia" w:ascii="宋体" w:hAnsi="宋体"/>
          <w:b/>
          <w:bCs/>
          <w:color w:val="000000"/>
          <w:sz w:val="24"/>
          <w:lang w:val="en-GB"/>
        </w:rPr>
        <w:t>监狱企业</w:t>
      </w:r>
      <w:r>
        <w:rPr>
          <w:rFonts w:hint="eastAsia" w:ascii="宋体" w:hAnsi="宋体" w:cs="宋体"/>
          <w:b/>
          <w:color w:val="000000"/>
          <w:sz w:val="24"/>
        </w:rPr>
        <w:t>，则不需要提供</w:t>
      </w:r>
      <w:r>
        <w:rPr>
          <w:rFonts w:hint="eastAsia" w:ascii="宋体" w:hAnsi="宋体" w:cs="宋体"/>
          <w:b/>
          <w:color w:val="000000"/>
          <w:sz w:val="24"/>
          <w:lang w:val="en-GB"/>
        </w:rPr>
        <w:t>监狱企业证明材料</w:t>
      </w:r>
      <w:r>
        <w:rPr>
          <w:rFonts w:hint="eastAsia" w:ascii="宋体" w:hAnsi="宋体" w:cs="宋体"/>
          <w:b/>
          <w:color w:val="000000"/>
          <w:sz w:val="24"/>
        </w:rPr>
        <w:t>）</w:t>
      </w:r>
    </w:p>
    <w:p w14:paraId="73A4FAAC">
      <w:pPr>
        <w:pageBreakBefore w:val="0"/>
        <w:widowControl w:val="0"/>
        <w:kinsoku/>
        <w:wordWrap/>
        <w:overflowPunct/>
        <w:topLinePunct w:val="0"/>
        <w:bidi w:val="0"/>
        <w:spacing w:beforeAutospacing="0" w:afterAutospacing="0" w:line="360" w:lineRule="auto"/>
        <w:ind w:left="2458" w:leftChars="942" w:hanging="480" w:hangingChars="200"/>
        <w:jc w:val="right"/>
        <w:textAlignment w:val="auto"/>
        <w:rPr>
          <w:rFonts w:ascii="宋体" w:hAnsi="宋体" w:eastAsia="宋体" w:cs="楷体_GB2312"/>
          <w:color w:val="auto"/>
          <w:kern w:val="2"/>
          <w:sz w:val="24"/>
          <w:szCs w:val="28"/>
          <w:highlight w:val="none"/>
        </w:rPr>
      </w:pPr>
    </w:p>
    <w:p w14:paraId="6CB985CB">
      <w:pPr>
        <w:pageBreakBefore w:val="0"/>
        <w:widowControl w:val="0"/>
        <w:kinsoku/>
        <w:wordWrap/>
        <w:overflowPunct/>
        <w:topLinePunct w:val="0"/>
        <w:autoSpaceDE w:val="0"/>
        <w:autoSpaceDN w:val="0"/>
        <w:bidi w:val="0"/>
        <w:adjustRightInd w:val="0"/>
        <w:spacing w:beforeAutospacing="0" w:afterAutospacing="0" w:line="360" w:lineRule="auto"/>
        <w:jc w:val="left"/>
        <w:textAlignment w:val="auto"/>
        <w:rPr>
          <w:rFonts w:ascii="宋体" w:hAnsi="宋体" w:eastAsia="宋体" w:cs="宋体"/>
          <w:color w:val="auto"/>
          <w:kern w:val="0"/>
          <w:sz w:val="24"/>
          <w:szCs w:val="28"/>
          <w:highlight w:val="none"/>
        </w:rPr>
      </w:pPr>
    </w:p>
    <w:p w14:paraId="4136BD7E">
      <w:pPr>
        <w:pStyle w:val="10"/>
        <w:ind w:left="1470" w:right="1470"/>
        <w:rPr>
          <w:b/>
          <w:bCs/>
          <w:color w:val="auto"/>
          <w:kern w:val="36"/>
          <w:sz w:val="22"/>
          <w:szCs w:val="42"/>
          <w:highlight w:val="none"/>
        </w:rPr>
      </w:pPr>
    </w:p>
    <w:p w14:paraId="79F9B5AF">
      <w:pPr>
        <w:pStyle w:val="10"/>
        <w:ind w:left="1470" w:right="1470"/>
        <w:rPr>
          <w:b/>
          <w:bCs/>
          <w:color w:val="auto"/>
          <w:kern w:val="36"/>
          <w:sz w:val="22"/>
          <w:szCs w:val="42"/>
          <w:highlight w:val="none"/>
        </w:rPr>
      </w:pPr>
    </w:p>
    <w:p w14:paraId="22EA0735">
      <w:pPr>
        <w:pStyle w:val="10"/>
        <w:ind w:left="1470" w:right="1470"/>
        <w:rPr>
          <w:b/>
          <w:bCs/>
          <w:color w:val="auto"/>
          <w:kern w:val="36"/>
          <w:sz w:val="22"/>
          <w:szCs w:val="42"/>
          <w:highlight w:val="none"/>
        </w:rPr>
      </w:pPr>
    </w:p>
    <w:p w14:paraId="17B07976">
      <w:pPr>
        <w:pStyle w:val="10"/>
        <w:ind w:left="1470" w:right="1470"/>
        <w:rPr>
          <w:b/>
          <w:bCs/>
          <w:color w:val="auto"/>
          <w:kern w:val="36"/>
          <w:sz w:val="22"/>
          <w:szCs w:val="42"/>
          <w:highlight w:val="none"/>
        </w:rPr>
      </w:pPr>
    </w:p>
    <w:p w14:paraId="7248CC99">
      <w:pPr>
        <w:pStyle w:val="10"/>
        <w:ind w:left="1470" w:right="1470"/>
        <w:rPr>
          <w:b/>
          <w:bCs/>
          <w:color w:val="auto"/>
          <w:kern w:val="36"/>
          <w:sz w:val="22"/>
          <w:szCs w:val="42"/>
          <w:highlight w:val="none"/>
        </w:rPr>
      </w:pPr>
    </w:p>
    <w:p w14:paraId="0AFC6EBA">
      <w:pPr>
        <w:pageBreakBefore/>
        <w:rPr>
          <w:rFonts w:hint="eastAsia" w:eastAsiaTheme="minorEastAsia"/>
          <w:color w:val="auto"/>
          <w:sz w:val="28"/>
          <w:szCs w:val="28"/>
          <w:highlight w:val="none"/>
          <w:lang w:eastAsia="zh-CN"/>
        </w:rPr>
      </w:pPr>
      <w:r>
        <w:rPr>
          <w:rFonts w:hint="eastAsia"/>
          <w:color w:val="auto"/>
          <w:sz w:val="28"/>
          <w:szCs w:val="28"/>
          <w:highlight w:val="none"/>
        </w:rPr>
        <w:t>附件</w:t>
      </w:r>
      <w:r>
        <w:rPr>
          <w:rFonts w:hint="eastAsia"/>
          <w:color w:val="auto"/>
          <w:sz w:val="28"/>
          <w:szCs w:val="28"/>
          <w:highlight w:val="none"/>
          <w:lang w:val="en-US" w:eastAsia="zh-CN"/>
        </w:rPr>
        <w:t>4</w:t>
      </w:r>
    </w:p>
    <w:p w14:paraId="48CACDE2">
      <w:pPr>
        <w:pStyle w:val="10"/>
        <w:wordWrap/>
        <w:topLinePunct w:val="0"/>
        <w:spacing w:line="480" w:lineRule="exact"/>
        <w:ind w:left="0" w:leftChars="0" w:right="0" w:rightChars="0"/>
        <w:jc w:val="center"/>
        <w:rPr>
          <w:color w:val="auto"/>
          <w:kern w:val="36"/>
          <w:sz w:val="28"/>
          <w:szCs w:val="28"/>
          <w:highlight w:val="none"/>
        </w:rPr>
      </w:pPr>
      <w:r>
        <w:rPr>
          <w:rFonts w:hint="eastAsia"/>
          <w:b/>
          <w:bCs/>
          <w:color w:val="auto"/>
          <w:kern w:val="36"/>
          <w:sz w:val="28"/>
          <w:szCs w:val="28"/>
          <w:highlight w:val="none"/>
        </w:rPr>
        <w:t>残疾人福利性单位声明函（如有）</w:t>
      </w:r>
    </w:p>
    <w:p w14:paraId="35EBE66A">
      <w:pPr>
        <w:keepNext w:val="0"/>
        <w:keepLines w:val="0"/>
        <w:pageBreakBefore w:val="0"/>
        <w:widowControl w:val="0"/>
        <w:kinsoku/>
        <w:wordWrap/>
        <w:overflowPunct/>
        <w:topLinePunct w:val="0"/>
        <w:bidi w:val="0"/>
        <w:snapToGrid w:val="0"/>
        <w:spacing w:beforeAutospacing="0" w:afterAutospacing="0" w:line="360" w:lineRule="auto"/>
        <w:ind w:firstLine="480" w:firstLineChars="200"/>
        <w:jc w:val="both"/>
        <w:textAlignment w:val="auto"/>
        <w:rPr>
          <w:rFonts w:ascii="宋体" w:hAnsi="宋体" w:eastAsia="宋体" w:cs="宋体"/>
          <w:color w:val="auto"/>
          <w:kern w:val="2"/>
          <w:sz w:val="24"/>
          <w:szCs w:val="28"/>
          <w:highlight w:val="none"/>
        </w:rPr>
      </w:pPr>
      <w:r>
        <w:rPr>
          <w:rFonts w:hint="eastAsia" w:ascii="宋体" w:hAnsi="宋体" w:eastAsia="宋体" w:cs="宋体"/>
          <w:color w:val="auto"/>
          <w:kern w:val="2"/>
          <w:sz w:val="24"/>
          <w:szCs w:val="28"/>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996DFE8">
      <w:pPr>
        <w:keepNext w:val="0"/>
        <w:keepLines w:val="0"/>
        <w:pageBreakBefore w:val="0"/>
        <w:widowControl w:val="0"/>
        <w:kinsoku/>
        <w:wordWrap/>
        <w:overflowPunct/>
        <w:topLinePunct w:val="0"/>
        <w:bidi w:val="0"/>
        <w:snapToGrid w:val="0"/>
        <w:spacing w:beforeAutospacing="0" w:afterAutospacing="0" w:line="360" w:lineRule="auto"/>
        <w:ind w:firstLine="480" w:firstLineChars="200"/>
        <w:jc w:val="both"/>
        <w:textAlignment w:val="auto"/>
        <w:rPr>
          <w:rFonts w:ascii="宋体" w:hAnsi="宋体" w:eastAsia="宋体" w:cs="宋体"/>
          <w:color w:val="auto"/>
          <w:kern w:val="2"/>
          <w:sz w:val="24"/>
          <w:szCs w:val="28"/>
          <w:highlight w:val="none"/>
        </w:rPr>
      </w:pPr>
      <w:r>
        <w:rPr>
          <w:rFonts w:hint="eastAsia" w:ascii="宋体" w:hAnsi="宋体" w:eastAsia="宋体" w:cs="宋体"/>
          <w:color w:val="auto"/>
          <w:kern w:val="2"/>
          <w:sz w:val="24"/>
          <w:szCs w:val="28"/>
          <w:highlight w:val="none"/>
        </w:rPr>
        <w:t>本单位对上述声明的真实性负责。如有虚假，将依法承担相应责任。</w:t>
      </w:r>
    </w:p>
    <w:p w14:paraId="1B3E7E42">
      <w:pPr>
        <w:keepNext w:val="0"/>
        <w:keepLines w:val="0"/>
        <w:pageBreakBefore w:val="0"/>
        <w:widowControl w:val="0"/>
        <w:kinsoku/>
        <w:wordWrap/>
        <w:overflowPunct/>
        <w:topLinePunct w:val="0"/>
        <w:bidi w:val="0"/>
        <w:snapToGrid w:val="0"/>
        <w:spacing w:beforeAutospacing="0" w:afterAutospacing="0" w:line="360" w:lineRule="auto"/>
        <w:ind w:left="420" w:leftChars="200"/>
        <w:jc w:val="both"/>
        <w:textAlignment w:val="auto"/>
        <w:rPr>
          <w:rFonts w:ascii="宋体" w:hAnsi="宋体" w:eastAsia="宋体" w:cs="宋体"/>
          <w:color w:val="auto"/>
          <w:kern w:val="2"/>
          <w:sz w:val="24"/>
          <w:szCs w:val="28"/>
          <w:highlight w:val="none"/>
        </w:rPr>
      </w:pPr>
    </w:p>
    <w:p w14:paraId="129148AC">
      <w:pPr>
        <w:spacing w:line="360" w:lineRule="auto"/>
        <w:ind w:firstLine="504" w:firstLineChars="200"/>
        <w:jc w:val="center"/>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lang w:val="en-US" w:eastAsia="zh-CN"/>
        </w:rPr>
        <w:t xml:space="preserve">  </w:t>
      </w:r>
      <w:r>
        <w:rPr>
          <w:rFonts w:hint="eastAsia" w:ascii="宋体" w:hAnsi="宋体" w:cs="宋体"/>
          <w:spacing w:val="6"/>
          <w:sz w:val="24"/>
          <w:shd w:val="clear" w:color="auto" w:fill="FFFFFF" w:themeFill="background1"/>
        </w:rPr>
        <w:t xml:space="preserve"> 单位名称</w:t>
      </w:r>
      <w:r>
        <w:rPr>
          <w:rFonts w:hint="eastAsia" w:ascii="宋体" w:hAnsi="宋体"/>
          <w:sz w:val="24"/>
          <w:szCs w:val="24"/>
        </w:rPr>
        <w:t>（公章签章）</w:t>
      </w:r>
      <w:r>
        <w:rPr>
          <w:rFonts w:hint="eastAsia" w:ascii="宋体" w:hAnsi="宋体" w:cs="宋体"/>
          <w:spacing w:val="6"/>
          <w:sz w:val="24"/>
          <w:shd w:val="clear" w:color="auto" w:fill="FFFFFF" w:themeFill="background1"/>
        </w:rPr>
        <w:t>：</w:t>
      </w:r>
    </w:p>
    <w:p w14:paraId="4FED2AF6">
      <w:pPr>
        <w:keepNext w:val="0"/>
        <w:keepLines w:val="0"/>
        <w:pageBreakBefore w:val="0"/>
        <w:widowControl w:val="0"/>
        <w:kinsoku/>
        <w:wordWrap/>
        <w:overflowPunct/>
        <w:topLinePunct w:val="0"/>
        <w:bidi w:val="0"/>
        <w:snapToGrid w:val="0"/>
        <w:spacing w:beforeAutospacing="0" w:afterAutospacing="0" w:line="360" w:lineRule="auto"/>
        <w:jc w:val="both"/>
        <w:textAlignment w:val="auto"/>
        <w:rPr>
          <w:rFonts w:ascii="宋体" w:hAnsi="宋体" w:eastAsia="宋体" w:cs="宋体"/>
          <w:color w:val="auto"/>
          <w:kern w:val="2"/>
          <w:sz w:val="24"/>
          <w:szCs w:val="28"/>
          <w:highlight w:val="none"/>
        </w:rPr>
      </w:pPr>
    </w:p>
    <w:p w14:paraId="32B55E67">
      <w:pPr>
        <w:keepNext w:val="0"/>
        <w:keepLines w:val="0"/>
        <w:pageBreakBefore w:val="0"/>
        <w:widowControl w:val="0"/>
        <w:kinsoku/>
        <w:wordWrap/>
        <w:overflowPunct/>
        <w:topLinePunct w:val="0"/>
        <w:bidi w:val="0"/>
        <w:spacing w:beforeAutospacing="0" w:afterAutospacing="0" w:line="360" w:lineRule="auto"/>
        <w:ind w:left="480" w:hanging="480" w:hangingChars="200"/>
        <w:jc w:val="right"/>
        <w:textAlignment w:val="auto"/>
        <w:rPr>
          <w:rFonts w:ascii="宋体" w:hAnsi="宋体" w:eastAsia="宋体" w:cs="宋体"/>
          <w:color w:val="auto"/>
          <w:kern w:val="2"/>
          <w:sz w:val="24"/>
          <w:szCs w:val="28"/>
          <w:highlight w:val="none"/>
        </w:rPr>
      </w:pPr>
      <w:r>
        <w:rPr>
          <w:rFonts w:hint="eastAsia" w:ascii="宋体" w:hAnsi="宋体" w:eastAsia="宋体" w:cs="宋体"/>
          <w:color w:val="auto"/>
          <w:kern w:val="2"/>
          <w:sz w:val="24"/>
          <w:szCs w:val="28"/>
          <w:highlight w:val="none"/>
        </w:rPr>
        <w:t>日  期：</w:t>
      </w:r>
      <w:r>
        <w:rPr>
          <w:rFonts w:hint="eastAsia" w:ascii="宋体" w:hAnsi="宋体" w:eastAsia="宋体" w:cs="宋体"/>
          <w:color w:val="auto"/>
          <w:kern w:val="2"/>
          <w:sz w:val="24"/>
          <w:szCs w:val="28"/>
          <w:highlight w:val="none"/>
          <w:u w:val="single"/>
        </w:rPr>
        <w:t xml:space="preserve">       </w:t>
      </w:r>
      <w:r>
        <w:rPr>
          <w:rFonts w:hint="eastAsia" w:ascii="宋体" w:hAnsi="宋体" w:eastAsia="宋体" w:cs="宋体"/>
          <w:color w:val="auto"/>
          <w:kern w:val="2"/>
          <w:sz w:val="24"/>
          <w:szCs w:val="28"/>
          <w:highlight w:val="none"/>
        </w:rPr>
        <w:t>年</w:t>
      </w:r>
      <w:r>
        <w:rPr>
          <w:rFonts w:hint="eastAsia" w:ascii="宋体" w:hAnsi="宋体" w:eastAsia="宋体" w:cs="宋体"/>
          <w:color w:val="auto"/>
          <w:kern w:val="2"/>
          <w:sz w:val="24"/>
          <w:szCs w:val="28"/>
          <w:highlight w:val="none"/>
          <w:u w:val="single"/>
        </w:rPr>
        <w:t xml:space="preserve">     </w:t>
      </w:r>
      <w:r>
        <w:rPr>
          <w:rFonts w:hint="eastAsia" w:ascii="宋体" w:hAnsi="宋体" w:eastAsia="宋体" w:cs="宋体"/>
          <w:color w:val="auto"/>
          <w:kern w:val="2"/>
          <w:sz w:val="24"/>
          <w:szCs w:val="28"/>
          <w:highlight w:val="none"/>
        </w:rPr>
        <w:t>月</w:t>
      </w:r>
      <w:r>
        <w:rPr>
          <w:rFonts w:hint="eastAsia" w:ascii="宋体" w:hAnsi="宋体" w:eastAsia="宋体" w:cs="宋体"/>
          <w:color w:val="auto"/>
          <w:kern w:val="2"/>
          <w:sz w:val="24"/>
          <w:szCs w:val="28"/>
          <w:highlight w:val="none"/>
          <w:u w:val="single"/>
        </w:rPr>
        <w:t xml:space="preserve">     </w:t>
      </w:r>
      <w:r>
        <w:rPr>
          <w:rFonts w:hint="eastAsia" w:ascii="宋体" w:hAnsi="宋体" w:eastAsia="宋体" w:cs="宋体"/>
          <w:color w:val="auto"/>
          <w:kern w:val="2"/>
          <w:sz w:val="24"/>
          <w:szCs w:val="28"/>
          <w:highlight w:val="none"/>
        </w:rPr>
        <w:t>日</w:t>
      </w:r>
    </w:p>
    <w:p w14:paraId="7AB41362">
      <w:pPr>
        <w:keepNext w:val="0"/>
        <w:keepLines w:val="0"/>
        <w:pageBreakBefore w:val="0"/>
        <w:widowControl w:val="0"/>
        <w:kinsoku/>
        <w:wordWrap/>
        <w:overflowPunct/>
        <w:topLinePunct w:val="0"/>
        <w:autoSpaceDE w:val="0"/>
        <w:autoSpaceDN w:val="0"/>
        <w:bidi w:val="0"/>
        <w:adjustRightInd w:val="0"/>
        <w:snapToGrid w:val="0"/>
        <w:spacing w:beforeAutospacing="0" w:afterAutospacing="0" w:line="360" w:lineRule="auto"/>
        <w:ind w:left="482" w:hanging="482" w:hangingChars="200"/>
        <w:jc w:val="left"/>
        <w:textAlignment w:val="auto"/>
        <w:rPr>
          <w:rFonts w:ascii="宋体" w:hAnsi="宋体" w:eastAsia="宋体" w:cs="宋体"/>
          <w:b/>
          <w:color w:val="auto"/>
          <w:kern w:val="0"/>
          <w:sz w:val="24"/>
          <w:szCs w:val="28"/>
          <w:highlight w:val="none"/>
        </w:rPr>
      </w:pPr>
    </w:p>
    <w:p w14:paraId="5ECE2AEF">
      <w:pPr>
        <w:widowControl/>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注</w:t>
      </w:r>
      <w:r>
        <w:rPr>
          <w:rFonts w:hint="eastAsia" w:ascii="宋体" w:hAnsi="宋体" w:eastAsia="宋体" w:cs="宋体"/>
          <w:b/>
          <w:color w:val="auto"/>
          <w:sz w:val="24"/>
          <w:szCs w:val="24"/>
          <w:highlight w:val="none"/>
        </w:rPr>
        <w:t>：如果</w:t>
      </w:r>
      <w:r>
        <w:rPr>
          <w:rFonts w:hint="eastAsia" w:ascii="宋体" w:hAnsi="宋体" w:eastAsia="宋体" w:cs="宋体"/>
          <w:b/>
          <w:color w:val="auto"/>
          <w:sz w:val="24"/>
          <w:szCs w:val="24"/>
          <w:highlight w:val="none"/>
          <w:lang w:eastAsia="zh-CN"/>
        </w:rPr>
        <w:t>供应商</w:t>
      </w:r>
      <w:r>
        <w:rPr>
          <w:rFonts w:hint="eastAsia" w:ascii="宋体" w:hAnsi="宋体" w:eastAsia="宋体" w:cs="宋体"/>
          <w:b/>
          <w:color w:val="auto"/>
          <w:spacing w:val="10"/>
          <w:kern w:val="0"/>
          <w:sz w:val="24"/>
          <w:szCs w:val="24"/>
          <w:highlight w:val="none"/>
        </w:rPr>
        <w:t>不是残疾人福利性单位</w:t>
      </w:r>
      <w:r>
        <w:rPr>
          <w:rFonts w:hint="eastAsia" w:ascii="宋体" w:hAnsi="宋体" w:eastAsia="宋体" w:cs="宋体"/>
          <w:b/>
          <w:color w:val="auto"/>
          <w:sz w:val="24"/>
          <w:szCs w:val="24"/>
          <w:highlight w:val="none"/>
        </w:rPr>
        <w:t>，则不需要提供《残疾人福利性单位声明函》。否则，因此导致虚假投标的后果由</w:t>
      </w:r>
      <w:r>
        <w:rPr>
          <w:rFonts w:hint="eastAsia" w:ascii="宋体" w:hAnsi="宋体" w:eastAsia="宋体" w:cs="宋体"/>
          <w:b/>
          <w:color w:val="auto"/>
          <w:sz w:val="24"/>
          <w:szCs w:val="24"/>
          <w:highlight w:val="none"/>
          <w:lang w:eastAsia="zh-CN"/>
        </w:rPr>
        <w:t>供应商</w:t>
      </w:r>
      <w:r>
        <w:rPr>
          <w:rFonts w:hint="eastAsia" w:ascii="宋体" w:hAnsi="宋体" w:eastAsia="宋体" w:cs="宋体"/>
          <w:b/>
          <w:color w:val="auto"/>
          <w:sz w:val="24"/>
          <w:szCs w:val="24"/>
          <w:highlight w:val="none"/>
        </w:rPr>
        <w:t>自行承担。）</w:t>
      </w:r>
    </w:p>
    <w:p w14:paraId="7AD36CA5">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《财政部民政部中国残疾人联合会关于促进残疾人就业政府采购政策的通知》（财库（2017〔141〕号）的规定：</w:t>
      </w:r>
    </w:p>
    <w:p w14:paraId="0BF27F85">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1. 享受政府采购支持政策的残疾人福利性单位应当同时满足以下条件：</w:t>
      </w:r>
    </w:p>
    <w:p w14:paraId="512F4E3A">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（1）安置的残疾人占本单位在职职工人数的比例不低于25%（含25%），并且安置的残疾人人数不少于10人（含10人）；</w:t>
      </w:r>
    </w:p>
    <w:p w14:paraId="52AB6D93">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（2）依法与安置的每位残疾人签订了一年以上（含一年）的劳动合同或服务协议；</w:t>
      </w:r>
    </w:p>
    <w:p w14:paraId="23A88AE5">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（3）为安置的每位残疾人按月足额缴纳了基本养老保险、基本医疗保险、失业保险、工伤保险和生育保险等社会保险费；</w:t>
      </w:r>
    </w:p>
    <w:p w14:paraId="3EA345CF">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（4）通过银行等金融机构向安置的每位残疾人，按月支付了不低于单位所在区县适用的经省级人民政府批准的月最低工资标准的工资；</w:t>
      </w:r>
    </w:p>
    <w:p w14:paraId="5A035B1D">
      <w:pPr>
        <w:spacing w:line="360" w:lineRule="auto"/>
        <w:ind w:firstLine="504" w:firstLineChars="200"/>
        <w:rPr>
          <w:rFonts w:ascii="宋体" w:hAnsi="宋体" w:cs="宋体"/>
          <w:spacing w:val="6"/>
          <w:sz w:val="24"/>
          <w:shd w:val="clear" w:color="auto" w:fill="FFFFFF" w:themeFill="background1"/>
        </w:rPr>
      </w:pPr>
      <w:r>
        <w:rPr>
          <w:rFonts w:hint="eastAsia" w:ascii="宋体" w:hAnsi="宋体" w:cs="宋体"/>
          <w:spacing w:val="6"/>
          <w:sz w:val="24"/>
          <w:shd w:val="clear" w:color="auto" w:fill="FFFFFF" w:themeFill="background1"/>
        </w:rPr>
        <w:t>（5）提供本单位制造的货物、承担的工程或者服务（以下简称产品），或者提供其他残疾人福利性单位制造的货物（不包括使用非残疾人福利性单位注册商标的货物）。</w:t>
      </w:r>
    </w:p>
    <w:p w14:paraId="701FA2B6">
      <w:pPr>
        <w:spacing w:line="360" w:lineRule="auto"/>
        <w:ind w:firstLine="504" w:firstLineChars="200"/>
        <w:rPr>
          <w:rFonts w:hint="eastAsia"/>
          <w:lang w:val="en-US" w:eastAsia="zh-CN"/>
        </w:rPr>
      </w:pPr>
      <w:r>
        <w:rPr>
          <w:rFonts w:hint="eastAsia" w:ascii="宋体" w:hAnsi="宋体" w:cs="宋体"/>
          <w:spacing w:val="6"/>
          <w:sz w:val="24"/>
          <w:shd w:val="clear" w:color="auto" w:fill="FFFFFF" w:themeFill="background1"/>
        </w:rPr>
        <w:t>2. 中标人为残疾人福利性单位的，采购人或者其委托的采购代理机构应当随中标、成交结果同时公告其《残疾人福利性单位声明函》，接受社会监督。</w:t>
      </w:r>
    </w:p>
    <w:p w14:paraId="31BA2314">
      <w:pPr>
        <w:keepNext w:val="0"/>
        <w:keepLines w:val="0"/>
        <w:pageBreakBefore w:val="0"/>
        <w:widowControl w:val="0"/>
        <w:kinsoku/>
        <w:wordWrap/>
        <w:overflowPunct/>
        <w:topLinePunct w:val="0"/>
        <w:bidi w:val="0"/>
        <w:spacing w:beforeAutospacing="0" w:afterAutospacing="0" w:line="360" w:lineRule="auto"/>
        <w:ind w:left="482" w:hanging="480" w:hangingChars="200"/>
        <w:jc w:val="both"/>
        <w:textAlignment w:val="auto"/>
        <w:rPr>
          <w:rFonts w:ascii="宋体" w:hAnsi="宋体" w:eastAsia="宋体" w:cs="宋体"/>
          <w:color w:val="auto"/>
          <w:kern w:val="2"/>
          <w:sz w:val="24"/>
          <w:szCs w:val="28"/>
          <w:highlight w:val="none"/>
        </w:rPr>
      </w:pPr>
    </w:p>
    <w:p w14:paraId="3E668C11">
      <w:pPr>
        <w:rPr>
          <w:color w:val="auto"/>
          <w:highlight w:val="none"/>
        </w:rPr>
      </w:pPr>
    </w:p>
    <w:p w14:paraId="75036B7B">
      <w:pPr>
        <w:widowControl w:val="0"/>
        <w:jc w:val="both"/>
        <w:rPr>
          <w:rFonts w:ascii="宋体" w:hAnsi="宋体"/>
          <w:color w:val="auto"/>
          <w:sz w:val="24"/>
          <w:szCs w:val="24"/>
          <w:highlight w:val="none"/>
        </w:rPr>
      </w:pPr>
    </w:p>
    <w:p w14:paraId="69AEDF4C">
      <w:pPr>
        <w:widowControl w:val="0"/>
        <w:jc w:val="both"/>
        <w:rPr>
          <w:rFonts w:ascii="宋体" w:hAnsi="宋体"/>
          <w:color w:val="auto"/>
          <w:sz w:val="24"/>
          <w:szCs w:val="24"/>
          <w:highlight w:val="none"/>
        </w:rPr>
      </w:pPr>
    </w:p>
    <w:p w14:paraId="5F3CFB28">
      <w:pPr>
        <w:widowControl w:val="0"/>
        <w:jc w:val="both"/>
        <w:rPr>
          <w:rFonts w:ascii="宋体" w:hAnsi="宋体"/>
          <w:color w:val="auto"/>
          <w:sz w:val="24"/>
          <w:szCs w:val="24"/>
          <w:highlight w:val="none"/>
        </w:rPr>
      </w:pPr>
    </w:p>
    <w:p w14:paraId="24EF6931">
      <w:pPr>
        <w:widowControl w:val="0"/>
        <w:jc w:val="both"/>
        <w:rPr>
          <w:rFonts w:ascii="宋体" w:hAnsi="宋体"/>
          <w:color w:val="auto"/>
          <w:sz w:val="24"/>
          <w:szCs w:val="24"/>
          <w:highlight w:val="none"/>
        </w:rPr>
      </w:pPr>
    </w:p>
    <w:p w14:paraId="1039B0F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华文中宋">
    <w:altName w:val="宋体"/>
    <w:panose1 w:val="02010600040101010101"/>
    <w:charset w:val="86"/>
    <w:family w:val="auto"/>
    <w:pitch w:val="default"/>
    <w:sig w:usb0="00000000" w:usb1="00000000" w:usb2="00000000" w:usb3="00000000" w:csb0="0004009F" w:csb1="DFD7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8782D">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B72134">
                          <w:pPr>
                            <w:pStyle w:val="14"/>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2B72134">
                    <w:pPr>
                      <w:pStyle w:val="14"/>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C004D">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40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2741A77">
                          <w:pPr>
                            <w:pStyle w:val="14"/>
                          </w:pPr>
                          <w:r>
                            <w:fldChar w:fldCharType="begin"/>
                          </w:r>
                          <w:r>
                            <w:instrText xml:space="preserve"> PAGE  \* MERGEFORMAT </w:instrText>
                          </w:r>
                          <w:r>
                            <w:fldChar w:fldCharType="separate"/>
                          </w:r>
                          <w:r>
                            <w:t>10</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ymsI39sBAAC2AwAADgAAAAAAAAAB&#10;ACAAAAAfAQAAZHJzL2Uyb0RvYy54bWxQSwUGAAAAAAYABgBZAQAAbAUAAAAA&#10;">
              <v:fill on="f" focussize="0,0"/>
              <v:stroke on="f" weight="0.5pt"/>
              <v:imagedata o:title=""/>
              <o:lock v:ext="edit" aspectratio="f"/>
              <v:textbox inset="0mm,0mm,0mm,0mm" style="mso-fit-shape-to-text:t;">
                <w:txbxContent>
                  <w:p w14:paraId="62741A77">
                    <w:pPr>
                      <w:pStyle w:val="14"/>
                    </w:pPr>
                    <w:r>
                      <w:fldChar w:fldCharType="begin"/>
                    </w:r>
                    <w:r>
                      <w:instrText xml:space="preserve"> PAGE  \* MERGEFORMAT </w:instrText>
                    </w:r>
                    <w:r>
                      <w:fldChar w:fldCharType="separate"/>
                    </w:r>
                    <w:r>
                      <w:t>10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DE50D0"/>
    <w:multiLevelType w:val="singleLevel"/>
    <w:tmpl w:val="C5DE50D0"/>
    <w:lvl w:ilvl="0" w:tentative="0">
      <w:start w:val="1"/>
      <w:numFmt w:val="decimal"/>
      <w:suff w:val="nothing"/>
      <w:lvlText w:val="%1、"/>
      <w:lvlJc w:val="left"/>
    </w:lvl>
  </w:abstractNum>
  <w:abstractNum w:abstractNumId="1">
    <w:nsid w:val="F3DC9DF3"/>
    <w:multiLevelType w:val="singleLevel"/>
    <w:tmpl w:val="F3DC9DF3"/>
    <w:lvl w:ilvl="0" w:tentative="0">
      <w:start w:val="2"/>
      <w:numFmt w:val="chineseCounting"/>
      <w:suff w:val="nothing"/>
      <w:lvlText w:val="%1、"/>
      <w:lvlJc w:val="left"/>
      <w:rPr>
        <w:rFonts w:hint="eastAsia"/>
      </w:rPr>
    </w:lvl>
  </w:abstractNum>
  <w:abstractNum w:abstractNumId="2">
    <w:nsid w:val="F6DB120F"/>
    <w:multiLevelType w:val="singleLevel"/>
    <w:tmpl w:val="F6DB120F"/>
    <w:lvl w:ilvl="0" w:tentative="0">
      <w:start w:val="2"/>
      <w:numFmt w:val="chineseCounting"/>
      <w:suff w:val="nothing"/>
      <w:lvlText w:val="（%1）"/>
      <w:lvlJc w:val="left"/>
      <w:rPr>
        <w:rFonts w:hint="eastAsia"/>
      </w:rPr>
    </w:lvl>
  </w:abstractNum>
  <w:abstractNum w:abstractNumId="3">
    <w:nsid w:val="0E4B0A6F"/>
    <w:multiLevelType w:val="singleLevel"/>
    <w:tmpl w:val="0E4B0A6F"/>
    <w:lvl w:ilvl="0" w:tentative="0">
      <w:start w:val="12"/>
      <w:numFmt w:val="decimal"/>
      <w:suff w:val="space"/>
      <w:lvlText w:val="%1."/>
      <w:lvlJc w:val="left"/>
    </w:lvl>
  </w:abstractNum>
  <w:abstractNum w:abstractNumId="4">
    <w:nsid w:val="4BDA1FCF"/>
    <w:multiLevelType w:val="singleLevel"/>
    <w:tmpl w:val="4BDA1FCF"/>
    <w:lvl w:ilvl="0" w:tentative="0">
      <w:start w:val="1"/>
      <w:numFmt w:val="decimal"/>
      <w:lvlText w:val="%1."/>
      <w:lvlJc w:val="left"/>
      <w:pPr>
        <w:tabs>
          <w:tab w:val="left" w:pos="312"/>
        </w:tabs>
      </w:pPr>
    </w:lvl>
  </w:abstractNum>
  <w:abstractNum w:abstractNumId="5">
    <w:nsid w:val="67CDC5CE"/>
    <w:multiLevelType w:val="singleLevel"/>
    <w:tmpl w:val="67CDC5CE"/>
    <w:lvl w:ilvl="0" w:tentative="0">
      <w:start w:val="1"/>
      <w:numFmt w:val="decimal"/>
      <w:suff w:val="nothing"/>
      <w:lvlText w:val="%1、"/>
      <w:lvlJc w:val="left"/>
    </w:lvl>
  </w:abstractNum>
  <w:num w:numId="1">
    <w:abstractNumId w:val="4"/>
  </w:num>
  <w:num w:numId="2">
    <w:abstractNumId w:val="0"/>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E3/xFmESK/g89McqxKmU0r5NmyQ=" w:salt="mXSrUsPd0JdPBrX3yizmag=="/>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A3CA5"/>
    <w:rsid w:val="005B7E9B"/>
    <w:rsid w:val="009F2E6D"/>
    <w:rsid w:val="009F4C1B"/>
    <w:rsid w:val="00A34F47"/>
    <w:rsid w:val="00EB7E60"/>
    <w:rsid w:val="01E50D53"/>
    <w:rsid w:val="0284231A"/>
    <w:rsid w:val="02BF15A4"/>
    <w:rsid w:val="03C65C0E"/>
    <w:rsid w:val="03CB5D65"/>
    <w:rsid w:val="03DA2EC9"/>
    <w:rsid w:val="04051239"/>
    <w:rsid w:val="04703E05"/>
    <w:rsid w:val="04714B31"/>
    <w:rsid w:val="04790E26"/>
    <w:rsid w:val="04837C03"/>
    <w:rsid w:val="04D37589"/>
    <w:rsid w:val="052851DF"/>
    <w:rsid w:val="053A4F12"/>
    <w:rsid w:val="05AA7D89"/>
    <w:rsid w:val="062F259D"/>
    <w:rsid w:val="063D115E"/>
    <w:rsid w:val="07C75183"/>
    <w:rsid w:val="083178B3"/>
    <w:rsid w:val="096864F2"/>
    <w:rsid w:val="096D6B7C"/>
    <w:rsid w:val="0A326B00"/>
    <w:rsid w:val="0A8C6210"/>
    <w:rsid w:val="0AD57BB7"/>
    <w:rsid w:val="0B944D8C"/>
    <w:rsid w:val="0B9A42FC"/>
    <w:rsid w:val="0B9B14E2"/>
    <w:rsid w:val="0BA95047"/>
    <w:rsid w:val="0D5B011C"/>
    <w:rsid w:val="0DFA16E3"/>
    <w:rsid w:val="0E1409F6"/>
    <w:rsid w:val="0E51687C"/>
    <w:rsid w:val="0EB21FBD"/>
    <w:rsid w:val="0FEF171B"/>
    <w:rsid w:val="10022421"/>
    <w:rsid w:val="10736C96"/>
    <w:rsid w:val="10A33BBF"/>
    <w:rsid w:val="11146F5F"/>
    <w:rsid w:val="11160F29"/>
    <w:rsid w:val="119A28E9"/>
    <w:rsid w:val="119B31DD"/>
    <w:rsid w:val="11AE2F10"/>
    <w:rsid w:val="11FA6155"/>
    <w:rsid w:val="121465EF"/>
    <w:rsid w:val="12880EC0"/>
    <w:rsid w:val="129B142F"/>
    <w:rsid w:val="132E1112"/>
    <w:rsid w:val="13765CAF"/>
    <w:rsid w:val="13D0025C"/>
    <w:rsid w:val="13D56144"/>
    <w:rsid w:val="13F60B9E"/>
    <w:rsid w:val="150A035F"/>
    <w:rsid w:val="1559533D"/>
    <w:rsid w:val="158244C1"/>
    <w:rsid w:val="15ED7C2D"/>
    <w:rsid w:val="16123F74"/>
    <w:rsid w:val="16334D0C"/>
    <w:rsid w:val="16B40FC8"/>
    <w:rsid w:val="17127A9D"/>
    <w:rsid w:val="17463037"/>
    <w:rsid w:val="17BE6F45"/>
    <w:rsid w:val="18254554"/>
    <w:rsid w:val="18274288"/>
    <w:rsid w:val="182C3691"/>
    <w:rsid w:val="18A832DC"/>
    <w:rsid w:val="18CD0120"/>
    <w:rsid w:val="194128BC"/>
    <w:rsid w:val="19680D8C"/>
    <w:rsid w:val="199E7D0E"/>
    <w:rsid w:val="1A4C1518"/>
    <w:rsid w:val="1A622AE9"/>
    <w:rsid w:val="1A654388"/>
    <w:rsid w:val="1A9F2107"/>
    <w:rsid w:val="1BD36595"/>
    <w:rsid w:val="1C214AFA"/>
    <w:rsid w:val="1C424146"/>
    <w:rsid w:val="1C6E39C8"/>
    <w:rsid w:val="1C9815F2"/>
    <w:rsid w:val="1D554B87"/>
    <w:rsid w:val="1E381446"/>
    <w:rsid w:val="1EA8294E"/>
    <w:rsid w:val="1F026649"/>
    <w:rsid w:val="1F2816E2"/>
    <w:rsid w:val="1F30765A"/>
    <w:rsid w:val="1F69491A"/>
    <w:rsid w:val="1FC87893"/>
    <w:rsid w:val="202565CC"/>
    <w:rsid w:val="208F6602"/>
    <w:rsid w:val="20AC51E2"/>
    <w:rsid w:val="21562C7C"/>
    <w:rsid w:val="21B73696"/>
    <w:rsid w:val="2230171F"/>
    <w:rsid w:val="223F4FE7"/>
    <w:rsid w:val="230B6414"/>
    <w:rsid w:val="231B23CF"/>
    <w:rsid w:val="23507FD7"/>
    <w:rsid w:val="23563407"/>
    <w:rsid w:val="23775858"/>
    <w:rsid w:val="24EA3E07"/>
    <w:rsid w:val="25F56918"/>
    <w:rsid w:val="26F23447"/>
    <w:rsid w:val="275C0288"/>
    <w:rsid w:val="277773B2"/>
    <w:rsid w:val="27F33C7F"/>
    <w:rsid w:val="28282E1E"/>
    <w:rsid w:val="2874680A"/>
    <w:rsid w:val="288C0AFC"/>
    <w:rsid w:val="2899001E"/>
    <w:rsid w:val="28FA43F5"/>
    <w:rsid w:val="29FD45DD"/>
    <w:rsid w:val="2A054E33"/>
    <w:rsid w:val="2A396103"/>
    <w:rsid w:val="2AAD7DB1"/>
    <w:rsid w:val="2B936FA7"/>
    <w:rsid w:val="2CE210FC"/>
    <w:rsid w:val="2CE300B2"/>
    <w:rsid w:val="2E444588"/>
    <w:rsid w:val="2E4E18AB"/>
    <w:rsid w:val="2E7700C2"/>
    <w:rsid w:val="2E840E29"/>
    <w:rsid w:val="2EA8720D"/>
    <w:rsid w:val="2EB07836"/>
    <w:rsid w:val="30006BD5"/>
    <w:rsid w:val="30717AD3"/>
    <w:rsid w:val="30F304E8"/>
    <w:rsid w:val="317B75D7"/>
    <w:rsid w:val="31815AF3"/>
    <w:rsid w:val="31C003CA"/>
    <w:rsid w:val="32036553"/>
    <w:rsid w:val="3212682D"/>
    <w:rsid w:val="3221265D"/>
    <w:rsid w:val="32940EA9"/>
    <w:rsid w:val="329655CE"/>
    <w:rsid w:val="33122EA7"/>
    <w:rsid w:val="335F3C12"/>
    <w:rsid w:val="345C0152"/>
    <w:rsid w:val="34831B82"/>
    <w:rsid w:val="34EA1DA5"/>
    <w:rsid w:val="350A007A"/>
    <w:rsid w:val="35BF4E3C"/>
    <w:rsid w:val="3698638C"/>
    <w:rsid w:val="36C00E6C"/>
    <w:rsid w:val="37103BA1"/>
    <w:rsid w:val="37184804"/>
    <w:rsid w:val="375A12C0"/>
    <w:rsid w:val="3781684D"/>
    <w:rsid w:val="37E97690"/>
    <w:rsid w:val="384F4255"/>
    <w:rsid w:val="38593B0F"/>
    <w:rsid w:val="386134E9"/>
    <w:rsid w:val="38EA21D0"/>
    <w:rsid w:val="38F66A3C"/>
    <w:rsid w:val="39921E57"/>
    <w:rsid w:val="39B53D07"/>
    <w:rsid w:val="39D958C4"/>
    <w:rsid w:val="3A045513"/>
    <w:rsid w:val="3A6A35C8"/>
    <w:rsid w:val="3AEF1277"/>
    <w:rsid w:val="3B336A67"/>
    <w:rsid w:val="3BA72658"/>
    <w:rsid w:val="3BDA0648"/>
    <w:rsid w:val="3C055B26"/>
    <w:rsid w:val="3C131A3E"/>
    <w:rsid w:val="3D0C3F80"/>
    <w:rsid w:val="3D6562C9"/>
    <w:rsid w:val="3D6A7D83"/>
    <w:rsid w:val="3EA91689"/>
    <w:rsid w:val="3EF5367D"/>
    <w:rsid w:val="3F081602"/>
    <w:rsid w:val="3F190153"/>
    <w:rsid w:val="3FA56E51"/>
    <w:rsid w:val="40B7508E"/>
    <w:rsid w:val="40F544E0"/>
    <w:rsid w:val="41CB2D5C"/>
    <w:rsid w:val="41DD4219"/>
    <w:rsid w:val="423F45E4"/>
    <w:rsid w:val="425F3C2F"/>
    <w:rsid w:val="42823479"/>
    <w:rsid w:val="42FE7EE4"/>
    <w:rsid w:val="43525542"/>
    <w:rsid w:val="438A680A"/>
    <w:rsid w:val="438D0328"/>
    <w:rsid w:val="43A06FFC"/>
    <w:rsid w:val="44167E66"/>
    <w:rsid w:val="44236182"/>
    <w:rsid w:val="44496945"/>
    <w:rsid w:val="44A07888"/>
    <w:rsid w:val="45096C08"/>
    <w:rsid w:val="456F5E00"/>
    <w:rsid w:val="45C142B9"/>
    <w:rsid w:val="45D00B2C"/>
    <w:rsid w:val="462E5DF2"/>
    <w:rsid w:val="464B4747"/>
    <w:rsid w:val="46D0030E"/>
    <w:rsid w:val="470703F1"/>
    <w:rsid w:val="47A80C2C"/>
    <w:rsid w:val="47CE1DE5"/>
    <w:rsid w:val="495042D1"/>
    <w:rsid w:val="49EF34AE"/>
    <w:rsid w:val="4A0B1FA6"/>
    <w:rsid w:val="4AA77CA4"/>
    <w:rsid w:val="4AE03433"/>
    <w:rsid w:val="4AEE5B50"/>
    <w:rsid w:val="4B0465C3"/>
    <w:rsid w:val="4B823F1A"/>
    <w:rsid w:val="4B970F62"/>
    <w:rsid w:val="4BAB3A41"/>
    <w:rsid w:val="4BB06DB8"/>
    <w:rsid w:val="4BE13DA5"/>
    <w:rsid w:val="4C172E84"/>
    <w:rsid w:val="4C7F63D6"/>
    <w:rsid w:val="4D4249D0"/>
    <w:rsid w:val="4DB841F3"/>
    <w:rsid w:val="4E3D18EA"/>
    <w:rsid w:val="4E4B78DC"/>
    <w:rsid w:val="4E5D1A90"/>
    <w:rsid w:val="4F576749"/>
    <w:rsid w:val="4FF04B99"/>
    <w:rsid w:val="4FFA30B3"/>
    <w:rsid w:val="503B1837"/>
    <w:rsid w:val="5046672E"/>
    <w:rsid w:val="506E6DC8"/>
    <w:rsid w:val="512C5E3D"/>
    <w:rsid w:val="5208323E"/>
    <w:rsid w:val="5264494A"/>
    <w:rsid w:val="529B480F"/>
    <w:rsid w:val="5325057D"/>
    <w:rsid w:val="55F94C98"/>
    <w:rsid w:val="56772E9D"/>
    <w:rsid w:val="572528F9"/>
    <w:rsid w:val="572C15C6"/>
    <w:rsid w:val="573174F0"/>
    <w:rsid w:val="57E05802"/>
    <w:rsid w:val="58154536"/>
    <w:rsid w:val="59080725"/>
    <w:rsid w:val="592F5CB3"/>
    <w:rsid w:val="59AA101B"/>
    <w:rsid w:val="59FD4E79"/>
    <w:rsid w:val="5A11196A"/>
    <w:rsid w:val="5A1B6236"/>
    <w:rsid w:val="5A5E6C48"/>
    <w:rsid w:val="5A673BEB"/>
    <w:rsid w:val="5B394BC5"/>
    <w:rsid w:val="5B8B1AB5"/>
    <w:rsid w:val="5BEE547A"/>
    <w:rsid w:val="5C4952DC"/>
    <w:rsid w:val="5C7834CB"/>
    <w:rsid w:val="5D730F70"/>
    <w:rsid w:val="5D8F31C2"/>
    <w:rsid w:val="5DFF0CF6"/>
    <w:rsid w:val="5E0270EC"/>
    <w:rsid w:val="5E5175DC"/>
    <w:rsid w:val="5E8A6F7C"/>
    <w:rsid w:val="5F585836"/>
    <w:rsid w:val="600C0AFA"/>
    <w:rsid w:val="6055131D"/>
    <w:rsid w:val="60AF17A8"/>
    <w:rsid w:val="60D83C0F"/>
    <w:rsid w:val="60FB0B6F"/>
    <w:rsid w:val="61251748"/>
    <w:rsid w:val="61446072"/>
    <w:rsid w:val="621B5792"/>
    <w:rsid w:val="63B00791"/>
    <w:rsid w:val="64024BA5"/>
    <w:rsid w:val="649D76D6"/>
    <w:rsid w:val="65675B5E"/>
    <w:rsid w:val="6570335D"/>
    <w:rsid w:val="659226D5"/>
    <w:rsid w:val="663779E2"/>
    <w:rsid w:val="666F592D"/>
    <w:rsid w:val="68CF6203"/>
    <w:rsid w:val="69104359"/>
    <w:rsid w:val="693557D4"/>
    <w:rsid w:val="69D106BF"/>
    <w:rsid w:val="69D97720"/>
    <w:rsid w:val="6A2829D5"/>
    <w:rsid w:val="6BFE43A3"/>
    <w:rsid w:val="6C1B3E73"/>
    <w:rsid w:val="6C451EF8"/>
    <w:rsid w:val="6CA25683"/>
    <w:rsid w:val="6CF7007C"/>
    <w:rsid w:val="6D4F0278"/>
    <w:rsid w:val="6D7654B8"/>
    <w:rsid w:val="6ED57403"/>
    <w:rsid w:val="6F95225F"/>
    <w:rsid w:val="6FDD7A3E"/>
    <w:rsid w:val="6FEE6D7A"/>
    <w:rsid w:val="705067E1"/>
    <w:rsid w:val="706B1809"/>
    <w:rsid w:val="70A26237"/>
    <w:rsid w:val="71706A0F"/>
    <w:rsid w:val="71B40FF2"/>
    <w:rsid w:val="722A3062"/>
    <w:rsid w:val="726C6B7F"/>
    <w:rsid w:val="727128B9"/>
    <w:rsid w:val="72EE1E18"/>
    <w:rsid w:val="73497DC4"/>
    <w:rsid w:val="73A63C37"/>
    <w:rsid w:val="73C33A25"/>
    <w:rsid w:val="74237D69"/>
    <w:rsid w:val="749E622D"/>
    <w:rsid w:val="74A24D5F"/>
    <w:rsid w:val="74E7523A"/>
    <w:rsid w:val="74FD4DFC"/>
    <w:rsid w:val="751A1786"/>
    <w:rsid w:val="75AE0B5B"/>
    <w:rsid w:val="75C13CDD"/>
    <w:rsid w:val="760B4F58"/>
    <w:rsid w:val="7638782C"/>
    <w:rsid w:val="765E152C"/>
    <w:rsid w:val="769C23FB"/>
    <w:rsid w:val="770220D6"/>
    <w:rsid w:val="77F920C4"/>
    <w:rsid w:val="784F2728"/>
    <w:rsid w:val="787C338E"/>
    <w:rsid w:val="78F13AF2"/>
    <w:rsid w:val="79022643"/>
    <w:rsid w:val="796079CC"/>
    <w:rsid w:val="79A47945"/>
    <w:rsid w:val="7AA7233D"/>
    <w:rsid w:val="7BF02DB2"/>
    <w:rsid w:val="7BFA5853"/>
    <w:rsid w:val="7C0C5586"/>
    <w:rsid w:val="7C247A5E"/>
    <w:rsid w:val="7CDD02F8"/>
    <w:rsid w:val="7D0C1CE2"/>
    <w:rsid w:val="7D3A2725"/>
    <w:rsid w:val="7E7558DC"/>
    <w:rsid w:val="7EA11D30"/>
    <w:rsid w:val="7EB63198"/>
    <w:rsid w:val="7EC630C3"/>
    <w:rsid w:val="7EDA23BE"/>
    <w:rsid w:val="7EDB7BBE"/>
    <w:rsid w:val="7F6360D9"/>
    <w:rsid w:val="7F855D7C"/>
    <w:rsid w:val="7FAF4B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iPriority="99"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4"/>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qFormat/>
    <w:uiPriority w:val="0"/>
    <w:pPr>
      <w:keepNext/>
      <w:keepLines/>
      <w:spacing w:line="360" w:lineRule="auto"/>
      <w:outlineLvl w:val="2"/>
    </w:pPr>
    <w:rPr>
      <w:b/>
      <w:bCs/>
      <w:sz w:val="24"/>
      <w:szCs w:val="32"/>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4">
    <w:name w:val="Normal Indent"/>
    <w:basedOn w:val="1"/>
    <w:unhideWhenUsed/>
    <w:qFormat/>
    <w:uiPriority w:val="0"/>
    <w:pPr>
      <w:widowControl w:val="0"/>
      <w:adjustRightInd/>
      <w:snapToGrid/>
      <w:spacing w:after="0" w:afterLines="0"/>
      <w:ind w:firstLine="420"/>
      <w:jc w:val="both"/>
    </w:pPr>
    <w:rPr>
      <w:rFonts w:ascii="Times New Roman" w:hAnsi="Times New Roman" w:eastAsia="宋体" w:cs="Times New Roman"/>
      <w:kern w:val="2"/>
      <w:sz w:val="21"/>
      <w:szCs w:val="20"/>
    </w:rPr>
  </w:style>
  <w:style w:type="paragraph" w:styleId="7">
    <w:name w:val="Body Text"/>
    <w:basedOn w:val="1"/>
    <w:next w:val="1"/>
    <w:qFormat/>
    <w:uiPriority w:val="0"/>
    <w:pPr>
      <w:widowControl w:val="0"/>
      <w:spacing w:after="120"/>
      <w:jc w:val="both"/>
    </w:pPr>
    <w:rPr>
      <w:kern w:val="2"/>
      <w:sz w:val="21"/>
      <w:szCs w:val="24"/>
    </w:rPr>
  </w:style>
  <w:style w:type="paragraph" w:styleId="8">
    <w:name w:val="Body Text Indent"/>
    <w:basedOn w:val="1"/>
    <w:next w:val="9"/>
    <w:qFormat/>
    <w:uiPriority w:val="99"/>
    <w:pPr>
      <w:spacing w:after="120"/>
      <w:ind w:left="420" w:leftChars="200"/>
    </w:pPr>
    <w:rPr>
      <w:rFonts w:ascii="Calibri" w:hAnsi="Calibri"/>
      <w:sz w:val="30"/>
      <w:szCs w:val="22"/>
    </w:rPr>
  </w:style>
  <w:style w:type="paragraph" w:styleId="9">
    <w:name w:val="envelope return"/>
    <w:basedOn w:val="1"/>
    <w:unhideWhenUsed/>
    <w:qFormat/>
    <w:uiPriority w:val="99"/>
    <w:pPr>
      <w:snapToGrid w:val="0"/>
    </w:pPr>
    <w:rPr>
      <w:rFonts w:ascii="等线 Light" w:hAnsi="等线 Light" w:eastAsia="等线 Light"/>
    </w:rPr>
  </w:style>
  <w:style w:type="paragraph" w:styleId="10">
    <w:name w:val="Block Text"/>
    <w:basedOn w:val="1"/>
    <w:qFormat/>
    <w:uiPriority w:val="99"/>
    <w:pPr>
      <w:spacing w:after="120"/>
      <w:ind w:left="1440" w:leftChars="700" w:right="1440" w:rightChars="700"/>
    </w:pPr>
  </w:style>
  <w:style w:type="paragraph" w:styleId="11">
    <w:name w:val="Plain Text"/>
    <w:basedOn w:val="1"/>
    <w:next w:val="12"/>
    <w:qFormat/>
    <w:uiPriority w:val="0"/>
    <w:rPr>
      <w:rFonts w:ascii="Courier New" w:hAnsi="Courier New" w:eastAsia="宋体" w:cs="Times New Roman"/>
      <w:szCs w:val="22"/>
    </w:rPr>
  </w:style>
  <w:style w:type="paragraph" w:styleId="12">
    <w:name w:val="index 7"/>
    <w:basedOn w:val="1"/>
    <w:next w:val="1"/>
    <w:unhideWhenUsed/>
    <w:qFormat/>
    <w:uiPriority w:val="99"/>
    <w:pPr>
      <w:ind w:left="1200" w:leftChars="1200"/>
    </w:pPr>
  </w:style>
  <w:style w:type="paragraph" w:styleId="13">
    <w:name w:val="Body Text Indent 2"/>
    <w:basedOn w:val="1"/>
    <w:qFormat/>
    <w:uiPriority w:val="0"/>
    <w:pPr>
      <w:ind w:firstLine="630"/>
    </w:pPr>
    <w:rPr>
      <w:rFonts w:ascii="宋体" w:hAnsi="宋体"/>
      <w:kern w:val="0"/>
      <w:sz w:val="32"/>
      <w:szCs w:val="32"/>
    </w:rPr>
  </w:style>
  <w:style w:type="paragraph" w:styleId="14">
    <w:name w:val="footer"/>
    <w:basedOn w:val="1"/>
    <w:unhideWhenUsed/>
    <w:qFormat/>
    <w:uiPriority w:val="99"/>
    <w:pPr>
      <w:tabs>
        <w:tab w:val="center" w:pos="4153"/>
        <w:tab w:val="right" w:pos="8306"/>
      </w:tabs>
      <w:snapToGrid w:val="0"/>
    </w:pPr>
    <w:rPr>
      <w:kern w:val="2"/>
      <w:sz w:val="18"/>
    </w:rPr>
  </w:style>
  <w:style w:type="paragraph" w:styleId="15">
    <w:name w:val="toc 1"/>
    <w:basedOn w:val="1"/>
    <w:next w:val="1"/>
    <w:qFormat/>
    <w:uiPriority w:val="0"/>
    <w:pPr>
      <w:spacing w:before="120" w:after="120" w:line="276" w:lineRule="auto"/>
    </w:pPr>
    <w:rPr>
      <w:rFonts w:ascii="Calibri" w:hAnsi="Calibri" w:eastAsia="宋体" w:cs="Times New Roman"/>
      <w:b/>
      <w:bCs/>
      <w:caps/>
      <w:kern w:val="0"/>
      <w:sz w:val="22"/>
      <w:szCs w:val="20"/>
      <w:lang w:eastAsia="en-US" w:bidi="en-US"/>
    </w:rPr>
  </w:style>
  <w:style w:type="paragraph" w:styleId="16">
    <w:name w:val="Body Text 2"/>
    <w:basedOn w:val="1"/>
    <w:next w:val="7"/>
    <w:qFormat/>
    <w:uiPriority w:val="0"/>
    <w:pPr>
      <w:spacing w:after="120" w:line="480" w:lineRule="auto"/>
      <w:ind w:firstLine="560" w:firstLineChars="200"/>
    </w:pPr>
    <w:rPr>
      <w:rFonts w:ascii="Calibri" w:hAnsi="Calibri" w:eastAsia="仿宋_GB2312"/>
      <w:sz w:val="28"/>
      <w:szCs w:val="24"/>
    </w:rPr>
  </w:style>
  <w:style w:type="paragraph" w:styleId="17">
    <w:name w:val="Message Header"/>
    <w:basedOn w:val="1"/>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ind w:left="1080" w:leftChars="500" w:hanging="1080" w:hangingChars="500"/>
    </w:pPr>
    <w:rPr>
      <w:rFonts w:ascii="Cambria" w:hAnsi="Cambria"/>
      <w:sz w:val="24"/>
      <w:szCs w:val="24"/>
    </w:rPr>
  </w:style>
  <w:style w:type="paragraph" w:styleId="1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9">
    <w:name w:val="Body Text First Indent"/>
    <w:basedOn w:val="7"/>
    <w:next w:val="20"/>
    <w:qFormat/>
    <w:uiPriority w:val="0"/>
    <w:pPr>
      <w:ind w:firstLine="420"/>
    </w:pPr>
    <w:rPr>
      <w:rFonts w:eastAsia="楷体_GB2312"/>
      <w:sz w:val="32"/>
      <w:szCs w:val="32"/>
    </w:rPr>
  </w:style>
  <w:style w:type="paragraph" w:styleId="20">
    <w:name w:val="Body Text First Indent 2"/>
    <w:basedOn w:val="8"/>
    <w:next w:val="19"/>
    <w:qFormat/>
    <w:uiPriority w:val="99"/>
    <w:pPr>
      <w:spacing w:before="100" w:beforeAutospacing="1" w:line="360" w:lineRule="auto"/>
      <w:ind w:firstLine="420"/>
    </w:pPr>
    <w:rPr>
      <w:rFonts w:eastAsia="Arial Unicode MS" w:cs="Arial Unicode MS"/>
      <w:color w:val="000000"/>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bCs/>
    </w:rPr>
  </w:style>
  <w:style w:type="character" w:styleId="25">
    <w:name w:val="FollowedHyperlink"/>
    <w:basedOn w:val="23"/>
    <w:qFormat/>
    <w:uiPriority w:val="0"/>
    <w:rPr>
      <w:color w:val="800080"/>
      <w:u w:val="none"/>
    </w:rPr>
  </w:style>
  <w:style w:type="character" w:styleId="26">
    <w:name w:val="Emphasis"/>
    <w:basedOn w:val="23"/>
    <w:qFormat/>
    <w:uiPriority w:val="0"/>
    <w:rPr>
      <w:b/>
      <w:bCs/>
    </w:rPr>
  </w:style>
  <w:style w:type="character" w:styleId="27">
    <w:name w:val="HTML Definition"/>
    <w:basedOn w:val="23"/>
    <w:qFormat/>
    <w:uiPriority w:val="0"/>
  </w:style>
  <w:style w:type="character" w:styleId="28">
    <w:name w:val="HTML Typewriter"/>
    <w:basedOn w:val="23"/>
    <w:qFormat/>
    <w:uiPriority w:val="0"/>
    <w:rPr>
      <w:rFonts w:hint="default" w:ascii="monospace" w:hAnsi="monospace" w:eastAsia="monospace" w:cs="monospace"/>
      <w:sz w:val="20"/>
    </w:rPr>
  </w:style>
  <w:style w:type="character" w:styleId="29">
    <w:name w:val="HTML Acronym"/>
    <w:basedOn w:val="23"/>
    <w:qFormat/>
    <w:uiPriority w:val="0"/>
  </w:style>
  <w:style w:type="character" w:styleId="30">
    <w:name w:val="HTML Variable"/>
    <w:basedOn w:val="23"/>
    <w:qFormat/>
    <w:uiPriority w:val="0"/>
  </w:style>
  <w:style w:type="character" w:styleId="31">
    <w:name w:val="Hyperlink"/>
    <w:basedOn w:val="23"/>
    <w:qFormat/>
    <w:uiPriority w:val="0"/>
    <w:rPr>
      <w:color w:val="0000FF"/>
      <w:u w:val="none"/>
    </w:rPr>
  </w:style>
  <w:style w:type="character" w:styleId="32">
    <w:name w:val="HTML Code"/>
    <w:basedOn w:val="23"/>
    <w:qFormat/>
    <w:uiPriority w:val="0"/>
    <w:rPr>
      <w:rFonts w:hint="default" w:ascii="monospace" w:hAnsi="monospace" w:eastAsia="monospace" w:cs="monospace"/>
      <w:sz w:val="20"/>
    </w:rPr>
  </w:style>
  <w:style w:type="character" w:styleId="33">
    <w:name w:val="HTML Cite"/>
    <w:basedOn w:val="23"/>
    <w:qFormat/>
    <w:uiPriority w:val="0"/>
  </w:style>
  <w:style w:type="character" w:styleId="34">
    <w:name w:val="HTML Keyboard"/>
    <w:basedOn w:val="23"/>
    <w:qFormat/>
    <w:uiPriority w:val="0"/>
    <w:rPr>
      <w:rFonts w:ascii="monospace" w:hAnsi="monospace" w:eastAsia="monospace" w:cs="monospace"/>
      <w:sz w:val="20"/>
    </w:rPr>
  </w:style>
  <w:style w:type="character" w:styleId="35">
    <w:name w:val="HTML Sample"/>
    <w:basedOn w:val="23"/>
    <w:qFormat/>
    <w:uiPriority w:val="0"/>
    <w:rPr>
      <w:rFonts w:hint="default" w:ascii="monospace" w:hAnsi="monospace" w:eastAsia="monospace" w:cs="monospace"/>
    </w:rPr>
  </w:style>
  <w:style w:type="paragraph" w:customStyle="1" w:styleId="36">
    <w:name w:val="Body text|2"/>
    <w:basedOn w:val="1"/>
    <w:autoRedefine/>
    <w:qFormat/>
    <w:uiPriority w:val="0"/>
    <w:pPr>
      <w:widowControl w:val="0"/>
      <w:shd w:val="clear" w:color="auto" w:fill="auto"/>
      <w:spacing w:line="413" w:lineRule="auto"/>
      <w:ind w:firstLine="400"/>
    </w:pPr>
    <w:rPr>
      <w:rFonts w:ascii="宋体" w:hAnsi="宋体" w:eastAsia="宋体" w:cs="宋体"/>
      <w:sz w:val="26"/>
      <w:szCs w:val="26"/>
      <w:u w:val="none"/>
      <w:shd w:val="clear" w:color="auto" w:fill="auto"/>
      <w:lang w:val="zh-TW" w:eastAsia="zh-TW" w:bidi="zh-TW"/>
    </w:rPr>
  </w:style>
  <w:style w:type="paragraph" w:customStyle="1" w:styleId="37">
    <w:name w:val="Table Text"/>
    <w:basedOn w:val="1"/>
    <w:semiHidden/>
    <w:qFormat/>
    <w:uiPriority w:val="0"/>
    <w:rPr>
      <w:rFonts w:ascii="宋体" w:hAnsi="宋体" w:eastAsia="宋体" w:cs="宋体"/>
      <w:sz w:val="28"/>
      <w:szCs w:val="28"/>
      <w:lang w:val="en-US" w:eastAsia="en-US" w:bidi="ar-SA"/>
    </w:rPr>
  </w:style>
  <w:style w:type="paragraph" w:customStyle="1" w:styleId="38">
    <w:name w:val="Default"/>
    <w:basedOn w:val="1"/>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9">
    <w:name w:val="样式 正文首行缩进 2 + Arial"/>
    <w:basedOn w:val="1"/>
    <w:next w:val="1"/>
    <w:qFormat/>
    <w:uiPriority w:val="0"/>
    <w:pPr>
      <w:spacing w:after="120" w:line="320" w:lineRule="atLeast"/>
      <w:ind w:firstLine="200" w:firstLineChars="200"/>
    </w:pPr>
    <w:rPr>
      <w:rFonts w:ascii="Arial" w:hAnsi="Arial"/>
    </w:rPr>
  </w:style>
  <w:style w:type="paragraph" w:customStyle="1" w:styleId="40">
    <w:name w:val="正文_9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41">
    <w:name w:val="layui-layer-tabnow"/>
    <w:basedOn w:val="23"/>
    <w:qFormat/>
    <w:uiPriority w:val="0"/>
    <w:rPr>
      <w:bdr w:val="single" w:color="CCCCCC" w:sz="6" w:space="0"/>
      <w:shd w:val="clear" w:fill="FFFFFF"/>
    </w:rPr>
  </w:style>
  <w:style w:type="character" w:customStyle="1" w:styleId="42">
    <w:name w:val="first-child"/>
    <w:basedOn w:val="23"/>
    <w:qFormat/>
    <w:uiPriority w:val="0"/>
  </w:style>
  <w:style w:type="paragraph" w:customStyle="1" w:styleId="43">
    <w:name w:val="TOC 标题1"/>
    <w:basedOn w:val="2"/>
    <w:next w:val="1"/>
    <w:qFormat/>
    <w:uiPriority w:val="0"/>
    <w:pPr>
      <w:keepNext/>
      <w:keepLines/>
      <w:widowControl w:val="0"/>
      <w:spacing w:before="340" w:after="330" w:line="578" w:lineRule="auto"/>
      <w:jc w:val="both"/>
      <w:outlineLvl w:val="9"/>
    </w:pPr>
    <w:rPr>
      <w:rFonts w:ascii="Calibri" w:hAnsi="Calibri"/>
      <w:color w:val="auto"/>
      <w:kern w:val="44"/>
      <w:sz w:val="44"/>
      <w:szCs w:val="44"/>
    </w:rPr>
  </w:style>
  <w:style w:type="character" w:customStyle="1" w:styleId="44">
    <w:name w:val="hover"/>
    <w:basedOn w:val="23"/>
    <w:qFormat/>
    <w:uiPriority w:val="0"/>
  </w:style>
  <w:style w:type="character" w:customStyle="1" w:styleId="45">
    <w:name w:val="hover1"/>
    <w:basedOn w:val="23"/>
    <w:qFormat/>
    <w:uiPriority w:val="0"/>
    <w:rPr>
      <w:color w:val="2590EB"/>
    </w:rPr>
  </w:style>
  <w:style w:type="character" w:customStyle="1" w:styleId="46">
    <w:name w:val="hover2"/>
    <w:basedOn w:val="23"/>
    <w:qFormat/>
    <w:uiPriority w:val="0"/>
    <w:rPr>
      <w:color w:val="2590EB"/>
    </w:rPr>
  </w:style>
  <w:style w:type="character" w:customStyle="1" w:styleId="47">
    <w:name w:val="mini-outputtext1"/>
    <w:basedOn w:val="23"/>
    <w:qFormat/>
    <w:uiPriority w:val="0"/>
  </w:style>
  <w:style w:type="character" w:customStyle="1" w:styleId="48">
    <w:name w:val="hover3"/>
    <w:basedOn w:val="23"/>
    <w:qFormat/>
    <w:uiPriority w:val="0"/>
    <w:rPr>
      <w:color w:val="2590EB"/>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93</Pages>
  <Words>28446</Words>
  <Characters>30662</Characters>
  <Lines>0</Lines>
  <Paragraphs>0</Paragraphs>
  <TotalTime>10</TotalTime>
  <ScaleCrop>false</ScaleCrop>
  <LinksUpToDate>false</LinksUpToDate>
  <CharactersWithSpaces>32720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2025-10-21T02:14:00Z</dcterms:created>
  <dc:creator>ASUS</dc:creator>
  <cp:lastModifiedBy>辉辉13383988990</cp:lastModifiedBy>
  <dcterms:modified xsi:type="dcterms:W3CDTF">2026-08-26T03:09:50Z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eyJoZGlkIjoiZTY3OWRjZTZmOGRiMWVlNjMzZTg3YjNlYzBmYWQ1MTgiLCJ1c2VySWQiOiI0NTE3MjU0MjcifQ==</vt:lpwstr>
  </property>
  <property fmtid="{D5CDD505-2E9C-101B-9397-08002B2CF9AE}" pid="4" name="ICV">
    <vt:lpwstr>F18E476B81D146CDBA1F999E7BC7F3F1_13</vt:lpwstr>
  </property>
</Properties>
</file>