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7C38E">
      <w:pPr>
        <w:ind w:left="1566" w:hanging="1566" w:hangingChars="300"/>
        <w:rPr>
          <w:rFonts w:hint="eastAsia" w:ascii="宋体" w:hAnsi="宋体"/>
          <w:b/>
          <w:bCs/>
          <w:color w:val="auto"/>
          <w:sz w:val="52"/>
          <w:szCs w:val="52"/>
          <w:lang w:eastAsia="zh-CN"/>
        </w:rPr>
      </w:pPr>
      <w:bookmarkStart w:id="0" w:name="_Toc14693"/>
    </w:p>
    <w:p w14:paraId="710D7A1B">
      <w:pPr>
        <w:ind w:left="1566" w:hanging="1446" w:hangingChars="300"/>
        <w:jc w:val="center"/>
      </w:pPr>
      <w:r>
        <w:rPr>
          <w:rFonts w:hint="eastAsia"/>
          <w:b/>
          <w:bCs/>
          <w:sz w:val="48"/>
          <w:szCs w:val="48"/>
          <w:lang w:val="en-US" w:eastAsia="zh-CN"/>
        </w:rPr>
        <w:t xml:space="preserve"> </w:t>
      </w:r>
      <w:r>
        <w:rPr>
          <w:rFonts w:hint="eastAsia"/>
          <w:b/>
          <w:bCs/>
          <w:sz w:val="48"/>
          <w:szCs w:val="48"/>
          <w:lang w:eastAsia="zh-CN"/>
        </w:rPr>
        <w:t>三门峡市第三高级中学基础设施修缮及校园灯光、广播系统升级项目（</w:t>
      </w:r>
      <w:r>
        <w:rPr>
          <w:rFonts w:hint="eastAsia"/>
          <w:b/>
          <w:bCs/>
          <w:sz w:val="48"/>
          <w:szCs w:val="48"/>
          <w:lang w:val="en-US" w:eastAsia="zh-CN"/>
        </w:rPr>
        <w:t>A包</w:t>
      </w:r>
      <w:r>
        <w:rPr>
          <w:rFonts w:hint="eastAsia"/>
          <w:b/>
          <w:bCs/>
          <w:sz w:val="48"/>
          <w:szCs w:val="48"/>
          <w:lang w:eastAsia="zh-CN"/>
        </w:rPr>
        <w:t>）</w:t>
      </w:r>
    </w:p>
    <w:p w14:paraId="5E9C3045">
      <w:pPr>
        <w:jc w:val="center"/>
        <w:rPr>
          <w:rFonts w:hint="eastAsia"/>
          <w:b/>
          <w:bCs/>
          <w:sz w:val="84"/>
          <w:szCs w:val="84"/>
        </w:rPr>
      </w:pPr>
    </w:p>
    <w:p w14:paraId="78684F2C">
      <w:pPr>
        <w:jc w:val="center"/>
        <w:rPr>
          <w:rFonts w:hint="eastAsia"/>
          <w:b/>
          <w:bCs/>
          <w:sz w:val="84"/>
          <w:szCs w:val="84"/>
        </w:rPr>
      </w:pPr>
    </w:p>
    <w:p w14:paraId="07E0B39B">
      <w:pPr>
        <w:jc w:val="center"/>
        <w:rPr>
          <w:b/>
          <w:bCs/>
          <w:sz w:val="84"/>
          <w:szCs w:val="84"/>
        </w:rPr>
      </w:pPr>
      <w:r>
        <w:rPr>
          <w:rFonts w:hint="eastAsia"/>
          <w:b/>
          <w:bCs/>
          <w:sz w:val="84"/>
          <w:szCs w:val="84"/>
        </w:rPr>
        <w:t>竞争性磋商文件</w:t>
      </w:r>
    </w:p>
    <w:p w14:paraId="56817B1C">
      <w:pPr>
        <w:jc w:val="center"/>
      </w:pPr>
    </w:p>
    <w:p w14:paraId="5CE4C48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firstLine="1124" w:firstLineChars="400"/>
        <w:jc w:val="left"/>
        <w:rPr>
          <w:rFonts w:hint="default" w:ascii="宋体" w:hAnsi="宋体"/>
          <w:b/>
          <w:bCs/>
          <w:color w:val="FF0000"/>
          <w:sz w:val="28"/>
          <w:szCs w:val="32"/>
          <w:highlight w:val="none"/>
          <w:lang w:val="en-US" w:eastAsia="zh-CN"/>
        </w:rPr>
      </w:pPr>
      <w:r>
        <w:rPr>
          <w:rFonts w:hint="eastAsia" w:ascii="宋体" w:hAnsi="宋体"/>
          <w:b/>
          <w:bCs/>
          <w:color w:val="auto"/>
          <w:sz w:val="28"/>
          <w:szCs w:val="32"/>
          <w:highlight w:val="none"/>
          <w:lang w:val="en-US" w:eastAsia="zh-CN"/>
        </w:rPr>
        <w:t>项目编号：SGZ[2026]282-ZC198、湖滨竞磋采购-2026-26</w:t>
      </w:r>
    </w:p>
    <w:p w14:paraId="1FAE9787">
      <w:pPr>
        <w:jc w:val="center"/>
        <w:rPr>
          <w:rFonts w:hint="default" w:ascii="宋体" w:hAnsi="宋体"/>
          <w:b/>
          <w:bCs/>
          <w:color w:val="auto"/>
          <w:sz w:val="28"/>
          <w:szCs w:val="32"/>
          <w:lang w:val="en-US" w:eastAsia="zh-CN"/>
        </w:rPr>
      </w:pPr>
    </w:p>
    <w:p w14:paraId="41AF26BB">
      <w:pPr>
        <w:jc w:val="center"/>
      </w:pPr>
    </w:p>
    <w:p w14:paraId="6A2F8484">
      <w:pPr>
        <w:rPr>
          <w:rFonts w:ascii="宋体" w:hAnsi="宋体" w:cs="宋体"/>
          <w:b/>
          <w:bCs/>
          <w:sz w:val="32"/>
          <w:szCs w:val="32"/>
        </w:rPr>
      </w:pPr>
    </w:p>
    <w:p w14:paraId="2AD36A3E">
      <w:r>
        <w:rPr>
          <w:rFonts w:hint="eastAsia" w:ascii="宋体" w:hAnsi="宋体" w:cs="宋体"/>
          <w:b/>
          <w:bCs/>
          <w:sz w:val="32"/>
          <w:szCs w:val="32"/>
          <w:lang w:val="en-US" w:eastAsia="zh-CN"/>
        </w:rPr>
        <w:t xml:space="preserve">            </w:t>
      </w:r>
      <w:r>
        <w:rPr>
          <w:rFonts w:hint="eastAsia" w:ascii="宋体" w:hAnsi="宋体" w:cs="宋体"/>
          <w:b/>
          <w:bCs/>
          <w:sz w:val="32"/>
          <w:szCs w:val="32"/>
        </w:rPr>
        <w:t>采</w:t>
      </w:r>
      <w:r>
        <w:rPr>
          <w:rFonts w:hint="eastAsia" w:ascii="宋体" w:hAnsi="宋体" w:cs="宋体"/>
          <w:b/>
          <w:bCs/>
          <w:sz w:val="32"/>
          <w:szCs w:val="32"/>
          <w:lang w:val="en-US" w:eastAsia="zh-CN"/>
        </w:rPr>
        <w:t xml:space="preserve"> </w:t>
      </w:r>
      <w:r>
        <w:rPr>
          <w:rFonts w:hint="eastAsia" w:ascii="宋体" w:hAnsi="宋体" w:cs="宋体"/>
          <w:b/>
          <w:bCs/>
          <w:sz w:val="32"/>
          <w:szCs w:val="32"/>
        </w:rPr>
        <w:t>购</w:t>
      </w:r>
      <w:r>
        <w:rPr>
          <w:rFonts w:hint="eastAsia" w:ascii="宋体" w:hAnsi="宋体" w:cs="宋体"/>
          <w:b/>
          <w:bCs/>
          <w:sz w:val="32"/>
          <w:szCs w:val="32"/>
          <w:lang w:val="en-US" w:eastAsia="zh-CN"/>
        </w:rPr>
        <w:t xml:space="preserve"> </w:t>
      </w:r>
      <w:r>
        <w:rPr>
          <w:rFonts w:hint="eastAsia" w:ascii="宋体" w:hAnsi="宋体" w:cs="宋体"/>
          <w:b/>
          <w:bCs/>
          <w:sz w:val="32"/>
          <w:szCs w:val="32"/>
        </w:rPr>
        <w:t>人：</w:t>
      </w:r>
      <w:r>
        <w:rPr>
          <w:rFonts w:hint="eastAsia" w:ascii="宋体" w:hAnsi="宋体" w:cs="宋体"/>
          <w:b/>
          <w:bCs/>
          <w:sz w:val="32"/>
          <w:szCs w:val="32"/>
          <w:lang w:eastAsia="zh-CN"/>
        </w:rPr>
        <w:t>三门峡市第三高级中学</w:t>
      </w:r>
    </w:p>
    <w:p w14:paraId="67BB6FC5">
      <w:pPr>
        <w:ind w:firstLine="1928" w:firstLineChars="600"/>
        <w:jc w:val="both"/>
        <w:rPr>
          <w:rFonts w:hint="eastAsia" w:hAnsi="宋体" w:cs="宋体"/>
          <w:b/>
          <w:bCs/>
          <w:sz w:val="32"/>
          <w:szCs w:val="32"/>
          <w:lang w:eastAsia="zh-CN"/>
        </w:rPr>
      </w:pPr>
      <w:r>
        <w:rPr>
          <w:rFonts w:hint="eastAsia" w:hAnsi="宋体" w:cs="宋体"/>
          <w:b/>
          <w:bCs/>
          <w:sz w:val="32"/>
          <w:szCs w:val="32"/>
          <w:lang w:val="en-US" w:eastAsia="zh-CN"/>
        </w:rPr>
        <w:t>采购</w:t>
      </w:r>
      <w:r>
        <w:rPr>
          <w:rFonts w:hint="eastAsia" w:hAnsi="宋体" w:cs="宋体"/>
          <w:b/>
          <w:bCs/>
          <w:sz w:val="32"/>
          <w:szCs w:val="32"/>
        </w:rPr>
        <w:t>代理机构：</w:t>
      </w:r>
      <w:r>
        <w:rPr>
          <w:rFonts w:hint="eastAsia" w:hAnsi="宋体" w:cs="宋体"/>
          <w:b/>
          <w:bCs/>
          <w:sz w:val="32"/>
          <w:szCs w:val="32"/>
          <w:lang w:eastAsia="zh-CN"/>
        </w:rPr>
        <w:t>河南知信合工程咨询有限公司</w:t>
      </w:r>
    </w:p>
    <w:p w14:paraId="4D51EA4A">
      <w:pPr>
        <w:ind w:firstLine="1928" w:firstLineChars="600"/>
        <w:jc w:val="both"/>
        <w:rPr>
          <w:rFonts w:hAnsi="宋体" w:cs="宋体"/>
          <w:b/>
          <w:bCs/>
          <w:sz w:val="32"/>
          <w:szCs w:val="32"/>
        </w:rPr>
      </w:pPr>
      <w:r>
        <w:rPr>
          <w:rFonts w:hint="eastAsia" w:hAnsi="宋体" w:cs="宋体"/>
          <w:b/>
          <w:bCs/>
          <w:sz w:val="32"/>
          <w:szCs w:val="32"/>
          <w:lang w:val="en-US" w:eastAsia="zh-CN"/>
        </w:rPr>
        <w:t>日    期：</w:t>
      </w:r>
      <w:r>
        <w:rPr>
          <w:rFonts w:hint="eastAsia" w:hAnsi="宋体" w:cs="宋体"/>
          <w:b/>
          <w:bCs/>
          <w:sz w:val="32"/>
          <w:szCs w:val="32"/>
        </w:rPr>
        <w:t>二〇二</w:t>
      </w:r>
      <w:r>
        <w:rPr>
          <w:rFonts w:hint="eastAsia" w:hAnsi="宋体" w:cs="宋体"/>
          <w:b/>
          <w:bCs/>
          <w:sz w:val="32"/>
          <w:szCs w:val="32"/>
          <w:lang w:val="en-US" w:eastAsia="zh-CN"/>
        </w:rPr>
        <w:t>六</w:t>
      </w:r>
      <w:r>
        <w:rPr>
          <w:rFonts w:hint="eastAsia" w:hAnsi="宋体" w:cs="宋体"/>
          <w:b/>
          <w:bCs/>
          <w:sz w:val="32"/>
          <w:szCs w:val="32"/>
        </w:rPr>
        <w:t>年</w:t>
      </w:r>
      <w:r>
        <w:rPr>
          <w:rFonts w:hint="eastAsia" w:hAnsi="宋体" w:cs="宋体"/>
          <w:b/>
          <w:bCs/>
          <w:sz w:val="32"/>
          <w:szCs w:val="32"/>
          <w:lang w:val="en-US" w:eastAsia="zh-CN"/>
        </w:rPr>
        <w:t>九</w:t>
      </w:r>
      <w:r>
        <w:rPr>
          <w:rFonts w:hint="eastAsia" w:hAnsi="宋体" w:cs="宋体"/>
          <w:b/>
          <w:bCs/>
          <w:sz w:val="32"/>
          <w:szCs w:val="32"/>
        </w:rPr>
        <w:t>月</w:t>
      </w:r>
    </w:p>
    <w:p w14:paraId="4BFA5214">
      <w:pPr>
        <w:jc w:val="center"/>
        <w:rPr>
          <w:rFonts w:ascii="宋体" w:hAnsi="宋体" w:cs="宋体"/>
          <w:b/>
          <w:bCs/>
          <w:sz w:val="28"/>
          <w:szCs w:val="28"/>
        </w:rPr>
        <w:sectPr>
          <w:headerReference r:id="rId3" w:type="default"/>
          <w:footerReference r:id="rId4" w:type="default"/>
          <w:pgSz w:w="11915" w:h="16840"/>
          <w:pgMar w:top="1134" w:right="1134" w:bottom="1134" w:left="1134" w:header="720" w:footer="720" w:gutter="0"/>
          <w:pgNumType w:fmt="decimal" w:start="1"/>
          <w:cols w:space="720" w:num="1"/>
          <w:docGrid w:type="lines" w:linePitch="312" w:charSpace="0"/>
        </w:sectPr>
      </w:pPr>
    </w:p>
    <w:p w14:paraId="5611AECE">
      <w:pPr>
        <w:jc w:val="center"/>
        <w:rPr>
          <w:rFonts w:ascii="宋体" w:hAnsi="宋体" w:cs="宋体"/>
          <w:b/>
          <w:bCs/>
          <w:sz w:val="28"/>
          <w:szCs w:val="28"/>
        </w:rPr>
      </w:pPr>
      <w:r>
        <w:rPr>
          <w:rFonts w:hint="eastAsia" w:ascii="宋体" w:hAnsi="宋体" w:cs="宋体"/>
          <w:b/>
          <w:bCs/>
          <w:sz w:val="28"/>
          <w:szCs w:val="28"/>
        </w:rPr>
        <w:t>目  录</w:t>
      </w:r>
    </w:p>
    <w:p w14:paraId="6885E40C">
      <w:pPr>
        <w:tabs>
          <w:tab w:val="right" w:leader="dot" w:pos="9645"/>
        </w:tabs>
        <w:rPr>
          <w:rFonts w:ascii="宋体" w:hAnsi="宋体" w:cs="宋体"/>
          <w:b/>
          <w:bCs/>
          <w:color w:val="000000"/>
          <w:kern w:val="0"/>
          <w:sz w:val="24"/>
          <w:szCs w:val="24"/>
        </w:rPr>
      </w:pPr>
    </w:p>
    <w:sdt>
      <w:sdtPr>
        <w:rPr>
          <w:rFonts w:ascii="宋体" w:hAnsi="宋体" w:eastAsia="宋体" w:cstheme="minorBidi"/>
          <w:kern w:val="2"/>
          <w:sz w:val="21"/>
          <w:szCs w:val="22"/>
          <w:lang w:val="en-US" w:eastAsia="zh-CN" w:bidi="ar-SA"/>
        </w:rPr>
        <w:id w:val="14746569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5A7655E6">
          <w:pPr>
            <w:spacing w:before="0" w:beforeLines="0" w:after="0" w:afterLines="0" w:line="240" w:lineRule="auto"/>
            <w:ind w:left="0" w:leftChars="0" w:right="0" w:rightChars="0" w:firstLine="0" w:firstLineChars="0"/>
            <w:jc w:val="center"/>
          </w:pPr>
        </w:p>
        <w:p w14:paraId="2E1EB088">
          <w:pPr>
            <w:pStyle w:val="9"/>
            <w:tabs>
              <w:tab w:val="right" w:leader="dot" w:pos="9647"/>
            </w:tabs>
          </w:pPr>
          <w:r>
            <w:fldChar w:fldCharType="begin"/>
          </w:r>
          <w:r>
            <w:instrText xml:space="preserve">TOC \o "1-1" \h \u </w:instrText>
          </w:r>
          <w:r>
            <w:fldChar w:fldCharType="separate"/>
          </w:r>
          <w:r>
            <w:fldChar w:fldCharType="begin"/>
          </w:r>
          <w:r>
            <w:instrText xml:space="preserve"> HYPERLINK \l _Toc32755 </w:instrText>
          </w:r>
          <w:r>
            <w:fldChar w:fldCharType="separate"/>
          </w:r>
          <w:r>
            <w:rPr>
              <w:rFonts w:hint="eastAsia"/>
            </w:rPr>
            <w:t>第一章  竞争性磋商公告</w:t>
          </w:r>
          <w:r>
            <w:tab/>
          </w:r>
          <w:r>
            <w:fldChar w:fldCharType="begin"/>
          </w:r>
          <w:r>
            <w:instrText xml:space="preserve"> PAGEREF _Toc32755 \h </w:instrText>
          </w:r>
          <w:r>
            <w:fldChar w:fldCharType="separate"/>
          </w:r>
          <w:r>
            <w:t>2</w:t>
          </w:r>
          <w:r>
            <w:fldChar w:fldCharType="end"/>
          </w:r>
          <w:r>
            <w:fldChar w:fldCharType="end"/>
          </w:r>
        </w:p>
        <w:p w14:paraId="04F634AA">
          <w:pPr>
            <w:pStyle w:val="9"/>
            <w:tabs>
              <w:tab w:val="right" w:leader="dot" w:pos="9647"/>
            </w:tabs>
          </w:pPr>
          <w:r>
            <w:fldChar w:fldCharType="begin"/>
          </w:r>
          <w:r>
            <w:instrText xml:space="preserve"> HYPERLINK \l _Toc16933 </w:instrText>
          </w:r>
          <w:r>
            <w:fldChar w:fldCharType="separate"/>
          </w:r>
          <w:r>
            <w:rPr>
              <w:rFonts w:hint="eastAsia"/>
            </w:rPr>
            <w:t>第二章  供应商须知</w:t>
          </w:r>
          <w:r>
            <w:tab/>
          </w:r>
          <w:r>
            <w:fldChar w:fldCharType="begin"/>
          </w:r>
          <w:r>
            <w:instrText xml:space="preserve"> PAGEREF _Toc16933 \h </w:instrText>
          </w:r>
          <w:r>
            <w:fldChar w:fldCharType="separate"/>
          </w:r>
          <w:r>
            <w:t>7</w:t>
          </w:r>
          <w:r>
            <w:fldChar w:fldCharType="end"/>
          </w:r>
          <w:r>
            <w:fldChar w:fldCharType="end"/>
          </w:r>
        </w:p>
        <w:p w14:paraId="2FC0464E">
          <w:pPr>
            <w:pStyle w:val="9"/>
            <w:tabs>
              <w:tab w:val="right" w:leader="dot" w:pos="9647"/>
            </w:tabs>
          </w:pPr>
          <w:r>
            <w:fldChar w:fldCharType="begin"/>
          </w:r>
          <w:r>
            <w:instrText xml:space="preserve"> HYPERLINK \l _Toc15327 </w:instrText>
          </w:r>
          <w:r>
            <w:fldChar w:fldCharType="separate"/>
          </w:r>
          <w:r>
            <w:rPr>
              <w:rFonts w:hint="eastAsia" w:hAnsi="宋体" w:cs="宋体"/>
              <w:szCs w:val="24"/>
            </w:rPr>
            <w:t>第三章  工程量清单</w:t>
          </w:r>
          <w:r>
            <w:tab/>
          </w:r>
          <w:r>
            <w:fldChar w:fldCharType="begin"/>
          </w:r>
          <w:r>
            <w:instrText xml:space="preserve"> PAGEREF _Toc15327 \h </w:instrText>
          </w:r>
          <w:r>
            <w:fldChar w:fldCharType="separate"/>
          </w:r>
          <w:r>
            <w:t>22</w:t>
          </w:r>
          <w:r>
            <w:fldChar w:fldCharType="end"/>
          </w:r>
          <w:r>
            <w:fldChar w:fldCharType="end"/>
          </w:r>
        </w:p>
        <w:p w14:paraId="321A1333">
          <w:pPr>
            <w:pStyle w:val="9"/>
            <w:tabs>
              <w:tab w:val="right" w:leader="dot" w:pos="9647"/>
            </w:tabs>
          </w:pPr>
          <w:r>
            <w:fldChar w:fldCharType="begin"/>
          </w:r>
          <w:r>
            <w:instrText xml:space="preserve"> HYPERLINK \l _Toc21234 </w:instrText>
          </w:r>
          <w:r>
            <w:fldChar w:fldCharType="separate"/>
          </w:r>
          <w:r>
            <w:rPr>
              <w:rFonts w:hint="eastAsia"/>
            </w:rPr>
            <w:t>第四章  磋商办法</w:t>
          </w:r>
          <w:r>
            <w:tab/>
          </w:r>
          <w:r>
            <w:fldChar w:fldCharType="begin"/>
          </w:r>
          <w:r>
            <w:instrText xml:space="preserve"> PAGEREF _Toc21234 \h </w:instrText>
          </w:r>
          <w:r>
            <w:fldChar w:fldCharType="separate"/>
          </w:r>
          <w:r>
            <w:t>23</w:t>
          </w:r>
          <w:r>
            <w:fldChar w:fldCharType="end"/>
          </w:r>
          <w:r>
            <w:fldChar w:fldCharType="end"/>
          </w:r>
        </w:p>
        <w:p w14:paraId="41F19215">
          <w:pPr>
            <w:pStyle w:val="9"/>
            <w:tabs>
              <w:tab w:val="right" w:leader="dot" w:pos="9647"/>
            </w:tabs>
          </w:pPr>
          <w:r>
            <w:fldChar w:fldCharType="begin"/>
          </w:r>
          <w:r>
            <w:instrText xml:space="preserve"> HYPERLINK \l _Toc29028 </w:instrText>
          </w:r>
          <w:r>
            <w:fldChar w:fldCharType="separate"/>
          </w:r>
          <w:r>
            <w:rPr>
              <w:rFonts w:hint="eastAsia"/>
            </w:rPr>
            <w:t>第五章  合同条款及格式</w:t>
          </w:r>
          <w:r>
            <w:tab/>
          </w:r>
          <w:r>
            <w:fldChar w:fldCharType="begin"/>
          </w:r>
          <w:r>
            <w:instrText xml:space="preserve"> PAGEREF _Toc29028 \h </w:instrText>
          </w:r>
          <w:r>
            <w:fldChar w:fldCharType="separate"/>
          </w:r>
          <w:r>
            <w:t>30</w:t>
          </w:r>
          <w:r>
            <w:fldChar w:fldCharType="end"/>
          </w:r>
          <w:r>
            <w:fldChar w:fldCharType="end"/>
          </w:r>
        </w:p>
        <w:p w14:paraId="6A457E84">
          <w:pPr>
            <w:pStyle w:val="9"/>
            <w:tabs>
              <w:tab w:val="right" w:leader="dot" w:pos="9647"/>
            </w:tabs>
          </w:pPr>
          <w:r>
            <w:fldChar w:fldCharType="begin"/>
          </w:r>
          <w:r>
            <w:instrText xml:space="preserve"> HYPERLINK \l _Toc22736 </w:instrText>
          </w:r>
          <w:r>
            <w:fldChar w:fldCharType="separate"/>
          </w:r>
          <w:r>
            <w:rPr>
              <w:rFonts w:hint="eastAsia"/>
            </w:rPr>
            <w:t xml:space="preserve">第六章  磋商响应文件格式 </w:t>
          </w:r>
          <w:r>
            <w:tab/>
          </w:r>
          <w:r>
            <w:fldChar w:fldCharType="begin"/>
          </w:r>
          <w:r>
            <w:instrText xml:space="preserve"> PAGEREF _Toc22736 \h </w:instrText>
          </w:r>
          <w:r>
            <w:fldChar w:fldCharType="separate"/>
          </w:r>
          <w:r>
            <w:t>46</w:t>
          </w:r>
          <w:r>
            <w:fldChar w:fldCharType="end"/>
          </w:r>
          <w:r>
            <w:fldChar w:fldCharType="end"/>
          </w:r>
        </w:p>
        <w:p w14:paraId="0DEF7F26">
          <w:r>
            <w:fldChar w:fldCharType="end"/>
          </w:r>
        </w:p>
      </w:sdtContent>
    </w:sdt>
    <w:p w14:paraId="1D4DCA3D"/>
    <w:p w14:paraId="6D5FDAD8">
      <w:pPr>
        <w:tabs>
          <w:tab w:val="right" w:leader="dot" w:pos="9647"/>
        </w:tabs>
        <w:spacing w:line="360" w:lineRule="auto"/>
        <w:rPr>
          <w:sz w:val="24"/>
          <w:szCs w:val="24"/>
          <w:highlight w:val="none"/>
        </w:rPr>
      </w:pPr>
      <w:r>
        <w:rPr>
          <w:rFonts w:hint="eastAsia" w:ascii="宋体" w:hAnsi="宋体" w:cs="宋体"/>
          <w:color w:val="000000"/>
          <w:kern w:val="0"/>
          <w:sz w:val="24"/>
          <w:szCs w:val="24"/>
        </w:rPr>
        <w:fldChar w:fldCharType="begin"/>
      </w:r>
      <w:r>
        <w:rPr>
          <w:rFonts w:hint="eastAsia" w:ascii="宋体" w:hAnsi="宋体" w:cs="宋体"/>
          <w:color w:val="000000"/>
          <w:kern w:val="0"/>
          <w:sz w:val="24"/>
          <w:szCs w:val="24"/>
        </w:rPr>
        <w:instrText xml:space="preserve">TOC \o "1-3" \h \u </w:instrText>
      </w:r>
      <w:r>
        <w:rPr>
          <w:rFonts w:hint="eastAsia" w:ascii="宋体" w:hAnsi="宋体" w:cs="宋体"/>
          <w:color w:val="000000"/>
          <w:kern w:val="0"/>
          <w:sz w:val="24"/>
          <w:szCs w:val="24"/>
        </w:rPr>
        <w:fldChar w:fldCharType="separate"/>
      </w:r>
    </w:p>
    <w:p w14:paraId="1B17388F">
      <w:pPr>
        <w:tabs>
          <w:tab w:val="right" w:leader="dot" w:pos="9647"/>
        </w:tabs>
        <w:spacing w:line="360" w:lineRule="auto"/>
        <w:rPr>
          <w:sz w:val="24"/>
          <w:szCs w:val="24"/>
        </w:rPr>
      </w:pPr>
    </w:p>
    <w:p w14:paraId="7A5553C6">
      <w:pPr>
        <w:tabs>
          <w:tab w:val="right" w:leader="dot" w:pos="9647"/>
        </w:tabs>
        <w:spacing w:line="360" w:lineRule="auto"/>
        <w:rPr>
          <w:sz w:val="24"/>
          <w:szCs w:val="24"/>
        </w:rPr>
      </w:pPr>
    </w:p>
    <w:p w14:paraId="748E100D">
      <w:pPr>
        <w:tabs>
          <w:tab w:val="right" w:leader="dot" w:pos="9647"/>
        </w:tabs>
        <w:spacing w:line="360" w:lineRule="auto"/>
        <w:rPr>
          <w:sz w:val="24"/>
          <w:szCs w:val="24"/>
        </w:rPr>
      </w:pPr>
    </w:p>
    <w:p w14:paraId="24CD6D21">
      <w:pPr>
        <w:tabs>
          <w:tab w:val="right" w:leader="dot" w:pos="9647"/>
        </w:tabs>
        <w:spacing w:line="360" w:lineRule="auto"/>
        <w:rPr>
          <w:sz w:val="24"/>
          <w:szCs w:val="24"/>
        </w:rPr>
      </w:pPr>
    </w:p>
    <w:p w14:paraId="32363151">
      <w:pPr>
        <w:tabs>
          <w:tab w:val="right" w:leader="dot" w:pos="9647"/>
        </w:tabs>
        <w:spacing w:line="360" w:lineRule="auto"/>
        <w:rPr>
          <w:sz w:val="24"/>
          <w:szCs w:val="24"/>
        </w:rPr>
      </w:pPr>
    </w:p>
    <w:p w14:paraId="60D55580">
      <w:pPr>
        <w:tabs>
          <w:tab w:val="right" w:leader="dot" w:pos="9647"/>
        </w:tabs>
        <w:spacing w:line="360" w:lineRule="auto"/>
        <w:rPr>
          <w:sz w:val="24"/>
          <w:szCs w:val="24"/>
        </w:rPr>
      </w:pPr>
    </w:p>
    <w:p w14:paraId="3FF55384">
      <w:pPr>
        <w:tabs>
          <w:tab w:val="right" w:leader="dot" w:pos="9647"/>
        </w:tabs>
        <w:spacing w:line="360" w:lineRule="auto"/>
        <w:rPr>
          <w:sz w:val="24"/>
          <w:szCs w:val="24"/>
        </w:rPr>
      </w:pPr>
    </w:p>
    <w:p w14:paraId="2FF70827">
      <w:pPr>
        <w:tabs>
          <w:tab w:val="right" w:leader="dot" w:pos="9647"/>
        </w:tabs>
        <w:spacing w:line="360" w:lineRule="auto"/>
      </w:pPr>
    </w:p>
    <w:p w14:paraId="085C912A">
      <w:pPr>
        <w:bidi w:val="0"/>
      </w:pPr>
      <w:r>
        <w:rPr>
          <w:rFonts w:hint="eastAsia"/>
        </w:rPr>
        <w:fldChar w:fldCharType="end"/>
      </w:r>
    </w:p>
    <w:p w14:paraId="22D7719A">
      <w:pPr>
        <w:bidi w:val="0"/>
      </w:pPr>
    </w:p>
    <w:p w14:paraId="7FD5B942">
      <w:pPr>
        <w:bidi w:val="0"/>
      </w:pPr>
      <w:bookmarkStart w:id="1" w:name="_Toc31887"/>
    </w:p>
    <w:p w14:paraId="22548DED">
      <w:pPr>
        <w:bidi w:val="0"/>
      </w:pPr>
    </w:p>
    <w:p w14:paraId="346D2998">
      <w:pPr>
        <w:bidi w:val="0"/>
      </w:pPr>
    </w:p>
    <w:p w14:paraId="4EE08661">
      <w:pPr>
        <w:bidi w:val="0"/>
      </w:pPr>
    </w:p>
    <w:p w14:paraId="2DBAF072">
      <w:pPr>
        <w:bidi w:val="0"/>
      </w:pPr>
    </w:p>
    <w:p w14:paraId="2E2897C3">
      <w:pPr>
        <w:bidi w:val="0"/>
      </w:pPr>
    </w:p>
    <w:p w14:paraId="1C99B27C">
      <w:pPr>
        <w:bidi w:val="0"/>
      </w:pPr>
    </w:p>
    <w:p w14:paraId="6A343AD9">
      <w:pPr>
        <w:bidi w:val="0"/>
      </w:pPr>
    </w:p>
    <w:p w14:paraId="04737925">
      <w:pPr>
        <w:bidi w:val="0"/>
      </w:pPr>
    </w:p>
    <w:p w14:paraId="39EFB57E">
      <w:pPr>
        <w:bidi w:val="0"/>
      </w:pPr>
    </w:p>
    <w:p w14:paraId="23F1D968">
      <w:pPr>
        <w:bidi w:val="0"/>
      </w:pPr>
    </w:p>
    <w:p w14:paraId="7C417981">
      <w:pPr>
        <w:bidi w:val="0"/>
      </w:pPr>
    </w:p>
    <w:p w14:paraId="3A376D78">
      <w:pPr>
        <w:bidi w:val="0"/>
      </w:pPr>
    </w:p>
    <w:p w14:paraId="09235A72">
      <w:pPr>
        <w:bidi w:val="0"/>
      </w:pPr>
    </w:p>
    <w:p w14:paraId="14D3004F">
      <w:pPr>
        <w:bidi w:val="0"/>
      </w:pPr>
    </w:p>
    <w:p w14:paraId="4C187656">
      <w:pPr>
        <w:jc w:val="center"/>
        <w:outlineLvl w:val="0"/>
        <w:rPr>
          <w:rFonts w:ascii="宋体" w:hAnsi="宋体" w:cs="宋体"/>
          <w:b/>
          <w:sz w:val="24"/>
          <w:szCs w:val="24"/>
        </w:rPr>
      </w:pPr>
    </w:p>
    <w:p w14:paraId="208E87A2">
      <w:pPr>
        <w:rPr>
          <w:rFonts w:hint="eastAsia" w:ascii="宋体" w:hAnsi="宋体" w:cs="宋体"/>
          <w:b/>
          <w:sz w:val="24"/>
          <w:szCs w:val="24"/>
        </w:rPr>
      </w:pPr>
      <w:r>
        <w:rPr>
          <w:rFonts w:hint="eastAsia" w:ascii="宋体" w:hAnsi="宋体" w:cs="宋体"/>
          <w:b/>
          <w:sz w:val="24"/>
          <w:szCs w:val="24"/>
        </w:rPr>
        <w:br w:type="page"/>
      </w:r>
    </w:p>
    <w:bookmarkEnd w:id="1"/>
    <w:p w14:paraId="7BF087F4">
      <w:pPr>
        <w:pStyle w:val="2"/>
        <w:bidi w:val="0"/>
      </w:pPr>
      <w:bookmarkStart w:id="2" w:name="_Toc32755"/>
      <w:r>
        <w:rPr>
          <w:rFonts w:hint="eastAsia"/>
        </w:rPr>
        <w:t>第一章  竞争性磋商公告</w:t>
      </w:r>
      <w:bookmarkEnd w:id="2"/>
    </w:p>
    <w:p w14:paraId="7B9E64B5">
      <w:pPr>
        <w:spacing w:line="360" w:lineRule="auto"/>
        <w:ind w:firstLine="420" w:firstLineChars="175"/>
        <w:rPr>
          <w:rFonts w:ascii="宋体" w:hAnsi="宋体" w:cs="宋体"/>
          <w:sz w:val="24"/>
          <w:szCs w:val="24"/>
        </w:rPr>
      </w:pPr>
      <w:r>
        <w:rPr>
          <w:rFonts w:hint="eastAsia" w:ascii="宋体" w:hAnsi="宋体" w:cs="宋体"/>
          <w:sz w:val="24"/>
          <w:szCs w:val="24"/>
        </w:rPr>
        <w:t>项目概况</w:t>
      </w:r>
    </w:p>
    <w:p w14:paraId="5FFC90A0">
      <w:pPr>
        <w:spacing w:line="360" w:lineRule="auto"/>
        <w:ind w:firstLine="420" w:firstLineChars="175"/>
        <w:rPr>
          <w:rFonts w:ascii="宋体" w:hAnsi="宋体" w:cs="宋体"/>
          <w:color w:val="auto"/>
          <w:sz w:val="24"/>
          <w:szCs w:val="24"/>
        </w:rPr>
      </w:pPr>
      <w:r>
        <w:rPr>
          <w:rFonts w:hint="eastAsia" w:ascii="宋体" w:hAnsi="宋体" w:cs="宋体"/>
          <w:sz w:val="24"/>
          <w:szCs w:val="24"/>
          <w:lang w:eastAsia="zh-CN"/>
        </w:rPr>
        <w:t>三门峡市第三高级中学基础设施修缮及校园灯光、广播系统升级项目</w:t>
      </w:r>
      <w:r>
        <w:rPr>
          <w:rFonts w:hint="eastAsia" w:ascii="宋体" w:hAnsi="宋体" w:cs="宋体"/>
          <w:sz w:val="24"/>
          <w:szCs w:val="24"/>
        </w:rPr>
        <w:t>的潜在供应商凭CA登录三门峡市公共资源交易</w:t>
      </w:r>
      <w:r>
        <w:rPr>
          <w:rFonts w:hint="eastAsia" w:ascii="宋体" w:hAnsi="宋体" w:cs="宋体"/>
          <w:color w:val="auto"/>
          <w:sz w:val="24"/>
          <w:szCs w:val="24"/>
        </w:rPr>
        <w:t>中心网（网</w:t>
      </w:r>
      <w:r>
        <w:rPr>
          <w:rFonts w:hint="eastAsia" w:ascii="宋体" w:hAnsi="宋体" w:cs="宋体"/>
          <w:color w:val="auto"/>
          <w:sz w:val="24"/>
          <w:szCs w:val="24"/>
          <w:highlight w:val="none"/>
        </w:rPr>
        <w:t>址：</w:t>
      </w:r>
      <w:r>
        <w:rPr>
          <w:rFonts w:hint="eastAsia" w:ascii="宋体" w:hAnsi="宋体" w:cs="宋体"/>
          <w:color w:val="auto"/>
          <w:sz w:val="24"/>
          <w:szCs w:val="24"/>
          <w:highlight w:val="none"/>
          <w:u w:val="none"/>
        </w:rPr>
        <w:t>http://gzjy.smx.gov.cn）获取采购文件，并于</w:t>
      </w:r>
      <w:r>
        <w:rPr>
          <w:rFonts w:hint="eastAsia" w:ascii="宋体" w:hAnsi="宋体" w:cs="宋体"/>
          <w:color w:val="auto"/>
          <w:sz w:val="24"/>
          <w:szCs w:val="24"/>
          <w:highlight w:val="none"/>
          <w:u w:val="none"/>
          <w:lang w:val="en-US" w:eastAsia="zh-CN"/>
        </w:rPr>
        <w:t>2026</w:t>
      </w:r>
      <w:r>
        <w:rPr>
          <w:rFonts w:hint="eastAsia" w:ascii="宋体" w:hAnsi="宋体" w:cs="宋体"/>
          <w:color w:val="auto"/>
          <w:sz w:val="24"/>
          <w:szCs w:val="24"/>
          <w:highlight w:val="none"/>
          <w:u w:val="none"/>
        </w:rPr>
        <w:t>年</w:t>
      </w:r>
      <w:r>
        <w:rPr>
          <w:rFonts w:hint="eastAsia" w:ascii="宋体" w:hAnsi="宋体" w:cs="宋体"/>
          <w:color w:val="auto"/>
          <w:sz w:val="24"/>
          <w:szCs w:val="24"/>
          <w:highlight w:val="none"/>
          <w:u w:val="none"/>
          <w:lang w:val="en-US" w:eastAsia="zh-CN"/>
        </w:rPr>
        <w:t xml:space="preserve"> 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 xml:space="preserve">15 </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0分</w:t>
      </w:r>
      <w:r>
        <w:rPr>
          <w:rFonts w:hint="eastAsia" w:ascii="宋体" w:hAnsi="宋体" w:cs="宋体"/>
          <w:color w:val="auto"/>
          <w:sz w:val="24"/>
          <w:szCs w:val="24"/>
        </w:rPr>
        <w:t>（北京时间，下同）前递交响应文件。</w:t>
      </w:r>
    </w:p>
    <w:p w14:paraId="536F22C1">
      <w:pPr>
        <w:spacing w:line="360" w:lineRule="auto"/>
        <w:ind w:firstLine="420" w:firstLineChars="175"/>
        <w:rPr>
          <w:rFonts w:hint="eastAsia" w:ascii="宋体" w:hAnsi="宋体" w:cs="宋体" w:eastAsiaTheme="minorEastAsia"/>
          <w:color w:val="auto"/>
          <w:sz w:val="24"/>
          <w:szCs w:val="24"/>
          <w:lang w:val="en-US" w:eastAsia="zh-CN"/>
        </w:rPr>
      </w:pPr>
      <w:r>
        <w:rPr>
          <w:rFonts w:hint="eastAsia" w:ascii="宋体" w:hAnsi="宋体" w:cs="宋体"/>
          <w:color w:val="auto"/>
          <w:sz w:val="24"/>
          <w:szCs w:val="24"/>
        </w:rPr>
        <w:t>一、项目基本情况：</w:t>
      </w:r>
      <w:r>
        <w:rPr>
          <w:rFonts w:hint="eastAsia" w:ascii="宋体" w:hAnsi="宋体" w:cs="宋体"/>
          <w:color w:val="auto"/>
          <w:sz w:val="24"/>
          <w:szCs w:val="24"/>
          <w:lang w:val="en-US" w:eastAsia="zh-CN"/>
        </w:rPr>
        <w:t xml:space="preserve"> </w:t>
      </w:r>
    </w:p>
    <w:p w14:paraId="42B6EC59">
      <w:pPr>
        <w:spacing w:line="360" w:lineRule="auto"/>
        <w:ind w:firstLine="420" w:firstLineChars="175"/>
        <w:rPr>
          <w:rFonts w:hint="eastAsia" w:ascii="宋体" w:hAnsi="宋体" w:cs="宋体"/>
          <w:sz w:val="24"/>
          <w:szCs w:val="24"/>
          <w:lang w:eastAsia="zh-CN"/>
        </w:rPr>
      </w:pPr>
      <w:r>
        <w:rPr>
          <w:rFonts w:hint="eastAsia" w:ascii="宋体" w:hAnsi="宋体" w:cs="宋体"/>
          <w:color w:val="auto"/>
          <w:sz w:val="24"/>
          <w:szCs w:val="24"/>
        </w:rPr>
        <w:t>1、</w:t>
      </w:r>
      <w:r>
        <w:rPr>
          <w:rFonts w:hint="eastAsia" w:ascii="宋体" w:hAnsi="宋体" w:cs="宋体"/>
          <w:sz w:val="24"/>
          <w:szCs w:val="24"/>
        </w:rPr>
        <w:t>项目名称：</w:t>
      </w:r>
      <w:r>
        <w:rPr>
          <w:rFonts w:hint="eastAsia" w:ascii="宋体" w:hAnsi="宋体" w:cs="宋体"/>
          <w:sz w:val="24"/>
          <w:szCs w:val="24"/>
          <w:lang w:eastAsia="zh-CN"/>
        </w:rPr>
        <w:t xml:space="preserve">三门峡市第三高级中学基础设施修缮及校园灯光、广播系统升级项目 </w:t>
      </w:r>
    </w:p>
    <w:p w14:paraId="34D64C2D">
      <w:pPr>
        <w:spacing w:line="360" w:lineRule="auto"/>
        <w:ind w:firstLine="420" w:firstLineChars="175"/>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2、项目编号：SGZ[2026]282-ZC198、</w:t>
      </w:r>
      <w:r>
        <w:rPr>
          <w:rFonts w:hint="eastAsia" w:ascii="宋体" w:hAnsi="宋体" w:cs="宋体"/>
          <w:sz w:val="24"/>
          <w:szCs w:val="24"/>
          <w:highlight w:val="none"/>
          <w:lang w:val="en-US" w:eastAsia="zh-CN"/>
        </w:rPr>
        <w:t>湖滨竞磋采购-2026-26</w:t>
      </w:r>
    </w:p>
    <w:p w14:paraId="12F362E5">
      <w:pPr>
        <w:spacing w:line="360" w:lineRule="auto"/>
        <w:ind w:firstLine="420" w:firstLineChars="175"/>
        <w:rPr>
          <w:rFonts w:ascii="宋体" w:hAnsi="宋体" w:cs="宋体"/>
          <w:sz w:val="24"/>
          <w:szCs w:val="24"/>
          <w:highlight w:val="none"/>
        </w:rPr>
      </w:pPr>
      <w:r>
        <w:rPr>
          <w:rFonts w:hint="eastAsia" w:ascii="宋体" w:hAnsi="宋体" w:cs="宋体"/>
          <w:sz w:val="24"/>
          <w:szCs w:val="24"/>
          <w:highlight w:val="none"/>
        </w:rPr>
        <w:t>3、采购方式：竞争性磋商</w:t>
      </w:r>
    </w:p>
    <w:p w14:paraId="12B00B28">
      <w:pPr>
        <w:spacing w:line="360" w:lineRule="auto"/>
        <w:ind w:firstLine="420" w:firstLineChars="175"/>
        <w:rPr>
          <w:rFonts w:hint="eastAsia" w:ascii="宋体" w:hAnsi="宋体" w:cs="宋体"/>
          <w:sz w:val="24"/>
          <w:szCs w:val="24"/>
          <w:highlight w:val="none"/>
        </w:rPr>
      </w:pPr>
      <w:r>
        <w:rPr>
          <w:rFonts w:hint="eastAsia" w:ascii="宋体" w:hAnsi="宋体" w:cs="宋体"/>
          <w:sz w:val="24"/>
          <w:szCs w:val="24"/>
          <w:highlight w:val="none"/>
          <w:lang w:val="en-US" w:eastAsia="zh-CN"/>
        </w:rPr>
        <w:t>4、预算金额：¥812372.95元；</w:t>
      </w:r>
    </w:p>
    <w:p w14:paraId="7338E5F6">
      <w:pPr>
        <w:spacing w:line="360" w:lineRule="auto"/>
        <w:ind w:firstLine="420" w:firstLineChars="175"/>
        <w:rPr>
          <w:rFonts w:hint="eastAsia" w:ascii="宋体" w:hAnsi="宋体" w:cs="宋体"/>
          <w:sz w:val="24"/>
          <w:szCs w:val="24"/>
          <w:highlight w:val="none"/>
          <w:vertAlign w:val="baseline"/>
        </w:rPr>
      </w:pPr>
      <w:r>
        <w:rPr>
          <w:rFonts w:hint="eastAsia" w:ascii="宋体" w:hAnsi="宋体" w:cs="宋体"/>
          <w:sz w:val="24"/>
          <w:szCs w:val="24"/>
          <w:highlight w:val="none"/>
          <w:lang w:val="en-US" w:eastAsia="zh-CN"/>
        </w:rPr>
        <w:t>最高限价：¥812372.95元</w:t>
      </w:r>
    </w:p>
    <w:tbl>
      <w:tblPr>
        <w:tblStyle w:val="12"/>
        <w:tblW w:w="10287"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
        <w:gridCol w:w="1375"/>
        <w:gridCol w:w="2796"/>
        <w:gridCol w:w="1411"/>
        <w:gridCol w:w="1389"/>
        <w:gridCol w:w="1366"/>
        <w:gridCol w:w="1600"/>
      </w:tblGrid>
      <w:tr w14:paraId="1EAD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 w:type="dxa"/>
          </w:tcPr>
          <w:p w14:paraId="49D66945">
            <w:pPr>
              <w:keepNext w:val="0"/>
              <w:keepLines w:val="0"/>
              <w:suppressLineNumbers w:val="0"/>
              <w:spacing w:before="0" w:beforeAutospacing="0" w:after="0" w:afterAutospacing="0" w:line="360" w:lineRule="auto"/>
              <w:ind w:left="0" w:right="0"/>
              <w:rPr>
                <w:rFonts w:hint="eastAsia"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vertAlign w:val="baseline"/>
                <w:lang w:val="en-US" w:eastAsia="zh-CN"/>
              </w:rPr>
              <w:t>序号</w:t>
            </w:r>
          </w:p>
        </w:tc>
        <w:tc>
          <w:tcPr>
            <w:tcW w:w="1375" w:type="dxa"/>
          </w:tcPr>
          <w:p w14:paraId="4D6797DF">
            <w:pPr>
              <w:keepNext w:val="0"/>
              <w:keepLines w:val="0"/>
              <w:suppressLineNumbers w:val="0"/>
              <w:spacing w:before="0" w:beforeAutospacing="0" w:after="0" w:afterAutospacing="0" w:line="360" w:lineRule="auto"/>
              <w:ind w:left="0" w:right="0"/>
              <w:rPr>
                <w:rFonts w:hint="eastAsia"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vertAlign w:val="baseline"/>
                <w:lang w:val="en-US" w:eastAsia="zh-CN"/>
              </w:rPr>
              <w:t>包号</w:t>
            </w:r>
          </w:p>
        </w:tc>
        <w:tc>
          <w:tcPr>
            <w:tcW w:w="2796" w:type="dxa"/>
          </w:tcPr>
          <w:p w14:paraId="69AE20F3">
            <w:pPr>
              <w:keepNext w:val="0"/>
              <w:keepLines w:val="0"/>
              <w:suppressLineNumbers w:val="0"/>
              <w:spacing w:before="0" w:beforeAutospacing="0" w:after="0" w:afterAutospacing="0" w:line="360" w:lineRule="auto"/>
              <w:ind w:left="0" w:right="0"/>
              <w:rPr>
                <w:rFonts w:hint="default"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vertAlign w:val="baseline"/>
                <w:lang w:val="en-US" w:eastAsia="zh-CN"/>
              </w:rPr>
              <w:t>包名称</w:t>
            </w:r>
          </w:p>
        </w:tc>
        <w:tc>
          <w:tcPr>
            <w:tcW w:w="1411" w:type="dxa"/>
          </w:tcPr>
          <w:p w14:paraId="461AA248">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eastAsia="宋体" w:cs="宋体"/>
                <w:color w:val="333333"/>
                <w:kern w:val="0"/>
                <w:sz w:val="24"/>
                <w:szCs w:val="24"/>
                <w:highlight w:val="none"/>
              </w:rPr>
              <w:t>包预算（元）</w:t>
            </w:r>
          </w:p>
        </w:tc>
        <w:tc>
          <w:tcPr>
            <w:tcW w:w="1389" w:type="dxa"/>
          </w:tcPr>
          <w:p w14:paraId="675FA672">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eastAsia="宋体" w:cs="宋体"/>
                <w:color w:val="333333"/>
                <w:kern w:val="0"/>
                <w:sz w:val="24"/>
                <w:szCs w:val="24"/>
                <w:highlight w:val="none"/>
              </w:rPr>
              <w:t>包最高限价（元）</w:t>
            </w:r>
          </w:p>
        </w:tc>
        <w:tc>
          <w:tcPr>
            <w:tcW w:w="1366" w:type="dxa"/>
          </w:tcPr>
          <w:p w14:paraId="6BFEC78F">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eastAsia="宋体" w:cs="宋体"/>
                <w:color w:val="333333"/>
                <w:kern w:val="0"/>
                <w:sz w:val="24"/>
                <w:szCs w:val="24"/>
                <w:highlight w:val="none"/>
              </w:rPr>
              <w:t>是否专门面向中小企业</w:t>
            </w:r>
          </w:p>
        </w:tc>
        <w:tc>
          <w:tcPr>
            <w:tcW w:w="1600" w:type="dxa"/>
          </w:tcPr>
          <w:p w14:paraId="72B978E3">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eastAsia="宋体" w:cs="宋体"/>
                <w:color w:val="333333"/>
                <w:kern w:val="0"/>
                <w:sz w:val="24"/>
                <w:szCs w:val="24"/>
                <w:highlight w:val="none"/>
              </w:rPr>
              <w:t>采购预留金额（元）</w:t>
            </w:r>
          </w:p>
        </w:tc>
      </w:tr>
      <w:tr w14:paraId="7196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 w:type="dxa"/>
          </w:tcPr>
          <w:p w14:paraId="08C13A40">
            <w:pPr>
              <w:keepNext w:val="0"/>
              <w:keepLines w:val="0"/>
              <w:suppressLineNumbers w:val="0"/>
              <w:spacing w:before="0" w:beforeAutospacing="0" w:after="0" w:afterAutospacing="0" w:line="360" w:lineRule="auto"/>
              <w:ind w:left="0" w:right="0"/>
              <w:rPr>
                <w:rFonts w:hint="eastAsia"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vertAlign w:val="baseline"/>
                <w:lang w:val="en-US" w:eastAsia="zh-CN"/>
              </w:rPr>
              <w:t>1</w:t>
            </w:r>
          </w:p>
        </w:tc>
        <w:tc>
          <w:tcPr>
            <w:tcW w:w="1375" w:type="dxa"/>
          </w:tcPr>
          <w:p w14:paraId="6E1FB184">
            <w:pPr>
              <w:keepNext w:val="0"/>
              <w:keepLines w:val="0"/>
              <w:suppressLineNumbers w:val="0"/>
              <w:spacing w:before="0" w:beforeAutospacing="0" w:after="0" w:afterAutospacing="0" w:line="360" w:lineRule="auto"/>
              <w:ind w:left="0" w:right="0"/>
              <w:rPr>
                <w:rFonts w:hint="default"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lang w:eastAsia="zh-CN"/>
              </w:rPr>
              <w:t>SGZ[2026]282-ZC198</w:t>
            </w:r>
            <w:r>
              <w:rPr>
                <w:rFonts w:hint="eastAsia" w:ascii="宋体" w:hAnsi="宋体" w:cs="宋体"/>
                <w:sz w:val="24"/>
                <w:szCs w:val="24"/>
                <w:highlight w:val="none"/>
                <w:lang w:val="en-US" w:eastAsia="zh-CN"/>
              </w:rPr>
              <w:t>-1</w:t>
            </w:r>
          </w:p>
        </w:tc>
        <w:tc>
          <w:tcPr>
            <w:tcW w:w="2796" w:type="dxa"/>
          </w:tcPr>
          <w:p w14:paraId="6E4450D7">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vertAlign w:val="baseline"/>
                <w:lang w:val="en-US"/>
              </w:rPr>
            </w:pPr>
            <w:r>
              <w:rPr>
                <w:rFonts w:hint="eastAsia" w:ascii="宋体" w:hAnsi="宋体" w:cs="宋体"/>
                <w:sz w:val="24"/>
                <w:szCs w:val="24"/>
                <w:highlight w:val="none"/>
                <w:vertAlign w:val="baseline"/>
                <w:lang w:val="en-US" w:eastAsia="zh-CN"/>
              </w:rPr>
              <w:t>A包：</w:t>
            </w:r>
            <w:r>
              <w:rPr>
                <w:rFonts w:hint="default" w:ascii="宋体" w:hAnsi="宋体" w:cs="宋体"/>
                <w:sz w:val="24"/>
                <w:szCs w:val="24"/>
                <w:highlight w:val="none"/>
                <w:vertAlign w:val="baseline"/>
                <w:lang w:val="en-US" w:eastAsia="zh-CN"/>
              </w:rPr>
              <w:t>三门峡市第三高级中学2026年宿舍楼、教学楼维修改造项目</w:t>
            </w:r>
          </w:p>
        </w:tc>
        <w:tc>
          <w:tcPr>
            <w:tcW w:w="1411" w:type="dxa"/>
          </w:tcPr>
          <w:p w14:paraId="7B0CB9DF">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cs="宋体"/>
                <w:sz w:val="24"/>
                <w:szCs w:val="24"/>
                <w:highlight w:val="none"/>
                <w:vertAlign w:val="baseline"/>
                <w:lang w:val="en-US" w:eastAsia="zh-CN"/>
              </w:rPr>
              <w:t>541936.26</w:t>
            </w:r>
          </w:p>
          <w:p w14:paraId="37100683">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p>
        </w:tc>
        <w:tc>
          <w:tcPr>
            <w:tcW w:w="1389" w:type="dxa"/>
            <w:vAlign w:val="top"/>
          </w:tcPr>
          <w:p w14:paraId="446D3040">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cs="宋体"/>
                <w:sz w:val="24"/>
                <w:szCs w:val="24"/>
                <w:highlight w:val="none"/>
                <w:vertAlign w:val="baseline"/>
                <w:lang w:val="en-US" w:eastAsia="zh-CN"/>
              </w:rPr>
              <w:t>541936.26</w:t>
            </w:r>
          </w:p>
          <w:p w14:paraId="51C85C36">
            <w:pPr>
              <w:keepNext w:val="0"/>
              <w:keepLines w:val="0"/>
              <w:suppressLineNumbers w:val="0"/>
              <w:spacing w:before="0" w:beforeAutospacing="0" w:after="0" w:afterAutospacing="0" w:line="360" w:lineRule="auto"/>
              <w:ind w:left="0" w:leftChars="0" w:right="0" w:rightChars="0"/>
              <w:rPr>
                <w:rFonts w:hint="eastAsia" w:ascii="宋体" w:hAnsi="宋体" w:cs="宋体"/>
                <w:sz w:val="24"/>
                <w:szCs w:val="24"/>
                <w:highlight w:val="none"/>
                <w:vertAlign w:val="baseline"/>
              </w:rPr>
            </w:pPr>
          </w:p>
        </w:tc>
        <w:tc>
          <w:tcPr>
            <w:tcW w:w="1366" w:type="dxa"/>
          </w:tcPr>
          <w:p w14:paraId="7CE0861A">
            <w:pPr>
              <w:keepNext w:val="0"/>
              <w:keepLines w:val="0"/>
              <w:suppressLineNumbers w:val="0"/>
              <w:spacing w:before="0" w:beforeAutospacing="0" w:after="0" w:afterAutospacing="0" w:line="360" w:lineRule="auto"/>
              <w:ind w:left="0" w:right="0"/>
              <w:rPr>
                <w:rFonts w:hint="eastAsia"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vertAlign w:val="baseline"/>
                <w:lang w:val="en-US" w:eastAsia="zh-CN"/>
              </w:rPr>
              <w:t>否</w:t>
            </w:r>
          </w:p>
        </w:tc>
        <w:tc>
          <w:tcPr>
            <w:tcW w:w="1600" w:type="dxa"/>
            <w:vAlign w:val="top"/>
          </w:tcPr>
          <w:p w14:paraId="769D0BE8">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rPr>
            </w:pPr>
            <w:r>
              <w:rPr>
                <w:rFonts w:hint="eastAsia" w:ascii="宋体" w:hAnsi="宋体" w:cs="宋体"/>
                <w:sz w:val="24"/>
                <w:szCs w:val="24"/>
                <w:highlight w:val="none"/>
                <w:vertAlign w:val="baseline"/>
                <w:lang w:val="en-US" w:eastAsia="zh-CN"/>
              </w:rPr>
              <w:t>541936.26</w:t>
            </w:r>
          </w:p>
          <w:p w14:paraId="7BE8C415">
            <w:pPr>
              <w:keepNext w:val="0"/>
              <w:keepLines w:val="0"/>
              <w:suppressLineNumbers w:val="0"/>
              <w:spacing w:before="0" w:beforeAutospacing="0" w:after="0" w:afterAutospacing="0" w:line="360" w:lineRule="auto"/>
              <w:ind w:left="0" w:leftChars="0" w:right="0" w:rightChars="0"/>
              <w:rPr>
                <w:rFonts w:hint="eastAsia" w:ascii="宋体" w:hAnsi="宋体" w:cs="宋体"/>
                <w:sz w:val="24"/>
                <w:szCs w:val="24"/>
                <w:highlight w:val="none"/>
                <w:vertAlign w:val="baseline"/>
              </w:rPr>
            </w:pPr>
          </w:p>
        </w:tc>
      </w:tr>
      <w:tr w14:paraId="3098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350" w:type="dxa"/>
          </w:tcPr>
          <w:p w14:paraId="776AFA43">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2</w:t>
            </w:r>
          </w:p>
        </w:tc>
        <w:tc>
          <w:tcPr>
            <w:tcW w:w="1375" w:type="dxa"/>
          </w:tcPr>
          <w:p w14:paraId="3F13CC48">
            <w:pPr>
              <w:keepNext w:val="0"/>
              <w:keepLines w:val="0"/>
              <w:suppressLineNumbers w:val="0"/>
              <w:spacing w:before="0" w:beforeAutospacing="0" w:after="0" w:afterAutospacing="0" w:line="360" w:lineRule="auto"/>
              <w:ind w:left="0" w:right="0"/>
              <w:rPr>
                <w:rFonts w:hint="default" w:ascii="宋体" w:hAnsi="宋体" w:cs="宋体" w:eastAsiaTheme="minorEastAsia"/>
                <w:sz w:val="24"/>
                <w:szCs w:val="24"/>
                <w:highlight w:val="none"/>
                <w:vertAlign w:val="baseline"/>
                <w:lang w:val="en-US" w:eastAsia="zh-CN"/>
              </w:rPr>
            </w:pPr>
            <w:r>
              <w:rPr>
                <w:rFonts w:hint="eastAsia" w:ascii="宋体" w:hAnsi="宋体" w:cs="宋体"/>
                <w:sz w:val="24"/>
                <w:szCs w:val="24"/>
                <w:highlight w:val="none"/>
                <w:lang w:eastAsia="zh-CN"/>
              </w:rPr>
              <w:t>SGZ[2026]282-ZC198</w:t>
            </w:r>
            <w:r>
              <w:rPr>
                <w:rFonts w:hint="eastAsia" w:ascii="宋体" w:hAnsi="宋体" w:cs="宋体"/>
                <w:sz w:val="24"/>
                <w:szCs w:val="24"/>
                <w:highlight w:val="none"/>
                <w:lang w:val="en-US" w:eastAsia="zh-CN"/>
              </w:rPr>
              <w:t>-2</w:t>
            </w:r>
          </w:p>
        </w:tc>
        <w:tc>
          <w:tcPr>
            <w:tcW w:w="2796" w:type="dxa"/>
          </w:tcPr>
          <w:p w14:paraId="20FF6A2E">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lang w:eastAsia="zh-CN"/>
              </w:rPr>
            </w:pPr>
            <w:r>
              <w:rPr>
                <w:rFonts w:hint="eastAsia" w:ascii="宋体" w:hAnsi="宋体" w:cs="宋体"/>
                <w:sz w:val="24"/>
                <w:szCs w:val="24"/>
                <w:highlight w:val="none"/>
                <w:vertAlign w:val="baseline"/>
                <w:lang w:val="en-US" w:eastAsia="zh-CN"/>
              </w:rPr>
              <w:t>B包：三门峡市第三高级中学校园走廊、操场照明及广播系统设备采购项目</w:t>
            </w:r>
          </w:p>
        </w:tc>
        <w:tc>
          <w:tcPr>
            <w:tcW w:w="1411" w:type="dxa"/>
          </w:tcPr>
          <w:p w14:paraId="1FF54633">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270436.69</w:t>
            </w:r>
          </w:p>
          <w:p w14:paraId="74663E77">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lang w:val="en-US" w:eastAsia="zh-CN"/>
              </w:rPr>
            </w:pPr>
          </w:p>
        </w:tc>
        <w:tc>
          <w:tcPr>
            <w:tcW w:w="1389" w:type="dxa"/>
            <w:vAlign w:val="top"/>
          </w:tcPr>
          <w:p w14:paraId="226B144B">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270436.69</w:t>
            </w:r>
          </w:p>
          <w:p w14:paraId="3DC4B260">
            <w:pPr>
              <w:keepNext w:val="0"/>
              <w:keepLines w:val="0"/>
              <w:suppressLineNumbers w:val="0"/>
              <w:spacing w:before="0" w:beforeAutospacing="0" w:after="0" w:afterAutospacing="0" w:line="360" w:lineRule="auto"/>
              <w:ind w:left="0" w:leftChars="0" w:right="0" w:rightChars="0"/>
              <w:rPr>
                <w:rFonts w:hint="eastAsia" w:ascii="宋体" w:hAnsi="宋体" w:cs="宋体"/>
                <w:sz w:val="24"/>
                <w:szCs w:val="24"/>
                <w:highlight w:val="none"/>
                <w:lang w:val="en-US" w:eastAsia="zh-CN"/>
              </w:rPr>
            </w:pPr>
          </w:p>
        </w:tc>
        <w:tc>
          <w:tcPr>
            <w:tcW w:w="1366" w:type="dxa"/>
          </w:tcPr>
          <w:p w14:paraId="72FD42AB">
            <w:pPr>
              <w:keepNext w:val="0"/>
              <w:keepLines w:val="0"/>
              <w:suppressLineNumbers w:val="0"/>
              <w:spacing w:before="0" w:beforeAutospacing="0" w:after="0" w:afterAutospacing="0" w:line="360" w:lineRule="auto"/>
              <w:ind w:left="0" w:right="0"/>
              <w:rPr>
                <w:rFonts w:hint="eastAsia" w:ascii="宋体" w:hAnsi="宋体" w:cs="宋体"/>
                <w:sz w:val="24"/>
                <w:szCs w:val="24"/>
                <w:highlight w:val="none"/>
                <w:vertAlign w:val="baseline"/>
                <w:lang w:val="en-US" w:eastAsia="zh-CN"/>
              </w:rPr>
            </w:pPr>
            <w:r>
              <w:rPr>
                <w:rFonts w:hint="eastAsia" w:ascii="宋体" w:hAnsi="宋体" w:cs="宋体"/>
                <w:sz w:val="24"/>
                <w:szCs w:val="24"/>
                <w:highlight w:val="none"/>
                <w:vertAlign w:val="baseline"/>
                <w:lang w:val="en-US" w:eastAsia="zh-CN"/>
              </w:rPr>
              <w:t>否</w:t>
            </w:r>
          </w:p>
        </w:tc>
        <w:tc>
          <w:tcPr>
            <w:tcW w:w="1600" w:type="dxa"/>
            <w:vAlign w:val="top"/>
          </w:tcPr>
          <w:p w14:paraId="288E403E">
            <w:pPr>
              <w:keepNext w:val="0"/>
              <w:keepLines w:val="0"/>
              <w:suppressLineNumbers w:val="0"/>
              <w:spacing w:before="0" w:beforeAutospacing="0" w:after="0" w:afterAutospacing="0" w:line="360" w:lineRule="auto"/>
              <w:ind w:left="0" w:right="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270436.69</w:t>
            </w:r>
          </w:p>
          <w:p w14:paraId="00655874">
            <w:pPr>
              <w:keepNext w:val="0"/>
              <w:keepLines w:val="0"/>
              <w:suppressLineNumbers w:val="0"/>
              <w:spacing w:before="0" w:beforeAutospacing="0" w:after="0" w:afterAutospacing="0" w:line="360" w:lineRule="auto"/>
              <w:ind w:left="0" w:leftChars="0" w:right="0" w:rightChars="0"/>
              <w:rPr>
                <w:rFonts w:hint="eastAsia" w:ascii="宋体" w:hAnsi="宋体" w:cs="宋体"/>
                <w:sz w:val="24"/>
                <w:szCs w:val="24"/>
                <w:highlight w:val="none"/>
                <w:lang w:val="en-US" w:eastAsia="zh-CN"/>
              </w:rPr>
            </w:pPr>
          </w:p>
        </w:tc>
      </w:tr>
    </w:tbl>
    <w:p w14:paraId="10917578">
      <w:pPr>
        <w:spacing w:line="360" w:lineRule="auto"/>
        <w:rPr>
          <w:rFonts w:hint="eastAsia" w:ascii="宋体" w:hAnsi="宋体" w:cs="宋体"/>
          <w:sz w:val="24"/>
          <w:szCs w:val="24"/>
        </w:rPr>
      </w:pPr>
    </w:p>
    <w:p w14:paraId="6E9E889D">
      <w:pPr>
        <w:spacing w:line="360" w:lineRule="auto"/>
        <w:ind w:firstLine="420" w:firstLineChars="175"/>
        <w:rPr>
          <w:rFonts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采购需求（包括但不限于标的的名称、数量、简要技术需求或服务要求等）</w:t>
      </w:r>
    </w:p>
    <w:p w14:paraId="244B1B93">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sz w:val="24"/>
          <w:szCs w:val="24"/>
        </w:rPr>
      </w:pPr>
      <w:r>
        <w:rPr>
          <w:rFonts w:hint="eastAsia" w:ascii="宋体" w:hAnsi="宋体" w:cs="宋体"/>
          <w:sz w:val="24"/>
          <w:szCs w:val="24"/>
        </w:rPr>
        <w:t>（1）采购范围：</w:t>
      </w:r>
    </w:p>
    <w:p w14:paraId="3B18A6FF">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479" w:leftChars="228" w:right="0" w:rightChars="0" w:firstLine="9" w:firstLineChars="4"/>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A包：</w:t>
      </w:r>
      <w:r>
        <w:rPr>
          <w:rFonts w:hint="default" w:ascii="宋体" w:hAnsi="宋体" w:cs="宋体"/>
          <w:sz w:val="24"/>
          <w:szCs w:val="24"/>
          <w:highlight w:val="none"/>
          <w:vertAlign w:val="baseline"/>
          <w:lang w:val="en-US" w:eastAsia="zh-CN"/>
        </w:rPr>
        <w:t>三门峡市第三高级中学2026年宿舍楼、教学楼维修改造项目</w:t>
      </w:r>
      <w:r>
        <w:rPr>
          <w:rFonts w:hint="eastAsia" w:ascii="宋体" w:hAnsi="宋体" w:cs="宋体"/>
          <w:sz w:val="24"/>
          <w:szCs w:val="24"/>
          <w:highlight w:val="none"/>
          <w:vertAlign w:val="baseline"/>
          <w:lang w:val="en-US" w:eastAsia="zh-CN"/>
        </w:rPr>
        <w:t>(详见工程量清单）</w:t>
      </w:r>
      <w:r>
        <w:rPr>
          <w:rFonts w:hint="eastAsia" w:ascii="宋体" w:hAnsi="宋体" w:cs="宋体"/>
          <w:sz w:val="24"/>
          <w:szCs w:val="24"/>
          <w:lang w:eastAsia="zh-CN"/>
        </w:rPr>
        <w:t>；</w:t>
      </w:r>
      <w:r>
        <w:rPr>
          <w:rFonts w:hint="eastAsia" w:ascii="宋体" w:hAnsi="宋体" w:cs="宋体"/>
          <w:sz w:val="24"/>
          <w:szCs w:val="24"/>
          <w:lang w:val="en-US" w:eastAsia="zh-CN"/>
        </w:rPr>
        <w:t>B包：</w:t>
      </w:r>
      <w:r>
        <w:rPr>
          <w:rFonts w:hint="eastAsia" w:ascii="宋体" w:hAnsi="宋体" w:cs="宋体"/>
          <w:sz w:val="24"/>
          <w:szCs w:val="24"/>
          <w:highlight w:val="none"/>
          <w:vertAlign w:val="baseline"/>
          <w:lang w:val="en-US" w:eastAsia="zh-CN"/>
        </w:rPr>
        <w:t>三门峡市第三高级中学校园走廊、操场照明及广播系统设备采购项目（</w:t>
      </w:r>
      <w:r>
        <w:rPr>
          <w:rFonts w:hint="eastAsia" w:ascii="宋体" w:hAnsi="宋体" w:cs="宋体"/>
          <w:sz w:val="24"/>
          <w:szCs w:val="24"/>
          <w:lang w:val="en-US" w:eastAsia="zh-CN"/>
        </w:rPr>
        <w:t>本标包包含货物的采购、安装、调试、验收、培训、质保期内外服务、与货物有关的运输和保险及其他伴随服务等)（详见采购清单及技术参数）</w:t>
      </w:r>
    </w:p>
    <w:p w14:paraId="0204906A">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default" w:ascii="宋体" w:hAnsi="宋体" w:cs="宋体"/>
          <w:sz w:val="24"/>
          <w:szCs w:val="24"/>
          <w:lang w:val="en-US" w:eastAsia="zh-CN"/>
        </w:rPr>
      </w:pPr>
      <w:r>
        <w:rPr>
          <w:rFonts w:hint="eastAsia" w:ascii="宋体" w:hAnsi="宋体" w:cs="宋体"/>
          <w:sz w:val="24"/>
          <w:szCs w:val="24"/>
        </w:rPr>
        <w:t>（2</w:t>
      </w:r>
      <w:r>
        <w:rPr>
          <w:rFonts w:hint="eastAsia" w:ascii="宋体" w:hAnsi="宋体" w:cs="宋体"/>
          <w:sz w:val="24"/>
          <w:szCs w:val="24"/>
          <w:highlight w:val="none"/>
        </w:rPr>
        <w:t>）工程概况：本</w:t>
      </w:r>
      <w:r>
        <w:rPr>
          <w:rFonts w:hint="eastAsia" w:ascii="宋体" w:hAnsi="宋体" w:cs="宋体"/>
          <w:sz w:val="24"/>
          <w:szCs w:val="24"/>
          <w:lang w:val="en-US" w:eastAsia="zh-CN"/>
        </w:rPr>
        <w:t>项目</w:t>
      </w:r>
      <w:r>
        <w:rPr>
          <w:rFonts w:hint="eastAsia" w:ascii="宋体" w:hAnsi="宋体" w:cs="宋体"/>
          <w:sz w:val="24"/>
          <w:szCs w:val="24"/>
        </w:rPr>
        <w:t>为</w:t>
      </w:r>
      <w:r>
        <w:rPr>
          <w:rFonts w:hint="eastAsia" w:ascii="宋体" w:hAnsi="宋体" w:cs="宋体"/>
          <w:sz w:val="24"/>
          <w:szCs w:val="24"/>
          <w:lang w:eastAsia="zh-CN"/>
        </w:rPr>
        <w:t>三门峡市第三高级中学基础设施修缮及校园灯光、广播系统升级项目</w:t>
      </w:r>
      <w:r>
        <w:rPr>
          <w:rFonts w:hint="eastAsia" w:ascii="宋体" w:hAnsi="宋体" w:cs="宋体"/>
          <w:sz w:val="24"/>
          <w:szCs w:val="24"/>
          <w:lang w:val="en-US" w:eastAsia="zh-CN"/>
        </w:rPr>
        <w:t>，本项目主要内容包括宿舍楼墙面天棚面地面等的局部改造，教学楼走廊、楼梯间、铺塑胶地板，购置校园、走廊、操场夜间照明系统、校园广播系统等(具体内容详见竞争性磋商文件)</w:t>
      </w:r>
    </w:p>
    <w:p w14:paraId="3ED84F50">
      <w:pPr>
        <w:spacing w:line="360" w:lineRule="auto"/>
        <w:ind w:firstLine="420" w:firstLineChars="175"/>
        <w:rPr>
          <w:rFonts w:ascii="宋体" w:hAnsi="宋体" w:cs="宋体"/>
          <w:sz w:val="24"/>
          <w:szCs w:val="24"/>
        </w:rPr>
      </w:pPr>
      <w:r>
        <w:rPr>
          <w:rFonts w:hint="eastAsia" w:ascii="宋体" w:hAnsi="宋体" w:cs="宋体"/>
          <w:sz w:val="24"/>
          <w:szCs w:val="24"/>
        </w:rPr>
        <w:t>（</w:t>
      </w:r>
      <w:r>
        <w:rPr>
          <w:rFonts w:hint="eastAsia" w:ascii="宋体" w:hAnsi="宋体" w:cs="宋体"/>
          <w:sz w:val="24"/>
          <w:szCs w:val="24"/>
          <w:highlight w:val="none"/>
        </w:rPr>
        <w:t>3）资金来源：财政资金，已落实。</w:t>
      </w:r>
    </w:p>
    <w:p w14:paraId="5E61FFD6">
      <w:pPr>
        <w:spacing w:line="360" w:lineRule="auto"/>
        <w:ind w:firstLine="420" w:firstLineChars="175"/>
        <w:rPr>
          <w:rFonts w:hint="eastAsia" w:ascii="宋体" w:hAnsi="宋体" w:cs="宋体"/>
          <w:sz w:val="24"/>
          <w:szCs w:val="24"/>
          <w:lang w:eastAsia="zh-CN"/>
        </w:rPr>
      </w:pPr>
      <w:r>
        <w:rPr>
          <w:rFonts w:hint="eastAsia" w:ascii="宋体" w:hAnsi="宋体" w:cs="宋体"/>
          <w:sz w:val="24"/>
          <w:szCs w:val="24"/>
        </w:rPr>
        <w:t>（4）质量要求：</w:t>
      </w:r>
      <w:r>
        <w:rPr>
          <w:rFonts w:hint="eastAsia" w:ascii="宋体" w:hAnsi="宋体" w:cs="宋体"/>
          <w:sz w:val="24"/>
          <w:szCs w:val="24"/>
          <w:lang w:val="en-US" w:eastAsia="zh-CN"/>
        </w:rPr>
        <w:t>A包：</w:t>
      </w:r>
      <w:r>
        <w:rPr>
          <w:rFonts w:hint="eastAsia" w:ascii="宋体" w:hAnsi="宋体" w:cs="宋体"/>
          <w:sz w:val="24"/>
          <w:szCs w:val="24"/>
          <w:lang w:eastAsia="zh-CN"/>
        </w:rPr>
        <w:t>达到国家现行工程施工质量验收规范合格标准</w:t>
      </w:r>
    </w:p>
    <w:p w14:paraId="39A39531">
      <w:pPr>
        <w:spacing w:line="360" w:lineRule="auto"/>
        <w:ind w:firstLine="420" w:firstLineChars="175"/>
        <w:rPr>
          <w:rFonts w:hint="default" w:ascii="宋体" w:hAnsi="宋体" w:cs="宋体"/>
          <w:sz w:val="24"/>
          <w:szCs w:val="24"/>
          <w:lang w:val="en-US" w:eastAsia="zh-CN"/>
        </w:rPr>
      </w:pPr>
      <w:r>
        <w:rPr>
          <w:rFonts w:hint="eastAsia" w:ascii="宋体" w:hAnsi="宋体" w:cs="宋体"/>
          <w:sz w:val="24"/>
          <w:szCs w:val="24"/>
          <w:lang w:val="en-US" w:eastAsia="zh-CN"/>
        </w:rPr>
        <w:t xml:space="preserve">               B包：符合国家及行业相关规范和标准，经采购人验收合格</w:t>
      </w:r>
    </w:p>
    <w:p w14:paraId="5024EA02">
      <w:pPr>
        <w:spacing w:line="360" w:lineRule="auto"/>
        <w:ind w:firstLine="420" w:firstLineChars="175"/>
        <w:rPr>
          <w:rFonts w:hint="eastAsia" w:ascii="宋体" w:hAnsi="宋体" w:cs="宋体"/>
          <w:sz w:val="24"/>
          <w:szCs w:val="24"/>
        </w:rPr>
      </w:pPr>
      <w:r>
        <w:rPr>
          <w:rFonts w:hint="eastAsia" w:ascii="宋体" w:hAnsi="宋体" w:cs="宋体"/>
          <w:sz w:val="24"/>
          <w:szCs w:val="24"/>
        </w:rPr>
        <w:t>（5）质保期：按国家规定</w:t>
      </w:r>
    </w:p>
    <w:p w14:paraId="50AE4393">
      <w:pPr>
        <w:spacing w:line="360" w:lineRule="auto"/>
        <w:ind w:firstLine="420" w:firstLineChars="175"/>
        <w:rPr>
          <w:rFonts w:hint="eastAsia" w:ascii="宋体" w:hAnsi="宋体" w:cs="宋体"/>
          <w:color w:val="auto"/>
          <w:kern w:val="0"/>
          <w:sz w:val="24"/>
          <w:szCs w:val="24"/>
          <w:highlight w:val="none"/>
          <w:lang w:val="en-US" w:eastAsia="zh-CN"/>
        </w:rPr>
      </w:pPr>
      <w:r>
        <w:rPr>
          <w:rFonts w:hint="eastAsia" w:ascii="宋体" w:hAnsi="宋体" w:cs="宋体"/>
          <w:sz w:val="24"/>
          <w:szCs w:val="24"/>
          <w:lang w:val="en-US" w:eastAsia="zh-CN"/>
        </w:rPr>
        <w:t>（6</w:t>
      </w:r>
      <w:r>
        <w:rPr>
          <w:rFonts w:hint="eastAsia" w:ascii="宋体" w:hAnsi="宋体" w:cs="宋体"/>
          <w:sz w:val="24"/>
          <w:szCs w:val="24"/>
          <w:highlight w:val="none"/>
          <w:lang w:val="en-US" w:eastAsia="zh-CN"/>
        </w:rPr>
        <w:t>）A包：计划工期：</w:t>
      </w:r>
      <w:r>
        <w:rPr>
          <w:rFonts w:hint="eastAsia" w:ascii="宋体" w:hAnsi="宋体" w:cs="宋体"/>
          <w:color w:val="auto"/>
          <w:kern w:val="0"/>
          <w:sz w:val="24"/>
          <w:szCs w:val="24"/>
          <w:highlight w:val="none"/>
          <w:lang w:val="en-US" w:eastAsia="zh-CN"/>
        </w:rPr>
        <w:t>60日历天</w:t>
      </w:r>
    </w:p>
    <w:p w14:paraId="25D1BD02">
      <w:pPr>
        <w:spacing w:line="360" w:lineRule="auto"/>
        <w:ind w:left="0" w:leftChars="0" w:firstLine="1058" w:firstLineChars="44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B包：交货期：自签订合同30日历天内完成供货、安装及调试完毕</w:t>
      </w:r>
    </w:p>
    <w:p w14:paraId="70B137FD">
      <w:pPr>
        <w:spacing w:line="360" w:lineRule="auto"/>
        <w:ind w:firstLine="420" w:firstLineChars="175"/>
        <w:rPr>
          <w:rFonts w:hint="eastAsia" w:ascii="宋体" w:hAnsi="宋体" w:eastAsia="宋体" w:cs="宋体"/>
          <w:i w:val="0"/>
          <w:iCs w:val="0"/>
          <w:caps w:val="0"/>
          <w:color w:val="333333"/>
          <w:spacing w:val="0"/>
          <w:sz w:val="24"/>
          <w:szCs w:val="24"/>
          <w:highlight w:val="none"/>
          <w:lang w:eastAsia="zh-CN"/>
        </w:rPr>
      </w:pPr>
      <w:r>
        <w:rPr>
          <w:rFonts w:hint="eastAsia" w:ascii="宋体" w:hAnsi="宋体" w:cs="宋体"/>
          <w:color w:val="auto"/>
          <w:kern w:val="0"/>
          <w:sz w:val="24"/>
          <w:szCs w:val="24"/>
          <w:highlight w:val="none"/>
          <w:lang w:val="en-US" w:eastAsia="zh-CN"/>
        </w:rPr>
        <w:t>（7）</w:t>
      </w:r>
      <w:r>
        <w:rPr>
          <w:rFonts w:hint="eastAsia" w:ascii="宋体" w:hAnsi="宋体" w:eastAsia="宋体" w:cs="宋体"/>
          <w:i w:val="0"/>
          <w:iCs w:val="0"/>
          <w:caps w:val="0"/>
          <w:color w:val="333333"/>
          <w:spacing w:val="0"/>
          <w:sz w:val="24"/>
          <w:szCs w:val="24"/>
          <w:highlight w:val="none"/>
        </w:rPr>
        <w:t>标包划分</w:t>
      </w:r>
      <w:r>
        <w:rPr>
          <w:rFonts w:hint="eastAsia" w:ascii="宋体" w:hAnsi="宋体" w:eastAsia="宋体" w:cs="宋体"/>
          <w:i w:val="0"/>
          <w:iCs w:val="0"/>
          <w:caps w:val="0"/>
          <w:color w:val="333333"/>
          <w:spacing w:val="0"/>
          <w:sz w:val="24"/>
          <w:szCs w:val="24"/>
          <w:highlight w:val="none"/>
          <w:lang w:eastAsia="zh-CN"/>
        </w:rPr>
        <w:t>：</w:t>
      </w:r>
      <w:r>
        <w:rPr>
          <w:rFonts w:hint="eastAsia" w:ascii="宋体" w:hAnsi="宋体" w:eastAsia="宋体" w:cs="宋体"/>
          <w:i w:val="0"/>
          <w:iCs w:val="0"/>
          <w:caps w:val="0"/>
          <w:color w:val="333333"/>
          <w:spacing w:val="0"/>
          <w:sz w:val="24"/>
          <w:szCs w:val="24"/>
          <w:highlight w:val="none"/>
        </w:rPr>
        <w:t>本次招标包含两个标包，具体划分如下</w:t>
      </w:r>
      <w:r>
        <w:rPr>
          <w:rFonts w:hint="eastAsia" w:ascii="宋体" w:hAnsi="宋体" w:eastAsia="宋体" w:cs="宋体"/>
          <w:i w:val="0"/>
          <w:iCs w:val="0"/>
          <w:caps w:val="0"/>
          <w:color w:val="333333"/>
          <w:spacing w:val="0"/>
          <w:sz w:val="24"/>
          <w:szCs w:val="24"/>
          <w:highlight w:val="none"/>
          <w:lang w:eastAsia="zh-CN"/>
        </w:rPr>
        <w:t>：</w:t>
      </w:r>
    </w:p>
    <w:p w14:paraId="7C293336">
      <w:pPr>
        <w:spacing w:line="360" w:lineRule="auto"/>
        <w:ind w:left="0" w:leftChars="0" w:firstLine="1058" w:firstLineChars="441"/>
        <w:rPr>
          <w:rFonts w:hint="default" w:ascii="宋体" w:hAnsi="宋体" w:eastAsia="宋体" w:cs="宋体"/>
          <w:i w:val="0"/>
          <w:iCs w:val="0"/>
          <w:caps w:val="0"/>
          <w:color w:val="333333"/>
          <w:spacing w:val="0"/>
          <w:sz w:val="24"/>
          <w:szCs w:val="24"/>
          <w:highlight w:val="none"/>
          <w:lang w:val="en-US" w:eastAsia="zh-CN"/>
        </w:rPr>
      </w:pPr>
      <w:r>
        <w:rPr>
          <w:rFonts w:hint="eastAsia" w:ascii="宋体" w:hAnsi="宋体" w:eastAsia="宋体" w:cs="宋体"/>
          <w:i w:val="0"/>
          <w:iCs w:val="0"/>
          <w:caps w:val="0"/>
          <w:color w:val="333333"/>
          <w:spacing w:val="0"/>
          <w:sz w:val="24"/>
          <w:szCs w:val="24"/>
          <w:highlight w:val="none"/>
          <w:lang w:val="en-US" w:eastAsia="zh-CN"/>
        </w:rPr>
        <w:t>A包：</w:t>
      </w:r>
      <w:r>
        <w:rPr>
          <w:rFonts w:hint="default" w:ascii="宋体" w:hAnsi="宋体" w:cs="宋体"/>
          <w:sz w:val="24"/>
          <w:szCs w:val="24"/>
          <w:highlight w:val="none"/>
          <w:vertAlign w:val="baseline"/>
          <w:lang w:val="en-US" w:eastAsia="zh-CN"/>
        </w:rPr>
        <w:t>三门峡市第三高级中学2026年宿舍楼、教学楼维修改造项目</w:t>
      </w:r>
    </w:p>
    <w:p w14:paraId="47EF33C4">
      <w:pPr>
        <w:spacing w:line="360" w:lineRule="auto"/>
        <w:ind w:left="0" w:leftChars="0" w:firstLine="1058" w:firstLineChars="441"/>
        <w:rPr>
          <w:rFonts w:hint="default" w:ascii="宋体" w:hAnsi="宋体" w:eastAsia="宋体" w:cs="宋体"/>
          <w:i w:val="0"/>
          <w:iCs w:val="0"/>
          <w:caps w:val="0"/>
          <w:color w:val="333333"/>
          <w:spacing w:val="0"/>
          <w:sz w:val="24"/>
          <w:szCs w:val="24"/>
          <w:highlight w:val="none"/>
          <w:lang w:val="en-US" w:eastAsia="zh-CN"/>
        </w:rPr>
      </w:pPr>
      <w:r>
        <w:rPr>
          <w:rFonts w:hint="eastAsia" w:ascii="宋体" w:hAnsi="宋体" w:eastAsia="宋体" w:cs="宋体"/>
          <w:i w:val="0"/>
          <w:iCs w:val="0"/>
          <w:caps w:val="0"/>
          <w:color w:val="333333"/>
          <w:spacing w:val="0"/>
          <w:sz w:val="24"/>
          <w:szCs w:val="24"/>
          <w:highlight w:val="none"/>
          <w:lang w:val="en-US" w:eastAsia="zh-CN"/>
        </w:rPr>
        <w:t>B包：</w:t>
      </w:r>
      <w:r>
        <w:rPr>
          <w:rFonts w:hint="eastAsia" w:ascii="宋体" w:hAnsi="宋体" w:cs="宋体"/>
          <w:sz w:val="24"/>
          <w:szCs w:val="24"/>
          <w:highlight w:val="none"/>
          <w:vertAlign w:val="baseline"/>
          <w:lang w:val="en-US" w:eastAsia="zh-CN"/>
        </w:rPr>
        <w:t>三门峡市第三高级中学校园走廊、操场照明及广播系统设备采购项目</w:t>
      </w:r>
      <w:r>
        <w:rPr>
          <w:rFonts w:hint="eastAsia" w:ascii="宋体" w:hAnsi="宋体" w:eastAsia="宋体" w:cs="宋体"/>
          <w:i w:val="0"/>
          <w:iCs w:val="0"/>
          <w:caps w:val="0"/>
          <w:color w:val="333333"/>
          <w:spacing w:val="0"/>
          <w:sz w:val="24"/>
          <w:szCs w:val="24"/>
          <w:highlight w:val="none"/>
          <w:lang w:val="en-US" w:eastAsia="zh-CN"/>
        </w:rPr>
        <w:t xml:space="preserve"> </w:t>
      </w:r>
    </w:p>
    <w:p w14:paraId="596C5576">
      <w:pPr>
        <w:numPr>
          <w:ilvl w:val="0"/>
          <w:numId w:val="1"/>
        </w:num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合同履约期限：A包：</w:t>
      </w:r>
      <w:r>
        <w:rPr>
          <w:rFonts w:hint="eastAsia" w:ascii="宋体" w:hAnsi="宋体" w:cs="宋体"/>
          <w:color w:val="auto"/>
          <w:kern w:val="0"/>
          <w:sz w:val="24"/>
          <w:szCs w:val="24"/>
          <w:highlight w:val="none"/>
          <w:lang w:val="en-US" w:eastAsia="zh-CN"/>
        </w:rPr>
        <w:t>60日历天</w:t>
      </w:r>
    </w:p>
    <w:p w14:paraId="1BA34344">
      <w:pPr>
        <w:spacing w:line="360" w:lineRule="auto"/>
        <w:ind w:left="0" w:leftChars="0" w:firstLine="1058" w:firstLineChars="441"/>
        <w:rPr>
          <w:rFonts w:hint="eastAsia" w:ascii="宋体" w:hAnsi="宋体" w:cs="宋体"/>
          <w:color w:val="auto"/>
          <w:kern w:val="0"/>
          <w:sz w:val="24"/>
          <w:szCs w:val="24"/>
          <w:highlight w:val="none"/>
          <w:lang w:val="en-US" w:eastAsia="zh-CN"/>
        </w:rPr>
      </w:pPr>
      <w:r>
        <w:rPr>
          <w:rFonts w:hint="eastAsia" w:ascii="宋体" w:hAnsi="宋体" w:cs="宋体"/>
          <w:sz w:val="24"/>
          <w:szCs w:val="24"/>
          <w:highlight w:val="none"/>
          <w:lang w:val="en-US" w:eastAsia="zh-CN"/>
        </w:rPr>
        <w:t xml:space="preserve">            B包：</w:t>
      </w:r>
      <w:r>
        <w:rPr>
          <w:rFonts w:hint="eastAsia" w:ascii="宋体" w:hAnsi="宋体" w:cs="宋体"/>
          <w:color w:val="auto"/>
          <w:kern w:val="0"/>
          <w:sz w:val="24"/>
          <w:szCs w:val="24"/>
          <w:highlight w:val="none"/>
          <w:lang w:val="en-US" w:eastAsia="zh-CN"/>
        </w:rPr>
        <w:t>自签订合同30日历天内完成供货、安装及调试完毕</w:t>
      </w:r>
    </w:p>
    <w:p w14:paraId="1C95AEFB">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7、本项目是否接受联合体投标：否</w:t>
      </w:r>
    </w:p>
    <w:p w14:paraId="10506305">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8、是否接受进口产品：否</w:t>
      </w:r>
    </w:p>
    <w:p w14:paraId="07A5298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9、是否专门面向中小企业：否</w:t>
      </w:r>
    </w:p>
    <w:p w14:paraId="257FF441">
      <w:pPr>
        <w:spacing w:line="360" w:lineRule="auto"/>
        <w:ind w:firstLine="420" w:firstLineChars="175"/>
        <w:rPr>
          <w:rFonts w:ascii="宋体" w:hAnsi="宋体" w:cs="宋体"/>
          <w:sz w:val="24"/>
          <w:szCs w:val="24"/>
        </w:rPr>
      </w:pPr>
      <w:r>
        <w:rPr>
          <w:rFonts w:hint="eastAsia" w:ascii="宋体" w:hAnsi="宋体" w:cs="宋体"/>
          <w:sz w:val="24"/>
          <w:szCs w:val="24"/>
        </w:rPr>
        <w:t>二、供应商资格要求：</w:t>
      </w:r>
    </w:p>
    <w:p w14:paraId="1F853DC2">
      <w:pPr>
        <w:spacing w:line="360" w:lineRule="auto"/>
        <w:ind w:firstLine="420" w:firstLineChars="175"/>
        <w:rPr>
          <w:rFonts w:hint="eastAsia" w:ascii="宋体" w:hAnsi="宋体" w:cs="宋体"/>
          <w:sz w:val="24"/>
          <w:szCs w:val="24"/>
          <w:lang w:val="en-US" w:eastAsia="zh-CN"/>
        </w:rPr>
      </w:pPr>
      <w:r>
        <w:rPr>
          <w:rFonts w:hint="eastAsia" w:ascii="宋体" w:hAnsi="宋体" w:cs="宋体"/>
          <w:sz w:val="24"/>
          <w:szCs w:val="24"/>
          <w:lang w:val="en-US" w:eastAsia="zh-CN"/>
        </w:rPr>
        <w:t>1、满足《中华人民共和国政府采购法》第二十二条规定；</w:t>
      </w:r>
    </w:p>
    <w:p w14:paraId="7096B756">
      <w:pPr>
        <w:keepNext w:val="0"/>
        <w:keepLines w:val="0"/>
        <w:pageBreakBefore w:val="0"/>
        <w:kinsoku/>
        <w:wordWrap/>
        <w:overflowPunct/>
        <w:topLinePunct w:val="0"/>
        <w:autoSpaceDE/>
        <w:autoSpaceDN/>
        <w:bidi w:val="0"/>
        <w:adjustRightInd/>
        <w:snapToGrid/>
        <w:spacing w:line="520" w:lineRule="exact"/>
        <w:ind w:left="0" w:leftChars="0" w:firstLine="420" w:firstLineChars="175"/>
        <w:jc w:val="both"/>
        <w:textAlignment w:val="auto"/>
        <w:rPr>
          <w:rFonts w:hint="eastAsia" w:ascii="宋体" w:hAnsi="宋体" w:eastAsia="宋体" w:cs="宋体"/>
          <w:sz w:val="24"/>
          <w:szCs w:val="24"/>
          <w:highlight w:val="none"/>
          <w:lang w:val="en-US"/>
        </w:rPr>
      </w:pPr>
      <w:r>
        <w:rPr>
          <w:rFonts w:hint="eastAsia" w:ascii="宋体" w:hAnsi="宋体" w:cs="宋体"/>
          <w:sz w:val="24"/>
          <w:szCs w:val="24"/>
          <w:lang w:val="en-US" w:eastAsia="zh-CN"/>
        </w:rPr>
        <w:t>2、落实政府采购政策满足的资格要求：</w:t>
      </w:r>
      <w:r>
        <w:rPr>
          <w:rFonts w:hint="eastAsia" w:ascii="宋体" w:hAnsi="宋体" w:eastAsia="宋体" w:cs="宋体"/>
          <w:sz w:val="24"/>
          <w:szCs w:val="24"/>
          <w:highlight w:val="none"/>
          <w:lang w:val="en-US" w:eastAsia="zh-CN"/>
        </w:rPr>
        <w:t>本项目非专门面向中小微企业采购项目,执行促进中小企业（监狱企业、残疾人福利性企业）发展等政府采购政策。</w:t>
      </w:r>
    </w:p>
    <w:p w14:paraId="36E4660D">
      <w:pPr>
        <w:spacing w:line="360" w:lineRule="auto"/>
        <w:ind w:firstLine="420" w:firstLineChars="175"/>
        <w:rPr>
          <w:rFonts w:hint="eastAsia" w:ascii="宋体" w:hAnsi="宋体" w:cs="宋体"/>
          <w:sz w:val="24"/>
          <w:szCs w:val="24"/>
          <w:lang w:val="en-US" w:eastAsia="zh-CN"/>
        </w:rPr>
      </w:pPr>
      <w:r>
        <w:rPr>
          <w:rFonts w:hint="eastAsia" w:ascii="宋体" w:hAnsi="宋体" w:cs="宋体"/>
          <w:sz w:val="24"/>
          <w:szCs w:val="24"/>
          <w:lang w:val="en-US" w:eastAsia="zh-CN"/>
        </w:rPr>
        <w:t>3、本项目的特定资格要求：</w:t>
      </w:r>
    </w:p>
    <w:p w14:paraId="1D7DCD97">
      <w:pPr>
        <w:spacing w:line="360" w:lineRule="auto"/>
        <w:ind w:firstLine="422" w:firstLineChars="175"/>
        <w:rPr>
          <w:rFonts w:hint="default" w:ascii="宋体" w:hAnsi="宋体" w:cs="宋体"/>
          <w:b/>
          <w:bCs/>
          <w:sz w:val="24"/>
          <w:szCs w:val="24"/>
          <w:lang w:val="en-US" w:eastAsia="zh-CN"/>
        </w:rPr>
      </w:pPr>
      <w:r>
        <w:rPr>
          <w:rFonts w:hint="eastAsia" w:ascii="宋体" w:hAnsi="宋体" w:cs="宋体"/>
          <w:b/>
          <w:bCs/>
          <w:sz w:val="24"/>
          <w:szCs w:val="24"/>
          <w:lang w:val="en-US" w:eastAsia="zh-CN"/>
        </w:rPr>
        <w:t>A包：</w:t>
      </w:r>
    </w:p>
    <w:p w14:paraId="69E6984B">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3.1供应商应在中华人民共和国境内注册，具有有效的营业执照</w:t>
      </w:r>
      <w:r>
        <w:rPr>
          <w:rFonts w:hint="eastAsia" w:ascii="宋体" w:hAnsi="宋体" w:cs="宋体"/>
          <w:sz w:val="24"/>
          <w:szCs w:val="24"/>
          <w:lang w:val="en-US" w:eastAsia="en-US"/>
        </w:rPr>
        <w:t>；</w:t>
      </w:r>
    </w:p>
    <w:p w14:paraId="3437B324">
      <w:pPr>
        <w:spacing w:line="360" w:lineRule="auto"/>
        <w:ind w:firstLine="420" w:firstLineChars="175"/>
        <w:rPr>
          <w:rFonts w:hint="eastAsia" w:ascii="宋体" w:hAnsi="宋体" w:eastAsia="宋体" w:cs="宋体"/>
          <w:color w:val="auto"/>
          <w:sz w:val="24"/>
          <w:szCs w:val="24"/>
          <w:highlight w:val="none"/>
        </w:rPr>
      </w:pPr>
      <w:r>
        <w:rPr>
          <w:rFonts w:hint="eastAsia" w:ascii="宋体" w:hAnsi="宋体" w:cs="宋体"/>
          <w:sz w:val="24"/>
          <w:szCs w:val="24"/>
          <w:lang w:val="en-US" w:eastAsia="zh-CN"/>
        </w:rPr>
        <w:t>3.2</w:t>
      </w:r>
      <w:r>
        <w:rPr>
          <w:rFonts w:hint="eastAsia" w:ascii="宋体" w:hAnsi="宋体" w:eastAsia="宋体" w:cs="宋体"/>
          <w:color w:val="auto"/>
          <w:sz w:val="24"/>
          <w:szCs w:val="24"/>
          <w:highlight w:val="none"/>
        </w:rPr>
        <w:t>供应商须具备</w:t>
      </w:r>
      <w:r>
        <w:rPr>
          <w:rFonts w:hint="eastAsia" w:ascii="宋体" w:hAnsi="宋体" w:eastAsia="宋体" w:cs="宋体"/>
          <w:color w:val="auto"/>
          <w:sz w:val="24"/>
          <w:szCs w:val="24"/>
          <w:highlight w:val="none"/>
          <w:lang w:eastAsia="zh-CN"/>
        </w:rPr>
        <w:t>建筑装修装饰工程专业承包二级及以上资质，具备有效的安全生产许可证</w:t>
      </w:r>
      <w:r>
        <w:rPr>
          <w:rFonts w:hint="eastAsia" w:ascii="宋体" w:hAnsi="宋体" w:eastAsia="宋体" w:cs="宋体"/>
          <w:color w:val="auto"/>
          <w:sz w:val="24"/>
          <w:szCs w:val="24"/>
          <w:highlight w:val="none"/>
        </w:rPr>
        <w:t>，并在人员、设备、资金等方面具有相应的施工能力；</w:t>
      </w:r>
    </w:p>
    <w:p w14:paraId="0E63BA17">
      <w:pPr>
        <w:spacing w:line="360" w:lineRule="auto"/>
        <w:ind w:firstLine="420" w:firstLineChars="175"/>
        <w:rPr>
          <w:rFonts w:hint="default" w:ascii="宋体" w:hAnsi="宋体" w:cs="宋体"/>
          <w:sz w:val="24"/>
          <w:szCs w:val="24"/>
          <w:highlight w:val="none"/>
          <w:lang w:val="en-US" w:eastAsia="en-US"/>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lang w:val="en-US"/>
        </w:rPr>
        <w:t>、拟派项目经理应具备建筑工程专业贰级及以上注册建造师</w:t>
      </w:r>
      <w:r>
        <w:rPr>
          <w:rFonts w:hint="eastAsia" w:ascii="宋体" w:hAnsi="宋体" w:eastAsia="宋体" w:cs="宋体"/>
          <w:color w:val="auto"/>
          <w:sz w:val="24"/>
          <w:szCs w:val="24"/>
          <w:highlight w:val="none"/>
        </w:rPr>
        <w:t>，具有有效的安全生产考核合格证，提供养老保险缴费证明，且无其他在建施工项目（需出具无在建施工项目承诺书）</w:t>
      </w:r>
      <w:r>
        <w:rPr>
          <w:rFonts w:hint="eastAsia" w:ascii="宋体" w:hAnsi="宋体" w:cs="宋体"/>
          <w:sz w:val="24"/>
          <w:szCs w:val="24"/>
          <w:highlight w:val="none"/>
          <w:lang w:val="en-US" w:eastAsia="en-US"/>
        </w:rPr>
        <w:t>；</w:t>
      </w:r>
    </w:p>
    <w:p w14:paraId="39A926E1">
      <w:pPr>
        <w:spacing w:line="360" w:lineRule="auto"/>
        <w:ind w:firstLine="420" w:firstLineChars="175"/>
        <w:rPr>
          <w:rFonts w:hint="default" w:ascii="宋体" w:hAnsi="宋体" w:cs="宋体"/>
          <w:sz w:val="24"/>
          <w:szCs w:val="24"/>
          <w:lang w:val="en-US" w:eastAsia="en-US"/>
        </w:rPr>
      </w:pPr>
      <w:r>
        <w:rPr>
          <w:rFonts w:hint="eastAsia" w:ascii="宋体" w:hAnsi="宋体" w:cs="宋体"/>
          <w:sz w:val="24"/>
          <w:szCs w:val="24"/>
          <w:lang w:val="en-US" w:eastAsia="zh-CN"/>
        </w:rPr>
        <w:t>3.4</w:t>
      </w:r>
      <w:r>
        <w:rPr>
          <w:rFonts w:hint="eastAsia" w:ascii="宋体" w:hAnsi="宋体" w:cs="宋体"/>
          <w:sz w:val="24"/>
          <w:szCs w:val="24"/>
          <w:lang w:val="en-US" w:eastAsia="en-US"/>
        </w:rPr>
        <w:t>供应商出具无商业贿赂及无不正当竞争行为的承诺书；</w:t>
      </w:r>
    </w:p>
    <w:p w14:paraId="3B7F3ABE">
      <w:pPr>
        <w:spacing w:line="360" w:lineRule="auto"/>
        <w:ind w:firstLine="420" w:firstLineChars="175"/>
        <w:rPr>
          <w:rFonts w:hint="default" w:ascii="宋体" w:hAnsi="宋体" w:cs="宋体"/>
          <w:sz w:val="24"/>
          <w:szCs w:val="24"/>
          <w:lang w:val="en-US" w:eastAsia="en-US"/>
        </w:rPr>
      </w:pPr>
      <w:r>
        <w:rPr>
          <w:rFonts w:hint="eastAsia" w:ascii="宋体" w:hAnsi="宋体" w:cs="宋体"/>
          <w:sz w:val="24"/>
          <w:szCs w:val="24"/>
          <w:lang w:val="en-US" w:eastAsia="zh-CN"/>
        </w:rPr>
        <w:t>3.5</w:t>
      </w:r>
      <w:r>
        <w:rPr>
          <w:rFonts w:hint="eastAsia" w:ascii="宋体" w:hAnsi="宋体" w:cs="宋体"/>
          <w:sz w:val="24"/>
          <w:szCs w:val="24"/>
          <w:lang w:val="en-US" w:eastAsia="en-US"/>
        </w:rPr>
        <w:t>提供供应商企业、法定代表人无行贿犯罪记录，在中国裁判文书网查询（提供网页查询截图）或供应商自行承诺，（查询日期必须在公告发布之日之后）；</w:t>
      </w:r>
    </w:p>
    <w:p w14:paraId="101393D1">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3.6</w:t>
      </w:r>
      <w:r>
        <w:rPr>
          <w:rFonts w:hint="eastAsia" w:ascii="宋体" w:hAnsi="宋体" w:cs="宋体"/>
          <w:sz w:val="24"/>
          <w:szCs w:val="24"/>
          <w:lang w:val="en-US" w:eastAsia="en-US"/>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w:t>
      </w:r>
    </w:p>
    <w:p w14:paraId="7E976C19">
      <w:pPr>
        <w:spacing w:line="360" w:lineRule="auto"/>
        <w:ind w:firstLine="420" w:firstLineChars="175"/>
        <w:rPr>
          <w:rFonts w:hint="default" w:ascii="宋体" w:hAnsi="宋体" w:cs="宋体"/>
          <w:sz w:val="24"/>
          <w:szCs w:val="24"/>
          <w:lang w:val="en-US" w:eastAsia="en-US"/>
        </w:rPr>
      </w:pPr>
      <w:r>
        <w:rPr>
          <w:rFonts w:hint="default" w:ascii="宋体" w:hAnsi="宋体" w:cs="宋体"/>
          <w:sz w:val="24"/>
          <w:szCs w:val="24"/>
          <w:lang w:val="en-US" w:eastAsia="en-US"/>
        </w:rPr>
        <w:t>3.</w:t>
      </w:r>
      <w:r>
        <w:rPr>
          <w:rFonts w:hint="eastAsia" w:ascii="宋体" w:hAnsi="宋体" w:cs="宋体"/>
          <w:sz w:val="24"/>
          <w:szCs w:val="24"/>
          <w:lang w:val="en-US" w:eastAsia="zh-CN"/>
        </w:rPr>
        <w:t>7</w:t>
      </w:r>
      <w:r>
        <w:rPr>
          <w:rFonts w:hint="default" w:ascii="宋体" w:hAnsi="宋体" w:cs="宋体"/>
          <w:sz w:val="24"/>
          <w:szCs w:val="24"/>
          <w:lang w:val="en-US" w:eastAsia="en-US"/>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24CE6FD9">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3.8</w:t>
      </w:r>
      <w:r>
        <w:rPr>
          <w:rFonts w:hint="eastAsia" w:ascii="宋体" w:hAnsi="宋体" w:cs="宋体"/>
          <w:sz w:val="24"/>
          <w:szCs w:val="24"/>
          <w:lang w:val="en-US" w:eastAsia="en-US"/>
        </w:rPr>
        <w:t>本项目不接受联合体投标。</w:t>
      </w:r>
    </w:p>
    <w:p w14:paraId="4F37F20D">
      <w:pPr>
        <w:spacing w:line="360" w:lineRule="auto"/>
        <w:ind w:firstLine="422" w:firstLineChars="175"/>
        <w:rPr>
          <w:rFonts w:hint="eastAsia" w:ascii="宋体" w:hAnsi="宋体" w:cs="宋体"/>
          <w:b/>
          <w:bCs/>
          <w:sz w:val="24"/>
          <w:szCs w:val="24"/>
          <w:lang w:val="en-US" w:eastAsia="zh-CN"/>
        </w:rPr>
      </w:pPr>
      <w:r>
        <w:rPr>
          <w:rFonts w:hint="eastAsia" w:ascii="宋体" w:hAnsi="宋体" w:cs="宋体"/>
          <w:b/>
          <w:bCs/>
          <w:sz w:val="24"/>
          <w:szCs w:val="24"/>
          <w:lang w:val="en-US" w:eastAsia="zh-CN"/>
        </w:rPr>
        <w:t>B包：</w:t>
      </w:r>
    </w:p>
    <w:p w14:paraId="1A890ABC">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3.1供应商应在中华人民共和国境内注册，具有有效的营业执照</w:t>
      </w:r>
      <w:r>
        <w:rPr>
          <w:rFonts w:hint="eastAsia" w:ascii="宋体" w:hAnsi="宋体" w:cs="宋体"/>
          <w:sz w:val="24"/>
          <w:szCs w:val="24"/>
          <w:lang w:val="en-US" w:eastAsia="en-US"/>
        </w:rPr>
        <w:t>；</w:t>
      </w:r>
    </w:p>
    <w:p w14:paraId="2E9176D9">
      <w:pPr>
        <w:spacing w:line="360" w:lineRule="auto"/>
        <w:ind w:firstLine="420" w:firstLineChars="175"/>
        <w:rPr>
          <w:rFonts w:hint="default" w:ascii="宋体" w:hAnsi="宋体" w:cs="宋体"/>
          <w:sz w:val="24"/>
          <w:szCs w:val="24"/>
          <w:lang w:val="en-US" w:eastAsia="en-US"/>
        </w:rPr>
      </w:pPr>
      <w:r>
        <w:rPr>
          <w:rFonts w:hint="eastAsia" w:ascii="宋体" w:hAnsi="宋体" w:cs="宋体"/>
          <w:sz w:val="24"/>
          <w:szCs w:val="24"/>
          <w:lang w:val="en-US" w:eastAsia="zh-CN"/>
        </w:rPr>
        <w:t>3.2</w:t>
      </w:r>
      <w:r>
        <w:rPr>
          <w:rFonts w:hint="eastAsia" w:ascii="宋体" w:hAnsi="宋体" w:cs="宋体"/>
          <w:sz w:val="24"/>
          <w:szCs w:val="24"/>
          <w:lang w:val="en-US" w:eastAsia="en-US"/>
        </w:rPr>
        <w:t>供应商出具无商业贿赂及无不正当竞争行为的承诺书；</w:t>
      </w:r>
    </w:p>
    <w:p w14:paraId="7FB588B9">
      <w:pPr>
        <w:spacing w:line="360" w:lineRule="auto"/>
        <w:ind w:firstLine="420" w:firstLineChars="175"/>
        <w:rPr>
          <w:rFonts w:hint="default" w:ascii="宋体" w:hAnsi="宋体" w:cs="宋体"/>
          <w:sz w:val="24"/>
          <w:szCs w:val="24"/>
          <w:lang w:val="en-US" w:eastAsia="en-US"/>
        </w:rPr>
      </w:pPr>
      <w:r>
        <w:rPr>
          <w:rFonts w:hint="eastAsia" w:ascii="宋体" w:hAnsi="宋体" w:cs="宋体"/>
          <w:sz w:val="24"/>
          <w:szCs w:val="24"/>
          <w:lang w:val="en-US" w:eastAsia="zh-CN"/>
        </w:rPr>
        <w:t>3.3</w:t>
      </w:r>
      <w:r>
        <w:rPr>
          <w:rFonts w:hint="eastAsia" w:ascii="宋体" w:hAnsi="宋体" w:cs="宋体"/>
          <w:sz w:val="24"/>
          <w:szCs w:val="24"/>
          <w:lang w:val="en-US" w:eastAsia="en-US"/>
        </w:rPr>
        <w:t>提供供应商企业、法定代表人无行贿犯罪记录，在中国裁判文书网查询（提供网页查询截图）或供应商自行承诺，（查询日期必须在公告发布之日之后）；</w:t>
      </w:r>
    </w:p>
    <w:p w14:paraId="20AFB092">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3.4</w:t>
      </w:r>
      <w:r>
        <w:rPr>
          <w:rFonts w:hint="eastAsia" w:ascii="宋体" w:hAnsi="宋体" w:cs="宋体"/>
          <w:sz w:val="24"/>
          <w:szCs w:val="24"/>
          <w:lang w:val="en-US" w:eastAsia="en-US"/>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w:t>
      </w:r>
    </w:p>
    <w:p w14:paraId="531CC53E">
      <w:pPr>
        <w:spacing w:line="360" w:lineRule="auto"/>
        <w:ind w:firstLine="420" w:firstLineChars="175"/>
        <w:rPr>
          <w:rFonts w:hint="default" w:ascii="宋体" w:hAnsi="宋体" w:cs="宋体"/>
          <w:sz w:val="24"/>
          <w:szCs w:val="24"/>
          <w:lang w:val="en-US" w:eastAsia="en-US"/>
        </w:rPr>
      </w:pPr>
      <w:r>
        <w:rPr>
          <w:rFonts w:hint="default" w:ascii="宋体" w:hAnsi="宋体" w:cs="宋体"/>
          <w:sz w:val="24"/>
          <w:szCs w:val="24"/>
          <w:lang w:val="en-US" w:eastAsia="en-US"/>
        </w:rPr>
        <w:t>3.</w:t>
      </w:r>
      <w:r>
        <w:rPr>
          <w:rFonts w:hint="eastAsia" w:ascii="宋体" w:hAnsi="宋体" w:cs="宋体"/>
          <w:sz w:val="24"/>
          <w:szCs w:val="24"/>
          <w:lang w:val="en-US" w:eastAsia="zh-CN"/>
        </w:rPr>
        <w:t>5</w:t>
      </w:r>
      <w:r>
        <w:rPr>
          <w:rFonts w:hint="default" w:ascii="宋体" w:hAnsi="宋体" w:cs="宋体"/>
          <w:sz w:val="24"/>
          <w:szCs w:val="24"/>
          <w:lang w:val="en-US" w:eastAsia="en-US"/>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428CB8B5">
      <w:pPr>
        <w:spacing w:line="360" w:lineRule="auto"/>
        <w:ind w:firstLine="420" w:firstLineChars="175"/>
        <w:rPr>
          <w:rFonts w:hint="eastAsia" w:ascii="宋体" w:hAnsi="宋体" w:cs="宋体"/>
          <w:sz w:val="24"/>
          <w:szCs w:val="24"/>
          <w:lang w:val="en-US" w:eastAsia="en-US"/>
        </w:rPr>
      </w:pPr>
      <w:r>
        <w:rPr>
          <w:rFonts w:hint="eastAsia" w:ascii="宋体" w:hAnsi="宋体" w:cs="宋体"/>
          <w:sz w:val="24"/>
          <w:szCs w:val="24"/>
          <w:lang w:val="en-US" w:eastAsia="zh-CN"/>
        </w:rPr>
        <w:t>3.6</w:t>
      </w:r>
      <w:r>
        <w:rPr>
          <w:rFonts w:hint="eastAsia" w:ascii="宋体" w:hAnsi="宋体" w:cs="宋体"/>
          <w:sz w:val="24"/>
          <w:szCs w:val="24"/>
          <w:lang w:val="en-US" w:eastAsia="en-US"/>
        </w:rPr>
        <w:t>本项目不接受联合体投标。</w:t>
      </w:r>
    </w:p>
    <w:p w14:paraId="45ED1D33">
      <w:pPr>
        <w:spacing w:line="360" w:lineRule="auto"/>
        <w:ind w:firstLine="420" w:firstLineChars="175"/>
        <w:rPr>
          <w:rFonts w:ascii="宋体" w:hAnsi="宋体" w:cs="宋体"/>
          <w:sz w:val="24"/>
          <w:szCs w:val="24"/>
        </w:rPr>
      </w:pPr>
      <w:r>
        <w:rPr>
          <w:rFonts w:hint="eastAsia" w:ascii="宋体" w:hAnsi="宋体" w:cs="宋体"/>
          <w:sz w:val="24"/>
          <w:szCs w:val="24"/>
        </w:rPr>
        <w:t>温馨提醒：本项目为资格后审，资格审查由采购人依法组建的磋商小组负责。各供应商应认真阅读本项目供应商资格要求，避免无资格投标而造成不必要的损失。</w:t>
      </w:r>
    </w:p>
    <w:p w14:paraId="16915BB7">
      <w:pPr>
        <w:spacing w:line="360" w:lineRule="auto"/>
        <w:ind w:firstLine="420" w:firstLineChars="175"/>
        <w:rPr>
          <w:rFonts w:ascii="宋体" w:hAnsi="宋体" w:cs="宋体"/>
          <w:sz w:val="24"/>
          <w:szCs w:val="24"/>
          <w:highlight w:val="none"/>
        </w:rPr>
      </w:pPr>
      <w:r>
        <w:rPr>
          <w:rFonts w:hint="eastAsia" w:ascii="宋体" w:hAnsi="宋体" w:cs="宋体"/>
          <w:sz w:val="24"/>
          <w:szCs w:val="24"/>
          <w:highlight w:val="none"/>
        </w:rPr>
        <w:t>三、获取采购文件：</w:t>
      </w:r>
    </w:p>
    <w:p w14:paraId="1D3BD95C">
      <w:pPr>
        <w:spacing w:line="360" w:lineRule="auto"/>
        <w:ind w:firstLine="420" w:firstLineChars="175"/>
        <w:rPr>
          <w:rFonts w:ascii="宋体" w:hAnsi="宋体" w:cs="宋体"/>
          <w:sz w:val="24"/>
          <w:szCs w:val="24"/>
          <w:highlight w:val="none"/>
        </w:rPr>
      </w:pPr>
      <w:r>
        <w:rPr>
          <w:rFonts w:hint="eastAsia" w:ascii="宋体" w:hAnsi="宋体" w:cs="宋体"/>
          <w:sz w:val="24"/>
          <w:szCs w:val="24"/>
          <w:highlight w:val="none"/>
        </w:rPr>
        <w:t>1、时间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 xml:space="preserve"> 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 xml:space="preserve">4 </w:t>
      </w:r>
      <w:r>
        <w:rPr>
          <w:rFonts w:hint="eastAsia" w:ascii="宋体" w:hAnsi="宋体" w:cs="宋体"/>
          <w:color w:val="auto"/>
          <w:sz w:val="24"/>
          <w:szCs w:val="24"/>
          <w:highlight w:val="none"/>
        </w:rPr>
        <w:t>日至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 xml:space="preserve"> 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 xml:space="preserve">14 </w:t>
      </w:r>
      <w:r>
        <w:rPr>
          <w:rFonts w:hint="eastAsia" w:ascii="宋体" w:hAnsi="宋体" w:cs="宋体"/>
          <w:color w:val="auto"/>
          <w:sz w:val="24"/>
          <w:szCs w:val="24"/>
          <w:highlight w:val="none"/>
          <w:lang w:eastAsia="zh-CN"/>
        </w:rPr>
        <w:t>日</w:t>
      </w:r>
      <w:r>
        <w:rPr>
          <w:rFonts w:hint="eastAsia" w:ascii="宋体" w:hAnsi="宋体" w:cs="宋体"/>
          <w:sz w:val="24"/>
          <w:szCs w:val="24"/>
          <w:highlight w:val="none"/>
          <w:lang w:eastAsia="zh-CN"/>
        </w:rPr>
        <w:t>，</w:t>
      </w:r>
      <w:r>
        <w:rPr>
          <w:rFonts w:hint="eastAsia" w:ascii="宋体" w:hAnsi="宋体" w:cs="宋体"/>
          <w:sz w:val="24"/>
          <w:szCs w:val="24"/>
          <w:highlight w:val="none"/>
        </w:rPr>
        <w:t>每天上午00:00至12:00，下午12:00至23:59（北京时间，法定节假日除外。）；</w:t>
      </w:r>
    </w:p>
    <w:p w14:paraId="3CC6E282">
      <w:pPr>
        <w:spacing w:line="360" w:lineRule="auto"/>
        <w:ind w:firstLine="420" w:firstLineChars="175"/>
        <w:rPr>
          <w:rFonts w:ascii="宋体" w:hAnsi="宋体" w:cs="宋体"/>
          <w:sz w:val="24"/>
          <w:szCs w:val="24"/>
        </w:rPr>
      </w:pPr>
      <w:r>
        <w:rPr>
          <w:rFonts w:hint="eastAsia" w:ascii="宋体" w:hAnsi="宋体" w:cs="宋体"/>
          <w:sz w:val="24"/>
          <w:szCs w:val="24"/>
        </w:rPr>
        <w:t>2、地点：三门峡市公共资源交易中心网（网址：http://gzjy.smx.gov.cn）；</w:t>
      </w:r>
    </w:p>
    <w:p w14:paraId="1317E423">
      <w:pPr>
        <w:spacing w:line="360" w:lineRule="auto"/>
        <w:ind w:firstLine="420" w:firstLineChars="175"/>
        <w:rPr>
          <w:rFonts w:ascii="宋体" w:hAnsi="宋体" w:cs="宋体"/>
          <w:sz w:val="24"/>
          <w:szCs w:val="24"/>
        </w:rPr>
      </w:pPr>
      <w:r>
        <w:rPr>
          <w:rFonts w:hint="eastAsia" w:ascii="宋体" w:hAnsi="宋体" w:cs="宋体"/>
          <w:sz w:val="24"/>
          <w:szCs w:val="24"/>
        </w:rPr>
        <w:t>3、方式：供应商凭CA数字证书通过三门峡市公共资源交易中心网（网址：http://gzjy.smx.gov.cn），点击交易平台选择“市场主体登录”，在所参与项目右侧点击参与投标，即可直接下载本项目磋商文件。</w:t>
      </w:r>
    </w:p>
    <w:p w14:paraId="75429521">
      <w:pPr>
        <w:spacing w:line="360" w:lineRule="auto"/>
        <w:ind w:firstLine="420" w:firstLineChars="175"/>
        <w:rPr>
          <w:rFonts w:ascii="宋体" w:hAnsi="宋体" w:cs="宋体"/>
          <w:sz w:val="24"/>
          <w:szCs w:val="24"/>
        </w:rPr>
      </w:pPr>
      <w:r>
        <w:rPr>
          <w:rFonts w:hint="eastAsia" w:ascii="宋体" w:hAnsi="宋体" w:cs="宋体"/>
          <w:sz w:val="24"/>
          <w:szCs w:val="24"/>
        </w:rPr>
        <w:t>三门峡市公共资源交易平台使用CA证书操作手册：</w:t>
      </w:r>
    </w:p>
    <w:p w14:paraId="5B1F3FEA">
      <w:pPr>
        <w:spacing w:line="360" w:lineRule="auto"/>
        <w:ind w:firstLine="420" w:firstLineChars="175"/>
        <w:rPr>
          <w:rFonts w:ascii="宋体" w:hAnsi="宋体" w:cs="宋体"/>
          <w:sz w:val="24"/>
          <w:szCs w:val="24"/>
        </w:rPr>
      </w:pPr>
      <w:r>
        <w:rPr>
          <w:rFonts w:hint="eastAsia" w:ascii="宋体" w:hAnsi="宋体" w:cs="宋体"/>
          <w:color w:val="auto"/>
          <w:sz w:val="24"/>
          <w:szCs w:val="24"/>
          <w:u w:val="none"/>
        </w:rPr>
        <w:t>http://gzjy.smx.gov.cn/fwzn/004003/20210114/62052444-fa5b-47bb-8c75-c669600e56a8.html</w:t>
      </w:r>
    </w:p>
    <w:p w14:paraId="184F017D">
      <w:pPr>
        <w:spacing w:line="360" w:lineRule="auto"/>
        <w:ind w:firstLine="420" w:firstLineChars="175"/>
        <w:rPr>
          <w:rFonts w:ascii="宋体" w:hAnsi="宋体" w:cs="宋体"/>
          <w:sz w:val="24"/>
          <w:szCs w:val="24"/>
        </w:rPr>
      </w:pPr>
      <w:r>
        <w:rPr>
          <w:rFonts w:hint="eastAsia" w:ascii="宋体" w:hAnsi="宋体" w:cs="宋体"/>
          <w:sz w:val="24"/>
          <w:szCs w:val="24"/>
        </w:rPr>
        <w:t>根据《关于进一步加强公共资源交易管理持续优化营商环境的通知》（三公管办【2020】2号）文件的要求，磋商文件费用不再收取。</w:t>
      </w:r>
    </w:p>
    <w:p w14:paraId="0702A46C">
      <w:pPr>
        <w:spacing w:line="360" w:lineRule="auto"/>
        <w:ind w:firstLine="420" w:firstLineChars="175"/>
        <w:rPr>
          <w:rFonts w:ascii="宋体" w:hAnsi="宋体" w:cs="宋体"/>
          <w:sz w:val="24"/>
          <w:szCs w:val="24"/>
        </w:rPr>
      </w:pPr>
      <w:r>
        <w:rPr>
          <w:rFonts w:hint="eastAsia" w:ascii="宋体" w:hAnsi="宋体" w:cs="宋体"/>
          <w:sz w:val="24"/>
          <w:szCs w:val="24"/>
        </w:rPr>
        <w:t>四、响应文件的提交：</w:t>
      </w:r>
    </w:p>
    <w:p w14:paraId="56529280">
      <w:pPr>
        <w:spacing w:line="360" w:lineRule="auto"/>
        <w:ind w:firstLine="420" w:firstLineChars="175"/>
        <w:rPr>
          <w:rFonts w:ascii="宋体" w:hAnsi="宋体" w:cs="宋体"/>
          <w:color w:val="auto"/>
          <w:sz w:val="24"/>
          <w:szCs w:val="24"/>
          <w:highlight w:val="none"/>
        </w:rPr>
      </w:pPr>
      <w:r>
        <w:rPr>
          <w:rFonts w:hint="eastAsia" w:ascii="宋体" w:hAnsi="宋体" w:cs="宋体"/>
          <w:sz w:val="24"/>
          <w:szCs w:val="24"/>
          <w:highlight w:val="none"/>
        </w:rPr>
        <w:t>1、响应文件提交的截止时</w:t>
      </w:r>
      <w:r>
        <w:rPr>
          <w:rFonts w:hint="eastAsia" w:ascii="宋体" w:hAnsi="宋体" w:cs="宋体"/>
          <w:color w:val="auto"/>
          <w:sz w:val="24"/>
          <w:szCs w:val="24"/>
          <w:highlight w:val="none"/>
        </w:rPr>
        <w:t>间：</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 xml:space="preserve"> 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 xml:space="preserve">15 </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0分</w:t>
      </w:r>
      <w:r>
        <w:rPr>
          <w:rFonts w:hint="eastAsia" w:ascii="宋体" w:hAnsi="宋体" w:cs="宋体"/>
          <w:color w:val="auto"/>
          <w:sz w:val="24"/>
          <w:szCs w:val="24"/>
          <w:highlight w:val="none"/>
        </w:rPr>
        <w:t>；</w:t>
      </w:r>
    </w:p>
    <w:p w14:paraId="5B94C190">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2、地点：在三门峡市公共资源交易中心网站上传加密响应文件；</w:t>
      </w:r>
    </w:p>
    <w:p w14:paraId="23C35E6B">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注：本项目为不见面开标项目。开标当日供应商不得到开标现场参加开标会议。供应商应当在响应文件提交截止时间前，登陆不见面开标大厅（网址为</w:t>
      </w:r>
      <w:r>
        <w:rPr>
          <w:rFonts w:hint="eastAsia" w:ascii="宋体" w:hAnsi="宋体" w:cs="宋体"/>
          <w:color w:val="auto"/>
          <w:sz w:val="24"/>
        </w:rPr>
        <w:t>http://120.194.249.36:10094/BidOpening/bidopeninghallaction/hall/login</w:t>
      </w:r>
      <w:r>
        <w:rPr>
          <w:rFonts w:hint="eastAsia" w:ascii="宋体" w:hAnsi="宋体" w:cs="宋体"/>
          <w:color w:val="auto"/>
          <w:sz w:val="24"/>
          <w:szCs w:val="24"/>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1F6F611D">
      <w:pPr>
        <w:spacing w:line="360" w:lineRule="auto"/>
        <w:ind w:firstLine="420" w:firstLineChars="175"/>
        <w:rPr>
          <w:rFonts w:ascii="宋体" w:hAnsi="宋体" w:cs="宋体"/>
          <w:color w:val="auto"/>
          <w:sz w:val="24"/>
          <w:szCs w:val="24"/>
        </w:rPr>
      </w:pPr>
      <w:r>
        <w:rPr>
          <w:rFonts w:hint="eastAsia" w:ascii="宋体" w:hAnsi="宋体" w:cs="宋体"/>
          <w:color w:val="auto"/>
          <w:sz w:val="24"/>
          <w:szCs w:val="24"/>
        </w:rPr>
        <w:t>五、响应文件的开启：</w:t>
      </w:r>
    </w:p>
    <w:p w14:paraId="2EE94A0B">
      <w:pPr>
        <w:spacing w:line="360" w:lineRule="auto"/>
        <w:ind w:firstLine="420" w:firstLineChars="175"/>
        <w:rPr>
          <w:rFonts w:ascii="宋体" w:hAnsi="宋体" w:cs="宋体"/>
          <w:color w:val="auto"/>
          <w:sz w:val="24"/>
          <w:szCs w:val="24"/>
          <w:highlight w:val="none"/>
        </w:rPr>
      </w:pPr>
      <w:r>
        <w:rPr>
          <w:rFonts w:hint="eastAsia" w:ascii="宋体" w:hAnsi="宋体" w:cs="宋体"/>
          <w:color w:val="auto"/>
          <w:sz w:val="24"/>
          <w:szCs w:val="24"/>
          <w:highlight w:val="none"/>
        </w:rPr>
        <w:t>1、供应商提交的磋商响应文件将于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 xml:space="preserve"> 9 </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 xml:space="preserve"> 15 </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0分</w:t>
      </w:r>
      <w:r>
        <w:rPr>
          <w:rFonts w:hint="eastAsia" w:ascii="宋体" w:hAnsi="宋体" w:cs="宋体"/>
          <w:color w:val="auto"/>
          <w:sz w:val="24"/>
          <w:szCs w:val="24"/>
          <w:highlight w:val="none"/>
        </w:rPr>
        <w:t>在线准时开启；</w:t>
      </w:r>
    </w:p>
    <w:p w14:paraId="41D0489C">
      <w:pPr>
        <w:spacing w:line="360" w:lineRule="auto"/>
        <w:ind w:firstLine="420" w:firstLineChars="175"/>
        <w:rPr>
          <w:rFonts w:ascii="宋体" w:hAnsi="宋体" w:cs="宋体"/>
          <w:color w:val="auto"/>
          <w:sz w:val="24"/>
          <w:szCs w:val="24"/>
          <w:highlight w:val="none"/>
        </w:rPr>
      </w:pPr>
      <w:r>
        <w:rPr>
          <w:rFonts w:hint="eastAsia" w:ascii="宋体" w:hAnsi="宋体" w:cs="宋体"/>
          <w:color w:val="auto"/>
          <w:sz w:val="24"/>
          <w:szCs w:val="24"/>
          <w:highlight w:val="none"/>
        </w:rPr>
        <w:t>2、开标地点：</w:t>
      </w:r>
      <w:r>
        <w:rPr>
          <w:rFonts w:hint="eastAsia" w:ascii="宋体" w:hAnsi="宋体" w:cs="宋体"/>
          <w:color w:val="auto"/>
          <w:sz w:val="24"/>
          <w:szCs w:val="24"/>
          <w:highlight w:val="none"/>
          <w:lang w:eastAsia="zh-CN"/>
        </w:rPr>
        <w:t>三门峡市公共资源交易中心</w:t>
      </w:r>
      <w:r>
        <w:rPr>
          <w:rFonts w:hint="eastAsia" w:ascii="宋体" w:hAnsi="宋体" w:cs="宋体"/>
          <w:color w:val="auto"/>
          <w:sz w:val="24"/>
          <w:szCs w:val="24"/>
          <w:highlight w:val="none"/>
          <w:lang w:val="en-US" w:eastAsia="zh-CN"/>
        </w:rPr>
        <w:t>五楼开标室</w:t>
      </w:r>
      <w:r>
        <w:rPr>
          <w:rFonts w:hint="eastAsia" w:ascii="宋体" w:hAnsi="宋体" w:cs="宋体"/>
          <w:color w:val="auto"/>
          <w:sz w:val="24"/>
          <w:szCs w:val="24"/>
          <w:highlight w:val="none"/>
        </w:rPr>
        <w:t>。</w:t>
      </w:r>
    </w:p>
    <w:p w14:paraId="2144AF52">
      <w:pPr>
        <w:spacing w:line="360" w:lineRule="auto"/>
        <w:ind w:firstLine="420" w:firstLineChars="175"/>
        <w:rPr>
          <w:rFonts w:ascii="宋体" w:hAnsi="宋体" w:cs="宋体"/>
          <w:sz w:val="24"/>
          <w:szCs w:val="24"/>
        </w:rPr>
      </w:pPr>
      <w:r>
        <w:rPr>
          <w:rFonts w:hint="eastAsia" w:ascii="宋体" w:hAnsi="宋体" w:cs="宋体"/>
          <w:sz w:val="24"/>
          <w:szCs w:val="24"/>
        </w:rPr>
        <w:t>六、发布公告的媒介及期限</w:t>
      </w:r>
    </w:p>
    <w:p w14:paraId="736FD634">
      <w:pPr>
        <w:spacing w:line="360" w:lineRule="auto"/>
        <w:ind w:firstLine="420" w:firstLineChars="175"/>
        <w:rPr>
          <w:rFonts w:ascii="宋体" w:hAnsi="宋体" w:cs="宋体"/>
          <w:sz w:val="24"/>
          <w:szCs w:val="24"/>
        </w:rPr>
      </w:pPr>
      <w:r>
        <w:rPr>
          <w:rFonts w:hint="eastAsia" w:ascii="宋体" w:hAnsi="宋体" w:cs="宋体"/>
          <w:sz w:val="24"/>
          <w:szCs w:val="24"/>
        </w:rPr>
        <w:t>本次竞争性磋商公告在</w:t>
      </w:r>
      <w:r>
        <w:rPr>
          <w:rFonts w:hint="eastAsia" w:ascii="宋体" w:hAnsi="宋体" w:cs="宋体"/>
          <w:sz w:val="24"/>
          <w:szCs w:val="24"/>
          <w:highlight w:val="none"/>
          <w:lang w:eastAsia="zh-CN"/>
        </w:rPr>
        <w:t>《河南省政府采购网》、</w:t>
      </w:r>
      <w:r>
        <w:rPr>
          <w:rFonts w:hint="eastAsia" w:ascii="宋体" w:hAnsi="宋体" w:cs="宋体"/>
          <w:sz w:val="24"/>
          <w:szCs w:val="24"/>
          <w:highlight w:val="none"/>
          <w:lang w:val="en-US" w:eastAsia="zh-CN"/>
        </w:rPr>
        <w:t>《中国招标投标公共服务平台》</w:t>
      </w:r>
      <w:r>
        <w:rPr>
          <w:rFonts w:hint="eastAsia" w:ascii="宋体" w:hAnsi="宋体" w:cs="宋体"/>
          <w:sz w:val="24"/>
          <w:szCs w:val="24"/>
          <w:highlight w:val="none"/>
          <w:lang w:eastAsia="zh-CN"/>
        </w:rPr>
        <w:t>、《三门峡市公共资源交易中心网》</w:t>
      </w:r>
      <w:r>
        <w:rPr>
          <w:rFonts w:hint="eastAsia" w:ascii="宋体" w:hAnsi="宋体" w:cs="宋体"/>
          <w:sz w:val="24"/>
          <w:szCs w:val="24"/>
        </w:rPr>
        <w:t>上发布，公告期限为公告发布后</w:t>
      </w:r>
      <w:r>
        <w:rPr>
          <w:rFonts w:hint="eastAsia" w:ascii="宋体" w:hAnsi="宋体" w:cs="宋体"/>
          <w:sz w:val="24"/>
          <w:szCs w:val="24"/>
          <w:lang w:val="en-US" w:eastAsia="zh-CN"/>
        </w:rPr>
        <w:t>五</w:t>
      </w:r>
      <w:r>
        <w:rPr>
          <w:rFonts w:hint="eastAsia" w:ascii="宋体" w:hAnsi="宋体" w:cs="宋体"/>
          <w:sz w:val="24"/>
          <w:szCs w:val="24"/>
        </w:rPr>
        <w:t>个工作日。</w:t>
      </w:r>
    </w:p>
    <w:p w14:paraId="360E4240">
      <w:pPr>
        <w:spacing w:line="360" w:lineRule="auto"/>
        <w:ind w:firstLine="420" w:firstLineChars="175"/>
        <w:rPr>
          <w:rFonts w:ascii="宋体" w:hAnsi="宋体" w:cs="宋体"/>
          <w:sz w:val="24"/>
          <w:szCs w:val="24"/>
        </w:rPr>
      </w:pPr>
      <w:r>
        <w:rPr>
          <w:rFonts w:hint="eastAsia" w:ascii="宋体" w:hAnsi="宋体" w:cs="宋体"/>
          <w:sz w:val="24"/>
          <w:szCs w:val="24"/>
        </w:rPr>
        <w:t>七、其他补充事宜</w:t>
      </w:r>
    </w:p>
    <w:p w14:paraId="1232EFF7">
      <w:pPr>
        <w:pStyle w:val="10"/>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本项目实行资格后审，根据优化营商环境的要求，评标时审查内容以响应文件为准：</w:t>
      </w:r>
    </w:p>
    <w:p w14:paraId="4DE648A6">
      <w:pPr>
        <w:pStyle w:val="10"/>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1、资格评（预）审部分：资格评（预）审以响应文件为准，其上传资料真实性由供应商自行承担，同时，供应商要完善主体库。</w:t>
      </w:r>
    </w:p>
    <w:p w14:paraId="63A64BE3">
      <w:pPr>
        <w:pStyle w:val="10"/>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2、评标打分部分：评标打分部分仍按照100分制原则进行，涉及到资格审查、企业荣誉、人员业绩、企业业绩等计分部分时，以供应商自行上传到响应文件中的相应内容为准。</w:t>
      </w:r>
    </w:p>
    <w:p w14:paraId="2BE45C56">
      <w:pPr>
        <w:pStyle w:val="10"/>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3、响应文件编制部分：在磋商文件中要求供应商按照响应文件格式进行响应文件编制，在响应文件编制时，应明确将投标单位企业基本情况、资质情况、人员情况、财务情况、业绩情况编入响应文件，便于进行资格审查及评标打分。</w:t>
      </w:r>
    </w:p>
    <w:p w14:paraId="7EA23278">
      <w:pPr>
        <w:pStyle w:val="10"/>
        <w:keepNext w:val="0"/>
        <w:keepLines w:val="0"/>
        <w:widowControl/>
        <w:suppressLineNumbers w:val="0"/>
        <w:wordWrap w:val="0"/>
        <w:spacing w:before="0" w:beforeAutospacing="0" w:after="0" w:afterAutospacing="0" w:line="420" w:lineRule="atLeast"/>
        <w:ind w:left="0" w:right="0" w:firstLine="485"/>
        <w:jc w:val="both"/>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4、我单位（采购人）严格按三财购【2021】9号文要求的时限发布中标结果公告，发出中标通知书，签订采购合同，上传采购合同。</w:t>
      </w:r>
    </w:p>
    <w:p w14:paraId="6D9AC344">
      <w:pPr>
        <w:spacing w:line="360" w:lineRule="auto"/>
        <w:ind w:firstLine="420" w:firstLineChars="175"/>
        <w:rPr>
          <w:rFonts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、磋商保证金：</w:t>
      </w:r>
    </w:p>
    <w:p w14:paraId="218E2777">
      <w:pPr>
        <w:spacing w:line="360" w:lineRule="auto"/>
        <w:ind w:firstLine="420" w:firstLineChars="175"/>
        <w:rPr>
          <w:rFonts w:ascii="宋体" w:hAnsi="宋体" w:cs="宋体"/>
          <w:sz w:val="24"/>
          <w:szCs w:val="24"/>
        </w:rPr>
      </w:pPr>
      <w:r>
        <w:rPr>
          <w:rFonts w:hint="eastAsia" w:ascii="宋体" w:hAnsi="宋体" w:cs="宋体"/>
          <w:sz w:val="24"/>
          <w:szCs w:val="24"/>
        </w:rPr>
        <w:t>根据《河南省财政厅关于优化政府采购营商环境有关问题的通知》（豫财购【2019】4号）第6条的规定，磋商保证金不再收取。</w:t>
      </w:r>
      <w:r>
        <w:rPr>
          <w:rFonts w:hint="eastAsia" w:ascii="宋体" w:hAnsi="宋体" w:cs="宋体"/>
          <w:sz w:val="24"/>
        </w:rPr>
        <w:t>供应商以磋商承诺函的形式替代保证金，磋商承诺函应明确承诺事项及违背承诺的责任</w:t>
      </w:r>
      <w:r>
        <w:rPr>
          <w:rFonts w:hint="eastAsia" w:ascii="宋体" w:hAnsi="宋体" w:cs="宋体"/>
          <w:sz w:val="24"/>
          <w:szCs w:val="24"/>
        </w:rPr>
        <w:t>。</w:t>
      </w:r>
    </w:p>
    <w:p w14:paraId="6EDB4C19">
      <w:pPr>
        <w:spacing w:line="360" w:lineRule="auto"/>
        <w:ind w:firstLine="420" w:firstLineChars="175"/>
        <w:rPr>
          <w:rFonts w:ascii="宋体" w:hAnsi="宋体" w:cs="宋体"/>
          <w:sz w:val="24"/>
          <w:szCs w:val="24"/>
        </w:rPr>
      </w:pPr>
      <w:r>
        <w:rPr>
          <w:rFonts w:hint="eastAsia" w:ascii="宋体" w:hAnsi="宋体" w:cs="宋体"/>
          <w:sz w:val="24"/>
          <w:szCs w:val="24"/>
          <w:lang w:val="en-US" w:eastAsia="zh-CN"/>
        </w:rPr>
        <w:t>6</w:t>
      </w:r>
      <w:r>
        <w:rPr>
          <w:rFonts w:hint="eastAsia" w:ascii="宋体" w:hAnsi="宋体" w:cs="宋体"/>
          <w:sz w:val="24"/>
          <w:szCs w:val="24"/>
        </w:rPr>
        <w:t>、其他事项：</w:t>
      </w:r>
    </w:p>
    <w:p w14:paraId="45A15280">
      <w:pPr>
        <w:spacing w:line="360" w:lineRule="auto"/>
        <w:ind w:firstLine="420" w:firstLineChars="175"/>
        <w:rPr>
          <w:rFonts w:ascii="宋体" w:hAnsi="宋体" w:cs="宋体"/>
          <w:sz w:val="24"/>
          <w:szCs w:val="24"/>
        </w:rPr>
      </w:pPr>
      <w:r>
        <w:rPr>
          <w:rFonts w:hint="eastAsia" w:ascii="宋体" w:hAnsi="宋体" w:cs="宋体"/>
          <w:sz w:val="24"/>
          <w:szCs w:val="24"/>
        </w:rPr>
        <w:t>（1）磋商所发生一切费用由各供应商自行承担，并承担相应的风险和责任。</w:t>
      </w:r>
    </w:p>
    <w:p w14:paraId="20EEE426">
      <w:pPr>
        <w:spacing w:line="360" w:lineRule="auto"/>
        <w:ind w:firstLine="420" w:firstLineChars="175"/>
        <w:rPr>
          <w:rFonts w:ascii="宋体" w:hAnsi="宋体" w:cs="宋体"/>
          <w:sz w:val="24"/>
          <w:szCs w:val="24"/>
        </w:rPr>
      </w:pPr>
      <w:r>
        <w:rPr>
          <w:rFonts w:hint="eastAsia" w:ascii="宋体" w:hAnsi="宋体" w:cs="宋体"/>
          <w:sz w:val="24"/>
          <w:szCs w:val="24"/>
        </w:rPr>
        <w:t>（2）供应商递交的磋商文件不论中标与否均不予退还。</w:t>
      </w:r>
    </w:p>
    <w:p w14:paraId="5E4949BE">
      <w:pPr>
        <w:spacing w:line="360" w:lineRule="auto"/>
        <w:ind w:firstLine="420" w:firstLineChars="175"/>
        <w:rPr>
          <w:rFonts w:ascii="宋体" w:hAnsi="宋体" w:cs="宋体"/>
          <w:sz w:val="24"/>
          <w:szCs w:val="24"/>
        </w:rPr>
      </w:pPr>
      <w:r>
        <w:rPr>
          <w:rFonts w:hint="eastAsia" w:ascii="宋体" w:hAnsi="宋体" w:cs="宋体"/>
          <w:sz w:val="24"/>
          <w:szCs w:val="24"/>
        </w:rPr>
        <w:t>（3）逾期上传或未按规定上传的电子磋商响应文件，采购人不予受理。</w:t>
      </w:r>
    </w:p>
    <w:p w14:paraId="622F9BCF">
      <w:pPr>
        <w:spacing w:line="360" w:lineRule="auto"/>
        <w:ind w:firstLine="420" w:firstLineChars="175"/>
        <w:rPr>
          <w:rFonts w:ascii="宋体" w:hAnsi="宋体" w:cs="宋体"/>
          <w:sz w:val="24"/>
          <w:szCs w:val="24"/>
        </w:rPr>
      </w:pPr>
      <w:r>
        <w:rPr>
          <w:rFonts w:hint="eastAsia" w:ascii="宋体" w:hAnsi="宋体" w:cs="宋体"/>
          <w:sz w:val="24"/>
          <w:szCs w:val="24"/>
        </w:rPr>
        <w:t>八、凡对本次招标提出询问，请按照以下方式联系</w:t>
      </w:r>
    </w:p>
    <w:p w14:paraId="55C64A04">
      <w:pPr>
        <w:spacing w:line="360" w:lineRule="auto"/>
        <w:ind w:firstLine="420" w:firstLineChars="175"/>
        <w:rPr>
          <w:rFonts w:ascii="宋体" w:hAnsi="宋体" w:cs="宋体"/>
          <w:sz w:val="24"/>
          <w:szCs w:val="24"/>
        </w:rPr>
      </w:pPr>
      <w:r>
        <w:rPr>
          <w:rFonts w:hint="eastAsia" w:ascii="宋体" w:hAnsi="宋体" w:cs="宋体"/>
          <w:sz w:val="24"/>
          <w:szCs w:val="24"/>
        </w:rPr>
        <w:t>1.采购人信息</w:t>
      </w:r>
    </w:p>
    <w:p w14:paraId="722AD618">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 购</w:t>
      </w:r>
      <w:r>
        <w:rPr>
          <w:rFonts w:hint="eastAsia" w:ascii="宋体" w:hAnsi="宋体" w:eastAsia="宋体" w:cs="宋体"/>
          <w:color w:val="auto"/>
          <w:sz w:val="24"/>
          <w:szCs w:val="24"/>
          <w:highlight w:val="none"/>
          <w:lang w:eastAsia="zh-CN"/>
        </w:rPr>
        <w:t xml:space="preserve"> 人： 三门峡市第三高级中学</w:t>
      </w:r>
    </w:p>
    <w:p w14:paraId="01674A43">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地 址：</w:t>
      </w:r>
      <w:r>
        <w:rPr>
          <w:rFonts w:hint="eastAsia" w:ascii="宋体" w:hAnsi="宋体" w:eastAsia="宋体" w:cs="宋体"/>
          <w:color w:val="auto"/>
          <w:sz w:val="24"/>
          <w:szCs w:val="24"/>
          <w:highlight w:val="none"/>
          <w:lang w:eastAsia="zh-CN"/>
        </w:rPr>
        <w:t>河南省三门峡市湖滨区崤山路 70 号</w:t>
      </w:r>
    </w:p>
    <w:p w14:paraId="37465B6A">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联系人：唐女士</w:t>
      </w:r>
    </w:p>
    <w:p w14:paraId="46929F04">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联系方式：13523988918</w:t>
      </w:r>
    </w:p>
    <w:p w14:paraId="5F37B110">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河南知信合工程咨询有限公司</w:t>
      </w:r>
    </w:p>
    <w:p w14:paraId="487CCA8F">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地址：河南省三门峡市湖滨区涧河街道河堤北路昌宏伟业大厦407室</w:t>
      </w:r>
    </w:p>
    <w:p w14:paraId="534845BD">
      <w:pPr>
        <w:keepNext w:val="0"/>
        <w:keepLines w:val="0"/>
        <w:pageBreakBefore w:val="0"/>
        <w:kinsoku/>
        <w:wordWrap/>
        <w:overflowPunct/>
        <w:topLinePunct w:val="0"/>
        <w:autoSpaceDE/>
        <w:autoSpaceDN/>
        <w:bidi w:val="0"/>
        <w:adjustRightInd/>
        <w:snapToGrid/>
        <w:spacing w:line="360" w:lineRule="auto"/>
        <w:ind w:firstLine="424" w:firstLineChars="17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联系人（电话）：</w:t>
      </w:r>
      <w:r>
        <w:rPr>
          <w:rFonts w:hint="eastAsia" w:ascii="宋体" w:hAnsi="宋体" w:eastAsia="宋体" w:cs="宋体"/>
          <w:color w:val="auto"/>
          <w:sz w:val="24"/>
          <w:szCs w:val="24"/>
          <w:highlight w:val="none"/>
          <w:lang w:val="en-US" w:eastAsia="zh-CN"/>
        </w:rPr>
        <w:t>刘女士</w:t>
      </w:r>
    </w:p>
    <w:p w14:paraId="1A40A0F6">
      <w:pPr>
        <w:spacing w:line="360" w:lineRule="auto"/>
        <w:ind w:firstLine="420" w:firstLineChars="175"/>
        <w:rPr>
          <w:rFonts w:hint="eastAsia" w:ascii="宋体" w:hAnsi="宋体" w:cs="宋体"/>
          <w:color w:val="auto"/>
          <w:sz w:val="24"/>
          <w:szCs w:val="24"/>
          <w:highlight w:val="none"/>
          <w:lang w:val="en-US" w:eastAsia="zh-CN"/>
        </w:rPr>
      </w:pPr>
      <w:r>
        <w:rPr>
          <w:rFonts w:hint="eastAsia" w:ascii="宋体" w:hAnsi="宋体" w:cs="宋体"/>
          <w:sz w:val="24"/>
          <w:szCs w:val="24"/>
          <w:highlight w:val="none"/>
        </w:rPr>
        <w:t>联系方式：</w:t>
      </w:r>
      <w:r>
        <w:rPr>
          <w:rFonts w:hint="eastAsia" w:ascii="宋体" w:hAnsi="宋体" w:cs="宋体"/>
          <w:color w:val="auto"/>
          <w:sz w:val="24"/>
          <w:szCs w:val="24"/>
          <w:highlight w:val="none"/>
          <w:lang w:val="en-US" w:eastAsia="zh-CN"/>
        </w:rPr>
        <w:t xml:space="preserve">18939088206 </w:t>
      </w:r>
    </w:p>
    <w:p w14:paraId="683944F9">
      <w:pPr>
        <w:spacing w:line="360" w:lineRule="auto"/>
        <w:ind w:firstLine="420" w:firstLineChars="175"/>
        <w:rPr>
          <w:rFonts w:ascii="宋体" w:hAnsi="宋体" w:cs="宋体"/>
          <w:sz w:val="24"/>
          <w:szCs w:val="24"/>
        </w:rPr>
      </w:pPr>
      <w:r>
        <w:rPr>
          <w:rFonts w:hint="eastAsia" w:ascii="宋体" w:hAnsi="宋体" w:cs="宋体"/>
          <w:sz w:val="24"/>
          <w:szCs w:val="24"/>
        </w:rPr>
        <w:t>3.监督单位信息</w:t>
      </w:r>
    </w:p>
    <w:p w14:paraId="5A3D1CF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2"/>
        <w:rPr>
          <w:rFonts w:hint="eastAsia" w:ascii="宋体" w:hAnsi="宋体" w:eastAsia="宋体" w:cs="宋体"/>
          <w:color w:val="000000"/>
          <w:kern w:val="0"/>
          <w:sz w:val="24"/>
          <w:szCs w:val="24"/>
          <w:highlight w:val="none"/>
          <w:lang w:val="en-US" w:eastAsia="zh-CN" w:bidi="ar-SA"/>
        </w:rPr>
      </w:pPr>
      <w:bookmarkStart w:id="3" w:name="_Toc9531"/>
      <w:r>
        <w:rPr>
          <w:rFonts w:hint="eastAsia" w:ascii="宋体" w:hAnsi="宋体" w:eastAsia="宋体" w:cs="宋体"/>
          <w:color w:val="000000"/>
          <w:kern w:val="0"/>
          <w:sz w:val="24"/>
          <w:szCs w:val="24"/>
          <w:highlight w:val="none"/>
          <w:lang w:val="en-US" w:eastAsia="zh-CN" w:bidi="ar-SA"/>
        </w:rPr>
        <w:t>名称：三门峡市湖滨区政府采购管理办公室</w:t>
      </w:r>
      <w:bookmarkEnd w:id="3"/>
    </w:p>
    <w:p w14:paraId="6D84706F">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2"/>
        <w:rPr>
          <w:rFonts w:hint="eastAsia" w:ascii="宋体" w:hAnsi="宋体" w:eastAsia="宋体" w:cs="宋体"/>
          <w:color w:val="000000"/>
          <w:kern w:val="0"/>
          <w:sz w:val="24"/>
          <w:szCs w:val="24"/>
          <w:highlight w:val="none"/>
          <w:lang w:val="en-US" w:eastAsia="zh-CN" w:bidi="ar-SA"/>
        </w:rPr>
      </w:pPr>
      <w:bookmarkStart w:id="4" w:name="_Toc23972"/>
      <w:r>
        <w:rPr>
          <w:rFonts w:hint="eastAsia" w:ascii="宋体" w:hAnsi="宋体" w:eastAsia="宋体" w:cs="宋体"/>
          <w:color w:val="000000"/>
          <w:kern w:val="0"/>
          <w:sz w:val="24"/>
          <w:szCs w:val="24"/>
          <w:highlight w:val="none"/>
          <w:lang w:val="en-US" w:eastAsia="zh-CN" w:bidi="ar-SA"/>
        </w:rPr>
        <w:t>联系方式：0398-2957328</w:t>
      </w:r>
      <w:bookmarkEnd w:id="4"/>
    </w:p>
    <w:p w14:paraId="7AF36C01">
      <w:pPr>
        <w:spacing w:line="360" w:lineRule="auto"/>
        <w:ind w:firstLine="420" w:firstLineChars="175"/>
        <w:rPr>
          <w:rFonts w:ascii="宋体" w:hAnsi="宋体" w:cs="宋体"/>
          <w:sz w:val="24"/>
          <w:szCs w:val="24"/>
        </w:rPr>
      </w:pPr>
      <w:r>
        <w:rPr>
          <w:rFonts w:hint="eastAsia" w:ascii="宋体" w:hAnsi="宋体" w:cs="宋体"/>
          <w:sz w:val="24"/>
          <w:szCs w:val="24"/>
        </w:rPr>
        <w:t>4.项目联系方式</w:t>
      </w:r>
    </w:p>
    <w:p w14:paraId="6C7EF296">
      <w:pPr>
        <w:spacing w:line="360" w:lineRule="auto"/>
        <w:ind w:firstLine="420" w:firstLineChars="175"/>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rPr>
        <w:t>项目联系人：</w:t>
      </w:r>
      <w:r>
        <w:rPr>
          <w:rFonts w:hint="eastAsia" w:ascii="宋体" w:hAnsi="宋体" w:eastAsia="宋体" w:cs="宋体"/>
          <w:color w:val="auto"/>
          <w:sz w:val="24"/>
          <w:szCs w:val="24"/>
          <w:highlight w:val="none"/>
          <w:lang w:val="en-US" w:eastAsia="zh-CN"/>
        </w:rPr>
        <w:t>刘女士</w:t>
      </w:r>
    </w:p>
    <w:p w14:paraId="60BE78E0">
      <w:pPr>
        <w:pStyle w:val="7"/>
        <w:ind w:left="63" w:right="63" w:firstLine="480" w:firstLineChars="200"/>
      </w:pPr>
      <w:r>
        <w:rPr>
          <w:rFonts w:hint="eastAsia" w:ascii="宋体" w:hAnsi="宋体" w:cs="宋体"/>
          <w:sz w:val="24"/>
          <w:szCs w:val="24"/>
          <w:highlight w:val="none"/>
        </w:rPr>
        <w:t>联系方式：</w:t>
      </w:r>
      <w:r>
        <w:rPr>
          <w:rFonts w:hint="eastAsia" w:ascii="宋体" w:hAnsi="宋体" w:cs="宋体"/>
          <w:color w:val="auto"/>
          <w:sz w:val="24"/>
          <w:szCs w:val="24"/>
          <w:highlight w:val="none"/>
          <w:lang w:val="en-US" w:eastAsia="zh-CN"/>
        </w:rPr>
        <w:t xml:space="preserve">18939088206 </w:t>
      </w:r>
    </w:p>
    <w:p w14:paraId="5EF08B79">
      <w:pPr>
        <w:rPr>
          <w:rFonts w:hint="eastAsia" w:ascii="宋体" w:hAnsi="宋体" w:cs="宋体"/>
          <w:b/>
          <w:sz w:val="24"/>
          <w:szCs w:val="24"/>
        </w:rPr>
      </w:pPr>
      <w:r>
        <w:rPr>
          <w:rFonts w:hint="eastAsia" w:ascii="宋体" w:hAnsi="宋体" w:cs="宋体"/>
          <w:b/>
          <w:sz w:val="24"/>
          <w:szCs w:val="24"/>
        </w:rPr>
        <w:br w:type="page"/>
      </w:r>
    </w:p>
    <w:p w14:paraId="318B98D3">
      <w:pPr>
        <w:pStyle w:val="2"/>
        <w:bidi w:val="0"/>
      </w:pPr>
      <w:bookmarkStart w:id="5" w:name="_Toc16933"/>
      <w:r>
        <w:rPr>
          <w:rFonts w:hint="eastAsia"/>
        </w:rPr>
        <w:t>第二章  供应商须知</w:t>
      </w:r>
      <w:bookmarkEnd w:id="5"/>
    </w:p>
    <w:bookmarkEnd w:id="0"/>
    <w:p w14:paraId="6A4576A7">
      <w:pPr>
        <w:pStyle w:val="7"/>
        <w:ind w:left="63" w:right="63" w:firstLine="241"/>
      </w:pPr>
      <w:r>
        <w:rPr>
          <w:rFonts w:hint="eastAsia" w:hAnsi="宋体" w:cs="宋体"/>
          <w:color w:val="000000"/>
          <w:kern w:val="0"/>
          <w:sz w:val="24"/>
          <w:szCs w:val="24"/>
        </w:rPr>
        <w:t>供应商须知前附表</w:t>
      </w:r>
    </w:p>
    <w:tbl>
      <w:tblPr>
        <w:tblStyle w:val="11"/>
        <w:tblW w:w="10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164"/>
        <w:gridCol w:w="6125"/>
      </w:tblGrid>
      <w:tr w14:paraId="7E7A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FA42DB8">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宋体" w:hAnsi="宋体" w:cs="宋体"/>
                <w:kern w:val="0"/>
                <w:sz w:val="24"/>
              </w:rPr>
            </w:pPr>
            <w:r>
              <w:rPr>
                <w:rFonts w:hint="eastAsia" w:ascii="宋体" w:hAnsi="宋体" w:cs="宋体"/>
                <w:kern w:val="0"/>
                <w:sz w:val="24"/>
              </w:rPr>
              <w:t>序号</w:t>
            </w:r>
          </w:p>
        </w:tc>
        <w:tc>
          <w:tcPr>
            <w:tcW w:w="3164" w:type="dxa"/>
            <w:vAlign w:val="center"/>
          </w:tcPr>
          <w:p w14:paraId="4DF27D8B">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宋体" w:hAnsi="宋体" w:cs="宋体"/>
                <w:kern w:val="0"/>
                <w:sz w:val="24"/>
              </w:rPr>
            </w:pPr>
            <w:r>
              <w:rPr>
                <w:rFonts w:hint="eastAsia" w:ascii="宋体" w:hAnsi="宋体" w:cs="宋体"/>
                <w:kern w:val="0"/>
                <w:sz w:val="24"/>
              </w:rPr>
              <w:t>条 款 名 称</w:t>
            </w:r>
          </w:p>
        </w:tc>
        <w:tc>
          <w:tcPr>
            <w:tcW w:w="6125" w:type="dxa"/>
            <w:vAlign w:val="center"/>
          </w:tcPr>
          <w:p w14:paraId="29D41FB4">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编 列 内 容</w:t>
            </w:r>
          </w:p>
        </w:tc>
      </w:tr>
      <w:tr w14:paraId="7AED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2AA264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1.1.1</w:t>
            </w:r>
          </w:p>
        </w:tc>
        <w:tc>
          <w:tcPr>
            <w:tcW w:w="3164" w:type="dxa"/>
            <w:vAlign w:val="center"/>
          </w:tcPr>
          <w:p w14:paraId="1389E2C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highlight w:val="none"/>
              </w:rPr>
            </w:pPr>
            <w:r>
              <w:rPr>
                <w:rFonts w:hint="eastAsia" w:ascii="宋体" w:hAnsi="宋体" w:cs="宋体"/>
                <w:kern w:val="0"/>
                <w:sz w:val="24"/>
                <w:highlight w:val="none"/>
              </w:rPr>
              <w:t>采购人</w:t>
            </w:r>
          </w:p>
        </w:tc>
        <w:tc>
          <w:tcPr>
            <w:tcW w:w="6125" w:type="dxa"/>
          </w:tcPr>
          <w:p w14:paraId="15787D6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 购</w:t>
            </w:r>
            <w:r>
              <w:rPr>
                <w:rFonts w:hint="eastAsia" w:ascii="宋体" w:hAnsi="宋体" w:eastAsia="宋体" w:cs="宋体"/>
                <w:color w:val="auto"/>
                <w:sz w:val="24"/>
                <w:szCs w:val="24"/>
                <w:highlight w:val="none"/>
                <w:lang w:eastAsia="zh-CN"/>
              </w:rPr>
              <w:t xml:space="preserve"> 人： 三门峡市第三高级中学</w:t>
            </w:r>
          </w:p>
          <w:p w14:paraId="2E5D21B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地 址：</w:t>
            </w:r>
            <w:r>
              <w:rPr>
                <w:rFonts w:hint="eastAsia" w:ascii="宋体" w:hAnsi="宋体" w:eastAsia="宋体" w:cs="宋体"/>
                <w:color w:val="auto"/>
                <w:sz w:val="24"/>
                <w:szCs w:val="24"/>
                <w:highlight w:val="none"/>
                <w:lang w:eastAsia="zh-CN"/>
              </w:rPr>
              <w:t>河南省三门峡市湖滨区崤山路 70 号</w:t>
            </w:r>
          </w:p>
          <w:p w14:paraId="1E4C4145">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联系人：唐女士</w:t>
            </w:r>
          </w:p>
          <w:p w14:paraId="3EB96CB9">
            <w:pPr>
              <w:spacing w:line="360" w:lineRule="auto"/>
              <w:rPr>
                <w:rFonts w:hint="default" w:ascii="宋体" w:hAnsi="宋体" w:cs="宋体" w:eastAsiaTheme="minorEastAsia"/>
                <w:sz w:val="24"/>
                <w:highlight w:val="none"/>
                <w:lang w:val="en-US" w:eastAsia="zh-CN"/>
              </w:rPr>
            </w:pPr>
            <w:r>
              <w:rPr>
                <w:rFonts w:hint="eastAsia" w:ascii="宋体" w:hAnsi="宋体" w:eastAsia="宋体" w:cs="宋体"/>
                <w:color w:val="auto"/>
                <w:sz w:val="24"/>
                <w:szCs w:val="24"/>
                <w:highlight w:val="none"/>
                <w:lang w:val="en-US" w:eastAsia="zh-CN"/>
              </w:rPr>
              <w:t>联系方式：13523988918</w:t>
            </w:r>
          </w:p>
        </w:tc>
      </w:tr>
      <w:tr w14:paraId="6862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6A0520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1.1.2</w:t>
            </w:r>
          </w:p>
        </w:tc>
        <w:tc>
          <w:tcPr>
            <w:tcW w:w="3164" w:type="dxa"/>
            <w:vAlign w:val="center"/>
          </w:tcPr>
          <w:p w14:paraId="73E83000">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代理机构</w:t>
            </w:r>
          </w:p>
        </w:tc>
        <w:tc>
          <w:tcPr>
            <w:tcW w:w="6125" w:type="dxa"/>
          </w:tcPr>
          <w:p w14:paraId="3B39117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河南知信合工程咨询有限公司</w:t>
            </w:r>
          </w:p>
          <w:p w14:paraId="69979F3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地址：河南省三门峡市湖滨区涧河街道河堤北路昌宏伟业大厦407室</w:t>
            </w:r>
          </w:p>
          <w:p w14:paraId="74C3B3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联系人（电话）：</w:t>
            </w:r>
            <w:r>
              <w:rPr>
                <w:rFonts w:hint="eastAsia" w:ascii="宋体" w:hAnsi="宋体" w:eastAsia="宋体" w:cs="宋体"/>
                <w:color w:val="auto"/>
                <w:sz w:val="24"/>
                <w:szCs w:val="24"/>
                <w:highlight w:val="none"/>
                <w:lang w:val="en-US" w:eastAsia="zh-CN"/>
              </w:rPr>
              <w:t>刘女士</w:t>
            </w:r>
          </w:p>
          <w:p w14:paraId="200F069F">
            <w:pPr>
              <w:keepNext w:val="0"/>
              <w:keepLines w:val="0"/>
              <w:suppressLineNumbers w:val="0"/>
              <w:autoSpaceDE w:val="0"/>
              <w:autoSpaceDN w:val="0"/>
              <w:adjustRightInd w:val="0"/>
              <w:spacing w:before="0" w:beforeAutospacing="0" w:after="0" w:afterAutospacing="0" w:line="360" w:lineRule="auto"/>
              <w:ind w:left="0" w:right="0"/>
              <w:jc w:val="left"/>
              <w:rPr>
                <w:rFonts w:hint="default" w:eastAsiaTheme="minorEastAsia"/>
                <w:lang w:val="en-US" w:eastAsia="zh-CN"/>
              </w:rPr>
            </w:pPr>
            <w:r>
              <w:rPr>
                <w:rFonts w:hint="eastAsia" w:ascii="宋体" w:hAnsi="宋体" w:cs="宋体"/>
                <w:sz w:val="24"/>
                <w:szCs w:val="24"/>
                <w:highlight w:val="none"/>
              </w:rPr>
              <w:t>联系方式：</w:t>
            </w:r>
            <w:r>
              <w:rPr>
                <w:rFonts w:hint="eastAsia" w:ascii="宋体" w:hAnsi="宋体" w:cs="宋体"/>
                <w:color w:val="auto"/>
                <w:sz w:val="24"/>
                <w:szCs w:val="24"/>
                <w:highlight w:val="none"/>
                <w:lang w:val="en-US" w:eastAsia="zh-CN"/>
              </w:rPr>
              <w:t>18939088206</w:t>
            </w:r>
          </w:p>
        </w:tc>
      </w:tr>
      <w:tr w14:paraId="76A0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B67753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1.1.3</w:t>
            </w:r>
          </w:p>
        </w:tc>
        <w:tc>
          <w:tcPr>
            <w:tcW w:w="3164" w:type="dxa"/>
            <w:vAlign w:val="center"/>
          </w:tcPr>
          <w:p w14:paraId="3531989D">
            <w:pPr>
              <w:keepNext w:val="0"/>
              <w:keepLines w:val="0"/>
              <w:suppressLineNumbers w:val="0"/>
              <w:spacing w:before="0" w:beforeAutospacing="0" w:after="0" w:afterAutospacing="0" w:line="340" w:lineRule="exact"/>
              <w:ind w:left="0" w:right="0"/>
              <w:jc w:val="center"/>
              <w:rPr>
                <w:rFonts w:hint="default" w:ascii="宋体" w:hAnsi="宋体" w:cs="宋体"/>
                <w:sz w:val="24"/>
              </w:rPr>
            </w:pPr>
            <w:r>
              <w:rPr>
                <w:rFonts w:hint="eastAsia" w:ascii="宋体" w:hAnsi="宋体" w:cs="宋体"/>
                <w:sz w:val="24"/>
              </w:rPr>
              <w:t>项目名称</w:t>
            </w:r>
          </w:p>
        </w:tc>
        <w:tc>
          <w:tcPr>
            <w:tcW w:w="6125" w:type="dxa"/>
            <w:vAlign w:val="center"/>
          </w:tcPr>
          <w:p w14:paraId="3F7858DA">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cs="宋体" w:eastAsiaTheme="minorEastAsia"/>
                <w:sz w:val="24"/>
                <w:lang w:eastAsia="zh-CN"/>
              </w:rPr>
            </w:pPr>
            <w:r>
              <w:rPr>
                <w:rFonts w:hint="eastAsia" w:ascii="宋体" w:hAnsi="宋体" w:cs="宋体"/>
                <w:sz w:val="24"/>
                <w:szCs w:val="24"/>
                <w:lang w:eastAsia="zh-CN"/>
              </w:rPr>
              <w:t xml:space="preserve">三门峡市第三高级中学基础设施修缮及校园灯光、广播系统升级项目 </w:t>
            </w:r>
          </w:p>
        </w:tc>
      </w:tr>
      <w:tr w14:paraId="592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CE09EC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1.1.4</w:t>
            </w:r>
          </w:p>
        </w:tc>
        <w:tc>
          <w:tcPr>
            <w:tcW w:w="3164" w:type="dxa"/>
            <w:vAlign w:val="center"/>
          </w:tcPr>
          <w:p w14:paraId="47B21C2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项目地点</w:t>
            </w:r>
          </w:p>
        </w:tc>
        <w:tc>
          <w:tcPr>
            <w:tcW w:w="6125" w:type="dxa"/>
            <w:vAlign w:val="center"/>
          </w:tcPr>
          <w:p w14:paraId="49EC2B5B">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s="宋体" w:eastAsiaTheme="minorEastAsia"/>
                <w:kern w:val="0"/>
                <w:sz w:val="24"/>
                <w:lang w:val="en-US" w:eastAsia="zh-CN"/>
              </w:rPr>
            </w:pPr>
            <w:r>
              <w:rPr>
                <w:rFonts w:hint="eastAsia" w:ascii="宋体" w:hAnsi="宋体" w:cs="宋体"/>
                <w:sz w:val="24"/>
                <w:szCs w:val="24"/>
                <w:lang w:eastAsia="zh-CN"/>
              </w:rPr>
              <w:t>三门峡市第三高级中学</w:t>
            </w:r>
          </w:p>
        </w:tc>
      </w:tr>
      <w:tr w14:paraId="1903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vAlign w:val="center"/>
          </w:tcPr>
          <w:p w14:paraId="78BBCC0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1.1.5</w:t>
            </w:r>
          </w:p>
        </w:tc>
        <w:tc>
          <w:tcPr>
            <w:tcW w:w="3164" w:type="dxa"/>
            <w:vAlign w:val="center"/>
          </w:tcPr>
          <w:p w14:paraId="0121623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项目概况</w:t>
            </w:r>
          </w:p>
        </w:tc>
        <w:tc>
          <w:tcPr>
            <w:tcW w:w="6125" w:type="dxa"/>
            <w:vAlign w:val="center"/>
          </w:tcPr>
          <w:p w14:paraId="5DEFF6BB">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right="0" w:rightChars="0"/>
              <w:jc w:val="both"/>
              <w:textAlignment w:val="auto"/>
              <w:rPr>
                <w:rFonts w:hint="default" w:ascii="宋体" w:hAnsi="宋体" w:cs="宋体"/>
                <w:sz w:val="24"/>
                <w:lang w:val="en-US"/>
              </w:rPr>
            </w:pPr>
            <w:r>
              <w:rPr>
                <w:rFonts w:hint="eastAsia" w:ascii="宋体" w:hAnsi="宋体" w:cs="宋体"/>
                <w:sz w:val="24"/>
                <w:szCs w:val="24"/>
                <w:highlight w:val="none"/>
                <w:lang w:val="en-US" w:eastAsia="zh-CN"/>
              </w:rPr>
              <w:t>详见竞争性磋商公告</w:t>
            </w:r>
          </w:p>
        </w:tc>
      </w:tr>
      <w:tr w14:paraId="7820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E73EEA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1.2.1</w:t>
            </w:r>
          </w:p>
        </w:tc>
        <w:tc>
          <w:tcPr>
            <w:tcW w:w="3164" w:type="dxa"/>
            <w:vAlign w:val="center"/>
          </w:tcPr>
          <w:p w14:paraId="53FFA0A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highlight w:val="none"/>
              </w:rPr>
            </w:pPr>
            <w:r>
              <w:rPr>
                <w:rFonts w:hint="eastAsia" w:ascii="宋体" w:hAnsi="宋体" w:cs="宋体"/>
                <w:kern w:val="0"/>
                <w:sz w:val="24"/>
                <w:highlight w:val="none"/>
              </w:rPr>
              <w:t>资金来源</w:t>
            </w:r>
          </w:p>
        </w:tc>
        <w:tc>
          <w:tcPr>
            <w:tcW w:w="6125" w:type="dxa"/>
            <w:vAlign w:val="center"/>
          </w:tcPr>
          <w:p w14:paraId="2B45C14E">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s="宋体"/>
                <w:kern w:val="0"/>
                <w:sz w:val="24"/>
                <w:highlight w:val="none"/>
              </w:rPr>
            </w:pPr>
            <w:r>
              <w:rPr>
                <w:rFonts w:hint="default" w:ascii="宋体" w:hAnsi="宋体" w:cs="宋体"/>
                <w:kern w:val="0"/>
                <w:sz w:val="24"/>
                <w:highlight w:val="none"/>
              </w:rPr>
              <w:t>财政资金</w:t>
            </w:r>
          </w:p>
        </w:tc>
      </w:tr>
      <w:tr w14:paraId="622D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50992C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1.2.2</w:t>
            </w:r>
          </w:p>
        </w:tc>
        <w:tc>
          <w:tcPr>
            <w:tcW w:w="3164" w:type="dxa"/>
            <w:vAlign w:val="center"/>
          </w:tcPr>
          <w:p w14:paraId="2CF6AC7E">
            <w:pPr>
              <w:keepNext w:val="0"/>
              <w:keepLines w:val="0"/>
              <w:suppressLineNumbers w:val="0"/>
              <w:autoSpaceDE w:val="0"/>
              <w:autoSpaceDN w:val="0"/>
              <w:adjustRightInd w:val="0"/>
              <w:spacing w:before="0" w:beforeAutospacing="0" w:after="0" w:afterAutospacing="0" w:line="360" w:lineRule="auto"/>
              <w:ind w:left="0" w:right="0" w:firstLine="720" w:firstLineChars="300"/>
              <w:rPr>
                <w:rFonts w:hint="default" w:ascii="宋体" w:hAnsi="宋体" w:cs="宋体"/>
                <w:kern w:val="0"/>
                <w:sz w:val="24"/>
              </w:rPr>
            </w:pPr>
            <w:r>
              <w:rPr>
                <w:rFonts w:hint="eastAsia" w:ascii="宋体" w:hAnsi="宋体" w:cs="宋体"/>
                <w:kern w:val="0"/>
                <w:sz w:val="24"/>
              </w:rPr>
              <w:t>资金落实情况</w:t>
            </w:r>
          </w:p>
        </w:tc>
        <w:tc>
          <w:tcPr>
            <w:tcW w:w="6125" w:type="dxa"/>
            <w:vAlign w:val="center"/>
          </w:tcPr>
          <w:p w14:paraId="7C3FEF69">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s="宋体"/>
                <w:kern w:val="0"/>
                <w:sz w:val="24"/>
              </w:rPr>
            </w:pPr>
            <w:r>
              <w:rPr>
                <w:rFonts w:hint="eastAsia" w:ascii="宋体" w:hAnsi="宋体" w:cs="宋体"/>
                <w:kern w:val="0"/>
                <w:sz w:val="24"/>
              </w:rPr>
              <w:t>已落实</w:t>
            </w:r>
          </w:p>
        </w:tc>
      </w:tr>
      <w:tr w14:paraId="3F15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73B10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1.3.1</w:t>
            </w:r>
          </w:p>
        </w:tc>
        <w:tc>
          <w:tcPr>
            <w:tcW w:w="3164" w:type="dxa"/>
            <w:vAlign w:val="center"/>
          </w:tcPr>
          <w:p w14:paraId="6E26524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采购范围</w:t>
            </w:r>
          </w:p>
        </w:tc>
        <w:tc>
          <w:tcPr>
            <w:tcW w:w="6125" w:type="dxa"/>
            <w:vAlign w:val="center"/>
          </w:tcPr>
          <w:p w14:paraId="74A39C88">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cs="宋体" w:eastAsiaTheme="minorEastAsia"/>
                <w:kern w:val="0"/>
                <w:sz w:val="24"/>
                <w:lang w:eastAsia="zh-CN"/>
              </w:rPr>
            </w:pPr>
            <w:r>
              <w:rPr>
                <w:rFonts w:hint="eastAsia" w:ascii="宋体" w:hAnsi="宋体" w:cs="宋体"/>
                <w:kern w:val="0"/>
                <w:sz w:val="24"/>
                <w:szCs w:val="24"/>
                <w:lang w:eastAsia="zh-CN"/>
              </w:rPr>
              <w:t>本项目磋商文件、补充文件、工程量清单、图纸及答疑纪要等列明的所有内容；</w:t>
            </w:r>
          </w:p>
        </w:tc>
      </w:tr>
      <w:tr w14:paraId="20DE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6E28F4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highlight w:val="none"/>
              </w:rPr>
            </w:pPr>
            <w:r>
              <w:rPr>
                <w:rFonts w:hint="eastAsia" w:ascii="宋体" w:hAnsi="宋体" w:cs="宋体"/>
                <w:kern w:val="0"/>
                <w:sz w:val="24"/>
                <w:highlight w:val="none"/>
              </w:rPr>
              <w:t>1.3.2</w:t>
            </w:r>
          </w:p>
        </w:tc>
        <w:tc>
          <w:tcPr>
            <w:tcW w:w="3164" w:type="dxa"/>
            <w:vAlign w:val="center"/>
          </w:tcPr>
          <w:p w14:paraId="40566629">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计划工期</w:t>
            </w:r>
          </w:p>
        </w:tc>
        <w:tc>
          <w:tcPr>
            <w:tcW w:w="6125" w:type="dxa"/>
            <w:vAlign w:val="center"/>
          </w:tcPr>
          <w:p w14:paraId="1999671E">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s="宋体" w:eastAsiaTheme="minorEastAsia"/>
                <w:color w:val="auto"/>
                <w:kern w:val="0"/>
                <w:sz w:val="24"/>
                <w:highlight w:val="none"/>
                <w:lang w:val="en-US" w:eastAsia="zh-CN"/>
              </w:rPr>
            </w:pPr>
            <w:r>
              <w:rPr>
                <w:rFonts w:hint="eastAsia" w:ascii="宋体" w:hAnsi="宋体" w:cs="宋体"/>
                <w:color w:val="auto"/>
                <w:kern w:val="0"/>
                <w:sz w:val="24"/>
                <w:highlight w:val="none"/>
                <w:lang w:val="en-US" w:eastAsia="zh-CN"/>
              </w:rPr>
              <w:t>60日历天</w:t>
            </w:r>
          </w:p>
        </w:tc>
      </w:tr>
      <w:tr w14:paraId="579A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C1F8339">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1.3.3</w:t>
            </w:r>
          </w:p>
        </w:tc>
        <w:tc>
          <w:tcPr>
            <w:tcW w:w="3164" w:type="dxa"/>
            <w:vAlign w:val="center"/>
          </w:tcPr>
          <w:p w14:paraId="2CA82AE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质量要求</w:t>
            </w:r>
          </w:p>
        </w:tc>
        <w:tc>
          <w:tcPr>
            <w:tcW w:w="6125" w:type="dxa"/>
            <w:vAlign w:val="center"/>
          </w:tcPr>
          <w:p w14:paraId="13366315">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cs="宋体" w:eastAsiaTheme="minorEastAsia"/>
                <w:kern w:val="0"/>
                <w:sz w:val="24"/>
                <w:lang w:eastAsia="zh-CN"/>
              </w:rPr>
            </w:pPr>
            <w:r>
              <w:rPr>
                <w:rFonts w:hint="eastAsia" w:ascii="宋体" w:hAnsi="宋体" w:cs="宋体"/>
                <w:sz w:val="24"/>
                <w:szCs w:val="24"/>
                <w:lang w:eastAsia="zh-CN"/>
              </w:rPr>
              <w:t>达到国家现行工程施工质量验收规范合格标准</w:t>
            </w:r>
          </w:p>
        </w:tc>
      </w:tr>
      <w:tr w14:paraId="1FEC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0A34B1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1.3.4</w:t>
            </w:r>
          </w:p>
        </w:tc>
        <w:tc>
          <w:tcPr>
            <w:tcW w:w="3164" w:type="dxa"/>
            <w:vAlign w:val="center"/>
          </w:tcPr>
          <w:p w14:paraId="56D7B22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质保期</w:t>
            </w:r>
          </w:p>
        </w:tc>
        <w:tc>
          <w:tcPr>
            <w:tcW w:w="6125" w:type="dxa"/>
            <w:vAlign w:val="center"/>
          </w:tcPr>
          <w:p w14:paraId="39AD9031">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按国家规定</w:t>
            </w:r>
          </w:p>
        </w:tc>
      </w:tr>
      <w:tr w14:paraId="656B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9D1327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1.4</w:t>
            </w:r>
          </w:p>
        </w:tc>
        <w:tc>
          <w:tcPr>
            <w:tcW w:w="3164" w:type="dxa"/>
            <w:vAlign w:val="center"/>
          </w:tcPr>
          <w:p w14:paraId="1B1BD200">
            <w:pPr>
              <w:keepNext w:val="0"/>
              <w:keepLines w:val="0"/>
              <w:suppressLineNumbers w:val="0"/>
              <w:snapToGrid w:val="0"/>
              <w:spacing w:before="0" w:beforeAutospacing="0" w:after="0" w:afterAutospacing="0" w:line="440" w:lineRule="exact"/>
              <w:ind w:left="0" w:right="0"/>
              <w:jc w:val="center"/>
              <w:rPr>
                <w:rFonts w:hint="default" w:ascii="宋体" w:hAnsi="宋体" w:cs="宋体"/>
                <w:sz w:val="24"/>
              </w:rPr>
            </w:pPr>
            <w:r>
              <w:rPr>
                <w:rFonts w:hint="eastAsia" w:ascii="宋体" w:hAnsi="宋体" w:cs="宋体"/>
                <w:sz w:val="24"/>
              </w:rPr>
              <w:t>供应商资格要求</w:t>
            </w:r>
          </w:p>
        </w:tc>
        <w:tc>
          <w:tcPr>
            <w:tcW w:w="6125" w:type="dxa"/>
          </w:tcPr>
          <w:p w14:paraId="068E5F32">
            <w:pPr>
              <w:keepNext w:val="0"/>
              <w:keepLines w:val="0"/>
              <w:suppressLineNumbers w:val="0"/>
              <w:spacing w:before="0" w:beforeAutospacing="0" w:after="0" w:afterAutospacing="0" w:line="360" w:lineRule="auto"/>
              <w:ind w:right="0"/>
              <w:rPr>
                <w:rFonts w:hint="default" w:ascii="宋体" w:hAnsi="宋体" w:cs="宋体" w:eastAsiaTheme="minorEastAsia"/>
                <w:kern w:val="0"/>
                <w:sz w:val="24"/>
                <w:szCs w:val="28"/>
                <w:lang w:val="en-US" w:eastAsia="zh-CN"/>
              </w:rPr>
            </w:pPr>
            <w:r>
              <w:rPr>
                <w:rFonts w:hint="eastAsia" w:ascii="宋体" w:hAnsi="宋体" w:cs="宋体"/>
                <w:kern w:val="0"/>
                <w:sz w:val="24"/>
                <w:szCs w:val="28"/>
                <w:lang w:val="en-US" w:eastAsia="zh-CN"/>
              </w:rPr>
              <w:t>详见竞争性磋商公告</w:t>
            </w:r>
            <w:r>
              <w:rPr>
                <w:rFonts w:hint="eastAsia" w:ascii="宋体" w:hAnsi="宋体" w:cs="宋体"/>
                <w:sz w:val="24"/>
                <w:szCs w:val="24"/>
              </w:rPr>
              <w:t>供应商资格要求</w:t>
            </w:r>
          </w:p>
        </w:tc>
      </w:tr>
      <w:tr w14:paraId="3567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FEA3963">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1.6.5</w:t>
            </w:r>
          </w:p>
        </w:tc>
        <w:tc>
          <w:tcPr>
            <w:tcW w:w="3164" w:type="dxa"/>
            <w:vAlign w:val="center"/>
          </w:tcPr>
          <w:p w14:paraId="6CD0D3C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是否退还磋商响应文件</w:t>
            </w:r>
          </w:p>
        </w:tc>
        <w:tc>
          <w:tcPr>
            <w:tcW w:w="6125" w:type="dxa"/>
            <w:vAlign w:val="center"/>
          </w:tcPr>
          <w:p w14:paraId="6F273668">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 xml:space="preserve">否 </w:t>
            </w:r>
          </w:p>
        </w:tc>
      </w:tr>
      <w:tr w14:paraId="6E51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42C261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eastAsiaTheme="minorEastAsia"/>
                <w:kern w:val="0"/>
                <w:sz w:val="24"/>
                <w:lang w:val="en-US" w:eastAsia="zh-CN"/>
              </w:rPr>
            </w:pPr>
            <w:r>
              <w:rPr>
                <w:rFonts w:hint="eastAsia" w:ascii="宋体" w:hAnsi="宋体" w:cs="宋体"/>
                <w:kern w:val="0"/>
                <w:sz w:val="24"/>
                <w:lang w:val="en-US" w:eastAsia="zh-CN"/>
              </w:rPr>
              <w:t>1.7</w:t>
            </w:r>
          </w:p>
        </w:tc>
        <w:tc>
          <w:tcPr>
            <w:tcW w:w="3164" w:type="dxa"/>
            <w:vAlign w:val="center"/>
          </w:tcPr>
          <w:p w14:paraId="680E2CB2">
            <w:pPr>
              <w:keepNext w:val="0"/>
              <w:keepLines w:val="0"/>
              <w:widowControl/>
              <w:suppressLineNumbers w:val="0"/>
              <w:adjustRightInd w:val="0"/>
              <w:snapToGrid w:val="0"/>
              <w:spacing w:before="0" w:beforeAutospacing="0" w:after="0" w:afterAutospacing="0"/>
              <w:ind w:left="0" w:leftChars="0" w:right="0" w:rightChars="0"/>
              <w:jc w:val="center"/>
              <w:rPr>
                <w:rFonts w:hint="eastAsia" w:ascii="宋体" w:hAnsi="宋体" w:cs="宋体"/>
                <w:kern w:val="0"/>
                <w:sz w:val="24"/>
              </w:rPr>
            </w:pPr>
            <w:r>
              <w:rPr>
                <w:rFonts w:hint="eastAsia" w:ascii="宋体" w:hAnsi="宋体"/>
                <w:b/>
                <w:bCs/>
                <w:color w:val="000000"/>
                <w:kern w:val="0"/>
                <w:sz w:val="24"/>
                <w:szCs w:val="24"/>
              </w:rPr>
              <w:t>本</w:t>
            </w:r>
            <w:r>
              <w:rPr>
                <w:rFonts w:hint="eastAsia" w:ascii="宋体" w:hAnsi="宋体"/>
                <w:b/>
                <w:bCs/>
                <w:color w:val="000000"/>
                <w:kern w:val="0"/>
                <w:sz w:val="24"/>
                <w:szCs w:val="24"/>
                <w:lang w:val="en-US" w:eastAsia="zh-CN"/>
              </w:rPr>
              <w:t>标包</w:t>
            </w:r>
            <w:r>
              <w:rPr>
                <w:rFonts w:hint="eastAsia" w:ascii="宋体" w:hAnsi="宋体"/>
                <w:b/>
                <w:bCs/>
                <w:color w:val="000000"/>
                <w:kern w:val="0"/>
                <w:sz w:val="24"/>
                <w:szCs w:val="24"/>
              </w:rPr>
              <w:t>对应的中小企业划分标准所属行业</w:t>
            </w:r>
          </w:p>
        </w:tc>
        <w:tc>
          <w:tcPr>
            <w:tcW w:w="6125" w:type="dxa"/>
            <w:vAlign w:val="center"/>
          </w:tcPr>
          <w:p w14:paraId="3A52E7D7">
            <w:pPr>
              <w:keepNext w:val="0"/>
              <w:keepLines w:val="0"/>
              <w:widowControl/>
              <w:suppressLineNumbers w:val="0"/>
              <w:adjustRightInd w:val="0"/>
              <w:snapToGrid w:val="0"/>
              <w:spacing w:before="0" w:beforeAutospacing="0" w:after="0" w:afterAutospacing="0"/>
              <w:ind w:left="0" w:leftChars="0" w:right="0" w:rightChars="0" w:firstLine="241" w:firstLineChars="100"/>
              <w:jc w:val="left"/>
              <w:rPr>
                <w:rFonts w:hint="default"/>
                <w:lang w:val="en-US"/>
              </w:rPr>
            </w:pPr>
            <w:r>
              <w:rPr>
                <w:rFonts w:hint="eastAsia" w:ascii="宋体" w:hAnsi="宋体"/>
                <w:b/>
                <w:bCs/>
                <w:color w:val="000000"/>
                <w:kern w:val="0"/>
                <w:sz w:val="24"/>
                <w:szCs w:val="24"/>
                <w:lang w:val="en-US" w:eastAsia="zh-CN"/>
              </w:rPr>
              <w:t>建筑业</w:t>
            </w:r>
          </w:p>
        </w:tc>
      </w:tr>
      <w:tr w14:paraId="7206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FF481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eastAsiaTheme="minorEastAsia"/>
                <w:kern w:val="0"/>
                <w:sz w:val="24"/>
                <w:lang w:val="en-US" w:eastAsia="zh-CN"/>
              </w:rPr>
            </w:pPr>
            <w:r>
              <w:rPr>
                <w:rFonts w:hint="eastAsia" w:ascii="宋体" w:hAnsi="宋体" w:cs="宋体"/>
                <w:kern w:val="0"/>
                <w:sz w:val="24"/>
                <w:lang w:val="en-US" w:eastAsia="zh-CN"/>
              </w:rPr>
              <w:t>2.1</w:t>
            </w:r>
          </w:p>
        </w:tc>
        <w:tc>
          <w:tcPr>
            <w:tcW w:w="3164" w:type="dxa"/>
            <w:vAlign w:val="center"/>
          </w:tcPr>
          <w:p w14:paraId="1D3A71B0">
            <w:pPr>
              <w:keepNext w:val="0"/>
              <w:keepLines w:val="0"/>
              <w:widowControl/>
              <w:suppressLineNumbers w:val="0"/>
              <w:spacing w:before="0" w:beforeAutospacing="0" w:after="0" w:afterAutospacing="0" w:line="460" w:lineRule="exact"/>
              <w:ind w:left="0" w:right="0"/>
              <w:jc w:val="center"/>
              <w:rPr>
                <w:rFonts w:hint="eastAsia" w:ascii="宋体" w:hAnsi="宋体" w:cs="宋体"/>
                <w:kern w:val="0"/>
                <w:sz w:val="24"/>
              </w:rPr>
            </w:pPr>
            <w:r>
              <w:rPr>
                <w:rFonts w:hint="eastAsia" w:ascii="宋体" w:hAnsi="宋体" w:cs="宋体"/>
                <w:color w:val="auto"/>
                <w:sz w:val="24"/>
                <w:szCs w:val="24"/>
                <w:highlight w:val="none"/>
              </w:rPr>
              <w:t>踏勘现场</w:t>
            </w:r>
          </w:p>
        </w:tc>
        <w:tc>
          <w:tcPr>
            <w:tcW w:w="6125" w:type="dxa"/>
            <w:vAlign w:val="center"/>
          </w:tcPr>
          <w:p w14:paraId="6A5B4751">
            <w:pPr>
              <w:keepNext w:val="0"/>
              <w:keepLines w:val="0"/>
              <w:widowControl/>
              <w:suppressLineNumbers w:val="0"/>
              <w:spacing w:before="0" w:beforeAutospacing="0" w:after="0" w:afterAutospacing="0" w:line="460" w:lineRule="exact"/>
              <w:ind w:left="0" w:right="0"/>
              <w:jc w:val="left"/>
              <w:rPr>
                <w:rFonts w:hint="eastAsia" w:ascii="宋体" w:hAnsi="宋体" w:cs="宋体"/>
                <w:sz w:val="24"/>
              </w:rPr>
            </w:pPr>
            <w:r>
              <w:rPr>
                <w:rFonts w:hint="eastAsia" w:ascii="宋体" w:hAnsi="宋体" w:cs="宋体"/>
                <w:color w:val="auto"/>
                <w:sz w:val="24"/>
                <w:szCs w:val="24"/>
                <w:highlight w:val="none"/>
              </w:rPr>
              <w:t xml:space="preserve">  不组织，</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自行踏勘。</w:t>
            </w:r>
          </w:p>
        </w:tc>
      </w:tr>
      <w:tr w14:paraId="6DDF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6D17E7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lang w:val="en-US" w:eastAsia="zh-CN"/>
              </w:rPr>
            </w:pPr>
            <w:r>
              <w:rPr>
                <w:rFonts w:hint="eastAsia" w:ascii="宋体" w:hAnsi="宋体" w:cs="宋体"/>
                <w:kern w:val="0"/>
                <w:sz w:val="24"/>
                <w:lang w:val="en-US" w:eastAsia="zh-CN"/>
              </w:rPr>
              <w:t>2.2</w:t>
            </w:r>
          </w:p>
        </w:tc>
        <w:tc>
          <w:tcPr>
            <w:tcW w:w="3164" w:type="dxa"/>
            <w:vAlign w:val="center"/>
          </w:tcPr>
          <w:p w14:paraId="27C041FD">
            <w:pPr>
              <w:keepNext w:val="0"/>
              <w:keepLines w:val="0"/>
              <w:widowControl/>
              <w:suppressLineNumbers w:val="0"/>
              <w:spacing w:before="0" w:beforeAutospacing="0" w:after="0" w:afterAutospacing="0" w:line="460" w:lineRule="exact"/>
              <w:ind w:left="0" w:right="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磋商预备会</w:t>
            </w:r>
          </w:p>
        </w:tc>
        <w:tc>
          <w:tcPr>
            <w:tcW w:w="6125" w:type="dxa"/>
            <w:vAlign w:val="center"/>
          </w:tcPr>
          <w:p w14:paraId="0A9540A7">
            <w:pPr>
              <w:keepNext w:val="0"/>
              <w:keepLines w:val="0"/>
              <w:widowControl/>
              <w:suppressLineNumbers w:val="0"/>
              <w:spacing w:before="0" w:beforeAutospacing="0" w:after="0" w:afterAutospacing="0" w:line="460" w:lineRule="exact"/>
              <w:ind w:left="0" w:righ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不召开</w:t>
            </w:r>
          </w:p>
        </w:tc>
      </w:tr>
      <w:tr w14:paraId="50DA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B12972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lang w:val="en-US" w:eastAsia="zh-CN"/>
              </w:rPr>
            </w:pPr>
            <w:r>
              <w:rPr>
                <w:rFonts w:hint="eastAsia" w:ascii="宋体" w:hAnsi="宋体" w:cs="宋体"/>
                <w:kern w:val="0"/>
                <w:sz w:val="24"/>
                <w:lang w:val="en-US" w:eastAsia="zh-CN"/>
              </w:rPr>
              <w:t>2.3</w:t>
            </w:r>
          </w:p>
        </w:tc>
        <w:tc>
          <w:tcPr>
            <w:tcW w:w="3164" w:type="dxa"/>
            <w:vAlign w:val="center"/>
          </w:tcPr>
          <w:p w14:paraId="06CDD7B0">
            <w:pPr>
              <w:keepNext w:val="0"/>
              <w:keepLines w:val="0"/>
              <w:widowControl/>
              <w:suppressLineNumbers w:val="0"/>
              <w:spacing w:before="0" w:beforeAutospacing="0" w:after="0" w:afterAutospacing="0" w:line="460" w:lineRule="exact"/>
              <w:ind w:left="0" w:right="0"/>
              <w:jc w:val="center"/>
              <w:rPr>
                <w:rFonts w:hint="eastAsia" w:ascii="宋体" w:hAnsi="宋体" w:cs="宋体"/>
                <w:color w:val="auto"/>
                <w:sz w:val="24"/>
                <w:szCs w:val="24"/>
                <w:highlight w:val="none"/>
              </w:rPr>
            </w:pPr>
            <w:r>
              <w:rPr>
                <w:rFonts w:hint="eastAsia" w:ascii="宋体" w:hAnsi="宋体"/>
                <w:sz w:val="24"/>
                <w:szCs w:val="24"/>
                <w:lang w:eastAsia="zh-CN"/>
              </w:rPr>
              <w:t>供应商</w:t>
            </w:r>
            <w:r>
              <w:rPr>
                <w:rFonts w:hint="eastAsia" w:ascii="宋体" w:hAnsi="宋体"/>
                <w:sz w:val="24"/>
                <w:szCs w:val="24"/>
              </w:rPr>
              <w:t>提出问题的截止时间</w:t>
            </w:r>
          </w:p>
        </w:tc>
        <w:tc>
          <w:tcPr>
            <w:tcW w:w="6125" w:type="dxa"/>
            <w:vAlign w:val="center"/>
          </w:tcPr>
          <w:p w14:paraId="547431BC">
            <w:pPr>
              <w:keepNext w:val="0"/>
              <w:keepLines w:val="0"/>
              <w:widowControl/>
              <w:suppressLineNumbers w:val="0"/>
              <w:spacing w:before="0" w:beforeAutospacing="0" w:after="0" w:afterAutospacing="0" w:line="460" w:lineRule="exact"/>
              <w:ind w:left="0" w:righ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sz w:val="24"/>
                <w:szCs w:val="24"/>
              </w:rPr>
              <w:t>响应性文件递交截止时间5天前</w:t>
            </w:r>
          </w:p>
        </w:tc>
      </w:tr>
      <w:tr w14:paraId="2DA0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70FFEA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lang w:val="en-US" w:eastAsia="zh-CN"/>
              </w:rPr>
            </w:pPr>
            <w:r>
              <w:rPr>
                <w:rFonts w:hint="eastAsia" w:ascii="宋体" w:hAnsi="宋体" w:cs="宋体"/>
                <w:kern w:val="0"/>
                <w:sz w:val="24"/>
                <w:lang w:val="en-US" w:eastAsia="zh-CN"/>
              </w:rPr>
              <w:t>2.4</w:t>
            </w:r>
          </w:p>
        </w:tc>
        <w:tc>
          <w:tcPr>
            <w:tcW w:w="3164" w:type="dxa"/>
            <w:vAlign w:val="center"/>
          </w:tcPr>
          <w:p w14:paraId="19D24006">
            <w:pPr>
              <w:keepNext w:val="0"/>
              <w:keepLines w:val="0"/>
              <w:widowControl/>
              <w:suppressLineNumbers w:val="0"/>
              <w:spacing w:before="0" w:beforeAutospacing="0" w:after="0" w:afterAutospacing="0" w:line="460" w:lineRule="exact"/>
              <w:ind w:left="0" w:right="0"/>
              <w:jc w:val="center"/>
              <w:rPr>
                <w:rFonts w:hint="eastAsia" w:ascii="宋体" w:hAnsi="宋体"/>
                <w:sz w:val="24"/>
                <w:szCs w:val="24"/>
                <w:lang w:eastAsia="zh-CN"/>
              </w:rPr>
            </w:pPr>
            <w:r>
              <w:rPr>
                <w:rFonts w:hint="eastAsia" w:ascii="宋体" w:hAnsi="宋体"/>
                <w:sz w:val="24"/>
                <w:szCs w:val="24"/>
              </w:rPr>
              <w:t>招标人书面澄清的时间</w:t>
            </w:r>
          </w:p>
        </w:tc>
        <w:tc>
          <w:tcPr>
            <w:tcW w:w="6125" w:type="dxa"/>
            <w:vAlign w:val="center"/>
          </w:tcPr>
          <w:p w14:paraId="46D2BC5C">
            <w:pPr>
              <w:keepNext w:val="0"/>
              <w:keepLines w:val="0"/>
              <w:widowControl/>
              <w:suppressLineNumbers w:val="0"/>
              <w:spacing w:before="0" w:beforeAutospacing="0" w:after="0" w:afterAutospacing="0" w:line="460" w:lineRule="exact"/>
              <w:ind w:left="0" w:right="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sz w:val="24"/>
                <w:szCs w:val="24"/>
              </w:rPr>
              <w:t>响应性文件递交截止时间5天前</w:t>
            </w:r>
          </w:p>
        </w:tc>
      </w:tr>
      <w:tr w14:paraId="4771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F2D3A4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2.5</w:t>
            </w:r>
          </w:p>
        </w:tc>
        <w:tc>
          <w:tcPr>
            <w:tcW w:w="3164" w:type="dxa"/>
            <w:vAlign w:val="center"/>
          </w:tcPr>
          <w:p w14:paraId="5D46136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磋商有效期</w:t>
            </w:r>
          </w:p>
        </w:tc>
        <w:tc>
          <w:tcPr>
            <w:tcW w:w="6125" w:type="dxa"/>
            <w:vAlign w:val="center"/>
          </w:tcPr>
          <w:p w14:paraId="416ABA77">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磋商响应文件递交截止日后60日历天</w:t>
            </w:r>
          </w:p>
        </w:tc>
      </w:tr>
      <w:tr w14:paraId="296C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24DFF4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2.6</w:t>
            </w:r>
          </w:p>
        </w:tc>
        <w:tc>
          <w:tcPr>
            <w:tcW w:w="3164" w:type="dxa"/>
            <w:vAlign w:val="center"/>
          </w:tcPr>
          <w:p w14:paraId="00683485">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sz w:val="24"/>
              </w:rPr>
              <w:t>电子化磋商响应文件的编制和签署</w:t>
            </w:r>
          </w:p>
        </w:tc>
        <w:tc>
          <w:tcPr>
            <w:tcW w:w="6125" w:type="dxa"/>
          </w:tcPr>
          <w:p w14:paraId="0DE37B5F">
            <w:pPr>
              <w:keepNext w:val="0"/>
              <w:keepLines w:val="0"/>
              <w:suppressLineNumbers w:val="0"/>
              <w:spacing w:before="0" w:beforeAutospacing="0" w:after="0" w:afterAutospacing="0" w:line="360" w:lineRule="auto"/>
              <w:ind w:left="0" w:right="0"/>
              <w:rPr>
                <w:rFonts w:hint="default" w:ascii="宋体" w:hAnsi="宋体" w:cs="宋体"/>
                <w:color w:val="000000"/>
                <w:kern w:val="0"/>
                <w:sz w:val="24"/>
                <w:szCs w:val="24"/>
              </w:rPr>
            </w:pPr>
            <w:r>
              <w:rPr>
                <w:rFonts w:hint="eastAsia" w:ascii="宋体" w:hAnsi="宋体" w:cs="宋体"/>
                <w:color w:val="000000"/>
                <w:kern w:val="0"/>
                <w:sz w:val="24"/>
                <w:szCs w:val="24"/>
              </w:rPr>
              <w:t>1、磋商响应文件应按第六章“磋商响应文件格式”进行编写，如有必要，可以增加附页，作为磋商响应文件的组成部分。</w:t>
            </w:r>
          </w:p>
          <w:p w14:paraId="5CC32042">
            <w:pPr>
              <w:keepNext w:val="0"/>
              <w:keepLines w:val="0"/>
              <w:suppressLineNumbers w:val="0"/>
              <w:spacing w:before="0" w:beforeAutospacing="0" w:after="0" w:afterAutospacing="0" w:line="360" w:lineRule="auto"/>
              <w:ind w:left="0" w:right="0"/>
              <w:rPr>
                <w:rFonts w:hint="default" w:ascii="宋体" w:hAnsi="宋体" w:cs="宋体"/>
                <w:color w:val="000000"/>
                <w:kern w:val="0"/>
                <w:sz w:val="24"/>
                <w:szCs w:val="24"/>
              </w:rPr>
            </w:pPr>
            <w:r>
              <w:rPr>
                <w:rFonts w:hint="eastAsia" w:ascii="宋体" w:hAnsi="宋体" w:cs="宋体"/>
                <w:color w:val="000000"/>
                <w:kern w:val="0"/>
                <w:sz w:val="24"/>
                <w:szCs w:val="24"/>
              </w:rPr>
              <w:t>2、磋商响应文件应当对竞争性磋商文件有关工期、磋商有效期、质量要求、技术标准和要求、采购范围等实质性内容作出响应。其中，磋商函附录在满足竞争性磋商文件实质性要求的基础上，可以提出比竞争性磋商文件要求更有利于采购人的承诺。</w:t>
            </w:r>
          </w:p>
          <w:p w14:paraId="08B6BC97">
            <w:pPr>
              <w:keepNext w:val="0"/>
              <w:keepLines w:val="0"/>
              <w:suppressLineNumbers w:val="0"/>
              <w:spacing w:before="0" w:beforeAutospacing="0" w:after="0" w:afterAutospacing="0" w:line="360" w:lineRule="auto"/>
              <w:ind w:left="0" w:right="0"/>
              <w:rPr>
                <w:rFonts w:hint="default" w:ascii="宋体" w:hAnsi="宋体" w:cs="宋体"/>
                <w:color w:val="000000"/>
                <w:kern w:val="0"/>
                <w:sz w:val="24"/>
                <w:szCs w:val="24"/>
              </w:rPr>
            </w:pPr>
            <w:r>
              <w:rPr>
                <w:rFonts w:hint="eastAsia" w:ascii="宋体" w:hAnsi="宋体" w:cs="宋体"/>
                <w:color w:val="000000"/>
                <w:kern w:val="0"/>
                <w:sz w:val="24"/>
                <w:szCs w:val="24"/>
              </w:rPr>
              <w:t>3、供应商在生成电子化磋商响应文件后，必须对电子化磋商响应文件进行电子签章，未进行签章的视为无效文件。</w:t>
            </w:r>
          </w:p>
          <w:p w14:paraId="414EF87A">
            <w:pPr>
              <w:keepNext w:val="0"/>
              <w:keepLines w:val="0"/>
              <w:suppressLineNumbers w:val="0"/>
              <w:spacing w:before="0" w:beforeAutospacing="0" w:after="0" w:afterAutospacing="0" w:line="360" w:lineRule="auto"/>
              <w:ind w:left="0" w:right="0"/>
              <w:rPr>
                <w:rFonts w:hint="default" w:ascii="宋体" w:hAnsi="宋体" w:cs="宋体"/>
                <w:color w:val="000000"/>
                <w:kern w:val="0"/>
                <w:sz w:val="24"/>
                <w:szCs w:val="24"/>
              </w:rPr>
            </w:pPr>
            <w:r>
              <w:rPr>
                <w:rFonts w:hint="eastAsia" w:ascii="宋体" w:hAnsi="宋体" w:cs="宋体"/>
                <w:color w:val="000000"/>
                <w:kern w:val="0"/>
                <w:sz w:val="24"/>
                <w:szCs w:val="24"/>
              </w:rPr>
              <w:t>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查看。</w:t>
            </w:r>
          </w:p>
          <w:p w14:paraId="127845F5">
            <w:pPr>
              <w:keepNext w:val="0"/>
              <w:keepLines w:val="0"/>
              <w:suppressLineNumbers w:val="0"/>
              <w:spacing w:before="0" w:beforeAutospacing="0" w:after="0" w:afterAutospacing="0" w:line="360" w:lineRule="auto"/>
              <w:ind w:left="0" w:right="0"/>
              <w:jc w:val="left"/>
              <w:rPr>
                <w:rFonts w:hint="default" w:ascii="宋体" w:hAnsi="宋体" w:cs="宋体"/>
                <w:color w:val="000000"/>
                <w:kern w:val="0"/>
                <w:sz w:val="24"/>
                <w:szCs w:val="24"/>
              </w:rPr>
            </w:pPr>
            <w:r>
              <w:rPr>
                <w:rFonts w:hint="eastAsia" w:ascii="宋体" w:hAnsi="宋体" w:cs="宋体"/>
                <w:color w:val="000000"/>
                <w:kern w:val="0"/>
                <w:sz w:val="24"/>
                <w:szCs w:val="24"/>
              </w:rPr>
              <w:t>电子化响应文件制作软件请点击https://download.bqpoint.com/download/downloaddetail.html?SourceFrom=Ztb&amp;ZtbSoftXiaQuCode=1506&amp;ZtbSoftType=tballinclusive进行下载。</w:t>
            </w:r>
          </w:p>
        </w:tc>
      </w:tr>
      <w:tr w14:paraId="1C86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A7F89C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2.7</w:t>
            </w:r>
          </w:p>
        </w:tc>
        <w:tc>
          <w:tcPr>
            <w:tcW w:w="3164" w:type="dxa"/>
            <w:vAlign w:val="center"/>
          </w:tcPr>
          <w:p w14:paraId="1631CC5E">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sz w:val="24"/>
              </w:rPr>
              <w:t>电子化磋商响应文件的格式</w:t>
            </w:r>
          </w:p>
        </w:tc>
        <w:tc>
          <w:tcPr>
            <w:tcW w:w="6125" w:type="dxa"/>
          </w:tcPr>
          <w:p w14:paraId="76883631">
            <w:pPr>
              <w:keepNext w:val="0"/>
              <w:keepLines w:val="0"/>
              <w:suppressLineNumbers w:val="0"/>
              <w:tabs>
                <w:tab w:val="left" w:pos="0"/>
              </w:tabs>
              <w:spacing w:before="0" w:beforeAutospacing="0" w:after="0" w:afterAutospacing="0" w:line="360" w:lineRule="auto"/>
              <w:ind w:left="0" w:right="0"/>
              <w:rPr>
                <w:rFonts w:hint="default" w:ascii="宋体" w:hAnsi="宋体" w:cs="宋体"/>
                <w:color w:val="000000"/>
                <w:kern w:val="0"/>
                <w:sz w:val="24"/>
                <w:szCs w:val="24"/>
              </w:rPr>
            </w:pPr>
            <w:r>
              <w:rPr>
                <w:rFonts w:hint="eastAsia" w:ascii="宋体" w:hAnsi="宋体" w:cs="宋体"/>
                <w:color w:val="000000"/>
                <w:kern w:val="0"/>
                <w:sz w:val="24"/>
                <w:szCs w:val="24"/>
              </w:rPr>
              <w:t>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7721B48F">
            <w:pPr>
              <w:keepNext w:val="0"/>
              <w:keepLines w:val="0"/>
              <w:suppressLineNumbers w:val="0"/>
              <w:tabs>
                <w:tab w:val="left" w:pos="0"/>
              </w:tabs>
              <w:spacing w:before="0" w:beforeAutospacing="0" w:after="0" w:afterAutospacing="0" w:line="360" w:lineRule="auto"/>
              <w:ind w:left="0" w:right="0"/>
              <w:rPr>
                <w:rFonts w:hint="default" w:hAnsi="宋体" w:cs="宋体"/>
              </w:rPr>
            </w:pPr>
            <w:r>
              <w:rPr>
                <w:rFonts w:hint="eastAsia" w:ascii="宋体" w:hAnsi="宋体" w:cs="宋体"/>
                <w:color w:val="000000"/>
                <w:kern w:val="0"/>
                <w:sz w:val="24"/>
                <w:szCs w:val="24"/>
              </w:rPr>
              <w:t>注：供应商投报多个标段的，每个标段需要单独制作电子响应文件。</w:t>
            </w:r>
          </w:p>
        </w:tc>
      </w:tr>
      <w:tr w14:paraId="1953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47FA3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2.8</w:t>
            </w:r>
          </w:p>
        </w:tc>
        <w:tc>
          <w:tcPr>
            <w:tcW w:w="3164" w:type="dxa"/>
            <w:vAlign w:val="center"/>
          </w:tcPr>
          <w:p w14:paraId="3943EB8A">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电子化磋商响应文件的上传</w:t>
            </w:r>
          </w:p>
        </w:tc>
        <w:tc>
          <w:tcPr>
            <w:tcW w:w="6125" w:type="dxa"/>
          </w:tcPr>
          <w:p w14:paraId="6A31180B">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6F9298EC">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注：按照电子化投标操作教材制作完成的电子化磋商响应文件无法上传的，供应商应在磋商响应文件递交截止时间前尽早的联系中心技术人员，以便有充分的时间进行处理。</w:t>
            </w:r>
          </w:p>
          <w:p w14:paraId="6E68F4F9">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技术联系电话：0398-3117871；</w:t>
            </w:r>
          </w:p>
          <w:p w14:paraId="729E2815">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主体库咨询电话:0398-3117815；</w:t>
            </w:r>
          </w:p>
          <w:p w14:paraId="4E25E5A8">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CA证书制发:0398-2181635；</w:t>
            </w:r>
          </w:p>
          <w:p w14:paraId="13FF7E4B">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科技信息科:0398-3117095。</w:t>
            </w:r>
          </w:p>
          <w:p w14:paraId="252F1404">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供应商应充分考虑到处理技术问题和上传数据等工作所需的时间问题。未在磋商响应文件递交截止时间前成功上传的磋商响应文件，不予接收。</w:t>
            </w:r>
          </w:p>
        </w:tc>
      </w:tr>
      <w:tr w14:paraId="1A1F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703A82D">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highlight w:val="none"/>
              </w:rPr>
            </w:pPr>
            <w:r>
              <w:rPr>
                <w:rFonts w:hint="eastAsia" w:ascii="宋体" w:hAnsi="宋体" w:cs="宋体"/>
                <w:kern w:val="0"/>
                <w:sz w:val="24"/>
                <w:highlight w:val="none"/>
              </w:rPr>
              <w:t>2.9</w:t>
            </w:r>
          </w:p>
        </w:tc>
        <w:tc>
          <w:tcPr>
            <w:tcW w:w="3164" w:type="dxa"/>
            <w:vAlign w:val="center"/>
          </w:tcPr>
          <w:p w14:paraId="50E4EC1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color w:val="auto"/>
                <w:sz w:val="24"/>
                <w:highlight w:val="none"/>
              </w:rPr>
            </w:pPr>
            <w:r>
              <w:rPr>
                <w:rFonts w:hint="eastAsia" w:ascii="宋体" w:hAnsi="宋体" w:cs="宋体"/>
                <w:color w:val="auto"/>
                <w:kern w:val="0"/>
                <w:sz w:val="24"/>
                <w:highlight w:val="none"/>
              </w:rPr>
              <w:t>磋商响应文件递交截止时间</w:t>
            </w:r>
          </w:p>
        </w:tc>
        <w:tc>
          <w:tcPr>
            <w:tcW w:w="6125" w:type="dxa"/>
            <w:vAlign w:val="center"/>
          </w:tcPr>
          <w:p w14:paraId="56C5E9F0">
            <w:pPr>
              <w:keepNext w:val="0"/>
              <w:keepLines w:val="0"/>
              <w:suppressLineNumbers w:val="0"/>
              <w:spacing w:before="0" w:beforeAutospacing="0" w:after="0" w:afterAutospacing="0" w:line="360" w:lineRule="auto"/>
              <w:ind w:left="0" w:right="0"/>
              <w:jc w:val="left"/>
              <w:rPr>
                <w:rFonts w:hint="eastAsia" w:ascii="宋体" w:hAnsi="宋体" w:cs="宋体" w:eastAsiaTheme="minorEastAsia"/>
                <w:color w:val="auto"/>
                <w:sz w:val="24"/>
                <w:highlight w:val="none"/>
                <w:lang w:eastAsia="zh-CN"/>
              </w:rPr>
            </w:pPr>
            <w:r>
              <w:rPr>
                <w:rFonts w:hint="eastAsia" w:ascii="宋体" w:hAnsi="宋体" w:cs="宋体"/>
                <w:color w:val="0000FF"/>
                <w:sz w:val="24"/>
                <w:highlight w:val="none"/>
                <w:lang w:val="en-US" w:eastAsia="zh-CN"/>
              </w:rPr>
              <w:t xml:space="preserve"> </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 xml:space="preserve"> 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0分</w:t>
            </w:r>
          </w:p>
        </w:tc>
      </w:tr>
      <w:tr w14:paraId="2B2F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743B4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2.10</w:t>
            </w:r>
          </w:p>
        </w:tc>
        <w:tc>
          <w:tcPr>
            <w:tcW w:w="3164" w:type="dxa"/>
            <w:vAlign w:val="center"/>
          </w:tcPr>
          <w:p w14:paraId="70D05C71">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sz w:val="24"/>
              </w:rPr>
              <w:t>电子化项目开标、解密、唱标</w:t>
            </w:r>
          </w:p>
        </w:tc>
        <w:tc>
          <w:tcPr>
            <w:tcW w:w="6125" w:type="dxa"/>
          </w:tcPr>
          <w:p w14:paraId="00A4E0CB">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1、本项目为不见面开标项目。开标当日供应商不得到开标现场参加开标。供应商应当在投标截止时间前登陆不见面开标大厅，</w:t>
            </w:r>
            <w:r>
              <w:rPr>
                <w:rFonts w:hint="eastAsia" w:ascii="宋体" w:hAnsi="宋体"/>
                <w:sz w:val="24"/>
              </w:rPr>
              <w:t>（网址为http://120.194.249.36:10094/BidOpening/bidopeninghallaction/hall/login）选择登陆三门峡市公共资源电子交易系统,在线准时参加开标活动并进行响应文件解密等</w:t>
            </w:r>
            <w:r>
              <w:rPr>
                <w:rFonts w:hint="eastAsia" w:ascii="宋体" w:hAnsi="宋体" w:cs="宋体"/>
                <w:sz w:val="24"/>
              </w:rPr>
              <w:t>。各供应商的解密时间均为开标时间起30分钟内完成。因供应商原因未能解密、解密失败或解密超时的响应文件将被拒绝。</w:t>
            </w:r>
          </w:p>
          <w:p w14:paraId="2CEAAAF7">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2、电子化磋商响应文件解密异常的处理</w:t>
            </w:r>
          </w:p>
          <w:p w14:paraId="686158DE">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如出现供应商的电子磋商响应文件无法解密等异常情况，供应商应及时致电代理机构说明。磋商响应文件异常，按以下步骤进行处理：</w:t>
            </w:r>
          </w:p>
          <w:p w14:paraId="2F466EA8">
            <w:pPr>
              <w:keepNext w:val="0"/>
              <w:keepLines w:val="0"/>
              <w:numPr>
                <w:ilvl w:val="0"/>
                <w:numId w:val="2"/>
              </w:numPr>
              <w:suppressLineNumbers w:val="0"/>
              <w:spacing w:before="0" w:beforeAutospacing="0" w:after="0" w:afterAutospacing="0" w:line="360" w:lineRule="auto"/>
              <w:ind w:right="0"/>
              <w:rPr>
                <w:rFonts w:hint="default" w:ascii="宋体" w:hAnsi="宋体" w:cs="宋体"/>
                <w:sz w:val="24"/>
              </w:rPr>
            </w:pPr>
            <w:r>
              <w:rPr>
                <w:rFonts w:hint="eastAsia" w:ascii="宋体" w:hAnsi="宋体" w:cs="宋体"/>
                <w:sz w:val="24"/>
              </w:rPr>
              <w:t>首先由技术人员进行问题排查。</w:t>
            </w:r>
          </w:p>
          <w:p w14:paraId="2AA56F0C">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120A5761">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3、待所有供应商磋商响应文件解密完成后，由代理机构操作，对所有已解密磋商响应文件进行电子唱标。</w:t>
            </w:r>
          </w:p>
          <w:p w14:paraId="73027433">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供应商应保证在开标期间电话、电脑、网络能够正常工作。供应商因停电、电脑病毒、网络堵塞等原因，未在规定的解密时间内对磋商响应文件进行解密的，其磋商响应文件不予接收、唱标。</w:t>
            </w:r>
          </w:p>
          <w:p w14:paraId="30169BE1">
            <w:pPr>
              <w:keepNext w:val="0"/>
              <w:keepLines w:val="0"/>
              <w:numPr>
                <w:ilvl w:val="0"/>
                <w:numId w:val="3"/>
              </w:numPr>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p w14:paraId="2AD0396C">
            <w:pPr>
              <w:keepNext w:val="0"/>
              <w:keepLines w:val="0"/>
              <w:numPr>
                <w:ilvl w:val="0"/>
                <w:numId w:val="0"/>
              </w:numPr>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0FE47F52">
            <w:pPr>
              <w:keepNext w:val="0"/>
              <w:keepLines w:val="0"/>
              <w:numPr>
                <w:ilvl w:val="0"/>
                <w:numId w:val="0"/>
              </w:numPr>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、如评标委员会对需要回复的响应人连续三次致电未接通的，视为响应人放弃回复，评标委员会将自行对需要回复的内容进行认定。</w:t>
            </w:r>
          </w:p>
        </w:tc>
      </w:tr>
      <w:tr w14:paraId="7E7F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restart"/>
            <w:vAlign w:val="center"/>
          </w:tcPr>
          <w:p w14:paraId="7E77246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3.1</w:t>
            </w:r>
          </w:p>
        </w:tc>
        <w:tc>
          <w:tcPr>
            <w:tcW w:w="3164" w:type="dxa"/>
            <w:vMerge w:val="restart"/>
            <w:vAlign w:val="center"/>
          </w:tcPr>
          <w:p w14:paraId="1788E7DD">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开标时间及地点</w:t>
            </w:r>
          </w:p>
        </w:tc>
        <w:tc>
          <w:tcPr>
            <w:tcW w:w="6125" w:type="dxa"/>
          </w:tcPr>
          <w:p w14:paraId="045FB5CD">
            <w:pPr>
              <w:keepNext w:val="0"/>
              <w:keepLines w:val="0"/>
              <w:suppressLineNumbers w:val="0"/>
              <w:spacing w:before="0" w:beforeAutospacing="0" w:after="0" w:afterAutospacing="0" w:line="360" w:lineRule="auto"/>
              <w:ind w:left="0" w:right="0"/>
              <w:rPr>
                <w:rFonts w:hint="eastAsia" w:ascii="宋体" w:hAnsi="宋体" w:cs="宋体" w:eastAsiaTheme="minorEastAsia"/>
                <w:color w:val="auto"/>
                <w:sz w:val="24"/>
                <w:highlight w:val="none"/>
                <w:lang w:eastAsia="zh-CN"/>
              </w:rPr>
            </w:pPr>
            <w:r>
              <w:rPr>
                <w:rFonts w:hint="eastAsia" w:ascii="宋体" w:hAnsi="宋体" w:cs="宋体"/>
                <w:color w:val="auto"/>
                <w:sz w:val="24"/>
                <w:highlight w:val="none"/>
              </w:rPr>
              <w:t>开标时间：</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cs="宋体"/>
                <w:color w:val="auto"/>
                <w:sz w:val="24"/>
                <w:szCs w:val="24"/>
                <w:highlight w:val="none"/>
                <w:lang w:val="en-US" w:eastAsia="zh-CN"/>
              </w:rPr>
              <w:t xml:space="preserve">9 </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 xml:space="preserve"> 15 </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lang w:eastAsia="zh-CN"/>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0分</w:t>
            </w:r>
          </w:p>
        </w:tc>
      </w:tr>
      <w:tr w14:paraId="4B29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continue"/>
            <w:vAlign w:val="center"/>
          </w:tcPr>
          <w:p w14:paraId="7798866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p>
        </w:tc>
        <w:tc>
          <w:tcPr>
            <w:tcW w:w="3164" w:type="dxa"/>
            <w:vMerge w:val="continue"/>
            <w:vAlign w:val="center"/>
          </w:tcPr>
          <w:p w14:paraId="55FF2D11">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color w:val="auto"/>
                <w:sz w:val="24"/>
                <w:highlight w:val="none"/>
              </w:rPr>
            </w:pPr>
          </w:p>
        </w:tc>
        <w:tc>
          <w:tcPr>
            <w:tcW w:w="6125" w:type="dxa"/>
          </w:tcPr>
          <w:p w14:paraId="286ECD76">
            <w:pPr>
              <w:keepNext w:val="0"/>
              <w:keepLines w:val="0"/>
              <w:suppressLineNumbers w:val="0"/>
              <w:spacing w:before="0" w:beforeAutospacing="0" w:after="0" w:afterAutospacing="0" w:line="360" w:lineRule="auto"/>
              <w:ind w:left="0" w:right="0"/>
              <w:rPr>
                <w:rFonts w:hint="default" w:ascii="宋体" w:hAnsi="宋体" w:cs="宋体" w:eastAsiaTheme="minorEastAsia"/>
                <w:color w:val="auto"/>
                <w:sz w:val="24"/>
                <w:highlight w:val="none"/>
                <w:lang w:val="en-US" w:eastAsia="zh-CN"/>
              </w:rPr>
            </w:pPr>
            <w:r>
              <w:rPr>
                <w:rFonts w:hint="eastAsia" w:ascii="宋体" w:hAnsi="宋体" w:cs="宋体"/>
                <w:color w:val="auto"/>
                <w:sz w:val="24"/>
                <w:highlight w:val="none"/>
              </w:rPr>
              <w:t>开标地点：</w:t>
            </w:r>
            <w:r>
              <w:rPr>
                <w:rFonts w:hint="eastAsia" w:ascii="宋体" w:hAnsi="宋体" w:cs="宋体"/>
                <w:color w:val="auto"/>
                <w:sz w:val="24"/>
                <w:highlight w:val="none"/>
                <w:lang w:eastAsia="zh-CN"/>
              </w:rPr>
              <w:t>三门峡市公共资源交易中心</w:t>
            </w:r>
            <w:r>
              <w:rPr>
                <w:rFonts w:hint="eastAsia" w:ascii="宋体" w:hAnsi="宋体" w:cs="宋体"/>
                <w:color w:val="auto"/>
                <w:sz w:val="24"/>
                <w:highlight w:val="none"/>
                <w:lang w:val="en-US" w:eastAsia="zh-CN"/>
              </w:rPr>
              <w:t>五楼开标室</w:t>
            </w:r>
          </w:p>
        </w:tc>
      </w:tr>
      <w:tr w14:paraId="7320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00D8DD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eastAsiaTheme="minorEastAsia"/>
                <w:kern w:val="0"/>
                <w:sz w:val="24"/>
                <w:lang w:val="en-US" w:eastAsia="zh-CN"/>
              </w:rPr>
            </w:pPr>
            <w:r>
              <w:rPr>
                <w:rFonts w:hint="eastAsia" w:ascii="宋体" w:hAnsi="宋体" w:cs="宋体"/>
                <w:kern w:val="0"/>
                <w:sz w:val="24"/>
                <w:lang w:val="en-US" w:eastAsia="zh-CN"/>
              </w:rPr>
              <w:t>3.2</w:t>
            </w:r>
          </w:p>
        </w:tc>
        <w:tc>
          <w:tcPr>
            <w:tcW w:w="3164" w:type="dxa"/>
            <w:vAlign w:val="center"/>
          </w:tcPr>
          <w:p w14:paraId="23B9D738">
            <w:pPr>
              <w:keepNext w:val="0"/>
              <w:keepLines w:val="0"/>
              <w:widowControl/>
              <w:suppressLineNumbers w:val="0"/>
              <w:spacing w:before="0" w:beforeAutospacing="0" w:after="0" w:afterAutospacing="0" w:line="460" w:lineRule="exact"/>
              <w:ind w:left="0" w:right="0"/>
              <w:jc w:val="center"/>
              <w:rPr>
                <w:rFonts w:hint="default" w:ascii="宋体" w:hAnsi="宋体" w:cs="宋体"/>
                <w:sz w:val="24"/>
              </w:rPr>
            </w:pPr>
            <w:r>
              <w:rPr>
                <w:rFonts w:hint="eastAsia" w:ascii="宋体" w:hAnsi="宋体" w:cs="宋体"/>
                <w:color w:val="auto"/>
                <w:kern w:val="44"/>
                <w:sz w:val="24"/>
                <w:szCs w:val="24"/>
                <w:highlight w:val="none"/>
              </w:rPr>
              <w:t>近年完成的类似项目的年份要求</w:t>
            </w:r>
          </w:p>
        </w:tc>
        <w:tc>
          <w:tcPr>
            <w:tcW w:w="6125" w:type="dxa"/>
            <w:vAlign w:val="center"/>
          </w:tcPr>
          <w:p w14:paraId="0C5E812E">
            <w:pPr>
              <w:keepNext w:val="0"/>
              <w:keepLines w:val="0"/>
              <w:widowControl/>
              <w:suppressLineNumbers w:val="0"/>
              <w:spacing w:before="0" w:beforeAutospacing="0" w:after="0" w:afterAutospacing="0" w:line="460" w:lineRule="exact"/>
              <w:ind w:left="0" w:right="0"/>
              <w:jc w:val="left"/>
              <w:rPr>
                <w:rFonts w:hint="eastAsia" w:ascii="宋体" w:hAnsi="宋体" w:cs="宋体"/>
                <w:sz w:val="24"/>
                <w:highlight w:val="none"/>
              </w:rPr>
            </w:pPr>
            <w:r>
              <w:rPr>
                <w:rFonts w:hint="eastAsia" w:ascii="宋体" w:hAnsi="宋体" w:cs="宋体"/>
                <w:color w:val="auto"/>
                <w:kern w:val="44"/>
                <w:sz w:val="24"/>
                <w:szCs w:val="24"/>
                <w:highlight w:val="none"/>
              </w:rPr>
              <w:t xml:space="preserve">  20</w:t>
            </w:r>
            <w:r>
              <w:rPr>
                <w:rFonts w:hint="eastAsia" w:ascii="宋体" w:hAnsi="宋体" w:cs="宋体"/>
                <w:color w:val="auto"/>
                <w:kern w:val="44"/>
                <w:sz w:val="24"/>
                <w:szCs w:val="24"/>
                <w:highlight w:val="none"/>
                <w:lang w:val="en-US" w:eastAsia="zh-CN"/>
              </w:rPr>
              <w:t>23</w:t>
            </w:r>
            <w:r>
              <w:rPr>
                <w:rFonts w:hint="eastAsia" w:ascii="宋体" w:hAnsi="宋体" w:cs="宋体"/>
                <w:color w:val="auto"/>
                <w:kern w:val="44"/>
                <w:sz w:val="24"/>
                <w:szCs w:val="24"/>
                <w:highlight w:val="none"/>
              </w:rPr>
              <w:t>年</w:t>
            </w:r>
            <w:r>
              <w:rPr>
                <w:rFonts w:hint="eastAsia" w:ascii="宋体" w:hAnsi="宋体" w:cs="宋体"/>
                <w:color w:val="auto"/>
                <w:kern w:val="44"/>
                <w:sz w:val="24"/>
                <w:szCs w:val="24"/>
                <w:highlight w:val="none"/>
                <w:lang w:val="en-US" w:eastAsia="zh-CN"/>
              </w:rPr>
              <w:t>1</w:t>
            </w:r>
            <w:r>
              <w:rPr>
                <w:rFonts w:hint="eastAsia" w:ascii="宋体" w:hAnsi="宋体" w:cs="宋体"/>
                <w:color w:val="auto"/>
                <w:kern w:val="44"/>
                <w:sz w:val="24"/>
                <w:szCs w:val="24"/>
                <w:highlight w:val="none"/>
              </w:rPr>
              <w:t>月1日以来</w:t>
            </w:r>
          </w:p>
        </w:tc>
      </w:tr>
      <w:tr w14:paraId="3EDD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7EBE6A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4</w:t>
            </w:r>
          </w:p>
        </w:tc>
        <w:tc>
          <w:tcPr>
            <w:tcW w:w="3164" w:type="dxa"/>
            <w:vAlign w:val="center"/>
          </w:tcPr>
          <w:p w14:paraId="11ED5D80">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磋商小组的组建</w:t>
            </w:r>
          </w:p>
        </w:tc>
        <w:tc>
          <w:tcPr>
            <w:tcW w:w="6125" w:type="dxa"/>
          </w:tcPr>
          <w:p w14:paraId="07E352E1">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磋商小组共3人组成，其中采购人代表1人；在相关评标专家库中随机抽取有关技术、经济等方面专家2人。</w:t>
            </w:r>
          </w:p>
          <w:p w14:paraId="1B944190">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_5b8b_4f53"/>
                <w:color w:val="000000"/>
                <w:kern w:val="0"/>
                <w:sz w:val="24"/>
                <w:szCs w:val="24"/>
              </w:rPr>
              <w:t>根据省政府关于评标专家的有关管理规定，招标人代表（业主代表）无评标劳务费。</w:t>
            </w:r>
          </w:p>
        </w:tc>
      </w:tr>
      <w:tr w14:paraId="7D5C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113629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eastAsiaTheme="minorEastAsia"/>
                <w:kern w:val="0"/>
                <w:sz w:val="24"/>
                <w:lang w:val="en-US" w:eastAsia="zh-CN"/>
              </w:rPr>
            </w:pPr>
            <w:r>
              <w:rPr>
                <w:rFonts w:hint="eastAsia" w:ascii="宋体" w:hAnsi="宋体" w:cs="宋体"/>
                <w:kern w:val="0"/>
                <w:sz w:val="24"/>
                <w:lang w:val="en-US" w:eastAsia="zh-CN"/>
              </w:rPr>
              <w:t>4.1</w:t>
            </w:r>
          </w:p>
        </w:tc>
        <w:tc>
          <w:tcPr>
            <w:tcW w:w="3164" w:type="dxa"/>
            <w:vAlign w:val="center"/>
          </w:tcPr>
          <w:p w14:paraId="606CFE87">
            <w:pPr>
              <w:keepNext w:val="0"/>
              <w:keepLines w:val="0"/>
              <w:widowControl/>
              <w:suppressLineNumbers w:val="0"/>
              <w:spacing w:before="0" w:beforeAutospacing="0" w:after="0" w:afterAutospacing="0" w:line="460" w:lineRule="exact"/>
              <w:ind w:left="0" w:right="0"/>
              <w:jc w:val="center"/>
              <w:rPr>
                <w:rFonts w:hint="eastAsia" w:ascii="宋体" w:hAnsi="宋体" w:cs="宋体"/>
                <w:kern w:val="0"/>
                <w:sz w:val="24"/>
              </w:rPr>
            </w:pPr>
            <w:r>
              <w:rPr>
                <w:rFonts w:hint="eastAsia" w:ascii="宋体" w:hAnsi="宋体"/>
                <w:spacing w:val="6"/>
                <w:sz w:val="24"/>
                <w:szCs w:val="24"/>
              </w:rPr>
              <w:t>磋商标准及方法</w:t>
            </w:r>
          </w:p>
        </w:tc>
        <w:tc>
          <w:tcPr>
            <w:tcW w:w="6125" w:type="dxa"/>
            <w:vAlign w:val="center"/>
          </w:tcPr>
          <w:p w14:paraId="3E41A4B0">
            <w:pPr>
              <w:keepNext w:val="0"/>
              <w:keepLines w:val="0"/>
              <w:widowControl/>
              <w:suppressLineNumbers w:val="0"/>
              <w:spacing w:before="0" w:beforeAutospacing="0" w:after="0" w:afterAutospacing="0" w:line="460" w:lineRule="exact"/>
              <w:ind w:left="0" w:right="0"/>
              <w:jc w:val="left"/>
              <w:rPr>
                <w:rFonts w:hint="eastAsia" w:ascii="宋体" w:hAnsi="宋体" w:cs="_5b8b_4f53"/>
                <w:color w:val="000000"/>
                <w:kern w:val="0"/>
                <w:sz w:val="24"/>
                <w:szCs w:val="24"/>
              </w:rPr>
            </w:pPr>
            <w:r>
              <w:rPr>
                <w:rFonts w:hint="eastAsia" w:ascii="宋体" w:hAnsi="宋体"/>
                <w:spacing w:val="6"/>
                <w:sz w:val="24"/>
                <w:szCs w:val="24"/>
              </w:rPr>
              <w:t>由磋商小组采用综合评估法对提交最后报价的</w:t>
            </w:r>
            <w:r>
              <w:rPr>
                <w:rFonts w:hint="eastAsia" w:ascii="宋体" w:hAnsi="宋体"/>
                <w:spacing w:val="6"/>
                <w:sz w:val="24"/>
                <w:szCs w:val="24"/>
                <w:lang w:eastAsia="zh-CN"/>
              </w:rPr>
              <w:t>供应商</w:t>
            </w:r>
            <w:r>
              <w:rPr>
                <w:rFonts w:hint="eastAsia" w:ascii="宋体" w:hAnsi="宋体"/>
                <w:spacing w:val="6"/>
                <w:sz w:val="24"/>
                <w:szCs w:val="24"/>
              </w:rPr>
              <w:t>的响应文件和最后报价进行综合评分。综合评估法，是指响应文件满足竞争性磋商文件全部实质性要求且按评审因素的量化指标评审得分最高的</w:t>
            </w:r>
            <w:r>
              <w:rPr>
                <w:rFonts w:hint="eastAsia" w:ascii="宋体" w:hAnsi="宋体"/>
                <w:spacing w:val="6"/>
                <w:sz w:val="24"/>
                <w:szCs w:val="24"/>
                <w:lang w:eastAsia="zh-CN"/>
              </w:rPr>
              <w:t>供应商</w:t>
            </w:r>
            <w:r>
              <w:rPr>
                <w:rFonts w:hint="eastAsia" w:ascii="宋体" w:hAnsi="宋体"/>
                <w:spacing w:val="6"/>
                <w:sz w:val="24"/>
                <w:szCs w:val="24"/>
              </w:rPr>
              <w:t>为中标单位的磋商方法。</w:t>
            </w:r>
          </w:p>
        </w:tc>
      </w:tr>
      <w:tr w14:paraId="13D7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733CE9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5</w:t>
            </w:r>
          </w:p>
        </w:tc>
        <w:tc>
          <w:tcPr>
            <w:tcW w:w="3164" w:type="dxa"/>
            <w:vAlign w:val="center"/>
          </w:tcPr>
          <w:p w14:paraId="7F9DC8D4">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竞争性磋商</w:t>
            </w:r>
          </w:p>
        </w:tc>
        <w:tc>
          <w:tcPr>
            <w:tcW w:w="6125" w:type="dxa"/>
          </w:tcPr>
          <w:p w14:paraId="4B242958">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1、磋商时，供应商通过交易系统的磋商大厅与磋商小组进行磋商。</w:t>
            </w:r>
          </w:p>
          <w:p w14:paraId="7DF086A2">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2CE60780">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3、磋商小组对需要答复的供应商连续三次致电未接通的，视为供应商放弃答复，磋商小组将自行对该质疑内容进行认定。</w:t>
            </w:r>
          </w:p>
        </w:tc>
      </w:tr>
      <w:tr w14:paraId="6ADB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96087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5.2.1</w:t>
            </w:r>
          </w:p>
        </w:tc>
        <w:tc>
          <w:tcPr>
            <w:tcW w:w="3164" w:type="dxa"/>
            <w:vAlign w:val="center"/>
          </w:tcPr>
          <w:p w14:paraId="120EE713">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资格审查</w:t>
            </w:r>
          </w:p>
        </w:tc>
        <w:tc>
          <w:tcPr>
            <w:tcW w:w="6125" w:type="dxa"/>
          </w:tcPr>
          <w:p w14:paraId="55F0D571">
            <w:pPr>
              <w:keepNext w:val="0"/>
              <w:keepLines w:val="0"/>
              <w:suppressLineNumbers w:val="0"/>
              <w:spacing w:before="0" w:beforeAutospacing="0" w:after="0" w:afterAutospacing="0" w:line="360" w:lineRule="auto"/>
              <w:ind w:left="0" w:right="0"/>
              <w:rPr>
                <w:rFonts w:hint="default" w:ascii="宋体" w:hAnsi="宋体" w:cs="宋体"/>
                <w:sz w:val="24"/>
                <w:szCs w:val="24"/>
              </w:rPr>
            </w:pPr>
            <w:r>
              <w:rPr>
                <w:rFonts w:hint="eastAsia" w:ascii="宋体" w:hAnsi="宋体" w:cs="宋体"/>
                <w:sz w:val="24"/>
                <w:szCs w:val="24"/>
              </w:rPr>
              <w:t>本项目为资格后审，资格审查由采购人依法组建的磋商小组负责。</w:t>
            </w:r>
          </w:p>
          <w:p w14:paraId="4BB0AFF5">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szCs w:val="24"/>
              </w:rPr>
              <w:t>供应商资格审查内容以</w:t>
            </w:r>
            <w:r>
              <w:rPr>
                <w:rFonts w:hint="eastAsia" w:ascii="宋体" w:hAnsi="宋体" w:cs="宋体"/>
                <w:bCs/>
                <w:sz w:val="24"/>
                <w:szCs w:val="24"/>
              </w:rPr>
              <w:t>供应商在其响应文件“资格审查资料”中上传的信息为准</w:t>
            </w:r>
            <w:r>
              <w:rPr>
                <w:rFonts w:hint="eastAsia" w:ascii="宋体" w:hAnsi="宋体" w:cs="宋体"/>
                <w:sz w:val="24"/>
                <w:szCs w:val="24"/>
              </w:rPr>
              <w:t>。供应商上传的信息资料扫描件必须清晰可辨、真实有效（供应商对其真实性负责）。否则，由此造成的资格审查不合格或应得分而未得分等情况的，由供应商承担责任。</w:t>
            </w:r>
          </w:p>
          <w:p w14:paraId="39AEF987">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注：1、</w:t>
            </w:r>
            <w:r>
              <w:rPr>
                <w:rFonts w:hint="eastAsia" w:ascii="宋体" w:hAnsi="宋体" w:cs="宋体"/>
                <w:sz w:val="24"/>
                <w:szCs w:val="24"/>
              </w:rPr>
              <w:t>供应商应及时维护、完善主体信息库信息</w:t>
            </w:r>
            <w:r>
              <w:rPr>
                <w:rFonts w:hint="eastAsia" w:ascii="宋体" w:hAnsi="宋体" w:cs="宋体"/>
                <w:sz w:val="24"/>
              </w:rPr>
              <w:t>。项目开标时间起，至评审结束，信息库将处于锁定状态。如连续投报多个项目，信息库锁定时间也将延长。请供应商合理安排资料上传时间，尽可能早地将所有项目资料上传至三门峡市公共资源交易市场主体（供应商）信息库。</w:t>
            </w:r>
          </w:p>
          <w:p w14:paraId="346D0956">
            <w:pPr>
              <w:keepNext w:val="0"/>
              <w:keepLines w:val="0"/>
              <w:suppressLineNumbers w:val="0"/>
              <w:spacing w:before="0" w:beforeAutospacing="0" w:after="0" w:afterAutospacing="0" w:line="360" w:lineRule="auto"/>
              <w:ind w:left="0" w:right="0"/>
              <w:jc w:val="left"/>
              <w:rPr>
                <w:rFonts w:hint="default" w:ascii="宋体" w:hAnsi="宋体" w:cs="宋体"/>
                <w:sz w:val="24"/>
              </w:rPr>
            </w:pPr>
            <w:r>
              <w:rPr>
                <w:rFonts w:hint="eastAsia" w:ascii="宋体" w:hAnsi="宋体" w:cs="宋体"/>
                <w:sz w:val="24"/>
              </w:rPr>
              <w:t>具体操作详见《三门峡市公共资源交易市场主体（供应商）信息库操作手册》。链接地址：http://gzjy.smx.gov.cn/fwzn/004003/20200325/b13aa3fa-a543-403f-b537-82cb417132bd.html</w:t>
            </w:r>
          </w:p>
        </w:tc>
      </w:tr>
      <w:tr w14:paraId="70B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F8F6BA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5.6</w:t>
            </w:r>
          </w:p>
        </w:tc>
        <w:tc>
          <w:tcPr>
            <w:tcW w:w="3164" w:type="dxa"/>
            <w:vAlign w:val="center"/>
          </w:tcPr>
          <w:p w14:paraId="34DBA94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是否授权磋商小组确定成交供应商</w:t>
            </w:r>
          </w:p>
        </w:tc>
        <w:tc>
          <w:tcPr>
            <w:tcW w:w="6125" w:type="dxa"/>
            <w:vAlign w:val="center"/>
          </w:tcPr>
          <w:p w14:paraId="29EDFF53">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否，推荐的成交候选人数：三名</w:t>
            </w:r>
          </w:p>
        </w:tc>
      </w:tr>
      <w:tr w14:paraId="6E72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6620E95">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w:t>
            </w:r>
          </w:p>
        </w:tc>
        <w:tc>
          <w:tcPr>
            <w:tcW w:w="9289" w:type="dxa"/>
            <w:gridSpan w:val="2"/>
            <w:vAlign w:val="center"/>
          </w:tcPr>
          <w:p w14:paraId="7FACDA3D">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kern w:val="0"/>
                <w:sz w:val="24"/>
              </w:rPr>
              <w:t>需要补充的其他内容</w:t>
            </w:r>
          </w:p>
        </w:tc>
      </w:tr>
      <w:tr w14:paraId="555F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D47B88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9.1</w:t>
            </w:r>
          </w:p>
        </w:tc>
        <w:tc>
          <w:tcPr>
            <w:tcW w:w="3164" w:type="dxa"/>
            <w:vAlign w:val="center"/>
          </w:tcPr>
          <w:p w14:paraId="1B7D6734">
            <w:pPr>
              <w:keepNext w:val="0"/>
              <w:keepLines w:val="0"/>
              <w:suppressLineNumbers w:val="0"/>
              <w:spacing w:before="0" w:beforeAutospacing="0" w:after="0" w:afterAutospacing="0" w:line="400" w:lineRule="exact"/>
              <w:ind w:left="0" w:right="0"/>
              <w:jc w:val="center"/>
              <w:rPr>
                <w:rFonts w:hint="default" w:hAnsi="宋体" w:cs="宋体"/>
                <w:sz w:val="24"/>
                <w:szCs w:val="24"/>
              </w:rPr>
            </w:pPr>
            <w:r>
              <w:rPr>
                <w:rFonts w:hint="eastAsia" w:hAnsi="宋体" w:cs="宋体"/>
                <w:sz w:val="24"/>
                <w:szCs w:val="24"/>
              </w:rPr>
              <w:t>磋商保证金</w:t>
            </w:r>
          </w:p>
        </w:tc>
        <w:tc>
          <w:tcPr>
            <w:tcW w:w="6125" w:type="dxa"/>
            <w:vAlign w:val="center"/>
          </w:tcPr>
          <w:p w14:paraId="3F27A204">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szCs w:val="24"/>
              </w:rPr>
              <w:t>根据《河南省财政厅关于优化政府采购营商环境有关问题的通知》（豫财购【2019】4号）第6条的规定，磋商保证金不再收取。</w:t>
            </w:r>
            <w:r>
              <w:rPr>
                <w:rFonts w:hint="eastAsia" w:ascii="宋体" w:hAnsi="宋体" w:cs="宋体"/>
                <w:sz w:val="24"/>
              </w:rPr>
              <w:t>供应商以磋商承诺函的形式替代保证金，磋商承诺函应明确承诺事项及违背承诺的责任</w:t>
            </w:r>
            <w:r>
              <w:rPr>
                <w:rFonts w:hint="eastAsia" w:ascii="宋体" w:hAnsi="宋体" w:cs="宋体"/>
                <w:sz w:val="24"/>
                <w:szCs w:val="24"/>
              </w:rPr>
              <w:t>。</w:t>
            </w:r>
          </w:p>
        </w:tc>
      </w:tr>
      <w:tr w14:paraId="30FC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921E29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9.2</w:t>
            </w:r>
          </w:p>
        </w:tc>
        <w:tc>
          <w:tcPr>
            <w:tcW w:w="3164" w:type="dxa"/>
            <w:vAlign w:val="center"/>
          </w:tcPr>
          <w:p w14:paraId="60CF998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sz w:val="24"/>
              </w:rPr>
              <w:t>履约保证金</w:t>
            </w:r>
          </w:p>
        </w:tc>
        <w:tc>
          <w:tcPr>
            <w:tcW w:w="6125" w:type="dxa"/>
            <w:vAlign w:val="center"/>
          </w:tcPr>
          <w:p w14:paraId="71DF8868">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_5b8b_4f53"/>
                <w:color w:val="000000"/>
                <w:kern w:val="0"/>
                <w:sz w:val="24"/>
                <w:szCs w:val="24"/>
              </w:rPr>
              <w:t>采购人与中标单位自行协商</w:t>
            </w:r>
          </w:p>
        </w:tc>
      </w:tr>
      <w:tr w14:paraId="0D2A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1650DA5">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9.3</w:t>
            </w:r>
          </w:p>
        </w:tc>
        <w:tc>
          <w:tcPr>
            <w:tcW w:w="3164" w:type="dxa"/>
            <w:vAlign w:val="center"/>
          </w:tcPr>
          <w:p w14:paraId="6828003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付款方式</w:t>
            </w:r>
          </w:p>
        </w:tc>
        <w:tc>
          <w:tcPr>
            <w:tcW w:w="6125" w:type="dxa"/>
            <w:vAlign w:val="center"/>
          </w:tcPr>
          <w:p w14:paraId="20FDF3F0">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双方在合同中协商约定,但不得违反国家、省、市相关规定。</w:t>
            </w:r>
          </w:p>
        </w:tc>
      </w:tr>
      <w:tr w14:paraId="5BBC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7417C3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9.4</w:t>
            </w:r>
          </w:p>
        </w:tc>
        <w:tc>
          <w:tcPr>
            <w:tcW w:w="3164" w:type="dxa"/>
            <w:vAlign w:val="center"/>
          </w:tcPr>
          <w:p w14:paraId="17DA8FA3">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kern w:val="0"/>
                <w:sz w:val="24"/>
              </w:rPr>
            </w:pPr>
            <w:r>
              <w:rPr>
                <w:rFonts w:hint="eastAsia" w:ascii="宋体" w:hAnsi="宋体" w:cs="宋体"/>
                <w:b/>
                <w:bCs w:val="0"/>
                <w:kern w:val="0"/>
                <w:sz w:val="24"/>
              </w:rPr>
              <w:t>采购控制价</w:t>
            </w:r>
          </w:p>
        </w:tc>
        <w:tc>
          <w:tcPr>
            <w:tcW w:w="6125" w:type="dxa"/>
            <w:vAlign w:val="center"/>
          </w:tcPr>
          <w:p w14:paraId="689A5A1B">
            <w:pPr>
              <w:spacing w:line="360" w:lineRule="auto"/>
              <w:rPr>
                <w:rFonts w:hint="eastAsia" w:ascii="宋体" w:hAnsi="宋体" w:eastAsia="宋体" w:cs="宋体"/>
                <w:color w:val="auto"/>
                <w:kern w:val="0"/>
                <w:sz w:val="24"/>
                <w:szCs w:val="24"/>
                <w:lang w:val="en-US" w:eastAsia="zh-CN"/>
              </w:rPr>
            </w:pPr>
            <w:r>
              <w:rPr>
                <w:rFonts w:hint="eastAsia" w:ascii="宋体" w:hAnsi="宋体" w:cs="宋体"/>
                <w:color w:val="auto"/>
                <w:sz w:val="24"/>
                <w:szCs w:val="24"/>
                <w:lang w:val="en-US" w:eastAsia="zh-CN"/>
              </w:rPr>
              <w:t xml:space="preserve">1.本项目采购预算金额：812372.95 </w:t>
            </w:r>
            <w:r>
              <w:rPr>
                <w:rFonts w:hint="eastAsia" w:ascii="宋体" w:hAnsi="宋体" w:eastAsia="宋体" w:cs="宋体"/>
                <w:color w:val="auto"/>
                <w:kern w:val="0"/>
                <w:sz w:val="24"/>
                <w:szCs w:val="24"/>
                <w:lang w:val="en-US" w:eastAsia="zh-CN"/>
              </w:rPr>
              <w:t>元；</w:t>
            </w:r>
          </w:p>
          <w:p w14:paraId="616BFDF1">
            <w:pPr>
              <w:spacing w:line="360" w:lineRule="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其中A包</w:t>
            </w:r>
            <w:r>
              <w:rPr>
                <w:rFonts w:hint="eastAsia" w:ascii="宋体" w:hAnsi="宋体" w:eastAsia="宋体" w:cs="宋体"/>
                <w:color w:val="auto"/>
                <w:kern w:val="0"/>
                <w:sz w:val="24"/>
                <w:szCs w:val="24"/>
                <w:lang w:val="en-US" w:eastAsia="zh-CN"/>
              </w:rPr>
              <w:t>：541936.26 元；</w:t>
            </w:r>
          </w:p>
          <w:p w14:paraId="05357F77">
            <w:pPr>
              <w:spacing w:line="360" w:lineRule="auto"/>
              <w:rPr>
                <w:rFonts w:hint="default" w:ascii="宋体" w:hAnsi="宋体" w:eastAsia="宋体" w:cs="宋体"/>
                <w:color w:val="auto"/>
                <w:kern w:val="0"/>
                <w:sz w:val="24"/>
                <w:szCs w:val="24"/>
                <w:lang w:val="en-US"/>
              </w:rPr>
            </w:pPr>
            <w:r>
              <w:rPr>
                <w:rFonts w:hint="eastAsia" w:ascii="宋体" w:hAnsi="宋体" w:cs="宋体"/>
                <w:color w:val="auto"/>
                <w:kern w:val="0"/>
                <w:sz w:val="24"/>
                <w:szCs w:val="24"/>
                <w:lang w:val="en-US" w:eastAsia="zh-CN"/>
              </w:rPr>
              <w:t>B包</w:t>
            </w:r>
            <w:r>
              <w:rPr>
                <w:rFonts w:hint="eastAsia" w:ascii="宋体" w:hAnsi="宋体" w:eastAsia="宋体" w:cs="宋体"/>
                <w:color w:val="auto"/>
                <w:kern w:val="0"/>
                <w:sz w:val="24"/>
                <w:szCs w:val="24"/>
                <w:lang w:val="en-US" w:eastAsia="zh-CN"/>
              </w:rPr>
              <w:t>： 270436.69 元</w:t>
            </w:r>
            <w:r>
              <w:rPr>
                <w:rFonts w:hint="eastAsia" w:ascii="宋体" w:hAnsi="宋体" w:cs="宋体"/>
                <w:color w:val="auto"/>
                <w:kern w:val="0"/>
                <w:sz w:val="24"/>
                <w:szCs w:val="24"/>
                <w:lang w:val="en-US" w:eastAsia="zh-CN"/>
              </w:rPr>
              <w:t>；</w:t>
            </w:r>
          </w:p>
          <w:p w14:paraId="1F84F752">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.投标报价高于最高投标限价的视为无效标。</w:t>
            </w:r>
          </w:p>
          <w:p w14:paraId="13225649">
            <w:pPr>
              <w:keepNext w:val="0"/>
              <w:keepLines w:val="0"/>
              <w:suppressLineNumbers w:val="0"/>
              <w:autoSpaceDE w:val="0"/>
              <w:autoSpaceDN w:val="0"/>
              <w:adjustRightInd w:val="0"/>
              <w:spacing w:before="0" w:beforeAutospacing="0" w:after="0" w:afterAutospacing="0" w:line="360" w:lineRule="auto"/>
              <w:ind w:left="0" w:right="0"/>
              <w:jc w:val="left"/>
              <w:rPr>
                <w:rFonts w:hint="default" w:ascii="宋体" w:hAnsi="宋体" w:cs="宋体"/>
                <w:bCs/>
                <w:kern w:val="0"/>
                <w:sz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全部报价均应以人民币为计量货币，并以人民币进行结算。</w:t>
            </w:r>
            <w:r>
              <w:rPr>
                <w:rFonts w:hint="eastAsia" w:ascii="宋体" w:hAnsi="宋体" w:cs="宋体"/>
                <w:bCs/>
                <w:kern w:val="0"/>
                <w:sz w:val="24"/>
              </w:rPr>
              <w:t xml:space="preserve"> </w:t>
            </w:r>
          </w:p>
        </w:tc>
      </w:tr>
      <w:tr w14:paraId="1269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522369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9.5</w:t>
            </w:r>
          </w:p>
        </w:tc>
        <w:tc>
          <w:tcPr>
            <w:tcW w:w="3164" w:type="dxa"/>
            <w:vAlign w:val="center"/>
          </w:tcPr>
          <w:p w14:paraId="0892DDBF">
            <w:pPr>
              <w:keepNext w:val="0"/>
              <w:keepLines w:val="0"/>
              <w:suppressLineNumbers w:val="0"/>
              <w:spacing w:before="0" w:beforeAutospacing="0" w:after="0" w:afterAutospacing="0" w:line="360" w:lineRule="auto"/>
              <w:ind w:left="0" w:right="0" w:firstLine="720" w:firstLineChars="300"/>
              <w:rPr>
                <w:rFonts w:hint="default" w:ascii="宋体" w:hAnsi="宋体" w:cs="宋体"/>
                <w:sz w:val="24"/>
              </w:rPr>
            </w:pPr>
            <w:r>
              <w:rPr>
                <w:rFonts w:hint="eastAsia" w:ascii="宋体" w:hAnsi="宋体" w:cs="宋体"/>
                <w:sz w:val="24"/>
              </w:rPr>
              <w:t>招标代理服务费</w:t>
            </w:r>
          </w:p>
        </w:tc>
        <w:tc>
          <w:tcPr>
            <w:tcW w:w="6125" w:type="dxa"/>
            <w:vAlign w:val="center"/>
          </w:tcPr>
          <w:p w14:paraId="2D5EA3A6">
            <w:pPr>
              <w:keepNext w:val="0"/>
              <w:keepLines w:val="0"/>
              <w:suppressLineNumbers w:val="0"/>
              <w:spacing w:before="0" w:beforeAutospacing="0" w:after="0" w:afterAutospacing="0" w:line="360" w:lineRule="auto"/>
              <w:ind w:left="0" w:right="0"/>
              <w:rPr>
                <w:rFonts w:hint="eastAsia" w:ascii="宋体" w:hAnsi="宋体" w:cs="宋体"/>
                <w:sz w:val="24"/>
                <w:lang w:eastAsia="zh-CN"/>
              </w:rPr>
            </w:pPr>
            <w:r>
              <w:rPr>
                <w:rFonts w:hint="eastAsia" w:ascii="宋体" w:hAnsi="宋体" w:cs="宋体"/>
                <w:sz w:val="24"/>
              </w:rPr>
              <w:t>代理费用收取方式：转账</w:t>
            </w:r>
            <w:r>
              <w:rPr>
                <w:rFonts w:hint="eastAsia" w:ascii="宋体" w:hAnsi="宋体" w:cs="宋体"/>
                <w:sz w:val="24"/>
                <w:lang w:eastAsia="zh-CN"/>
              </w:rPr>
              <w:t>或现金</w:t>
            </w:r>
          </w:p>
          <w:p w14:paraId="0749E529">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lang w:val="en-US" w:eastAsia="zh-CN"/>
              </w:rPr>
              <w:t>招标代理服务收费参照豫招协[2023]002号河南省招标投标协会关于印发《河南省招标代理服务收费指导意见》规定的收费标准收取中标服务费。招标代理服务收费按差额定率累进法计算。代理服务费由中标人支付</w:t>
            </w:r>
            <w:r>
              <w:rPr>
                <w:rFonts w:hint="eastAsia" w:ascii="宋体" w:hAnsi="宋体" w:cs="宋体"/>
                <w:sz w:val="24"/>
              </w:rPr>
              <w:t>。</w:t>
            </w:r>
          </w:p>
          <w:p w14:paraId="3C3BC92A">
            <w:pPr>
              <w:keepNext w:val="0"/>
              <w:keepLines w:val="0"/>
              <w:suppressLineNumbers w:val="0"/>
              <w:spacing w:before="0" w:beforeAutospacing="0" w:after="0" w:afterAutospacing="0" w:line="600" w:lineRule="exact"/>
              <w:ind w:left="0" w:right="0"/>
              <w:rPr>
                <w:rFonts w:hint="eastAsia" w:ascii="宋体" w:hAnsi="宋体" w:eastAsia="宋体" w:cs="宋体"/>
                <w:color w:val="000000"/>
                <w:spacing w:val="6"/>
                <w:sz w:val="24"/>
                <w:szCs w:val="24"/>
                <w:highlight w:val="none"/>
              </w:rPr>
            </w:pPr>
            <w:r>
              <w:rPr>
                <w:rFonts w:hint="eastAsia" w:ascii="宋体" w:hAnsi="宋体" w:eastAsia="宋体" w:cs="宋体"/>
                <w:color w:val="000000"/>
                <w:spacing w:val="6"/>
                <w:sz w:val="24"/>
                <w:szCs w:val="24"/>
                <w:highlight w:val="none"/>
              </w:rPr>
              <w:t>收款单位：</w:t>
            </w:r>
            <w:r>
              <w:rPr>
                <w:rFonts w:hint="eastAsia" w:ascii="宋体" w:hAnsi="宋体" w:eastAsia="宋体" w:cs="宋体"/>
                <w:color w:val="000000"/>
                <w:spacing w:val="6"/>
                <w:sz w:val="24"/>
                <w:szCs w:val="24"/>
                <w:highlight w:val="none"/>
                <w:lang w:val="en-US" w:eastAsia="zh-CN"/>
              </w:rPr>
              <w:t>河南知信合工程咨询有限公司</w:t>
            </w:r>
          </w:p>
          <w:p w14:paraId="687BFB6A">
            <w:pPr>
              <w:keepNext w:val="0"/>
              <w:keepLines w:val="0"/>
              <w:suppressLineNumbers w:val="0"/>
              <w:spacing w:before="0" w:beforeAutospacing="0" w:after="0" w:afterAutospacing="0" w:line="600" w:lineRule="exact"/>
              <w:ind w:left="0" w:right="0"/>
              <w:rPr>
                <w:rFonts w:hint="eastAsia" w:ascii="宋体" w:hAnsi="宋体" w:eastAsia="宋体" w:cs="宋体"/>
                <w:color w:val="000000"/>
                <w:spacing w:val="6"/>
                <w:sz w:val="24"/>
                <w:szCs w:val="24"/>
                <w:highlight w:val="none"/>
              </w:rPr>
            </w:pPr>
            <w:r>
              <w:rPr>
                <w:rFonts w:hint="eastAsia" w:ascii="宋体" w:hAnsi="宋体" w:eastAsia="宋体" w:cs="宋体"/>
                <w:color w:val="000000"/>
                <w:spacing w:val="6"/>
                <w:sz w:val="24"/>
                <w:szCs w:val="24"/>
                <w:highlight w:val="none"/>
              </w:rPr>
              <w:t>开户行：</w:t>
            </w:r>
            <w:r>
              <w:rPr>
                <w:rFonts w:hint="eastAsia" w:ascii="宋体" w:hAnsi="宋体" w:eastAsia="宋体" w:cs="宋体"/>
                <w:color w:val="000000"/>
                <w:spacing w:val="6"/>
                <w:sz w:val="24"/>
                <w:szCs w:val="24"/>
                <w:highlight w:val="none"/>
                <w:lang w:val="en-US" w:eastAsia="zh-CN"/>
              </w:rPr>
              <w:t>中原银行股份有限公司三门峡永兴街支行</w:t>
            </w:r>
          </w:p>
          <w:p w14:paraId="213816FE">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eastAsia="宋体" w:cs="宋体"/>
                <w:color w:val="000000"/>
                <w:spacing w:val="6"/>
                <w:sz w:val="24"/>
                <w:szCs w:val="24"/>
                <w:highlight w:val="none"/>
              </w:rPr>
              <w:t>账号：</w:t>
            </w:r>
            <w:r>
              <w:rPr>
                <w:rFonts w:hint="eastAsia" w:ascii="宋体" w:hAnsi="宋体" w:eastAsia="宋体" w:cs="宋体"/>
                <w:color w:val="000000"/>
                <w:spacing w:val="6"/>
                <w:sz w:val="24"/>
                <w:szCs w:val="24"/>
                <w:highlight w:val="none"/>
                <w:lang w:val="en-US" w:eastAsia="zh-CN"/>
              </w:rPr>
              <w:t>411207010100018501</w:t>
            </w:r>
            <w:r>
              <w:rPr>
                <w:rFonts w:hint="eastAsia" w:ascii="宋体" w:hAnsi="宋体" w:eastAsia="宋体" w:cs="宋体"/>
                <w:color w:val="000000"/>
                <w:spacing w:val="6"/>
                <w:sz w:val="24"/>
                <w:szCs w:val="24"/>
                <w:highlight w:val="none"/>
              </w:rPr>
              <w:t xml:space="preserve"> </w:t>
            </w:r>
          </w:p>
          <w:p w14:paraId="1DEFCE15">
            <w:pPr>
              <w:pStyle w:val="26"/>
              <w:ind w:left="0" w:leftChars="0" w:firstLine="0" w:firstLineChars="0"/>
              <w:rPr>
                <w:rFonts w:hint="eastAsia" w:eastAsia="宋体"/>
                <w:lang w:val="en-US" w:eastAsia="zh-CN"/>
              </w:rPr>
            </w:pPr>
            <w:r>
              <w:rPr>
                <w:rFonts w:hint="eastAsia" w:ascii="宋体" w:hAnsi="宋体" w:cs="宋体"/>
                <w:b/>
                <w:bCs/>
                <w:color w:val="000000"/>
                <w:spacing w:val="6"/>
                <w:sz w:val="24"/>
              </w:rPr>
              <w:t>成交</w:t>
            </w:r>
            <w:r>
              <w:rPr>
                <w:rFonts w:hint="eastAsia" w:ascii="宋体" w:hAnsi="宋体" w:cs="宋体"/>
                <w:b/>
                <w:bCs/>
                <w:color w:val="000000"/>
                <w:spacing w:val="6"/>
                <w:sz w:val="24"/>
                <w:lang w:eastAsia="en-US"/>
              </w:rPr>
              <w:t>供应商在领取</w:t>
            </w:r>
            <w:r>
              <w:rPr>
                <w:rFonts w:hint="eastAsia" w:ascii="宋体" w:hAnsi="宋体" w:cs="宋体"/>
                <w:b/>
                <w:bCs/>
                <w:color w:val="000000"/>
                <w:spacing w:val="6"/>
                <w:sz w:val="24"/>
              </w:rPr>
              <w:t>成交</w:t>
            </w:r>
            <w:r>
              <w:rPr>
                <w:rFonts w:hint="eastAsia" w:ascii="宋体" w:hAnsi="宋体" w:cs="宋体"/>
                <w:b/>
                <w:bCs/>
                <w:color w:val="000000"/>
                <w:spacing w:val="6"/>
                <w:sz w:val="24"/>
                <w:lang w:eastAsia="en-US"/>
              </w:rPr>
              <w:t>通知书时，须提供</w:t>
            </w:r>
            <w:r>
              <w:rPr>
                <w:rFonts w:hint="eastAsia" w:ascii="宋体" w:hAnsi="宋体" w:cs="宋体"/>
                <w:b/>
                <w:bCs/>
                <w:color w:val="000000"/>
                <w:spacing w:val="6"/>
                <w:sz w:val="24"/>
              </w:rPr>
              <w:t>投标</w:t>
            </w:r>
            <w:r>
              <w:rPr>
                <w:rFonts w:hint="eastAsia" w:ascii="宋体" w:hAnsi="宋体" w:cs="宋体"/>
                <w:b/>
                <w:bCs/>
                <w:color w:val="000000"/>
                <w:spacing w:val="6"/>
                <w:sz w:val="24"/>
                <w:lang w:eastAsia="en-US"/>
              </w:rPr>
              <w:t>文件（上传稿）纸质资料</w:t>
            </w:r>
            <w:r>
              <w:rPr>
                <w:rFonts w:hint="eastAsia" w:ascii="宋体" w:hAnsi="宋体" w:cs="宋体"/>
                <w:b/>
                <w:bCs/>
                <w:color w:val="000000"/>
                <w:spacing w:val="6"/>
                <w:sz w:val="24"/>
                <w:lang w:val="en-US" w:eastAsia="zh-CN"/>
              </w:rPr>
              <w:t>二</w:t>
            </w:r>
            <w:r>
              <w:rPr>
                <w:rFonts w:hint="eastAsia" w:ascii="宋体" w:hAnsi="宋体" w:cs="宋体"/>
                <w:b/>
                <w:bCs/>
                <w:color w:val="000000"/>
                <w:spacing w:val="6"/>
                <w:sz w:val="24"/>
                <w:lang w:eastAsia="en-US"/>
              </w:rPr>
              <w:t>套，需加盖单位公章，胶装成册</w:t>
            </w:r>
            <w:r>
              <w:rPr>
                <w:rFonts w:hint="eastAsia" w:ascii="宋体" w:hAnsi="宋体" w:cs="宋体"/>
                <w:b/>
                <w:bCs/>
                <w:color w:val="000000"/>
                <w:spacing w:val="6"/>
                <w:sz w:val="24"/>
                <w:lang w:eastAsia="zh-CN"/>
              </w:rPr>
              <w:t>。</w:t>
            </w:r>
          </w:p>
        </w:tc>
      </w:tr>
      <w:tr w14:paraId="50BB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CBCAD9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bookmarkStart w:id="6" w:name="_Toc466284452"/>
            <w:bookmarkStart w:id="7" w:name="_Toc14871"/>
            <w:r>
              <w:rPr>
                <w:rFonts w:hint="eastAsia" w:ascii="宋体" w:hAnsi="宋体" w:cs="宋体"/>
                <w:kern w:val="0"/>
                <w:sz w:val="24"/>
              </w:rPr>
              <w:t>9.6</w:t>
            </w:r>
          </w:p>
        </w:tc>
        <w:tc>
          <w:tcPr>
            <w:tcW w:w="3164" w:type="dxa"/>
            <w:vAlign w:val="center"/>
          </w:tcPr>
          <w:p w14:paraId="200046A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宋体" w:hAnsi="宋体" w:cs="宋体"/>
                <w:kern w:val="0"/>
                <w:sz w:val="24"/>
              </w:rPr>
            </w:pPr>
            <w:r>
              <w:rPr>
                <w:rFonts w:hint="eastAsia" w:ascii="宋体" w:hAnsi="宋体" w:cs="宋体"/>
                <w:kern w:val="0"/>
                <w:sz w:val="24"/>
              </w:rPr>
              <w:t>其他声明</w:t>
            </w:r>
          </w:p>
        </w:tc>
        <w:tc>
          <w:tcPr>
            <w:tcW w:w="6125" w:type="dxa"/>
            <w:vAlign w:val="center"/>
          </w:tcPr>
          <w:p w14:paraId="654CB2C2">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1、本项目为电子化、无纸化交易项目，磋商时不再接受任何纸质资料，供应商按要求在三门峡市公共资源电子化交易系统中提交电子化磋商响应文件即可。为保证您能成功参加竞标，请需仔细阅读磋商文件和三门峡市公共资源交易中心官网业务办理指南；</w:t>
            </w:r>
          </w:p>
          <w:p w14:paraId="3721FCDE">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2、在符合相关法律法规的前提下，磋商文件的解释权归采购人所有。本磋商文件中其他部分内容与供应商须知前附表不一致的，以供应商须知前附表为准。</w:t>
            </w:r>
          </w:p>
          <w:p w14:paraId="1D8508FD">
            <w:pPr>
              <w:keepNext w:val="0"/>
              <w:keepLines w:val="0"/>
              <w:suppressLineNumbers w:val="0"/>
              <w:spacing w:before="0" w:beforeAutospacing="0" w:after="0" w:afterAutospacing="0" w:line="360" w:lineRule="auto"/>
              <w:ind w:left="0" w:right="0"/>
              <w:rPr>
                <w:rFonts w:hint="default" w:ascii="宋体" w:hAnsi="宋体" w:cs="宋体"/>
                <w:sz w:val="24"/>
              </w:rPr>
            </w:pPr>
            <w:r>
              <w:rPr>
                <w:rFonts w:hint="eastAsia" w:ascii="宋体" w:hAnsi="宋体" w:cs="宋体"/>
                <w:sz w:val="24"/>
              </w:rPr>
              <w:t>3、本竞争性磋商文件未尽事宜，执行国家、省、市相关规定。</w:t>
            </w:r>
          </w:p>
        </w:tc>
      </w:tr>
    </w:tbl>
    <w:p w14:paraId="31A04B14">
      <w:pPr>
        <w:bidi w:val="0"/>
      </w:pPr>
    </w:p>
    <w:p w14:paraId="17689356">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8" w:name="_Toc20260"/>
      <w:r>
        <w:rPr>
          <w:rFonts w:hint="eastAsia" w:cs="宋体" w:asciiTheme="minorEastAsia" w:hAnsiTheme="minorEastAsia"/>
          <w:b/>
          <w:sz w:val="24"/>
          <w:szCs w:val="24"/>
        </w:rPr>
        <w:t>总则</w:t>
      </w:r>
      <w:bookmarkEnd w:id="6"/>
      <w:bookmarkEnd w:id="7"/>
      <w:bookmarkEnd w:id="8"/>
    </w:p>
    <w:p w14:paraId="2FE267F7">
      <w:pPr>
        <w:tabs>
          <w:tab w:val="left" w:pos="540"/>
        </w:tabs>
        <w:spacing w:line="360" w:lineRule="auto"/>
        <w:outlineLvl w:val="1"/>
        <w:rPr>
          <w:rFonts w:cs="宋体" w:asciiTheme="minorEastAsia" w:hAnsiTheme="minorEastAsia"/>
          <w:sz w:val="24"/>
          <w:szCs w:val="24"/>
        </w:rPr>
      </w:pPr>
      <w:bookmarkStart w:id="9" w:name="_Toc277149365"/>
      <w:bookmarkStart w:id="10" w:name="_Toc6286"/>
      <w:bookmarkStart w:id="11" w:name="_Toc62"/>
      <w:bookmarkStart w:id="12" w:name="_Toc20729"/>
      <w:bookmarkStart w:id="13" w:name="_Toc466284453"/>
      <w:bookmarkStart w:id="14" w:name="_Toc278155328"/>
      <w:bookmarkStart w:id="15" w:name="_Toc27981"/>
      <w:bookmarkStart w:id="16" w:name="_Toc380394466"/>
      <w:r>
        <w:rPr>
          <w:rFonts w:hint="eastAsia" w:cs="宋体" w:asciiTheme="minorEastAsia" w:hAnsiTheme="minorEastAsia"/>
          <w:sz w:val="24"/>
          <w:szCs w:val="24"/>
        </w:rPr>
        <w:t>1.1项目概况</w:t>
      </w:r>
      <w:bookmarkEnd w:id="9"/>
      <w:bookmarkEnd w:id="10"/>
      <w:bookmarkEnd w:id="11"/>
      <w:bookmarkEnd w:id="12"/>
      <w:bookmarkEnd w:id="13"/>
      <w:bookmarkEnd w:id="14"/>
      <w:bookmarkEnd w:id="15"/>
      <w:bookmarkEnd w:id="16"/>
    </w:p>
    <w:p w14:paraId="2AA3F7F7">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1.1.1根据《中华人民共和国政府采购法》等有关法律、法规和规章的规定，本磋商项目已具备竞争性磋商条件，现对本项目进行采购。</w:t>
      </w:r>
    </w:p>
    <w:p w14:paraId="5E56B080">
      <w:pPr>
        <w:tabs>
          <w:tab w:val="left" w:pos="0"/>
        </w:tabs>
        <w:spacing w:line="360" w:lineRule="auto"/>
        <w:ind w:left="420"/>
        <w:rPr>
          <w:rFonts w:cs="宋体" w:asciiTheme="minorEastAsia" w:hAnsiTheme="minorEastAsia"/>
          <w:sz w:val="24"/>
          <w:szCs w:val="24"/>
        </w:rPr>
      </w:pPr>
      <w:bookmarkStart w:id="17" w:name="_Toc270604807"/>
      <w:bookmarkStart w:id="18" w:name="_Toc270604580"/>
      <w:bookmarkStart w:id="19" w:name="_Toc380394470"/>
      <w:bookmarkStart w:id="20" w:name="_Toc277149369"/>
      <w:bookmarkStart w:id="21" w:name="_Toc278155332"/>
      <w:bookmarkStart w:id="22" w:name="_Toc466284457"/>
      <w:bookmarkStart w:id="23" w:name="_Toc269470299"/>
      <w:r>
        <w:rPr>
          <w:rFonts w:hint="eastAsia" w:cs="宋体" w:asciiTheme="minorEastAsia" w:hAnsiTheme="minorEastAsia"/>
          <w:sz w:val="24"/>
          <w:szCs w:val="24"/>
        </w:rPr>
        <w:t>1.1.2本次磋商项目采购人：见供应商须知前附表。</w:t>
      </w:r>
    </w:p>
    <w:p w14:paraId="4E8FFF42">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1.1.3本次磋商项目代理机构：见供应商须知前附表。</w:t>
      </w:r>
    </w:p>
    <w:p w14:paraId="21A35C50">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1.1.4本次磋商项目名称：见供应商须知前附表。</w:t>
      </w:r>
    </w:p>
    <w:p w14:paraId="7F8B2892">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1.1.5本项目实施地点：见供应商须知前附表。</w:t>
      </w:r>
    </w:p>
    <w:p w14:paraId="137E0AEE">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1.1.6本项目工程概况：见供应商须知前附表。</w:t>
      </w:r>
    </w:p>
    <w:p w14:paraId="7EE100ED">
      <w:pPr>
        <w:tabs>
          <w:tab w:val="left" w:pos="540"/>
        </w:tabs>
        <w:spacing w:line="360" w:lineRule="auto"/>
        <w:outlineLvl w:val="1"/>
        <w:rPr>
          <w:rFonts w:cs="宋体" w:asciiTheme="minorEastAsia" w:hAnsiTheme="minorEastAsia"/>
          <w:sz w:val="24"/>
          <w:szCs w:val="24"/>
        </w:rPr>
      </w:pPr>
      <w:bookmarkStart w:id="24" w:name="_Toc277149366"/>
      <w:bookmarkStart w:id="25" w:name="_Toc15779"/>
      <w:bookmarkStart w:id="26" w:name="_Toc278155329"/>
      <w:bookmarkStart w:id="27" w:name="_Toc270604577"/>
      <w:bookmarkStart w:id="28" w:name="_Toc19001"/>
      <w:bookmarkStart w:id="29" w:name="_Toc21477"/>
      <w:bookmarkStart w:id="30" w:name="_Toc270604804"/>
      <w:bookmarkStart w:id="31" w:name="_Toc425761630"/>
      <w:bookmarkStart w:id="32" w:name="_Toc269470296"/>
      <w:bookmarkStart w:id="33" w:name="_Toc26640"/>
      <w:bookmarkStart w:id="34" w:name="_Toc380394467"/>
      <w:r>
        <w:rPr>
          <w:rFonts w:hint="eastAsia" w:cs="宋体" w:asciiTheme="minorEastAsia" w:hAnsiTheme="minorEastAsia"/>
          <w:sz w:val="24"/>
          <w:szCs w:val="24"/>
        </w:rPr>
        <w:t>1.2资金来源和落实情况</w:t>
      </w:r>
      <w:bookmarkEnd w:id="24"/>
      <w:bookmarkEnd w:id="25"/>
      <w:bookmarkEnd w:id="26"/>
      <w:bookmarkEnd w:id="27"/>
      <w:bookmarkEnd w:id="28"/>
      <w:bookmarkEnd w:id="29"/>
      <w:bookmarkEnd w:id="30"/>
      <w:bookmarkEnd w:id="31"/>
      <w:bookmarkEnd w:id="32"/>
      <w:bookmarkEnd w:id="33"/>
      <w:bookmarkEnd w:id="34"/>
    </w:p>
    <w:p w14:paraId="4F3B4077">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1.2.1本采购项目的资金来源：见供应商须知前附表。</w:t>
      </w:r>
    </w:p>
    <w:p w14:paraId="4A33E0E1">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1.2.2本采购项目的资金落实情况：见供应商须知前附表。</w:t>
      </w:r>
    </w:p>
    <w:p w14:paraId="1FB8AF14">
      <w:pPr>
        <w:tabs>
          <w:tab w:val="left" w:pos="540"/>
        </w:tabs>
        <w:spacing w:line="360" w:lineRule="auto"/>
        <w:outlineLvl w:val="1"/>
        <w:rPr>
          <w:rFonts w:cs="宋体" w:asciiTheme="minorEastAsia" w:hAnsiTheme="minorEastAsia"/>
          <w:sz w:val="24"/>
          <w:szCs w:val="24"/>
        </w:rPr>
      </w:pPr>
      <w:bookmarkStart w:id="35" w:name="_Toc285"/>
      <w:bookmarkStart w:id="36" w:name="_Toc270604805"/>
      <w:bookmarkStart w:id="37" w:name="_Toc19528"/>
      <w:bookmarkStart w:id="38" w:name="_Toc425761631"/>
      <w:bookmarkStart w:id="39" w:name="_Toc277149367"/>
      <w:bookmarkStart w:id="40" w:name="_Toc270604578"/>
      <w:bookmarkStart w:id="41" w:name="_Toc23999"/>
      <w:bookmarkStart w:id="42" w:name="_Toc269470297"/>
      <w:bookmarkStart w:id="43" w:name="_Toc380394468"/>
      <w:bookmarkStart w:id="44" w:name="_Toc278155330"/>
      <w:bookmarkStart w:id="45" w:name="_Toc22027"/>
      <w:r>
        <w:rPr>
          <w:rFonts w:hint="eastAsia" w:cs="宋体" w:asciiTheme="minorEastAsia" w:hAnsiTheme="minorEastAsia"/>
          <w:sz w:val="24"/>
          <w:szCs w:val="24"/>
        </w:rPr>
        <w:t>1.3采购范围、工期和质量要求</w:t>
      </w:r>
      <w:bookmarkEnd w:id="35"/>
      <w:bookmarkEnd w:id="36"/>
      <w:bookmarkEnd w:id="37"/>
      <w:bookmarkEnd w:id="38"/>
      <w:bookmarkEnd w:id="39"/>
      <w:bookmarkEnd w:id="40"/>
      <w:bookmarkEnd w:id="41"/>
      <w:bookmarkEnd w:id="42"/>
      <w:bookmarkEnd w:id="43"/>
      <w:bookmarkEnd w:id="44"/>
      <w:bookmarkEnd w:id="45"/>
    </w:p>
    <w:p w14:paraId="6BA67691">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1.3.1本次采购范围：见供应商须知前附表。</w:t>
      </w:r>
    </w:p>
    <w:p w14:paraId="7F877925">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1.3.2本项目的工期要求：见供应商须知前附表。</w:t>
      </w:r>
    </w:p>
    <w:p w14:paraId="4DAC93A2">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1.3.3本项目的质量要求：见供应商须知前附表。</w:t>
      </w:r>
    </w:p>
    <w:p w14:paraId="721F0A4B">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1.3.4本项目的质保期要求：见供应商须知前附表。</w:t>
      </w:r>
    </w:p>
    <w:p w14:paraId="55081CE5">
      <w:pPr>
        <w:tabs>
          <w:tab w:val="left" w:pos="540"/>
        </w:tabs>
        <w:spacing w:line="360" w:lineRule="auto"/>
        <w:outlineLvl w:val="1"/>
        <w:rPr>
          <w:rFonts w:cs="宋体" w:asciiTheme="minorEastAsia" w:hAnsiTheme="minorEastAsia"/>
          <w:sz w:val="24"/>
          <w:szCs w:val="24"/>
        </w:rPr>
      </w:pPr>
      <w:bookmarkStart w:id="46" w:name="_Toc269470298"/>
      <w:bookmarkStart w:id="47" w:name="_Toc270604579"/>
      <w:bookmarkStart w:id="48" w:name="_Toc2252"/>
      <w:bookmarkStart w:id="49" w:name="_Toc380394469"/>
      <w:bookmarkStart w:id="50" w:name="_Toc425761632"/>
      <w:bookmarkStart w:id="51" w:name="_Toc6153"/>
      <w:bookmarkStart w:id="52" w:name="_Toc278155331"/>
      <w:bookmarkStart w:id="53" w:name="_Toc22973"/>
      <w:bookmarkStart w:id="54" w:name="_Toc270604806"/>
      <w:bookmarkStart w:id="55" w:name="_Toc277149368"/>
      <w:bookmarkStart w:id="56" w:name="_Toc15861"/>
      <w:r>
        <w:rPr>
          <w:rFonts w:hint="eastAsia" w:cs="宋体" w:asciiTheme="minorEastAsia" w:hAnsiTheme="minorEastAsia"/>
          <w:sz w:val="24"/>
          <w:szCs w:val="24"/>
        </w:rPr>
        <w:t>1.4供应商资格要求</w:t>
      </w:r>
      <w:bookmarkEnd w:id="46"/>
      <w:r>
        <w:rPr>
          <w:rFonts w:hint="eastAsia" w:cs="宋体" w:asciiTheme="minorEastAsia" w:hAnsiTheme="minorEastAsia"/>
          <w:sz w:val="24"/>
          <w:szCs w:val="24"/>
        </w:rPr>
        <w:t>：见供应商须知前附表。</w:t>
      </w:r>
      <w:bookmarkEnd w:id="47"/>
      <w:bookmarkEnd w:id="48"/>
      <w:bookmarkEnd w:id="49"/>
      <w:bookmarkEnd w:id="50"/>
      <w:bookmarkEnd w:id="51"/>
      <w:bookmarkEnd w:id="52"/>
      <w:bookmarkEnd w:id="53"/>
      <w:bookmarkEnd w:id="54"/>
      <w:bookmarkEnd w:id="55"/>
      <w:bookmarkEnd w:id="56"/>
    </w:p>
    <w:p w14:paraId="0D5AC87B">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 xml:space="preserve">1.4.1 </w:t>
      </w:r>
      <w:r>
        <w:rPr>
          <w:rFonts w:hint="eastAsia" w:cs="宋体" w:asciiTheme="minorEastAsia" w:hAnsiTheme="minorEastAsia"/>
          <w:sz w:val="24"/>
          <w:szCs w:val="24"/>
          <w:lang w:eastAsia="zh-CN"/>
        </w:rPr>
        <w:t>供应商</w:t>
      </w:r>
      <w:r>
        <w:rPr>
          <w:rFonts w:cs="宋体" w:asciiTheme="minorEastAsia" w:hAnsiTheme="minorEastAsia"/>
          <w:sz w:val="24"/>
          <w:szCs w:val="24"/>
        </w:rPr>
        <w:t>应具备承担本</w:t>
      </w:r>
      <w:r>
        <w:rPr>
          <w:rFonts w:hint="eastAsia" w:cs="宋体" w:asciiTheme="minorEastAsia" w:hAnsiTheme="minorEastAsia"/>
          <w:sz w:val="24"/>
          <w:szCs w:val="24"/>
        </w:rPr>
        <w:t>项目</w:t>
      </w:r>
      <w:r>
        <w:rPr>
          <w:rFonts w:cs="宋体" w:asciiTheme="minorEastAsia" w:hAnsiTheme="minorEastAsia"/>
          <w:sz w:val="24"/>
          <w:szCs w:val="24"/>
        </w:rPr>
        <w:t>的资质条件、能力和信誉。</w:t>
      </w:r>
    </w:p>
    <w:p w14:paraId="2E7416A3">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（1）资质条件：见</w:t>
      </w:r>
      <w:r>
        <w:rPr>
          <w:rFonts w:hint="eastAsia" w:cs="宋体" w:asciiTheme="minorEastAsia" w:hAnsiTheme="minorEastAsia"/>
          <w:sz w:val="24"/>
          <w:szCs w:val="24"/>
          <w:lang w:eastAsia="zh-CN"/>
        </w:rPr>
        <w:t>供应商</w:t>
      </w:r>
      <w:r>
        <w:rPr>
          <w:rFonts w:cs="宋体" w:asciiTheme="minorEastAsia" w:hAnsiTheme="minorEastAsia"/>
          <w:sz w:val="24"/>
          <w:szCs w:val="24"/>
        </w:rPr>
        <w:t>须知前附表；</w:t>
      </w:r>
    </w:p>
    <w:p w14:paraId="72328E42">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w:t>
      </w:r>
      <w:r>
        <w:rPr>
          <w:rFonts w:hint="eastAsia" w:cs="宋体" w:asciiTheme="minorEastAsia" w:hAnsiTheme="minorEastAsia"/>
          <w:sz w:val="24"/>
          <w:szCs w:val="24"/>
        </w:rPr>
        <w:t>2</w:t>
      </w:r>
      <w:r>
        <w:rPr>
          <w:rFonts w:cs="宋体" w:asciiTheme="minorEastAsia" w:hAnsiTheme="minorEastAsia"/>
          <w:sz w:val="24"/>
          <w:szCs w:val="24"/>
        </w:rPr>
        <w:t>）项目</w:t>
      </w:r>
      <w:r>
        <w:rPr>
          <w:rFonts w:hint="eastAsia" w:cs="宋体" w:asciiTheme="minorEastAsia" w:hAnsiTheme="minorEastAsia"/>
          <w:sz w:val="24"/>
          <w:szCs w:val="24"/>
        </w:rPr>
        <w:t>经理</w:t>
      </w:r>
      <w:r>
        <w:rPr>
          <w:rFonts w:cs="宋体" w:asciiTheme="minorEastAsia" w:hAnsiTheme="minorEastAsia"/>
          <w:sz w:val="24"/>
          <w:szCs w:val="24"/>
        </w:rPr>
        <w:t>资格：见</w:t>
      </w:r>
      <w:r>
        <w:rPr>
          <w:rFonts w:hint="eastAsia" w:cs="宋体" w:asciiTheme="minorEastAsia" w:hAnsiTheme="minorEastAsia"/>
          <w:sz w:val="24"/>
          <w:szCs w:val="24"/>
          <w:lang w:eastAsia="zh-CN"/>
        </w:rPr>
        <w:t>供应商</w:t>
      </w:r>
      <w:r>
        <w:rPr>
          <w:rFonts w:cs="宋体" w:asciiTheme="minorEastAsia" w:hAnsiTheme="minorEastAsia"/>
          <w:sz w:val="24"/>
          <w:szCs w:val="24"/>
        </w:rPr>
        <w:t>须知前附表；</w:t>
      </w:r>
    </w:p>
    <w:p w14:paraId="0188B09E">
      <w:pPr>
        <w:tabs>
          <w:tab w:val="left" w:pos="540"/>
        </w:tabs>
        <w:spacing w:line="360" w:lineRule="auto"/>
        <w:ind w:firstLine="480" w:firstLineChars="200"/>
        <w:outlineLvl w:val="1"/>
        <w:rPr>
          <w:rFonts w:cs="宋体" w:asciiTheme="minorEastAsia" w:hAnsiTheme="minorEastAsia"/>
          <w:sz w:val="24"/>
          <w:szCs w:val="24"/>
        </w:rPr>
      </w:pPr>
      <w:r>
        <w:rPr>
          <w:rFonts w:hint="eastAsia" w:cs="宋体" w:asciiTheme="minorEastAsia" w:hAnsiTheme="minorEastAsia"/>
          <w:sz w:val="24"/>
          <w:szCs w:val="24"/>
        </w:rPr>
        <w:t>（</w:t>
      </w:r>
      <w:r>
        <w:rPr>
          <w:rFonts w:cs="宋体" w:asciiTheme="minorEastAsia" w:hAnsiTheme="minorEastAsia"/>
          <w:sz w:val="24"/>
          <w:szCs w:val="24"/>
        </w:rPr>
        <w:t>3</w:t>
      </w:r>
      <w:r>
        <w:rPr>
          <w:rFonts w:hint="eastAsia" w:cs="宋体" w:asciiTheme="minorEastAsia" w:hAnsiTheme="minorEastAsia"/>
          <w:sz w:val="24"/>
          <w:szCs w:val="24"/>
        </w:rPr>
        <w:t>）</w:t>
      </w:r>
      <w:r>
        <w:rPr>
          <w:rFonts w:cs="宋体" w:asciiTheme="minorEastAsia" w:hAnsiTheme="minorEastAsia"/>
          <w:sz w:val="24"/>
          <w:szCs w:val="24"/>
        </w:rPr>
        <w:t>信誉要求：见</w:t>
      </w:r>
      <w:r>
        <w:rPr>
          <w:rFonts w:hint="eastAsia" w:cs="宋体" w:asciiTheme="minorEastAsia" w:hAnsiTheme="minorEastAsia"/>
          <w:sz w:val="24"/>
          <w:szCs w:val="24"/>
          <w:lang w:eastAsia="zh-CN"/>
        </w:rPr>
        <w:t>供应商</w:t>
      </w:r>
      <w:r>
        <w:rPr>
          <w:rFonts w:cs="宋体" w:asciiTheme="minorEastAsia" w:hAnsiTheme="minorEastAsia"/>
          <w:sz w:val="24"/>
          <w:szCs w:val="24"/>
        </w:rPr>
        <w:t>须知前附表</w:t>
      </w:r>
      <w:r>
        <w:rPr>
          <w:rFonts w:hint="eastAsia" w:cs="宋体" w:asciiTheme="minorEastAsia" w:hAnsiTheme="minorEastAsia"/>
          <w:sz w:val="24"/>
          <w:szCs w:val="24"/>
        </w:rPr>
        <w:t>；</w:t>
      </w:r>
    </w:p>
    <w:p w14:paraId="73AF1B9E">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（4）其他要求：见</w:t>
      </w:r>
      <w:r>
        <w:rPr>
          <w:rFonts w:hint="eastAsia" w:cs="宋体" w:asciiTheme="minorEastAsia" w:hAnsiTheme="minorEastAsia"/>
          <w:sz w:val="24"/>
          <w:szCs w:val="24"/>
          <w:lang w:eastAsia="zh-CN"/>
        </w:rPr>
        <w:t>供应商</w:t>
      </w:r>
      <w:r>
        <w:rPr>
          <w:rFonts w:cs="宋体" w:asciiTheme="minorEastAsia" w:hAnsiTheme="minorEastAsia"/>
          <w:sz w:val="24"/>
          <w:szCs w:val="24"/>
        </w:rPr>
        <w:t>须知前附表。</w:t>
      </w:r>
    </w:p>
    <w:p w14:paraId="721A3335">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 xml:space="preserve">1.4.2 </w:t>
      </w:r>
      <w:r>
        <w:rPr>
          <w:rFonts w:hint="eastAsia" w:cs="宋体" w:asciiTheme="minorEastAsia" w:hAnsiTheme="minorEastAsia"/>
          <w:sz w:val="24"/>
          <w:szCs w:val="24"/>
        </w:rPr>
        <w:t>本项目不接受联合体投标。</w:t>
      </w:r>
    </w:p>
    <w:p w14:paraId="1DF36CD7">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 xml:space="preserve">1.4.3 </w:t>
      </w:r>
      <w:r>
        <w:rPr>
          <w:rFonts w:hint="eastAsia" w:cs="宋体" w:asciiTheme="minorEastAsia" w:hAnsiTheme="minorEastAsia"/>
          <w:sz w:val="24"/>
          <w:szCs w:val="24"/>
          <w:lang w:eastAsia="zh-CN"/>
        </w:rPr>
        <w:t>供应商</w:t>
      </w:r>
      <w:r>
        <w:rPr>
          <w:rFonts w:cs="宋体" w:asciiTheme="minorEastAsia" w:hAnsiTheme="minorEastAsia"/>
          <w:sz w:val="24"/>
          <w:szCs w:val="24"/>
        </w:rPr>
        <w:t>不得存在下列情形之一：</w:t>
      </w:r>
    </w:p>
    <w:p w14:paraId="38217596">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 xml:space="preserve">（1）为招标人不具有独立法人资格的附属机构（单位）； </w:t>
      </w:r>
    </w:p>
    <w:p w14:paraId="1D78E6D0">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（2）为本标段前期准备提供设计或咨询服务的，但设计施工总承包的除外；</w:t>
      </w:r>
    </w:p>
    <w:p w14:paraId="76875711">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（3）为本标段的监理人；</w:t>
      </w:r>
    </w:p>
    <w:p w14:paraId="33BE74DA">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（4）为本标段的代建人；</w:t>
      </w:r>
    </w:p>
    <w:p w14:paraId="0B690B70">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（5）为本标段提供招标代理服务的；</w:t>
      </w:r>
    </w:p>
    <w:p w14:paraId="5B4DBC9C">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（6）与本标段的监理人或代建人或招标代理机构同为一个法定代表人的；</w:t>
      </w:r>
    </w:p>
    <w:p w14:paraId="3DA0DB32">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（7）与本标段的监理人或代建人或招标代理机构相互控股或参股的；</w:t>
      </w:r>
    </w:p>
    <w:p w14:paraId="72421D67">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（8）与本标段的监理人或代建人或招标代理机构相互任职或工作的；</w:t>
      </w:r>
    </w:p>
    <w:p w14:paraId="2192AACD">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（9）被责令停业的；</w:t>
      </w:r>
    </w:p>
    <w:p w14:paraId="5D83ABDE">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（10）被暂停或取消投标资格的；</w:t>
      </w:r>
    </w:p>
    <w:p w14:paraId="35765803">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（11）财产被接管或冻结的；</w:t>
      </w:r>
    </w:p>
    <w:p w14:paraId="743C748C">
      <w:pPr>
        <w:tabs>
          <w:tab w:val="left" w:pos="540"/>
        </w:tabs>
        <w:spacing w:line="360" w:lineRule="auto"/>
        <w:ind w:firstLine="480" w:firstLineChars="200"/>
        <w:outlineLvl w:val="1"/>
        <w:rPr>
          <w:rFonts w:cs="宋体" w:asciiTheme="minorEastAsia" w:hAnsiTheme="minorEastAsia"/>
          <w:sz w:val="24"/>
          <w:szCs w:val="24"/>
        </w:rPr>
      </w:pPr>
      <w:r>
        <w:rPr>
          <w:rFonts w:cs="宋体" w:asciiTheme="minorEastAsia" w:hAnsiTheme="minorEastAsia"/>
          <w:sz w:val="24"/>
          <w:szCs w:val="24"/>
        </w:rPr>
        <w:t>（12）在最近三年内有骗取中标或严重违约或重大工程质量问题的。</w:t>
      </w:r>
    </w:p>
    <w:p w14:paraId="3A783C87">
      <w:pPr>
        <w:tabs>
          <w:tab w:val="left" w:pos="540"/>
        </w:tabs>
        <w:spacing w:line="360" w:lineRule="auto"/>
        <w:outlineLvl w:val="1"/>
        <w:rPr>
          <w:rFonts w:cs="宋体" w:asciiTheme="minorEastAsia" w:hAnsiTheme="minorEastAsia"/>
          <w:sz w:val="24"/>
          <w:szCs w:val="24"/>
        </w:rPr>
      </w:pPr>
      <w:bookmarkStart w:id="57" w:name="_Toc10549"/>
      <w:bookmarkStart w:id="58" w:name="_Toc976"/>
      <w:bookmarkStart w:id="59" w:name="_Toc25040"/>
      <w:bookmarkStart w:id="60" w:name="_Toc18062"/>
      <w:r>
        <w:rPr>
          <w:rFonts w:hint="eastAsia" w:cs="宋体" w:asciiTheme="minorEastAsia" w:hAnsiTheme="minorEastAsia"/>
          <w:sz w:val="24"/>
          <w:szCs w:val="24"/>
        </w:rPr>
        <w:t>1.5费用承担</w:t>
      </w:r>
      <w:bookmarkEnd w:id="17"/>
      <w:bookmarkEnd w:id="18"/>
      <w:bookmarkEnd w:id="19"/>
      <w:bookmarkEnd w:id="20"/>
      <w:bookmarkEnd w:id="21"/>
      <w:bookmarkEnd w:id="22"/>
      <w:bookmarkEnd w:id="23"/>
      <w:bookmarkEnd w:id="57"/>
      <w:bookmarkEnd w:id="58"/>
      <w:bookmarkEnd w:id="59"/>
      <w:bookmarkEnd w:id="60"/>
    </w:p>
    <w:p w14:paraId="1487845E">
      <w:pPr>
        <w:autoSpaceDE w:val="0"/>
        <w:autoSpaceDN w:val="0"/>
        <w:adjustRightInd w:val="0"/>
        <w:spacing w:line="360" w:lineRule="auto"/>
        <w:ind w:left="-5" w:firstLine="425"/>
        <w:jc w:val="left"/>
        <w:rPr>
          <w:rFonts w:cs="宋体" w:asciiTheme="minorEastAsia" w:hAnsiTheme="minorEastAsia"/>
          <w:sz w:val="24"/>
          <w:szCs w:val="24"/>
        </w:rPr>
      </w:pPr>
      <w:r>
        <w:rPr>
          <w:rFonts w:hint="eastAsia" w:cs="宋体" w:asciiTheme="minorEastAsia" w:hAnsiTheme="minorEastAsia"/>
          <w:sz w:val="24"/>
          <w:szCs w:val="24"/>
        </w:rPr>
        <w:t>1.5.1供应商准备和参加磋商活动发生的一切费用自理。</w:t>
      </w:r>
    </w:p>
    <w:p w14:paraId="2FDEE216">
      <w:pPr>
        <w:tabs>
          <w:tab w:val="left" w:pos="540"/>
        </w:tabs>
        <w:spacing w:line="360" w:lineRule="auto"/>
        <w:outlineLvl w:val="1"/>
        <w:rPr>
          <w:rFonts w:cs="宋体" w:asciiTheme="minorEastAsia" w:hAnsiTheme="minorEastAsia"/>
          <w:sz w:val="24"/>
          <w:szCs w:val="24"/>
        </w:rPr>
      </w:pPr>
      <w:bookmarkStart w:id="61" w:name="_Toc859"/>
      <w:bookmarkStart w:id="62" w:name="_Toc270604581"/>
      <w:bookmarkStart w:id="63" w:name="_Toc23515"/>
      <w:bookmarkStart w:id="64" w:name="_Toc269470300"/>
      <w:bookmarkStart w:id="65" w:name="_Toc270604808"/>
      <w:bookmarkStart w:id="66" w:name="_Toc278155333"/>
      <w:bookmarkStart w:id="67" w:name="_Toc277149370"/>
      <w:bookmarkStart w:id="68" w:name="_Toc7894"/>
      <w:bookmarkStart w:id="69" w:name="_Toc380394471"/>
      <w:bookmarkStart w:id="70" w:name="_Toc1107"/>
      <w:bookmarkStart w:id="71" w:name="_Toc466284458"/>
      <w:r>
        <w:rPr>
          <w:rFonts w:hint="eastAsia" w:cs="宋体" w:asciiTheme="minorEastAsia" w:hAnsiTheme="minorEastAsia"/>
          <w:sz w:val="24"/>
          <w:szCs w:val="24"/>
        </w:rPr>
        <w:t>1.6保密</w:t>
      </w:r>
      <w:bookmarkEnd w:id="61"/>
      <w:bookmarkEnd w:id="62"/>
      <w:bookmarkEnd w:id="63"/>
      <w:bookmarkEnd w:id="64"/>
      <w:bookmarkEnd w:id="65"/>
      <w:bookmarkEnd w:id="66"/>
      <w:bookmarkEnd w:id="67"/>
      <w:bookmarkEnd w:id="68"/>
      <w:bookmarkEnd w:id="69"/>
      <w:bookmarkEnd w:id="70"/>
      <w:bookmarkEnd w:id="71"/>
    </w:p>
    <w:p w14:paraId="772A7BAB">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1.6.1磋商期间，直到授予成交的供应商合同止，凡是与磋商响应文件审查、澄清、评价、比较以及推荐成交候选人等方面的情况，均不得向供应商或其他无关的人员透露。</w:t>
      </w:r>
    </w:p>
    <w:p w14:paraId="1529041D">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1.6.2在磋商过程中，供应商如向磋商小组成员施加任何影响，都将会导致其磋商被拒绝。</w:t>
      </w:r>
    </w:p>
    <w:p w14:paraId="79F431F5">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1.6.3为保证成交结果的公正性，磋商期间直至授予成交供应商合同时，磋商小组成员不得与供应商私1.6.4下交换意见。在磋商结束后，凡与磋商情况有接触的任何人不得也不应将磋商情况扩散出磋商小组成员之外。</w:t>
      </w:r>
    </w:p>
    <w:p w14:paraId="7F5A18AA">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1.6.5参加本项目采购的供应商如对本次评审推荐的拟成交供应商有异议或发现违规违纪行为，请以书面形式向采购人、采购代理机构递交质疑函原件（不接受邮寄、电报、电传、传真、电子数据交换和电子邮件），超过法律规定时间将不再受理。</w:t>
      </w:r>
    </w:p>
    <w:p w14:paraId="4F6221D1">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1.6.6供应商递交的磋商文件不论中标与否均不予退还。</w:t>
      </w:r>
    </w:p>
    <w:p w14:paraId="2C949818">
      <w:pPr>
        <w:tabs>
          <w:tab w:val="left" w:pos="540"/>
        </w:tabs>
        <w:spacing w:line="360" w:lineRule="auto"/>
        <w:outlineLvl w:val="1"/>
        <w:rPr>
          <w:rFonts w:cs="宋体" w:asciiTheme="minorEastAsia" w:hAnsiTheme="minorEastAsia"/>
          <w:sz w:val="24"/>
          <w:szCs w:val="24"/>
        </w:rPr>
      </w:pPr>
      <w:bookmarkStart w:id="72" w:name="_Toc380394472"/>
      <w:bookmarkStart w:id="73" w:name="_Toc270604582"/>
      <w:bookmarkStart w:id="74" w:name="_Toc269470301"/>
      <w:bookmarkStart w:id="75" w:name="_Toc25505"/>
      <w:bookmarkStart w:id="76" w:name="_Toc270604809"/>
      <w:bookmarkStart w:id="77" w:name="_Toc28471"/>
      <w:bookmarkStart w:id="78" w:name="_Toc17801"/>
      <w:bookmarkStart w:id="79" w:name="_Toc29602"/>
      <w:bookmarkStart w:id="80" w:name="_Toc466284459"/>
      <w:bookmarkStart w:id="81" w:name="_Toc277149371"/>
      <w:bookmarkStart w:id="82" w:name="_Toc278155334"/>
      <w:r>
        <w:rPr>
          <w:rFonts w:hint="eastAsia" w:cs="宋体" w:asciiTheme="minorEastAsia" w:hAnsiTheme="minorEastAsia"/>
          <w:sz w:val="24"/>
          <w:szCs w:val="24"/>
        </w:rPr>
        <w:t>1.7语言文字</w:t>
      </w:r>
      <w:bookmarkEnd w:id="72"/>
      <w:bookmarkEnd w:id="73"/>
      <w:bookmarkEnd w:id="74"/>
      <w:bookmarkEnd w:id="75"/>
      <w:bookmarkEnd w:id="76"/>
      <w:bookmarkEnd w:id="77"/>
      <w:bookmarkEnd w:id="78"/>
      <w:bookmarkEnd w:id="79"/>
      <w:bookmarkEnd w:id="80"/>
      <w:bookmarkEnd w:id="81"/>
      <w:bookmarkEnd w:id="82"/>
    </w:p>
    <w:p w14:paraId="714D2338">
      <w:pPr>
        <w:autoSpaceDE w:val="0"/>
        <w:autoSpaceDN w:val="0"/>
        <w:adjustRightInd w:val="0"/>
        <w:spacing w:line="360" w:lineRule="auto"/>
        <w:ind w:left="-5" w:firstLine="425"/>
        <w:jc w:val="left"/>
        <w:rPr>
          <w:rFonts w:cs="宋体" w:asciiTheme="minorEastAsia" w:hAnsiTheme="minorEastAsia"/>
          <w:sz w:val="24"/>
          <w:szCs w:val="24"/>
        </w:rPr>
      </w:pPr>
      <w:r>
        <w:rPr>
          <w:rFonts w:hint="eastAsia" w:cs="宋体" w:asciiTheme="minorEastAsia" w:hAnsiTheme="minorEastAsia"/>
          <w:sz w:val="24"/>
          <w:szCs w:val="24"/>
        </w:rPr>
        <w:t>1.7.1除专用术语外，与采购有关的语言均使用中文。必要时专用术语应附有中文注释。</w:t>
      </w:r>
    </w:p>
    <w:p w14:paraId="4DE78D5F">
      <w:pPr>
        <w:tabs>
          <w:tab w:val="left" w:pos="540"/>
        </w:tabs>
        <w:spacing w:line="360" w:lineRule="auto"/>
        <w:outlineLvl w:val="1"/>
        <w:rPr>
          <w:rFonts w:cs="宋体" w:asciiTheme="minorEastAsia" w:hAnsiTheme="minorEastAsia"/>
          <w:sz w:val="24"/>
          <w:szCs w:val="24"/>
        </w:rPr>
      </w:pPr>
      <w:bookmarkStart w:id="83" w:name="_Toc9357"/>
      <w:bookmarkStart w:id="84" w:name="_Toc270604583"/>
      <w:bookmarkStart w:id="85" w:name="_Toc380394473"/>
      <w:bookmarkStart w:id="86" w:name="_Toc278155335"/>
      <w:bookmarkStart w:id="87" w:name="_Toc269470302"/>
      <w:bookmarkStart w:id="88" w:name="_Toc9268"/>
      <w:bookmarkStart w:id="89" w:name="_Toc466284460"/>
      <w:bookmarkStart w:id="90" w:name="_Toc277149372"/>
      <w:bookmarkStart w:id="91" w:name="_Toc20169"/>
      <w:bookmarkStart w:id="92" w:name="_Toc270604810"/>
      <w:bookmarkStart w:id="93" w:name="_Toc21514"/>
      <w:r>
        <w:rPr>
          <w:rFonts w:hint="eastAsia" w:cs="宋体" w:asciiTheme="minorEastAsia" w:hAnsiTheme="minorEastAsia"/>
          <w:sz w:val="24"/>
          <w:szCs w:val="24"/>
        </w:rPr>
        <w:t>1.8计量单位</w:t>
      </w:r>
      <w:bookmarkEnd w:id="83"/>
      <w:bookmarkEnd w:id="84"/>
      <w:bookmarkEnd w:id="85"/>
      <w:bookmarkEnd w:id="86"/>
      <w:bookmarkEnd w:id="87"/>
      <w:bookmarkEnd w:id="88"/>
      <w:bookmarkEnd w:id="89"/>
      <w:bookmarkEnd w:id="90"/>
      <w:bookmarkEnd w:id="91"/>
      <w:bookmarkEnd w:id="92"/>
      <w:bookmarkEnd w:id="93"/>
    </w:p>
    <w:p w14:paraId="6CF48E4F">
      <w:pPr>
        <w:autoSpaceDE w:val="0"/>
        <w:autoSpaceDN w:val="0"/>
        <w:adjustRightInd w:val="0"/>
        <w:spacing w:line="360" w:lineRule="auto"/>
        <w:ind w:left="-5" w:firstLine="425"/>
        <w:jc w:val="left"/>
        <w:rPr>
          <w:rFonts w:cs="宋体" w:asciiTheme="minorEastAsia" w:hAnsiTheme="minorEastAsia"/>
          <w:sz w:val="24"/>
          <w:szCs w:val="24"/>
        </w:rPr>
      </w:pPr>
      <w:r>
        <w:rPr>
          <w:rFonts w:hint="eastAsia" w:cs="宋体" w:asciiTheme="minorEastAsia" w:hAnsiTheme="minorEastAsia"/>
          <w:sz w:val="24"/>
          <w:szCs w:val="24"/>
        </w:rPr>
        <w:t>1.8.1所有计量均采用中华人民共和国法定计量单位。</w:t>
      </w:r>
    </w:p>
    <w:p w14:paraId="6D5F4D22">
      <w:pPr>
        <w:tabs>
          <w:tab w:val="left" w:pos="540"/>
        </w:tabs>
        <w:spacing w:line="360" w:lineRule="auto"/>
        <w:outlineLvl w:val="1"/>
        <w:rPr>
          <w:rFonts w:cs="宋体" w:asciiTheme="minorEastAsia" w:hAnsiTheme="minorEastAsia"/>
          <w:sz w:val="24"/>
          <w:szCs w:val="24"/>
        </w:rPr>
      </w:pPr>
      <w:bookmarkStart w:id="94" w:name="_Toc269470303"/>
      <w:bookmarkStart w:id="95" w:name="_Toc277149373"/>
      <w:bookmarkStart w:id="96" w:name="_Toc270604584"/>
      <w:bookmarkStart w:id="97" w:name="_Toc270604811"/>
      <w:bookmarkStart w:id="98" w:name="_Toc22287"/>
      <w:bookmarkStart w:id="99" w:name="_Toc380394474"/>
      <w:bookmarkStart w:id="100" w:name="_Toc25935"/>
      <w:bookmarkStart w:id="101" w:name="_Toc278155336"/>
      <w:bookmarkStart w:id="102" w:name="_Toc9488"/>
      <w:bookmarkStart w:id="103" w:name="_Toc466284461"/>
      <w:bookmarkStart w:id="104" w:name="_Toc27455"/>
      <w:r>
        <w:rPr>
          <w:rFonts w:hint="eastAsia" w:cs="宋体" w:asciiTheme="minorEastAsia" w:hAnsiTheme="minorEastAsia"/>
          <w:sz w:val="24"/>
          <w:szCs w:val="24"/>
        </w:rPr>
        <w:t>1.9踏勘现场</w:t>
      </w:r>
      <w:bookmarkEnd w:id="94"/>
      <w:bookmarkEnd w:id="95"/>
      <w:bookmarkEnd w:id="96"/>
      <w:bookmarkEnd w:id="97"/>
      <w:bookmarkEnd w:id="98"/>
      <w:bookmarkEnd w:id="99"/>
      <w:bookmarkEnd w:id="100"/>
      <w:bookmarkEnd w:id="101"/>
      <w:bookmarkEnd w:id="102"/>
      <w:bookmarkEnd w:id="103"/>
      <w:bookmarkEnd w:id="104"/>
    </w:p>
    <w:p w14:paraId="2A377B70">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1.9.1供应商踏勘现场，所发生的费用自理。</w:t>
      </w:r>
    </w:p>
    <w:p w14:paraId="3B756307">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1.9.2除采购人的原因外，供应商自行承担在踏勘现场中所发生的人员伤亡和财产损失。</w:t>
      </w:r>
    </w:p>
    <w:p w14:paraId="34F54A6F">
      <w:pPr>
        <w:tabs>
          <w:tab w:val="left" w:pos="0"/>
        </w:tabs>
        <w:spacing w:line="360" w:lineRule="auto"/>
        <w:ind w:left="420"/>
        <w:rPr>
          <w:rFonts w:hint="eastAsia" w:cs="宋体" w:asciiTheme="minorEastAsia" w:hAnsiTheme="minorEastAsia"/>
          <w:sz w:val="24"/>
          <w:szCs w:val="24"/>
          <w:lang w:eastAsia="zh-CN"/>
        </w:rPr>
      </w:pPr>
      <w:r>
        <w:rPr>
          <w:rFonts w:hint="eastAsia" w:cs="宋体" w:asciiTheme="minorEastAsia" w:hAnsiTheme="minorEastAsia"/>
          <w:sz w:val="24"/>
          <w:szCs w:val="24"/>
        </w:rPr>
        <w:t>1.9.3采购人在踏勘现场中介绍的项目场地和相关的周边环境情况，供应商在编制磋商响应文件时参考</w:t>
      </w:r>
      <w:r>
        <w:rPr>
          <w:rFonts w:hint="eastAsia" w:cs="宋体" w:asciiTheme="minorEastAsia" w:hAnsiTheme="minorEastAsia"/>
          <w:sz w:val="24"/>
          <w:szCs w:val="24"/>
          <w:lang w:eastAsia="zh-CN"/>
        </w:rPr>
        <w:t>。</w:t>
      </w:r>
    </w:p>
    <w:p w14:paraId="6933C8F6">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1.9.4采购人不对供应商据此作出的判断和决策负责。</w:t>
      </w:r>
    </w:p>
    <w:p w14:paraId="525E497B">
      <w:pPr>
        <w:tabs>
          <w:tab w:val="left" w:pos="540"/>
        </w:tabs>
        <w:spacing w:line="360" w:lineRule="auto"/>
        <w:outlineLvl w:val="1"/>
        <w:rPr>
          <w:rFonts w:cs="宋体" w:asciiTheme="minorEastAsia" w:hAnsiTheme="minorEastAsia"/>
          <w:sz w:val="24"/>
          <w:szCs w:val="24"/>
        </w:rPr>
      </w:pPr>
      <w:bookmarkStart w:id="105" w:name="_Toc270604585"/>
      <w:bookmarkStart w:id="106" w:name="_Toc29208"/>
      <w:bookmarkStart w:id="107" w:name="_Toc1914"/>
      <w:bookmarkStart w:id="108" w:name="_Toc277149374"/>
      <w:bookmarkStart w:id="109" w:name="_Toc1086"/>
      <w:bookmarkStart w:id="110" w:name="_Toc466284462"/>
      <w:bookmarkStart w:id="111" w:name="_Toc269470304"/>
      <w:bookmarkStart w:id="112" w:name="_Toc380394475"/>
      <w:bookmarkStart w:id="113" w:name="_Toc270604812"/>
      <w:bookmarkStart w:id="114" w:name="_Toc19570"/>
      <w:bookmarkStart w:id="115" w:name="_Toc278155337"/>
      <w:r>
        <w:rPr>
          <w:rFonts w:hint="eastAsia" w:cs="宋体" w:asciiTheme="minorEastAsia" w:hAnsiTheme="minorEastAsia"/>
          <w:sz w:val="24"/>
          <w:szCs w:val="24"/>
        </w:rPr>
        <w:t>1.10磋商预备会</w:t>
      </w:r>
      <w:bookmarkEnd w:id="105"/>
      <w:bookmarkEnd w:id="106"/>
      <w:bookmarkEnd w:id="107"/>
      <w:bookmarkEnd w:id="108"/>
      <w:bookmarkEnd w:id="109"/>
      <w:bookmarkEnd w:id="110"/>
      <w:bookmarkEnd w:id="111"/>
      <w:bookmarkEnd w:id="112"/>
      <w:bookmarkEnd w:id="113"/>
      <w:bookmarkEnd w:id="114"/>
      <w:bookmarkEnd w:id="115"/>
    </w:p>
    <w:p w14:paraId="6E45E424">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1.10.1本次竞争性磋商不召开磋商预备会，供应商如有疑问，应通过交易系统提出问题，采购人通过发布公告的形式通知所有参加磋商的供应商。该部分内容为竞争性磋商文件的组成部分。</w:t>
      </w:r>
    </w:p>
    <w:p w14:paraId="757FC306">
      <w:pPr>
        <w:tabs>
          <w:tab w:val="left" w:pos="540"/>
        </w:tabs>
        <w:spacing w:line="360" w:lineRule="auto"/>
        <w:outlineLvl w:val="1"/>
        <w:rPr>
          <w:rFonts w:cs="宋体" w:asciiTheme="minorEastAsia" w:hAnsiTheme="minorEastAsia"/>
          <w:sz w:val="24"/>
          <w:szCs w:val="24"/>
        </w:rPr>
      </w:pPr>
      <w:bookmarkStart w:id="116" w:name="_Toc5818"/>
      <w:bookmarkStart w:id="117" w:name="_Toc270604813"/>
      <w:bookmarkStart w:id="118" w:name="_Toc466284463"/>
      <w:bookmarkStart w:id="119" w:name="_Toc269470305"/>
      <w:bookmarkStart w:id="120" w:name="_Toc270604586"/>
      <w:bookmarkStart w:id="121" w:name="_Toc380394476"/>
      <w:bookmarkStart w:id="122" w:name="_Toc26014"/>
      <w:bookmarkStart w:id="123" w:name="_Toc31773"/>
      <w:bookmarkStart w:id="124" w:name="_Toc278155338"/>
      <w:bookmarkStart w:id="125" w:name="_Toc277149375"/>
      <w:bookmarkStart w:id="126" w:name="_Toc5553"/>
      <w:r>
        <w:rPr>
          <w:rFonts w:hint="eastAsia" w:cs="宋体" w:asciiTheme="minorEastAsia" w:hAnsiTheme="minorEastAsia"/>
          <w:sz w:val="24"/>
          <w:szCs w:val="24"/>
        </w:rPr>
        <w:t>1.11分包</w:t>
      </w:r>
      <w:bookmarkEnd w:id="116"/>
      <w:bookmarkEnd w:id="117"/>
      <w:bookmarkEnd w:id="118"/>
      <w:bookmarkEnd w:id="119"/>
      <w:bookmarkEnd w:id="120"/>
      <w:bookmarkEnd w:id="121"/>
      <w:bookmarkEnd w:id="122"/>
      <w:bookmarkEnd w:id="123"/>
      <w:bookmarkEnd w:id="124"/>
      <w:bookmarkEnd w:id="125"/>
      <w:bookmarkEnd w:id="126"/>
    </w:p>
    <w:p w14:paraId="2C5B4CAE">
      <w:pPr>
        <w:autoSpaceDE w:val="0"/>
        <w:autoSpaceDN w:val="0"/>
        <w:adjustRightInd w:val="0"/>
        <w:spacing w:line="360" w:lineRule="auto"/>
        <w:ind w:left="-5" w:firstLine="425"/>
        <w:jc w:val="left"/>
        <w:rPr>
          <w:rFonts w:cs="宋体" w:asciiTheme="minorEastAsia" w:hAnsiTheme="minorEastAsia"/>
          <w:sz w:val="24"/>
          <w:szCs w:val="24"/>
        </w:rPr>
      </w:pPr>
      <w:r>
        <w:rPr>
          <w:rFonts w:hint="eastAsia" w:cs="宋体" w:asciiTheme="minorEastAsia" w:hAnsiTheme="minorEastAsia"/>
          <w:sz w:val="24"/>
          <w:szCs w:val="24"/>
        </w:rPr>
        <w:t>1.11.1本项目不允许分包。</w:t>
      </w:r>
    </w:p>
    <w:p w14:paraId="0E24594A">
      <w:pPr>
        <w:tabs>
          <w:tab w:val="left" w:pos="540"/>
          <w:tab w:val="left" w:pos="1287"/>
        </w:tabs>
        <w:spacing w:line="360" w:lineRule="auto"/>
        <w:outlineLvl w:val="1"/>
        <w:rPr>
          <w:rFonts w:cs="宋体" w:asciiTheme="minorEastAsia" w:hAnsiTheme="minorEastAsia"/>
          <w:sz w:val="24"/>
          <w:szCs w:val="24"/>
        </w:rPr>
      </w:pPr>
      <w:bookmarkStart w:id="127" w:name="_Toc23705"/>
      <w:bookmarkStart w:id="128" w:name="_Toc308441225"/>
      <w:bookmarkStart w:id="129" w:name="_Toc466284464"/>
      <w:bookmarkStart w:id="130" w:name="_Toc380394477"/>
      <w:bookmarkStart w:id="131" w:name="_Toc270604814"/>
      <w:bookmarkStart w:id="132" w:name="_Toc270604587"/>
      <w:bookmarkStart w:id="133" w:name="_Toc24741"/>
      <w:bookmarkStart w:id="134" w:name="_Toc277149376"/>
      <w:bookmarkStart w:id="135" w:name="_Toc20635"/>
      <w:bookmarkStart w:id="136" w:name="_Toc8438"/>
      <w:bookmarkStart w:id="137" w:name="_Toc269470306"/>
      <w:bookmarkStart w:id="138" w:name="_Toc278155339"/>
      <w:bookmarkStart w:id="139" w:name="_Toc270604588"/>
      <w:r>
        <w:rPr>
          <w:rFonts w:hint="eastAsia" w:cs="宋体" w:asciiTheme="minorEastAsia" w:hAnsiTheme="minorEastAsia"/>
          <w:sz w:val="24"/>
          <w:szCs w:val="24"/>
        </w:rPr>
        <w:t>1.12偏离</w:t>
      </w:r>
      <w:bookmarkEnd w:id="127"/>
      <w:bookmarkEnd w:id="128"/>
      <w:bookmarkEnd w:id="129"/>
      <w:bookmarkEnd w:id="130"/>
      <w:bookmarkEnd w:id="131"/>
      <w:bookmarkEnd w:id="132"/>
      <w:bookmarkEnd w:id="133"/>
      <w:bookmarkEnd w:id="134"/>
      <w:bookmarkEnd w:id="135"/>
      <w:bookmarkEnd w:id="136"/>
      <w:bookmarkEnd w:id="137"/>
      <w:bookmarkEnd w:id="138"/>
    </w:p>
    <w:p w14:paraId="05B41C0E">
      <w:pPr>
        <w:autoSpaceDE w:val="0"/>
        <w:autoSpaceDN w:val="0"/>
        <w:adjustRightInd w:val="0"/>
        <w:spacing w:line="360" w:lineRule="auto"/>
        <w:ind w:left="-5" w:firstLine="425"/>
        <w:jc w:val="left"/>
        <w:rPr>
          <w:rFonts w:cs="宋体" w:asciiTheme="minorEastAsia" w:hAnsiTheme="minorEastAsia"/>
          <w:sz w:val="24"/>
          <w:szCs w:val="24"/>
        </w:rPr>
      </w:pPr>
      <w:r>
        <w:rPr>
          <w:rFonts w:hint="eastAsia" w:cs="宋体" w:asciiTheme="minorEastAsia" w:hAnsiTheme="minorEastAsia"/>
          <w:sz w:val="24"/>
          <w:szCs w:val="24"/>
        </w:rPr>
        <w:t>1.12.1本项目不允许偏离。</w:t>
      </w:r>
    </w:p>
    <w:bookmarkEnd w:id="139"/>
    <w:p w14:paraId="29BD5BAF">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140" w:name="_Toc438797185"/>
      <w:bookmarkStart w:id="141" w:name="_Toc438797950"/>
      <w:bookmarkStart w:id="142" w:name="_Toc391284747"/>
      <w:bookmarkStart w:id="143" w:name="_Toc16608"/>
      <w:bookmarkStart w:id="144" w:name="_Toc27093"/>
      <w:bookmarkStart w:id="145" w:name="_Toc381"/>
      <w:bookmarkStart w:id="146" w:name="_Toc270604594"/>
      <w:bookmarkStart w:id="147" w:name="_Toc270604821"/>
      <w:bookmarkStart w:id="148" w:name="_Toc466284471"/>
      <w:bookmarkStart w:id="149" w:name="_Toc269470313"/>
      <w:bookmarkStart w:id="150" w:name="_Toc278155346"/>
      <w:bookmarkStart w:id="151" w:name="_Toc380394484"/>
      <w:bookmarkStart w:id="152" w:name="_Toc277149383"/>
      <w:r>
        <w:rPr>
          <w:rFonts w:hint="eastAsia" w:cs="宋体" w:asciiTheme="minorEastAsia" w:hAnsiTheme="minorEastAsia"/>
          <w:b/>
          <w:sz w:val="24"/>
          <w:szCs w:val="24"/>
        </w:rPr>
        <w:t>竞争性磋商文件</w:t>
      </w:r>
      <w:bookmarkEnd w:id="140"/>
      <w:bookmarkEnd w:id="141"/>
      <w:bookmarkEnd w:id="142"/>
      <w:bookmarkEnd w:id="143"/>
      <w:bookmarkEnd w:id="144"/>
      <w:bookmarkEnd w:id="145"/>
    </w:p>
    <w:p w14:paraId="5354A434">
      <w:pPr>
        <w:spacing w:line="360" w:lineRule="auto"/>
        <w:ind w:left="-5" w:firstLine="425"/>
        <w:rPr>
          <w:rFonts w:cs="宋体" w:asciiTheme="minorEastAsia" w:hAnsiTheme="minorEastAsia"/>
          <w:kern w:val="0"/>
          <w:sz w:val="24"/>
          <w:szCs w:val="24"/>
        </w:rPr>
      </w:pPr>
      <w:bookmarkStart w:id="153" w:name="_Toc438797186"/>
      <w:bookmarkStart w:id="154" w:name="_Toc391284748"/>
      <w:bookmarkStart w:id="155" w:name="_Toc438797951"/>
      <w:r>
        <w:rPr>
          <w:rFonts w:hint="eastAsia" w:cs="宋体" w:asciiTheme="minorEastAsia" w:hAnsiTheme="minorEastAsia"/>
          <w:kern w:val="0"/>
          <w:sz w:val="24"/>
          <w:szCs w:val="24"/>
        </w:rPr>
        <w:t>2.1 竞争性磋商文件的组成</w:t>
      </w:r>
      <w:bookmarkEnd w:id="153"/>
      <w:bookmarkEnd w:id="154"/>
      <w:bookmarkEnd w:id="155"/>
    </w:p>
    <w:p w14:paraId="12165E2F">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本竞争性磋商文件包括：</w:t>
      </w:r>
    </w:p>
    <w:p w14:paraId="58D92FF3">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第一章  竞争性磋商公告</w:t>
      </w:r>
      <w:r>
        <w:rPr>
          <w:rFonts w:hint="eastAsia" w:cs="宋体" w:asciiTheme="minorEastAsia" w:hAnsiTheme="minorEastAsia"/>
          <w:bCs/>
          <w:sz w:val="24"/>
          <w:szCs w:val="24"/>
        </w:rPr>
        <w:t>；</w:t>
      </w:r>
    </w:p>
    <w:p w14:paraId="0C6FEBC9">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第二章  供应商须知；</w:t>
      </w:r>
    </w:p>
    <w:p w14:paraId="6FB89C4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第三章  评分办法；</w:t>
      </w:r>
    </w:p>
    <w:p w14:paraId="2485814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 xml:space="preserve">第四章  </w:t>
      </w:r>
      <w:r>
        <w:rPr>
          <w:rFonts w:hint="eastAsia" w:cs="宋体" w:asciiTheme="minorEastAsia" w:hAnsiTheme="minorEastAsia"/>
          <w:bCs/>
          <w:kern w:val="0"/>
          <w:sz w:val="24"/>
          <w:szCs w:val="24"/>
        </w:rPr>
        <w:t>技术标准和要求</w:t>
      </w:r>
      <w:r>
        <w:rPr>
          <w:rFonts w:hint="eastAsia" w:cs="宋体" w:asciiTheme="minorEastAsia" w:hAnsiTheme="minorEastAsia"/>
          <w:kern w:val="0"/>
          <w:sz w:val="24"/>
          <w:szCs w:val="24"/>
        </w:rPr>
        <w:t>；</w:t>
      </w:r>
    </w:p>
    <w:p w14:paraId="6E55B51B">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第五章  合同条款及格式；</w:t>
      </w:r>
    </w:p>
    <w:p w14:paraId="15ACCE25">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第六章  磋商响应文件格式；</w:t>
      </w:r>
    </w:p>
    <w:p w14:paraId="568FEF4C">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根据本章第1.10 款、第2.2 款和第2.3 款对竞争性磋商文件所作的澄清、修改，构成竞争性磋商文件的组成部分。</w:t>
      </w:r>
    </w:p>
    <w:p w14:paraId="0893AC38">
      <w:pPr>
        <w:spacing w:line="360" w:lineRule="auto"/>
        <w:ind w:left="-5" w:firstLine="425"/>
        <w:rPr>
          <w:rFonts w:cs="宋体" w:asciiTheme="minorEastAsia" w:hAnsiTheme="minorEastAsia"/>
          <w:b/>
          <w:kern w:val="0"/>
          <w:sz w:val="24"/>
          <w:szCs w:val="24"/>
        </w:rPr>
      </w:pPr>
      <w:bookmarkStart w:id="156" w:name="_Toc391284749"/>
      <w:bookmarkStart w:id="157" w:name="_Toc438797952"/>
      <w:bookmarkStart w:id="158" w:name="_Toc438797187"/>
      <w:r>
        <w:rPr>
          <w:rFonts w:hint="eastAsia" w:cs="宋体" w:asciiTheme="minorEastAsia" w:hAnsiTheme="minorEastAsia"/>
          <w:b/>
          <w:kern w:val="0"/>
          <w:sz w:val="24"/>
          <w:szCs w:val="24"/>
        </w:rPr>
        <w:t>2.2 竞争性磋商文件的澄清</w:t>
      </w:r>
      <w:bookmarkEnd w:id="156"/>
      <w:bookmarkEnd w:id="157"/>
      <w:bookmarkEnd w:id="158"/>
    </w:p>
    <w:p w14:paraId="2974E59F">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2.2.1 供应商应仔细阅读和检查竞争性磋商文件的全部内容。如发现缺页或附件不全，应及时向采购人提出，以便补齐。如有疑问，应在提交磋商响应文件截止时间五日前在电子交易系统中提出，要求采购人对竞争性磋商文件予以澄清，否则，将视为对本竞争性磋商文件要求无任何异议。</w:t>
      </w:r>
    </w:p>
    <w:p w14:paraId="29999210">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2.2.2 竞争性磋商文件的澄清将在供应商须知前附表规定的时间在电子交易系统中以澄清公告的形式告知所有潜在供应商，但不指明澄清问题的来源。</w:t>
      </w:r>
    </w:p>
    <w:p w14:paraId="6DA898A8">
      <w:pPr>
        <w:spacing w:line="360" w:lineRule="auto"/>
        <w:ind w:left="-5" w:firstLine="425"/>
        <w:rPr>
          <w:rFonts w:cs="宋体" w:asciiTheme="minorEastAsia" w:hAnsiTheme="minorEastAsia"/>
          <w:b/>
          <w:kern w:val="0"/>
          <w:sz w:val="24"/>
          <w:szCs w:val="24"/>
        </w:rPr>
      </w:pPr>
      <w:bookmarkStart w:id="159" w:name="_Toc391284750"/>
      <w:bookmarkStart w:id="160" w:name="_Toc438797953"/>
      <w:bookmarkStart w:id="161" w:name="_Toc438797188"/>
      <w:r>
        <w:rPr>
          <w:rFonts w:hint="eastAsia" w:cs="宋体" w:asciiTheme="minorEastAsia" w:hAnsiTheme="minorEastAsia"/>
          <w:b/>
          <w:kern w:val="0"/>
          <w:sz w:val="24"/>
          <w:szCs w:val="24"/>
        </w:rPr>
        <w:t>2.3 竞争性磋商文件的修改</w:t>
      </w:r>
      <w:bookmarkEnd w:id="159"/>
      <w:bookmarkEnd w:id="160"/>
      <w:bookmarkEnd w:id="161"/>
    </w:p>
    <w:p w14:paraId="34D87EC5">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2.3.1 在竞标截止时间5天前，采购人可以在电子交易系统中修改竞争性磋商文件，并以公告的形式告知所有潜在供应商。如果修改竞争性磋商文件的时间距竞标截止时间不足5天，相应延长竞标截止时间。</w:t>
      </w:r>
    </w:p>
    <w:p w14:paraId="3AFE2B60">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2.3.2 采购人一旦对竞争性磋商文件作出了澄清、修改，即刻发生效力，采购人有关的补充文件，将作为竞争性磋商文件的组成部分。无论潜在的竞（投）标人是否实际收到该澄清和修改文件，磋商文件澄清、修改均对其具有约束力。同时，采购人和供应商的权利及义务将受到新的截止期的约束。</w:t>
      </w:r>
    </w:p>
    <w:p w14:paraId="1A6DD19C">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2.3.4 修改（更正）或补充文件将作为竞争性磋商文件的组成部分，对所有供应商具有约束力。当竞争性磋商文件与修改（更正）或补充文件相矛盾时，以最后发出的修改（更正）或补充文件为准。</w:t>
      </w:r>
    </w:p>
    <w:p w14:paraId="7E5AFA5C">
      <w:pPr>
        <w:spacing w:line="360" w:lineRule="auto"/>
        <w:ind w:left="-5" w:firstLine="425"/>
        <w:rPr>
          <w:rFonts w:cs="宋体" w:asciiTheme="minorEastAsia" w:hAnsiTheme="minorEastAsia"/>
          <w:b/>
          <w:kern w:val="0"/>
          <w:sz w:val="24"/>
          <w:szCs w:val="24"/>
        </w:rPr>
      </w:pPr>
      <w:r>
        <w:rPr>
          <w:rFonts w:hint="eastAsia" w:cs="宋体" w:asciiTheme="minorEastAsia" w:hAnsiTheme="minorEastAsia"/>
          <w:b/>
          <w:kern w:val="0"/>
          <w:sz w:val="24"/>
          <w:szCs w:val="24"/>
        </w:rPr>
        <w:t>2.4磋商报价</w:t>
      </w:r>
      <w:bookmarkEnd w:id="146"/>
      <w:bookmarkEnd w:id="147"/>
      <w:bookmarkEnd w:id="148"/>
      <w:bookmarkEnd w:id="149"/>
      <w:bookmarkEnd w:id="150"/>
      <w:bookmarkEnd w:id="151"/>
      <w:bookmarkEnd w:id="152"/>
    </w:p>
    <w:p w14:paraId="76BC2057">
      <w:pPr>
        <w:autoSpaceDE w:val="0"/>
        <w:autoSpaceDN w:val="0"/>
        <w:adjustRightInd w:val="0"/>
        <w:spacing w:line="360" w:lineRule="auto"/>
        <w:ind w:left="-5" w:firstLine="425"/>
        <w:jc w:val="left"/>
        <w:rPr>
          <w:rFonts w:cs="宋体" w:asciiTheme="minorEastAsia" w:hAnsiTheme="minorEastAsia"/>
          <w:kern w:val="0"/>
          <w:sz w:val="24"/>
          <w:szCs w:val="24"/>
        </w:rPr>
      </w:pPr>
      <w:bookmarkStart w:id="162" w:name="_Toc425761648"/>
      <w:bookmarkStart w:id="163" w:name="_Toc373158159"/>
      <w:bookmarkStart w:id="164" w:name="_Toc269470314"/>
      <w:bookmarkStart w:id="165" w:name="_Toc380394485"/>
      <w:bookmarkStart w:id="166" w:name="_Toc399229080"/>
      <w:bookmarkStart w:id="167" w:name="_Toc380394486"/>
      <w:bookmarkStart w:id="168" w:name="_Toc466284472"/>
      <w:r>
        <w:rPr>
          <w:rFonts w:hint="eastAsia" w:cs="宋体" w:asciiTheme="minorEastAsia" w:hAnsiTheme="minorEastAsia"/>
          <w:kern w:val="0"/>
          <w:sz w:val="24"/>
          <w:szCs w:val="24"/>
        </w:rPr>
        <w:t>本项目磋商报价根据市场环境和生产要素价格变化情况及企业自身情况自主报价，但总价不得低于本项目实际成本。</w:t>
      </w:r>
    </w:p>
    <w:p w14:paraId="79C4B02A">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报价编制依据参本工程招标控制价编制依据。</w:t>
      </w:r>
    </w:p>
    <w:bookmarkEnd w:id="162"/>
    <w:bookmarkEnd w:id="163"/>
    <w:bookmarkEnd w:id="164"/>
    <w:bookmarkEnd w:id="165"/>
    <w:bookmarkEnd w:id="166"/>
    <w:p w14:paraId="09F2B5E1">
      <w:pPr>
        <w:spacing w:line="360" w:lineRule="auto"/>
        <w:ind w:left="-5" w:firstLine="425"/>
        <w:rPr>
          <w:rFonts w:cs="宋体" w:asciiTheme="minorEastAsia" w:hAnsiTheme="minorEastAsia"/>
          <w:b/>
          <w:kern w:val="0"/>
          <w:sz w:val="24"/>
          <w:szCs w:val="24"/>
        </w:rPr>
      </w:pPr>
      <w:r>
        <w:rPr>
          <w:rFonts w:hint="eastAsia" w:cs="宋体" w:asciiTheme="minorEastAsia" w:hAnsiTheme="minorEastAsia"/>
          <w:b/>
          <w:kern w:val="0"/>
          <w:sz w:val="24"/>
          <w:szCs w:val="24"/>
        </w:rPr>
        <w:t>2.5磋商有效期</w:t>
      </w:r>
      <w:bookmarkEnd w:id="167"/>
      <w:bookmarkEnd w:id="168"/>
    </w:p>
    <w:p w14:paraId="01E7E76C">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在供应商须知前附表规定的磋商有效期内，供应商不得要求撤销或修改其磋商响应文件。</w:t>
      </w:r>
    </w:p>
    <w:p w14:paraId="59E76D26">
      <w:pPr>
        <w:spacing w:line="360" w:lineRule="auto"/>
        <w:ind w:left="-5" w:firstLine="425"/>
        <w:rPr>
          <w:rFonts w:cs="宋体" w:asciiTheme="minorEastAsia" w:hAnsiTheme="minorEastAsia"/>
          <w:b/>
          <w:kern w:val="0"/>
          <w:sz w:val="24"/>
          <w:szCs w:val="24"/>
        </w:rPr>
      </w:pPr>
      <w:bookmarkStart w:id="169" w:name="_Toc270604823"/>
      <w:bookmarkStart w:id="170" w:name="_Toc278155348"/>
      <w:bookmarkStart w:id="171" w:name="_Toc277149385"/>
      <w:bookmarkStart w:id="172" w:name="_Toc269470318"/>
      <w:bookmarkStart w:id="173" w:name="_Toc380394487"/>
      <w:bookmarkStart w:id="174" w:name="_Toc466284473"/>
      <w:bookmarkStart w:id="175" w:name="_Toc270604596"/>
      <w:r>
        <w:rPr>
          <w:rFonts w:hint="eastAsia" w:cs="宋体" w:asciiTheme="minorEastAsia" w:hAnsiTheme="minorEastAsia"/>
          <w:b/>
          <w:kern w:val="0"/>
          <w:sz w:val="24"/>
          <w:szCs w:val="24"/>
        </w:rPr>
        <w:t>2.6磋商响应文件的编制</w:t>
      </w:r>
      <w:bookmarkEnd w:id="169"/>
      <w:bookmarkEnd w:id="170"/>
      <w:bookmarkEnd w:id="171"/>
      <w:bookmarkEnd w:id="172"/>
      <w:bookmarkEnd w:id="173"/>
      <w:bookmarkEnd w:id="174"/>
      <w:bookmarkEnd w:id="175"/>
      <w:r>
        <w:rPr>
          <w:rFonts w:hint="eastAsia" w:cs="宋体" w:asciiTheme="minorEastAsia" w:hAnsiTheme="minorEastAsia"/>
          <w:b/>
          <w:kern w:val="0"/>
          <w:sz w:val="24"/>
          <w:szCs w:val="24"/>
        </w:rPr>
        <w:t>和签署</w:t>
      </w:r>
    </w:p>
    <w:p w14:paraId="47FF1C8F">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2.6.1磋商响应文件应按第六章“磋商响应文件格式”进行编写，如有必要，可以增加附页，作为磋商响应文件的组成部分。</w:t>
      </w:r>
    </w:p>
    <w:p w14:paraId="226CE543">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2.6.2磋商响应文件应当对竞争性磋商文件有关工期、磋商有效期、质量要求、技术标准和要求、采购范围等实质性内容作出响应。其中，磋商函附录在满足竞争性磋商文件实质性要求的基础上，可以提出比竞争性磋商文件要求更有利于采购人的承诺。</w:t>
      </w:r>
    </w:p>
    <w:p w14:paraId="66FFA5CE">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2.6.3供应商在生成电子化磋商响应文件后，必须对电子化磋商响应文件进行电子签章，未进行签章的视为无效文件。</w:t>
      </w:r>
    </w:p>
    <w:p w14:paraId="46CFABFF">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2.6.4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认真查看。</w:t>
      </w:r>
    </w:p>
    <w:p w14:paraId="0444A49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电子化响应文件制作软件请点击https://download.bqpoint.com/download/downloaddetail.html?SourceFrom=Ztb&amp;ZtbSoftXiaQuCode=1506&amp;ZtbSoftType=tballinclusive进行下载。</w:t>
      </w:r>
    </w:p>
    <w:p w14:paraId="277B7A3D">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b/>
          <w:kern w:val="0"/>
          <w:sz w:val="24"/>
          <w:szCs w:val="24"/>
        </w:rPr>
        <w:t>2.7电子化磋商响应文件的格式</w:t>
      </w:r>
    </w:p>
    <w:p w14:paraId="1B8BC9A4">
      <w:pPr>
        <w:autoSpaceDE w:val="0"/>
        <w:autoSpaceDN w:val="0"/>
        <w:adjustRightInd w:val="0"/>
        <w:spacing w:line="360" w:lineRule="auto"/>
        <w:ind w:left="-5" w:firstLine="425"/>
        <w:jc w:val="left"/>
        <w:rPr>
          <w:rFonts w:cs="宋体" w:asciiTheme="minorEastAsia" w:hAnsiTheme="minorEastAsia"/>
          <w:kern w:val="0"/>
          <w:sz w:val="24"/>
          <w:szCs w:val="24"/>
        </w:rPr>
      </w:pPr>
      <w:bookmarkStart w:id="176" w:name="_Toc428276593"/>
      <w:bookmarkStart w:id="177" w:name="_Toc503885615"/>
      <w:bookmarkStart w:id="178" w:name="_Toc503886951"/>
      <w:bookmarkStart w:id="179" w:name="_Toc503112358"/>
      <w:r>
        <w:rPr>
          <w:rFonts w:hint="eastAsia" w:cs="宋体" w:asciiTheme="minorEastAsia" w:hAnsiTheme="minorEastAsia"/>
          <w:kern w:val="0"/>
          <w:sz w:val="24"/>
          <w:szCs w:val="24"/>
        </w:rPr>
        <w:t>2.7.1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06FD85B3">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注：供应商投报多个标段的，每个标段需要单独制作电子响应文件。</w:t>
      </w:r>
    </w:p>
    <w:p w14:paraId="08025DE4">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b/>
          <w:kern w:val="0"/>
          <w:sz w:val="24"/>
          <w:szCs w:val="24"/>
        </w:rPr>
        <w:t>2.8电子化磋商响应文件的上传</w:t>
      </w:r>
    </w:p>
    <w:p w14:paraId="06D73284">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2.8.1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539C1FC2">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2.8.2按照电子化投标操作教材制作完成的电子化磋商响应文件无法上传的，供应商应在磋商响应文件递交截止时间前尽早的联系中心技术人员，以便有充分的时间进行处理。</w:t>
      </w:r>
    </w:p>
    <w:p w14:paraId="5F133C00">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技术联系电话：0398-3117871；主体库咨询电话:0398-3117815；CA证书制发:0398-2181635；科技信息科:0398-3117095。</w:t>
      </w:r>
    </w:p>
    <w:p w14:paraId="27FF467A">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供应商应充分考虑到处理技术问题和上传数据等工作所需的时间问题，未在磋商响应文件递交截止时间前成功上传的磋商响应文件，不予接收。</w:t>
      </w:r>
    </w:p>
    <w:p w14:paraId="1B16EB4A">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b/>
          <w:kern w:val="0"/>
          <w:sz w:val="24"/>
          <w:szCs w:val="24"/>
        </w:rPr>
        <w:t>2.9磋商响应文件的修改或撤回</w:t>
      </w:r>
    </w:p>
    <w:bookmarkEnd w:id="176"/>
    <w:bookmarkEnd w:id="177"/>
    <w:bookmarkEnd w:id="178"/>
    <w:bookmarkEnd w:id="179"/>
    <w:p w14:paraId="71FA21A8">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2.9.1在本章前附表规定的磋商响应文件递交截止时间前，供应商可以修改或撤回已递交的磋商响应文件。</w:t>
      </w:r>
    </w:p>
    <w:p w14:paraId="223B7070">
      <w:pPr>
        <w:autoSpaceDE w:val="0"/>
        <w:autoSpaceDN w:val="0"/>
        <w:adjustRightInd w:val="0"/>
        <w:spacing w:line="360" w:lineRule="auto"/>
        <w:ind w:left="-5" w:firstLine="425"/>
        <w:jc w:val="left"/>
        <w:rPr>
          <w:rFonts w:cs="宋体" w:asciiTheme="minorEastAsia" w:hAnsiTheme="minorEastAsia"/>
          <w:kern w:val="0"/>
          <w:sz w:val="24"/>
          <w:szCs w:val="24"/>
        </w:rPr>
      </w:pPr>
      <w:bookmarkStart w:id="180" w:name="_Toc466284478"/>
      <w:bookmarkStart w:id="181" w:name="_Toc380394492"/>
      <w:bookmarkStart w:id="182" w:name="_Toc270604601"/>
      <w:r>
        <w:rPr>
          <w:rFonts w:hint="eastAsia" w:cs="宋体" w:asciiTheme="minorEastAsia" w:hAnsiTheme="minorEastAsia"/>
          <w:b/>
          <w:kern w:val="0"/>
          <w:sz w:val="24"/>
          <w:szCs w:val="24"/>
        </w:rPr>
        <w:t>2.10电子化项目开标、解密、唱标</w:t>
      </w:r>
    </w:p>
    <w:p w14:paraId="0A962EB5">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2.10.1本项目为不见面开标项目，开标当日供应商不得到开标现场参加开标会议。供应商应当在响应文件提交截止时间前，登陆不见面开标大厅（网址为http://120.194.249.36:10094/BidOpening/bidopeninghallaction/hall/login），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3DC9A68E">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2.10.2电子化磋商响应文件解密异常的处理</w:t>
      </w:r>
    </w:p>
    <w:p w14:paraId="0C36343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如出现供应商的电子磋商响应文件无法解密等异常情况，供应商应及时致电代理机构说明。磋商响应文件异常，按以下步骤进行处理：</w:t>
      </w:r>
    </w:p>
    <w:p w14:paraId="2FA176AE">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（1）首先由技术人员进行问题排查。</w:t>
      </w:r>
    </w:p>
    <w:p w14:paraId="7AC7286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166777D1">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2.10.3待所有供应商磋商响应文件解密完成后，由代理机构操作，对所有已解密磋商响应文件进行电子唱标。</w:t>
      </w:r>
    </w:p>
    <w:p w14:paraId="46A568C7">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供应商应保证在开标期间电话、电脑、网络能够正常工作，供应商因停电、电脑病毒、网络堵塞等原因，未在规定的解密时间内对磋商响应文件进行解密的，其磋商响应文件不予接收、唱标。</w:t>
      </w:r>
    </w:p>
    <w:p w14:paraId="427389B4">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2.10.4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bookmarkEnd w:id="180"/>
    <w:bookmarkEnd w:id="181"/>
    <w:bookmarkEnd w:id="182"/>
    <w:p w14:paraId="61ABB5FA">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183" w:name="_Toc21850"/>
      <w:r>
        <w:rPr>
          <w:rFonts w:hint="eastAsia" w:cs="宋体" w:asciiTheme="minorEastAsia" w:hAnsiTheme="minorEastAsia"/>
          <w:b/>
          <w:sz w:val="24"/>
          <w:szCs w:val="24"/>
        </w:rPr>
        <w:t>开标时间和地点</w:t>
      </w:r>
      <w:bookmarkEnd w:id="183"/>
    </w:p>
    <w:p w14:paraId="3D8FA7C9">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采购人在本章前附表规定的开标时间和开标地点举行开标会议。</w:t>
      </w:r>
    </w:p>
    <w:p w14:paraId="5EDF3DB7">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184" w:name="_Toc17432"/>
      <w:r>
        <w:rPr>
          <w:rFonts w:hint="eastAsia" w:cs="宋体" w:asciiTheme="minorEastAsia" w:hAnsiTheme="minorEastAsia"/>
          <w:b/>
          <w:sz w:val="24"/>
          <w:szCs w:val="24"/>
        </w:rPr>
        <w:t>磋商小组的组建</w:t>
      </w:r>
      <w:bookmarkEnd w:id="184"/>
    </w:p>
    <w:p w14:paraId="13CE564B">
      <w:pPr>
        <w:spacing w:line="360" w:lineRule="auto"/>
        <w:ind w:firstLine="480" w:firstLineChars="200"/>
        <w:rPr>
          <w:rFonts w:hint="eastAsia" w:ascii="宋体" w:hAnsi="宋体" w:cs="宋体"/>
          <w:sz w:val="24"/>
        </w:rPr>
      </w:pPr>
      <w:r>
        <w:rPr>
          <w:rFonts w:hint="eastAsia" w:cs="宋体" w:asciiTheme="minorEastAsia" w:hAnsiTheme="minorEastAsia"/>
          <w:kern w:val="0"/>
          <w:sz w:val="24"/>
          <w:szCs w:val="24"/>
        </w:rPr>
        <w:t>本项目磋商由采购人依法组建的磋商小组负责。</w:t>
      </w:r>
      <w:r>
        <w:rPr>
          <w:rFonts w:hint="eastAsia" w:ascii="宋体" w:hAnsi="宋体" w:cs="宋体"/>
          <w:sz w:val="24"/>
        </w:rPr>
        <w:t>磋商小组共3人组成，其中采购人代表1人；在相关评标专家库中随机抽取有关技术、经济等方面专家2人。</w:t>
      </w:r>
    </w:p>
    <w:p w14:paraId="3616A2AB">
      <w:pPr>
        <w:widowControl/>
        <w:snapToGrid w:val="0"/>
        <w:spacing w:line="480" w:lineRule="exact"/>
        <w:ind w:firstLine="480" w:firstLineChars="200"/>
        <w:jc w:val="left"/>
        <w:rPr>
          <w:rFonts w:cs="宋体" w:asciiTheme="minorEastAsia" w:hAnsiTheme="minorEastAsia"/>
          <w:kern w:val="0"/>
          <w:sz w:val="24"/>
          <w:szCs w:val="24"/>
        </w:rPr>
      </w:pPr>
      <w:r>
        <w:rPr>
          <w:rFonts w:hint="eastAsia" w:cs="宋体" w:asciiTheme="minorEastAsia" w:hAnsiTheme="minorEastAsia"/>
          <w:kern w:val="0"/>
          <w:sz w:val="24"/>
          <w:szCs w:val="24"/>
        </w:rPr>
        <w:t>磋商专家由采购人代表于项目开标后，在相关监督部门的现场监督下，从相应评标专家库中随机抽取。</w:t>
      </w:r>
    </w:p>
    <w:p w14:paraId="3936B8FD">
      <w:pPr>
        <w:widowControl/>
        <w:snapToGrid w:val="0"/>
        <w:spacing w:line="480" w:lineRule="exact"/>
        <w:ind w:firstLine="480" w:firstLineChars="200"/>
        <w:jc w:val="left"/>
        <w:rPr>
          <w:rFonts w:cs="宋体" w:asciiTheme="minorEastAsia" w:hAnsiTheme="minorEastAsia"/>
          <w:kern w:val="0"/>
          <w:sz w:val="24"/>
          <w:szCs w:val="24"/>
        </w:rPr>
      </w:pPr>
      <w:r>
        <w:rPr>
          <w:rFonts w:hint="eastAsia" w:cs="宋体" w:asciiTheme="minorEastAsia" w:hAnsiTheme="minorEastAsia"/>
          <w:kern w:val="0"/>
          <w:sz w:val="24"/>
          <w:szCs w:val="24"/>
        </w:rPr>
        <w:t>磋商小组成员有下列情形之一的，应当回避：</w:t>
      </w:r>
    </w:p>
    <w:p w14:paraId="0CAF9BD3">
      <w:pPr>
        <w:widowControl/>
        <w:snapToGrid w:val="0"/>
        <w:spacing w:line="480" w:lineRule="exact"/>
        <w:ind w:firstLine="480" w:firstLineChars="200"/>
        <w:jc w:val="left"/>
        <w:rPr>
          <w:rFonts w:cs="宋体" w:asciiTheme="minorEastAsia" w:hAnsiTheme="minorEastAsia"/>
          <w:kern w:val="0"/>
          <w:sz w:val="24"/>
          <w:szCs w:val="24"/>
        </w:rPr>
      </w:pPr>
      <w:r>
        <w:rPr>
          <w:rFonts w:hint="eastAsia" w:cs="宋体" w:asciiTheme="minorEastAsia" w:hAnsiTheme="minorEastAsia"/>
          <w:kern w:val="0"/>
          <w:sz w:val="24"/>
          <w:szCs w:val="24"/>
        </w:rPr>
        <w:t>(1)采购人或供应商的主要负责人的近亲属；</w:t>
      </w:r>
    </w:p>
    <w:p w14:paraId="0A21A97B">
      <w:pPr>
        <w:widowControl/>
        <w:snapToGrid w:val="0"/>
        <w:spacing w:line="480" w:lineRule="exact"/>
        <w:ind w:firstLine="480" w:firstLineChars="200"/>
        <w:jc w:val="left"/>
        <w:rPr>
          <w:rFonts w:cs="宋体" w:asciiTheme="minorEastAsia" w:hAnsiTheme="minorEastAsia"/>
          <w:kern w:val="0"/>
          <w:sz w:val="24"/>
          <w:szCs w:val="24"/>
        </w:rPr>
      </w:pPr>
      <w:r>
        <w:rPr>
          <w:rFonts w:hint="eastAsia" w:cs="宋体" w:asciiTheme="minorEastAsia" w:hAnsiTheme="minorEastAsia"/>
          <w:kern w:val="0"/>
          <w:sz w:val="24"/>
          <w:szCs w:val="24"/>
        </w:rPr>
        <w:t>(2)项目主管部门或者行政监督部门的人员：</w:t>
      </w:r>
    </w:p>
    <w:p w14:paraId="3BE6030C">
      <w:pPr>
        <w:widowControl/>
        <w:snapToGrid w:val="0"/>
        <w:spacing w:line="480" w:lineRule="exact"/>
        <w:ind w:firstLine="480" w:firstLineChars="200"/>
        <w:jc w:val="left"/>
        <w:rPr>
          <w:rFonts w:cs="宋体" w:asciiTheme="minorEastAsia" w:hAnsiTheme="minorEastAsia"/>
          <w:kern w:val="0"/>
          <w:sz w:val="24"/>
          <w:szCs w:val="24"/>
        </w:rPr>
      </w:pPr>
      <w:r>
        <w:rPr>
          <w:rFonts w:hint="eastAsia" w:cs="宋体" w:asciiTheme="minorEastAsia" w:hAnsiTheme="minorEastAsia"/>
          <w:kern w:val="0"/>
          <w:sz w:val="24"/>
          <w:szCs w:val="24"/>
        </w:rPr>
        <w:t>(3)与供应商有经济利益关系，可能影响对竞标公正评审的；</w:t>
      </w:r>
    </w:p>
    <w:p w14:paraId="44276A0B">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(4)曾因在招标、评标以及其他与招投标有关活动中从事违法行为而受过行政处罚或刑事处罚的。</w:t>
      </w:r>
    </w:p>
    <w:p w14:paraId="61E4C161">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185" w:name="_Toc6345"/>
      <w:r>
        <w:rPr>
          <w:rFonts w:hint="eastAsia" w:cs="宋体" w:asciiTheme="minorEastAsia" w:hAnsiTheme="minorEastAsia"/>
          <w:b/>
          <w:sz w:val="24"/>
          <w:szCs w:val="24"/>
        </w:rPr>
        <w:t>竞争性磋商</w:t>
      </w:r>
      <w:bookmarkEnd w:id="185"/>
    </w:p>
    <w:p w14:paraId="1C0C5FB2">
      <w:pPr>
        <w:widowControl/>
        <w:snapToGrid w:val="0"/>
        <w:spacing w:line="480" w:lineRule="exact"/>
        <w:ind w:firstLine="465"/>
        <w:jc w:val="left"/>
        <w:outlineLvl w:val="3"/>
        <w:rPr>
          <w:rFonts w:cs="宋体" w:asciiTheme="minorEastAsia" w:hAnsiTheme="minorEastAsia"/>
          <w:kern w:val="0"/>
          <w:sz w:val="24"/>
          <w:szCs w:val="24"/>
        </w:rPr>
      </w:pPr>
      <w:bookmarkStart w:id="186" w:name="_Toc269470330"/>
      <w:r>
        <w:rPr>
          <w:rFonts w:hint="eastAsia" w:cs="宋体" w:asciiTheme="minorEastAsia" w:hAnsiTheme="minorEastAsia"/>
          <w:b/>
          <w:kern w:val="0"/>
          <w:sz w:val="24"/>
          <w:szCs w:val="24"/>
        </w:rPr>
        <w:t>5.1磋商程序及原则</w:t>
      </w:r>
    </w:p>
    <w:p w14:paraId="0C7756FC">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5.1.1磋商时，磋商小组按顺序依次与供应商通过交易系统的磋商大厅进行磋商。</w:t>
      </w:r>
    </w:p>
    <w:p w14:paraId="494852CC">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5.1.2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669C1564">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5.1.3磋商小组对需要答复的供应商连续三次致电未接通的，视为供应商放弃答复，磋商小组将自行对该质疑内容进行认定。</w:t>
      </w:r>
    </w:p>
    <w:p w14:paraId="313E7861">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5.1.4本次竞争性磋商，采用初步评审后的多轮磋商最后报价制。</w:t>
      </w:r>
    </w:p>
    <w:p w14:paraId="487D44D6">
      <w:pPr>
        <w:tabs>
          <w:tab w:val="left" w:pos="0"/>
        </w:tabs>
        <w:spacing w:line="360" w:lineRule="auto"/>
        <w:ind w:left="420"/>
        <w:rPr>
          <w:rFonts w:cs="宋体" w:asciiTheme="minorEastAsia" w:hAnsiTheme="minorEastAsia"/>
          <w:bCs/>
          <w:sz w:val="24"/>
          <w:szCs w:val="24"/>
        </w:rPr>
      </w:pPr>
      <w:r>
        <w:rPr>
          <w:rFonts w:hint="eastAsia" w:cs="宋体" w:asciiTheme="minorEastAsia" w:hAnsiTheme="minorEastAsia"/>
          <w:b/>
          <w:kern w:val="0"/>
          <w:sz w:val="24"/>
          <w:szCs w:val="24"/>
        </w:rPr>
        <w:t>5.2 初步评审</w:t>
      </w:r>
    </w:p>
    <w:p w14:paraId="2AB43D53">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5.2.1在初步评审阶段，磋商小组将审查以下各项是否响应磋商文件要求，不符合磋商文件要求的响应文件将不得进入磋商阶段，其响应文件按废标处理：</w:t>
      </w:r>
    </w:p>
    <w:p w14:paraId="78C516A2">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1）供应商资格审查不合格的（本项目实行资格后审，各供应商在磋商响应文件“供应商的资格证明文件”中提供的所有证件、证明作为供应商资格审查的依据，供应商对其真实性负责。提供不全或不符合磋商文件要求的，视为资格审查不合格，其磋商响应文件作废）。</w:t>
      </w:r>
    </w:p>
    <w:p w14:paraId="181E0DB0">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（2）磋商响应文件未按磋商文件要求签字、盖章的；</w:t>
      </w:r>
    </w:p>
    <w:p w14:paraId="31C31F6D">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（3）磋商响应文件没有实质性响应本项目磋商文件要求的；</w:t>
      </w:r>
    </w:p>
    <w:p w14:paraId="4EE81CBC">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（4）磋商响应文件中有采购人不能接受的其它条件的；</w:t>
      </w:r>
    </w:p>
    <w:p w14:paraId="16AB8ABD">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（5）法律、法规规定为废标的其他情形；</w:t>
      </w:r>
    </w:p>
    <w:p w14:paraId="45E7463D">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5.2.2在初步评审阶段,磋商小组还需对供应商的磋商报价进行审核。修正原则如下: 如果大写表示的金额和小写表示的金额不一致时，以大写表示的金额为准。</w:t>
      </w:r>
    </w:p>
    <w:p w14:paraId="38152AD3">
      <w:pPr>
        <w:widowControl/>
        <w:snapToGrid w:val="0"/>
        <w:spacing w:line="480" w:lineRule="exact"/>
        <w:ind w:firstLine="465"/>
        <w:jc w:val="left"/>
        <w:outlineLvl w:val="3"/>
        <w:rPr>
          <w:rFonts w:cs="宋体" w:asciiTheme="minorEastAsia" w:hAnsiTheme="minorEastAsia"/>
          <w:kern w:val="0"/>
          <w:sz w:val="24"/>
          <w:szCs w:val="24"/>
        </w:rPr>
      </w:pPr>
      <w:bookmarkStart w:id="187" w:name="_Toc90713357"/>
      <w:bookmarkStart w:id="188" w:name="_Toc109550798"/>
      <w:bookmarkStart w:id="189" w:name="_Toc109537522"/>
      <w:bookmarkStart w:id="190" w:name="_Toc90712538"/>
      <w:r>
        <w:rPr>
          <w:rFonts w:hint="eastAsia" w:cs="宋体" w:asciiTheme="minorEastAsia" w:hAnsiTheme="minorEastAsia"/>
          <w:b/>
          <w:kern w:val="0"/>
          <w:sz w:val="24"/>
          <w:szCs w:val="24"/>
        </w:rPr>
        <w:t>5.3详细磋商</w:t>
      </w:r>
    </w:p>
    <w:bookmarkEnd w:id="186"/>
    <w:bookmarkEnd w:id="187"/>
    <w:bookmarkEnd w:id="188"/>
    <w:bookmarkEnd w:id="189"/>
    <w:bookmarkEnd w:id="190"/>
    <w:p w14:paraId="2E8BAF26">
      <w:pPr>
        <w:widowControl/>
        <w:snapToGrid w:val="0"/>
        <w:spacing w:line="480" w:lineRule="exact"/>
        <w:ind w:firstLine="465"/>
        <w:jc w:val="left"/>
        <w:outlineLvl w:val="3"/>
        <w:rPr>
          <w:rFonts w:cs="宋体" w:asciiTheme="minorEastAsia" w:hAnsiTheme="minorEastAsia"/>
          <w:kern w:val="0"/>
          <w:sz w:val="24"/>
          <w:szCs w:val="24"/>
        </w:rPr>
      </w:pPr>
      <w:r>
        <w:rPr>
          <w:rFonts w:hint="eastAsia" w:cs="宋体" w:asciiTheme="minorEastAsia" w:hAnsiTheme="minorEastAsia"/>
          <w:kern w:val="0"/>
          <w:sz w:val="24"/>
          <w:szCs w:val="24"/>
        </w:rPr>
        <w:t>磋商小组通过电子交易系统按顺序与通过初步评审的供应商逐家进行磋商。磋商中，磋商双方可以就本项目所涉及的价格、技术、优惠服务承诺等进行实质性磋商，但磋商的任何一方不得透露与磋商有关的其他供应商的技术资料、价格和其他信息。</w:t>
      </w:r>
    </w:p>
    <w:p w14:paraId="76A3AAFF">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供应商应派熟悉本项目采购业务的代表参加磋商。参加磋商的代表应对磋商小组提出的涉及本项目采购相关的问题进行答复，如不能答复或答复不完善的，经磋商小组确认，取消该供应商的最后报价资格；</w:t>
      </w:r>
    </w:p>
    <w:p w14:paraId="7B60F128">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磋商小组将允许供应商修改其磋商响应文件中不构成重大偏离的微小的、非正规的、不一致的或不规则的地方，但这些修改不能影响任何供应商的名次相应排列。</w:t>
      </w:r>
    </w:p>
    <w:p w14:paraId="6114E936">
      <w:pPr>
        <w:spacing w:line="360" w:lineRule="auto"/>
        <w:ind w:left="-5" w:firstLine="425"/>
        <w:rPr>
          <w:rFonts w:cs="宋体" w:asciiTheme="minorEastAsia" w:hAnsiTheme="minorEastAsia"/>
          <w:sz w:val="24"/>
          <w:szCs w:val="24"/>
        </w:rPr>
      </w:pPr>
      <w:bookmarkStart w:id="191" w:name="_Toc270604605"/>
      <w:bookmarkStart w:id="192" w:name="_Toc194667286"/>
      <w:bookmarkStart w:id="193" w:name="_Toc270604832"/>
      <w:r>
        <w:rPr>
          <w:rFonts w:hint="eastAsia" w:cs="宋体" w:asciiTheme="minorEastAsia" w:hAnsiTheme="minorEastAsia"/>
          <w:b/>
          <w:sz w:val="24"/>
          <w:szCs w:val="24"/>
        </w:rPr>
        <w:t>5.4磋商响应文件的澄清</w:t>
      </w:r>
      <w:bookmarkEnd w:id="191"/>
      <w:bookmarkEnd w:id="192"/>
      <w:bookmarkEnd w:id="193"/>
    </w:p>
    <w:p w14:paraId="4CF67603">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为有助于对磋商响应文件的审查、评价和比较，磋商小组可分别要求供应商对磋商响应文件中含义不清的内容进行澄清。有关澄清、说明或者更正不得超出响应文件的范围或者改变响应文件的实质性内容。</w:t>
      </w:r>
    </w:p>
    <w:p w14:paraId="44932060">
      <w:pPr>
        <w:spacing w:line="360" w:lineRule="auto"/>
        <w:ind w:left="-5" w:firstLine="425"/>
        <w:rPr>
          <w:rFonts w:cs="宋体" w:asciiTheme="minorEastAsia" w:hAnsiTheme="minorEastAsia"/>
          <w:sz w:val="24"/>
          <w:szCs w:val="24"/>
        </w:rPr>
      </w:pPr>
      <w:r>
        <w:rPr>
          <w:rFonts w:hint="eastAsia" w:cs="宋体" w:asciiTheme="minorEastAsia" w:hAnsiTheme="minorEastAsia"/>
          <w:b/>
          <w:sz w:val="24"/>
          <w:szCs w:val="24"/>
        </w:rPr>
        <w:t xml:space="preserve">5.5磋商报价 </w:t>
      </w:r>
    </w:p>
    <w:p w14:paraId="0EC06F47">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磋商文件能够详细列明采购项目的技术、服务要求后，磋商小组要求所有实质性响应的供应商在规定时间内提交最后报价。通过初步评审的供应商有均等的最后报价机会，供应商应在磋商小组规定的时间内完成报价。在未对磋商文件作出实质性变动的情况下，供应商提交的最后报价不得高于其前一次报价。</w:t>
      </w:r>
    </w:p>
    <w:p w14:paraId="07695670">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最后报价是供应商响应文件的有效组成部分，未按要求进行最后报价的，其响应文件将被否决。</w:t>
      </w:r>
    </w:p>
    <w:p w14:paraId="063388C6">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经磋商确定最终采购需求和提交最后报价后，由磋商小组采用综合评分法对提交最后报价的供应商的响应文件和最后报价进行综合评分。</w:t>
      </w:r>
    </w:p>
    <w:p w14:paraId="4393156E">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评审活动遵循公平、公正、科学和择优的原则进行。磋商文件及其评分办法没有规定的方法、评审因素、标准和程序，不得作为评标依据。</w:t>
      </w:r>
    </w:p>
    <w:p w14:paraId="18B99791">
      <w:pPr>
        <w:spacing w:line="360" w:lineRule="auto"/>
        <w:ind w:left="-5" w:firstLine="425"/>
        <w:rPr>
          <w:rFonts w:cs="宋体" w:asciiTheme="minorEastAsia" w:hAnsiTheme="minorEastAsia"/>
          <w:sz w:val="24"/>
          <w:szCs w:val="24"/>
        </w:rPr>
      </w:pPr>
      <w:bookmarkStart w:id="194" w:name="_Toc1215"/>
      <w:bookmarkStart w:id="195" w:name="_Toc270604606"/>
      <w:bookmarkStart w:id="196" w:name="_Toc466284482"/>
      <w:bookmarkStart w:id="197" w:name="_Toc6574"/>
      <w:bookmarkStart w:id="198" w:name="_Toc278155357"/>
      <w:bookmarkStart w:id="199" w:name="_Toc13642"/>
      <w:bookmarkStart w:id="200" w:name="_Toc194667287"/>
      <w:bookmarkStart w:id="201" w:name="_Toc380394496"/>
      <w:bookmarkStart w:id="202" w:name="_Toc270604833"/>
      <w:bookmarkStart w:id="203" w:name="_Toc277149394"/>
      <w:r>
        <w:rPr>
          <w:rFonts w:hint="eastAsia" w:cs="宋体" w:asciiTheme="minorEastAsia" w:hAnsiTheme="minorEastAsia"/>
          <w:b/>
          <w:sz w:val="24"/>
          <w:szCs w:val="24"/>
        </w:rPr>
        <w:t>5.6成交方法和原则</w:t>
      </w:r>
      <w:bookmarkEnd w:id="194"/>
      <w:bookmarkEnd w:id="195"/>
      <w:bookmarkEnd w:id="196"/>
      <w:bookmarkEnd w:id="197"/>
      <w:bookmarkEnd w:id="198"/>
      <w:bookmarkEnd w:id="199"/>
      <w:bookmarkEnd w:id="200"/>
      <w:bookmarkEnd w:id="201"/>
      <w:bookmarkEnd w:id="202"/>
      <w:bookmarkEnd w:id="203"/>
    </w:p>
    <w:p w14:paraId="347C6055">
      <w:pPr>
        <w:spacing w:line="360" w:lineRule="auto"/>
        <w:ind w:left="-5" w:firstLine="425"/>
        <w:rPr>
          <w:rFonts w:cs="宋体" w:asciiTheme="minorEastAsia" w:hAnsiTheme="minorEastAsia"/>
          <w:spacing w:val="10"/>
          <w:sz w:val="24"/>
          <w:szCs w:val="24"/>
        </w:rPr>
      </w:pPr>
      <w:r>
        <w:rPr>
          <w:rFonts w:hint="eastAsia" w:cs="宋体" w:asciiTheme="minorEastAsia" w:hAnsiTheme="minorEastAsia"/>
          <w:sz w:val="24"/>
          <w:szCs w:val="24"/>
        </w:rPr>
        <w:t>磋商小组应当根据综合评分由高到低的顺序推荐3名成交候选供应商，</w:t>
      </w:r>
      <w:r>
        <w:rPr>
          <w:rFonts w:hint="eastAsia" w:cs="宋体" w:asciiTheme="minorEastAsia" w:hAnsiTheme="minorEastAsia"/>
          <w:spacing w:val="10"/>
          <w:sz w:val="24"/>
          <w:szCs w:val="24"/>
        </w:rPr>
        <w:t>出具磋商评审报告，并在报告上全体签字。</w:t>
      </w:r>
    </w:p>
    <w:p w14:paraId="2B28FEDF">
      <w:pPr>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最终得分相同的，按照最后报价由低到高的顺序推荐。最终得分和最后报价均相同的，按照技术指标优劣顺序或磋商小组举手表决，少数服从多数的原则推荐</w:t>
      </w:r>
      <w:r>
        <w:rPr>
          <w:rFonts w:hint="eastAsia" w:cs="宋体" w:asciiTheme="minorEastAsia" w:hAnsiTheme="minorEastAsia"/>
          <w:bCs/>
          <w:sz w:val="24"/>
          <w:szCs w:val="24"/>
        </w:rPr>
        <w:t>。</w:t>
      </w:r>
    </w:p>
    <w:p w14:paraId="28DBEF31">
      <w:pPr>
        <w:numPr>
          <w:ilvl w:val="0"/>
          <w:numId w:val="4"/>
        </w:numPr>
        <w:tabs>
          <w:tab w:val="left" w:pos="0"/>
          <w:tab w:val="left" w:pos="720"/>
        </w:tabs>
        <w:spacing w:line="360" w:lineRule="auto"/>
        <w:ind w:left="-5" w:firstLine="425"/>
        <w:outlineLvl w:val="1"/>
        <w:rPr>
          <w:rFonts w:cs="宋体" w:asciiTheme="minorEastAsia" w:hAnsiTheme="minorEastAsia"/>
          <w:sz w:val="24"/>
          <w:szCs w:val="24"/>
        </w:rPr>
      </w:pPr>
      <w:bookmarkStart w:id="204" w:name="_Toc22567"/>
      <w:r>
        <w:rPr>
          <w:rFonts w:hint="eastAsia" w:cs="宋体" w:asciiTheme="minorEastAsia" w:hAnsiTheme="minorEastAsia"/>
          <w:b/>
          <w:sz w:val="24"/>
          <w:szCs w:val="24"/>
        </w:rPr>
        <w:t>定标</w:t>
      </w:r>
      <w:bookmarkEnd w:id="204"/>
    </w:p>
    <w:p w14:paraId="50CBCD7F">
      <w:pPr>
        <w:tabs>
          <w:tab w:val="left" w:pos="0"/>
        </w:tabs>
        <w:spacing w:line="360" w:lineRule="auto"/>
        <w:ind w:left="-5" w:firstLine="425"/>
        <w:rPr>
          <w:rFonts w:cs="宋体" w:asciiTheme="minorEastAsia" w:hAnsiTheme="minorEastAsia"/>
          <w:sz w:val="24"/>
          <w:szCs w:val="24"/>
        </w:rPr>
      </w:pPr>
      <w:r>
        <w:rPr>
          <w:rFonts w:hint="eastAsia" w:cs="宋体" w:asciiTheme="minorEastAsia" w:hAnsiTheme="minorEastAsia"/>
          <w:sz w:val="24"/>
          <w:szCs w:val="24"/>
        </w:rPr>
        <w:t>采购人应当在收到评审报告后5个工作日内，从评审报告提出的成交候选供应商中，按照排序由高到低的原则确定成交供应商。采购人逾期未确定成交供应商且不提出异议的，视为确定排序第一的供应商为成交供应商。</w:t>
      </w:r>
    </w:p>
    <w:p w14:paraId="2AE6885E">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205" w:name="_Toc270604607"/>
      <w:bookmarkStart w:id="206" w:name="_Toc380394497"/>
      <w:bookmarkStart w:id="207" w:name="_Toc4929"/>
      <w:bookmarkStart w:id="208" w:name="_Toc466284483"/>
      <w:bookmarkStart w:id="209" w:name="_Toc16682"/>
      <w:r>
        <w:rPr>
          <w:rFonts w:hint="eastAsia" w:cs="宋体" w:asciiTheme="minorEastAsia" w:hAnsiTheme="minorEastAsia"/>
          <w:b/>
          <w:sz w:val="24"/>
          <w:szCs w:val="24"/>
        </w:rPr>
        <w:t>合同授予</w:t>
      </w:r>
      <w:bookmarkEnd w:id="205"/>
      <w:bookmarkEnd w:id="206"/>
      <w:bookmarkEnd w:id="207"/>
      <w:bookmarkEnd w:id="208"/>
      <w:bookmarkEnd w:id="209"/>
    </w:p>
    <w:p w14:paraId="249CBC35">
      <w:pPr>
        <w:tabs>
          <w:tab w:val="left" w:pos="540"/>
        </w:tabs>
        <w:spacing w:line="360" w:lineRule="auto"/>
        <w:ind w:left="420"/>
        <w:outlineLvl w:val="1"/>
        <w:rPr>
          <w:rFonts w:cs="宋体" w:asciiTheme="minorEastAsia" w:hAnsiTheme="minorEastAsia"/>
          <w:sz w:val="24"/>
          <w:szCs w:val="24"/>
        </w:rPr>
      </w:pPr>
      <w:bookmarkStart w:id="210" w:name="_Toc269470332"/>
      <w:bookmarkStart w:id="211" w:name="_Toc12923"/>
      <w:bookmarkStart w:id="212" w:name="_Toc278155359"/>
      <w:bookmarkStart w:id="213" w:name="_Toc466284484"/>
      <w:bookmarkStart w:id="214" w:name="_Toc380394498"/>
      <w:bookmarkStart w:id="215" w:name="_Toc277149396"/>
      <w:bookmarkStart w:id="216" w:name="_Toc30341"/>
      <w:bookmarkStart w:id="217" w:name="_Toc270604608"/>
      <w:bookmarkStart w:id="218" w:name="_Toc270604835"/>
      <w:bookmarkStart w:id="219" w:name="_Toc1125"/>
      <w:bookmarkStart w:id="220" w:name="_Toc1750"/>
      <w:r>
        <w:rPr>
          <w:rFonts w:hint="eastAsia" w:cs="宋体" w:asciiTheme="minorEastAsia" w:hAnsiTheme="minorEastAsia"/>
          <w:sz w:val="24"/>
          <w:szCs w:val="24"/>
        </w:rPr>
        <w:t>7.1成交通知</w:t>
      </w:r>
      <w:bookmarkEnd w:id="210"/>
      <w:bookmarkEnd w:id="211"/>
      <w:bookmarkEnd w:id="212"/>
      <w:bookmarkEnd w:id="213"/>
      <w:bookmarkEnd w:id="214"/>
      <w:bookmarkEnd w:id="215"/>
      <w:bookmarkEnd w:id="216"/>
      <w:bookmarkEnd w:id="217"/>
      <w:bookmarkEnd w:id="218"/>
      <w:bookmarkEnd w:id="219"/>
      <w:bookmarkEnd w:id="220"/>
    </w:p>
    <w:p w14:paraId="5E5AF016">
      <w:pPr>
        <w:spacing w:line="360" w:lineRule="auto"/>
        <w:ind w:left="-5" w:firstLine="425"/>
        <w:rPr>
          <w:rFonts w:hint="eastAsia" w:cs="宋体" w:asciiTheme="minorEastAsia" w:hAnsiTheme="minorEastAsia"/>
          <w:sz w:val="24"/>
          <w:szCs w:val="24"/>
        </w:rPr>
      </w:pPr>
      <w:bookmarkStart w:id="221" w:name="_Toc269470333"/>
      <w:r>
        <w:rPr>
          <w:rFonts w:hint="eastAsia" w:ascii="宋体" w:hAnsi="宋体" w:eastAsia="宋体" w:cs="宋体"/>
          <w:sz w:val="24"/>
          <w:szCs w:val="24"/>
        </w:rPr>
        <w:t>采购人应当在成交人确定后2个工作日内，在公告发布的同一媒介上发布成交结果，同时向成交供应商发出成交通知书，并将磋商文件随成交结果同时公告，公告期限1个工作日。</w:t>
      </w:r>
    </w:p>
    <w:bookmarkEnd w:id="221"/>
    <w:p w14:paraId="727E2A39">
      <w:pPr>
        <w:tabs>
          <w:tab w:val="left" w:pos="540"/>
        </w:tabs>
        <w:spacing w:line="360" w:lineRule="auto"/>
        <w:ind w:left="420"/>
        <w:outlineLvl w:val="1"/>
        <w:rPr>
          <w:rFonts w:cs="宋体" w:asciiTheme="minorEastAsia" w:hAnsiTheme="minorEastAsia"/>
          <w:sz w:val="24"/>
          <w:szCs w:val="24"/>
        </w:rPr>
      </w:pPr>
      <w:bookmarkStart w:id="222" w:name="_Toc277149397"/>
      <w:bookmarkStart w:id="223" w:name="_Toc25290"/>
      <w:bookmarkStart w:id="224" w:name="_Toc13418"/>
      <w:bookmarkStart w:id="225" w:name="_Toc380394499"/>
      <w:bookmarkStart w:id="226" w:name="_Toc269470334"/>
      <w:bookmarkStart w:id="227" w:name="_Toc2284"/>
      <w:bookmarkStart w:id="228" w:name="_Toc278155360"/>
      <w:bookmarkStart w:id="229" w:name="_Toc32369"/>
      <w:bookmarkStart w:id="230" w:name="_Toc270604609"/>
      <w:bookmarkStart w:id="231" w:name="_Toc466284485"/>
      <w:bookmarkStart w:id="232" w:name="_Toc270604836"/>
      <w:r>
        <w:rPr>
          <w:rFonts w:hint="eastAsia" w:cs="宋体" w:asciiTheme="minorEastAsia" w:hAnsiTheme="minorEastAsia"/>
          <w:sz w:val="24"/>
          <w:szCs w:val="24"/>
        </w:rPr>
        <w:t>7.2签订合同</w:t>
      </w:r>
      <w:bookmarkEnd w:id="222"/>
      <w:bookmarkEnd w:id="223"/>
      <w:bookmarkEnd w:id="224"/>
      <w:bookmarkEnd w:id="225"/>
      <w:bookmarkEnd w:id="226"/>
      <w:bookmarkEnd w:id="227"/>
      <w:bookmarkEnd w:id="228"/>
      <w:bookmarkEnd w:id="229"/>
      <w:bookmarkEnd w:id="230"/>
      <w:bookmarkEnd w:id="231"/>
      <w:bookmarkEnd w:id="232"/>
    </w:p>
    <w:p w14:paraId="139A2FBE">
      <w:pPr>
        <w:tabs>
          <w:tab w:val="left" w:pos="0"/>
        </w:tabs>
        <w:spacing w:line="360" w:lineRule="auto"/>
        <w:ind w:left="420"/>
        <w:rPr>
          <w:rFonts w:cs="宋体" w:asciiTheme="minorEastAsia" w:hAnsiTheme="minorEastAsia"/>
          <w:sz w:val="24"/>
          <w:szCs w:val="24"/>
        </w:rPr>
      </w:pPr>
      <w:bookmarkStart w:id="233" w:name="_Toc269470335"/>
      <w:r>
        <w:rPr>
          <w:rFonts w:hint="eastAsia" w:cs="宋体" w:asciiTheme="minorEastAsia" w:hAnsiTheme="minorEastAsia"/>
          <w:sz w:val="24"/>
          <w:szCs w:val="24"/>
        </w:rPr>
        <w:t>7.2.1成交供应商的最后报价为成交价，成交价即为合同价。</w:t>
      </w:r>
    </w:p>
    <w:p w14:paraId="6211DDA5">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7.2.2采购人和成交供应商应当自成交通知书发出之日起30天内，根据竞争性磋商文件、成交供应商的磋商响应文件及在磋商过程中对磋商响应文件作出的澄清、解释订立书面合同。成交供应商无正当理由拒签合同的，采购人取消其成交资格，并对由此给采购人造成的损失予以赔偿。</w:t>
      </w:r>
    </w:p>
    <w:p w14:paraId="5236E899">
      <w:pPr>
        <w:tabs>
          <w:tab w:val="left" w:pos="0"/>
        </w:tabs>
        <w:spacing w:line="360" w:lineRule="auto"/>
        <w:ind w:left="420"/>
        <w:rPr>
          <w:rFonts w:cs="宋体" w:asciiTheme="minorEastAsia" w:hAnsiTheme="minorEastAsia"/>
          <w:sz w:val="24"/>
          <w:szCs w:val="24"/>
        </w:rPr>
      </w:pPr>
      <w:r>
        <w:rPr>
          <w:rFonts w:hint="eastAsia" w:cs="宋体" w:asciiTheme="minorEastAsia" w:hAnsiTheme="minorEastAsia"/>
          <w:sz w:val="24"/>
          <w:szCs w:val="24"/>
        </w:rPr>
        <w:t>7.2.3采购人与成交供应商必须按国家、省、市相关规定签订合同。</w:t>
      </w:r>
    </w:p>
    <w:bookmarkEnd w:id="233"/>
    <w:p w14:paraId="306F2DA3">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234" w:name="_Toc269470338"/>
      <w:bookmarkStart w:id="235" w:name="_Toc11376"/>
      <w:bookmarkStart w:id="236" w:name="_Toc466284486"/>
      <w:bookmarkStart w:id="237" w:name="_Toc270604610"/>
      <w:bookmarkStart w:id="238" w:name="_Toc380394500"/>
      <w:bookmarkStart w:id="239" w:name="_Toc23592"/>
      <w:r>
        <w:rPr>
          <w:rFonts w:hint="eastAsia" w:cs="宋体" w:asciiTheme="minorEastAsia" w:hAnsiTheme="minorEastAsia"/>
          <w:b/>
          <w:sz w:val="24"/>
          <w:szCs w:val="24"/>
        </w:rPr>
        <w:t>纪律和监督</w:t>
      </w:r>
      <w:bookmarkEnd w:id="234"/>
      <w:bookmarkEnd w:id="235"/>
      <w:bookmarkEnd w:id="236"/>
      <w:bookmarkEnd w:id="237"/>
      <w:bookmarkEnd w:id="238"/>
      <w:bookmarkEnd w:id="239"/>
    </w:p>
    <w:p w14:paraId="4B5A6B2E">
      <w:pPr>
        <w:tabs>
          <w:tab w:val="left" w:pos="540"/>
        </w:tabs>
        <w:spacing w:line="360" w:lineRule="auto"/>
        <w:ind w:left="420"/>
        <w:outlineLvl w:val="1"/>
        <w:rPr>
          <w:rFonts w:cs="宋体" w:asciiTheme="minorEastAsia" w:hAnsiTheme="minorEastAsia"/>
          <w:sz w:val="24"/>
          <w:szCs w:val="24"/>
        </w:rPr>
      </w:pPr>
      <w:bookmarkStart w:id="240" w:name="_Toc277149399"/>
      <w:bookmarkStart w:id="241" w:name="_Toc466284487"/>
      <w:bookmarkStart w:id="242" w:name="_Toc269470339"/>
      <w:bookmarkStart w:id="243" w:name="_Toc270604611"/>
      <w:bookmarkStart w:id="244" w:name="_Toc92"/>
      <w:bookmarkStart w:id="245" w:name="_Toc3777"/>
      <w:bookmarkStart w:id="246" w:name="_Toc270604838"/>
      <w:bookmarkStart w:id="247" w:name="_Toc278155362"/>
      <w:bookmarkStart w:id="248" w:name="_Toc20824"/>
      <w:bookmarkStart w:id="249" w:name="_Toc16390"/>
      <w:bookmarkStart w:id="250" w:name="_Toc380394501"/>
      <w:r>
        <w:rPr>
          <w:rFonts w:hint="eastAsia" w:cs="宋体" w:asciiTheme="minorEastAsia" w:hAnsiTheme="minorEastAsia"/>
          <w:sz w:val="24"/>
          <w:szCs w:val="24"/>
        </w:rPr>
        <w:t>8.1对采购人的纪律要求</w:t>
      </w:r>
      <w:bookmarkEnd w:id="240"/>
      <w:bookmarkEnd w:id="241"/>
      <w:bookmarkEnd w:id="242"/>
      <w:bookmarkEnd w:id="243"/>
      <w:bookmarkEnd w:id="244"/>
      <w:bookmarkEnd w:id="245"/>
      <w:bookmarkEnd w:id="246"/>
      <w:bookmarkEnd w:id="247"/>
      <w:bookmarkEnd w:id="248"/>
      <w:bookmarkEnd w:id="249"/>
      <w:bookmarkEnd w:id="250"/>
    </w:p>
    <w:p w14:paraId="5DBD2A6C">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采购人不得泄漏竞争性磋商中应当保密的情况和资料，不得与供应商串通损害国家利益、社会公共利益或者他人合法权益。</w:t>
      </w:r>
    </w:p>
    <w:p w14:paraId="77ACCBC2">
      <w:pPr>
        <w:tabs>
          <w:tab w:val="left" w:pos="540"/>
        </w:tabs>
        <w:spacing w:line="360" w:lineRule="auto"/>
        <w:ind w:left="420"/>
        <w:outlineLvl w:val="1"/>
        <w:rPr>
          <w:rFonts w:cs="宋体" w:asciiTheme="minorEastAsia" w:hAnsiTheme="minorEastAsia"/>
          <w:sz w:val="24"/>
          <w:szCs w:val="24"/>
        </w:rPr>
      </w:pPr>
      <w:bookmarkStart w:id="251" w:name="_Toc11732"/>
      <w:bookmarkStart w:id="252" w:name="_Toc380394502"/>
      <w:bookmarkStart w:id="253" w:name="_Toc269470340"/>
      <w:bookmarkStart w:id="254" w:name="_Toc270604839"/>
      <w:bookmarkStart w:id="255" w:name="_Toc5855"/>
      <w:bookmarkStart w:id="256" w:name="_Toc270604612"/>
      <w:bookmarkStart w:id="257" w:name="_Toc7499"/>
      <w:bookmarkStart w:id="258" w:name="_Toc466284488"/>
      <w:bookmarkStart w:id="259" w:name="_Toc8749"/>
      <w:bookmarkStart w:id="260" w:name="_Toc278155363"/>
      <w:bookmarkStart w:id="261" w:name="_Toc277149400"/>
      <w:r>
        <w:rPr>
          <w:rFonts w:hint="eastAsia" w:cs="宋体" w:asciiTheme="minorEastAsia" w:hAnsiTheme="minorEastAsia"/>
          <w:sz w:val="24"/>
          <w:szCs w:val="24"/>
        </w:rPr>
        <w:t>8.2对供应商的纪律要求</w:t>
      </w:r>
      <w:bookmarkEnd w:id="251"/>
      <w:bookmarkEnd w:id="252"/>
      <w:bookmarkEnd w:id="253"/>
      <w:bookmarkEnd w:id="254"/>
      <w:bookmarkEnd w:id="255"/>
      <w:bookmarkEnd w:id="256"/>
      <w:bookmarkEnd w:id="257"/>
      <w:bookmarkEnd w:id="258"/>
      <w:bookmarkEnd w:id="259"/>
      <w:bookmarkEnd w:id="260"/>
      <w:bookmarkEnd w:id="261"/>
    </w:p>
    <w:p w14:paraId="71B62AA5">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供应商不得相互串通磋商或者与采购人串通磋商，不得向采购人或者磋商小组成员行贿谋取成交，不得以他人名义竞标或者以其他方式弄虚作假骗取成交；供应商不得以任何方式干扰、影响磋商工作。</w:t>
      </w:r>
    </w:p>
    <w:p w14:paraId="33E9B9AC">
      <w:pPr>
        <w:tabs>
          <w:tab w:val="left" w:pos="540"/>
        </w:tabs>
        <w:spacing w:line="360" w:lineRule="auto"/>
        <w:ind w:firstLine="480" w:firstLineChars="200"/>
        <w:outlineLvl w:val="1"/>
        <w:rPr>
          <w:rFonts w:cs="宋体" w:asciiTheme="minorEastAsia" w:hAnsiTheme="minorEastAsia"/>
          <w:sz w:val="24"/>
          <w:szCs w:val="24"/>
        </w:rPr>
      </w:pPr>
      <w:bookmarkStart w:id="262" w:name="_Toc11311"/>
      <w:bookmarkStart w:id="263" w:name="_Toc269470341"/>
      <w:bookmarkStart w:id="264" w:name="_Toc15433"/>
      <w:bookmarkStart w:id="265" w:name="_Toc380394503"/>
      <w:bookmarkStart w:id="266" w:name="_Toc277149401"/>
      <w:bookmarkStart w:id="267" w:name="_Toc278155364"/>
      <w:bookmarkStart w:id="268" w:name="_Toc270604840"/>
      <w:bookmarkStart w:id="269" w:name="_Toc466284489"/>
      <w:bookmarkStart w:id="270" w:name="_Toc16836"/>
      <w:bookmarkStart w:id="271" w:name="_Toc9495"/>
      <w:bookmarkStart w:id="272" w:name="_Toc270604613"/>
      <w:r>
        <w:rPr>
          <w:rFonts w:hint="eastAsia" w:cs="宋体" w:asciiTheme="minorEastAsia" w:hAnsiTheme="minorEastAsia"/>
          <w:sz w:val="24"/>
          <w:szCs w:val="24"/>
        </w:rPr>
        <w:t>8.3对磋商小组成员的纪律要求</w:t>
      </w:r>
      <w:bookmarkEnd w:id="262"/>
      <w:bookmarkEnd w:id="263"/>
      <w:bookmarkEnd w:id="264"/>
      <w:bookmarkEnd w:id="265"/>
      <w:bookmarkEnd w:id="266"/>
      <w:bookmarkEnd w:id="267"/>
      <w:bookmarkEnd w:id="268"/>
      <w:bookmarkEnd w:id="269"/>
      <w:bookmarkEnd w:id="270"/>
      <w:bookmarkEnd w:id="271"/>
      <w:bookmarkEnd w:id="272"/>
    </w:p>
    <w:p w14:paraId="21E838DD">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p>
    <w:p w14:paraId="3957EFD9">
      <w:pPr>
        <w:tabs>
          <w:tab w:val="left" w:pos="540"/>
        </w:tabs>
        <w:spacing w:line="360" w:lineRule="auto"/>
        <w:ind w:left="420"/>
        <w:outlineLvl w:val="1"/>
        <w:rPr>
          <w:rFonts w:cs="宋体" w:asciiTheme="minorEastAsia" w:hAnsiTheme="minorEastAsia"/>
          <w:sz w:val="24"/>
          <w:szCs w:val="24"/>
        </w:rPr>
      </w:pPr>
      <w:bookmarkStart w:id="273" w:name="_Toc277149402"/>
      <w:bookmarkStart w:id="274" w:name="_Toc278155365"/>
      <w:bookmarkStart w:id="275" w:name="_Toc269470342"/>
      <w:bookmarkStart w:id="276" w:name="_Toc29118"/>
      <w:bookmarkStart w:id="277" w:name="_Toc14297"/>
      <w:bookmarkStart w:id="278" w:name="_Toc466284490"/>
      <w:bookmarkStart w:id="279" w:name="_Toc22679"/>
      <w:bookmarkStart w:id="280" w:name="_Toc270604841"/>
      <w:bookmarkStart w:id="281" w:name="_Toc270604614"/>
      <w:bookmarkStart w:id="282" w:name="_Toc380394504"/>
      <w:bookmarkStart w:id="283" w:name="_Toc12167"/>
      <w:r>
        <w:rPr>
          <w:rFonts w:hint="eastAsia" w:cs="宋体" w:asciiTheme="minorEastAsia" w:hAnsiTheme="minorEastAsia"/>
          <w:sz w:val="24"/>
          <w:szCs w:val="24"/>
        </w:rPr>
        <w:t>8.4对与磋商活动有关的工作人员的纪律要求</w:t>
      </w:r>
      <w:bookmarkEnd w:id="273"/>
      <w:bookmarkEnd w:id="274"/>
      <w:bookmarkEnd w:id="275"/>
      <w:bookmarkEnd w:id="276"/>
      <w:bookmarkEnd w:id="277"/>
      <w:bookmarkEnd w:id="278"/>
      <w:bookmarkEnd w:id="279"/>
      <w:bookmarkEnd w:id="280"/>
      <w:bookmarkEnd w:id="281"/>
      <w:bookmarkEnd w:id="282"/>
      <w:bookmarkEnd w:id="283"/>
    </w:p>
    <w:p w14:paraId="63149210">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p>
    <w:p w14:paraId="70529DE8">
      <w:pPr>
        <w:tabs>
          <w:tab w:val="left" w:pos="540"/>
        </w:tabs>
        <w:spacing w:line="360" w:lineRule="auto"/>
        <w:ind w:left="420"/>
        <w:outlineLvl w:val="1"/>
        <w:rPr>
          <w:rFonts w:cs="宋体" w:asciiTheme="minorEastAsia" w:hAnsiTheme="minorEastAsia"/>
          <w:sz w:val="24"/>
          <w:szCs w:val="24"/>
        </w:rPr>
      </w:pPr>
      <w:bookmarkStart w:id="284" w:name="_Toc269470343"/>
      <w:bookmarkStart w:id="285" w:name="_Toc270604842"/>
      <w:bookmarkStart w:id="286" w:name="_Toc466284491"/>
      <w:bookmarkStart w:id="287" w:name="_Toc28497"/>
      <w:bookmarkStart w:id="288" w:name="_Toc380394505"/>
      <w:bookmarkStart w:id="289" w:name="_Toc13721"/>
      <w:bookmarkStart w:id="290" w:name="_Toc28616"/>
      <w:bookmarkStart w:id="291" w:name="_Toc14035"/>
      <w:bookmarkStart w:id="292" w:name="_Toc277149403"/>
      <w:bookmarkStart w:id="293" w:name="_Toc278155366"/>
      <w:bookmarkStart w:id="294" w:name="_Toc270604615"/>
      <w:r>
        <w:rPr>
          <w:rFonts w:hint="eastAsia" w:cs="宋体" w:asciiTheme="minorEastAsia" w:hAnsiTheme="minorEastAsia"/>
          <w:sz w:val="24"/>
          <w:szCs w:val="24"/>
        </w:rPr>
        <w:t>8.5投诉</w:t>
      </w:r>
      <w:bookmarkEnd w:id="284"/>
      <w:bookmarkEnd w:id="285"/>
      <w:bookmarkEnd w:id="286"/>
      <w:bookmarkEnd w:id="287"/>
      <w:bookmarkEnd w:id="288"/>
      <w:bookmarkEnd w:id="289"/>
      <w:bookmarkEnd w:id="290"/>
      <w:bookmarkEnd w:id="291"/>
      <w:bookmarkEnd w:id="292"/>
      <w:bookmarkEnd w:id="293"/>
      <w:bookmarkEnd w:id="294"/>
    </w:p>
    <w:p w14:paraId="58741148">
      <w:pPr>
        <w:autoSpaceDE w:val="0"/>
        <w:autoSpaceDN w:val="0"/>
        <w:adjustRightInd w:val="0"/>
        <w:spacing w:line="360" w:lineRule="auto"/>
        <w:ind w:left="-5" w:firstLine="425"/>
        <w:jc w:val="left"/>
        <w:rPr>
          <w:rFonts w:cs="宋体" w:asciiTheme="minorEastAsia" w:hAnsiTheme="minorEastAsia"/>
          <w:kern w:val="0"/>
          <w:sz w:val="24"/>
          <w:szCs w:val="24"/>
        </w:rPr>
      </w:pPr>
      <w:r>
        <w:rPr>
          <w:rFonts w:hint="eastAsia" w:cs="宋体" w:asciiTheme="minorEastAsia" w:hAnsiTheme="minorEastAsia"/>
          <w:kern w:val="0"/>
          <w:sz w:val="24"/>
          <w:szCs w:val="24"/>
        </w:rPr>
        <w:t>供应商和其他利害关系人认为本次竞争性磋商违反法律、法规和规章规定的，有权向有关行政监督部门投诉。</w:t>
      </w:r>
    </w:p>
    <w:p w14:paraId="5F2F83A8">
      <w:pPr>
        <w:numPr>
          <w:ilvl w:val="0"/>
          <w:numId w:val="4"/>
        </w:numPr>
        <w:tabs>
          <w:tab w:val="left" w:pos="0"/>
          <w:tab w:val="left" w:pos="720"/>
        </w:tabs>
        <w:spacing w:line="360" w:lineRule="auto"/>
        <w:ind w:left="-5" w:firstLine="425"/>
        <w:outlineLvl w:val="1"/>
        <w:rPr>
          <w:rFonts w:cs="宋体" w:asciiTheme="minorEastAsia" w:hAnsiTheme="minorEastAsia"/>
          <w:b/>
          <w:sz w:val="24"/>
          <w:szCs w:val="24"/>
        </w:rPr>
      </w:pPr>
      <w:bookmarkStart w:id="295" w:name="_Toc380394506"/>
      <w:bookmarkStart w:id="296" w:name="_Toc466284492"/>
      <w:bookmarkStart w:id="297" w:name="_Toc270604616"/>
      <w:bookmarkStart w:id="298" w:name="_Toc19619"/>
      <w:bookmarkStart w:id="299" w:name="_Toc28446"/>
      <w:bookmarkStart w:id="300" w:name="_Toc269470344"/>
      <w:r>
        <w:rPr>
          <w:rFonts w:hint="eastAsia" w:cs="宋体" w:asciiTheme="minorEastAsia" w:hAnsiTheme="minorEastAsia"/>
          <w:b/>
          <w:sz w:val="24"/>
          <w:szCs w:val="24"/>
        </w:rPr>
        <w:t>需要补充的其他内容</w:t>
      </w:r>
      <w:bookmarkEnd w:id="295"/>
      <w:bookmarkEnd w:id="296"/>
      <w:bookmarkEnd w:id="297"/>
      <w:bookmarkEnd w:id="298"/>
      <w:bookmarkEnd w:id="299"/>
      <w:bookmarkEnd w:id="300"/>
    </w:p>
    <w:p w14:paraId="3DFD8A7B">
      <w:pPr>
        <w:spacing w:line="360" w:lineRule="auto"/>
        <w:ind w:left="-5" w:firstLine="425"/>
        <w:rPr>
          <w:rFonts w:hint="eastAsia" w:cs="宋体" w:asciiTheme="minorEastAsia" w:hAnsiTheme="minorEastAsia"/>
          <w:sz w:val="24"/>
          <w:szCs w:val="24"/>
        </w:rPr>
      </w:pPr>
      <w:r>
        <w:rPr>
          <w:rFonts w:hint="eastAsia" w:cs="宋体" w:asciiTheme="minorEastAsia" w:hAnsiTheme="minorEastAsia"/>
          <w:sz w:val="24"/>
          <w:szCs w:val="24"/>
        </w:rPr>
        <w:t>需要补充的其他内容：见供应商须知前附表。</w:t>
      </w:r>
    </w:p>
    <w:p w14:paraId="0145E2A9">
      <w:pPr>
        <w:spacing w:line="460" w:lineRule="exact"/>
        <w:rPr>
          <w:rFonts w:ascii="宋体" w:hAnsi="宋体" w:cs="宋体"/>
          <w:b/>
          <w:bCs/>
          <w:color w:val="000000"/>
          <w:kern w:val="0"/>
          <w:sz w:val="36"/>
          <w:szCs w:val="36"/>
        </w:rPr>
      </w:pPr>
    </w:p>
    <w:p w14:paraId="50907C1D">
      <w:pPr>
        <w:pStyle w:val="2"/>
        <w:bidi w:val="0"/>
        <w:rPr>
          <w:rFonts w:hAnsi="宋体" w:cs="宋体"/>
          <w:b/>
          <w:bCs/>
          <w:color w:val="000000"/>
          <w:sz w:val="24"/>
          <w:szCs w:val="24"/>
        </w:rPr>
      </w:pPr>
      <w:bookmarkStart w:id="1292" w:name="_GoBack"/>
      <w:bookmarkEnd w:id="1292"/>
      <w:r>
        <w:br w:type="page"/>
      </w:r>
      <w:bookmarkStart w:id="301" w:name="_Toc15327"/>
      <w:bookmarkStart w:id="302" w:name="_Toc10506"/>
      <w:r>
        <w:rPr>
          <w:rFonts w:hint="eastAsia" w:hAnsi="宋体" w:cs="宋体"/>
          <w:b/>
          <w:sz w:val="24"/>
          <w:szCs w:val="24"/>
        </w:rPr>
        <w:t>第三章  工程量清单</w:t>
      </w:r>
      <w:bookmarkEnd w:id="301"/>
      <w:bookmarkEnd w:id="302"/>
    </w:p>
    <w:p w14:paraId="0E13761C">
      <w:pPr>
        <w:spacing w:line="360" w:lineRule="auto"/>
        <w:ind w:left="479" w:leftChars="228" w:firstLine="3420" w:firstLineChars="1425"/>
        <w:jc w:val="left"/>
        <w:rPr>
          <w:rFonts w:ascii="宋体" w:hAnsi="宋体" w:cs="Arial"/>
          <w:sz w:val="24"/>
          <w:szCs w:val="24"/>
        </w:rPr>
      </w:pPr>
      <w:r>
        <w:rPr>
          <w:rFonts w:hint="eastAsia" w:ascii="宋体" w:hAnsi="宋体" w:cs="Arial"/>
          <w:sz w:val="24"/>
          <w:szCs w:val="24"/>
        </w:rPr>
        <w:t>(详细清单见附件)</w:t>
      </w:r>
    </w:p>
    <w:p w14:paraId="59D34063">
      <w:pPr>
        <w:rPr>
          <w:rFonts w:hint="eastAsia" w:ascii="宋体" w:hAnsi="宋体" w:cs="宋体"/>
          <w:b/>
          <w:bCs/>
          <w:kern w:val="0"/>
          <w:sz w:val="28"/>
          <w:szCs w:val="28"/>
          <w:lang w:val="en-US" w:eastAsia="zh-CN"/>
        </w:rPr>
      </w:pPr>
      <w:bookmarkStart w:id="303" w:name="_Toc25128"/>
      <w:r>
        <w:rPr>
          <w:rFonts w:hint="eastAsia" w:ascii="宋体" w:hAnsi="宋体" w:cs="宋体"/>
          <w:b/>
          <w:bCs/>
          <w:kern w:val="0"/>
          <w:sz w:val="28"/>
          <w:szCs w:val="28"/>
          <w:lang w:val="en-US" w:eastAsia="zh-CN"/>
        </w:rPr>
        <w:br w:type="page"/>
      </w:r>
    </w:p>
    <w:p w14:paraId="55BCD7BE">
      <w:pPr>
        <w:pStyle w:val="2"/>
        <w:bidi w:val="0"/>
      </w:pPr>
      <w:bookmarkStart w:id="304" w:name="_Toc21234"/>
      <w:r>
        <w:rPr>
          <w:rFonts w:hint="eastAsia"/>
        </w:rPr>
        <w:t>第四章  磋商办法</w:t>
      </w:r>
      <w:bookmarkEnd w:id="303"/>
      <w:bookmarkEnd w:id="304"/>
    </w:p>
    <w:p w14:paraId="318BB6C5">
      <w:pPr>
        <w:spacing w:line="520" w:lineRule="exact"/>
        <w:ind w:firstLine="422" w:firstLineChars="200"/>
        <w:rPr>
          <w:rFonts w:ascii="宋体" w:hAnsi="宋体" w:cs="宋体"/>
          <w:b/>
          <w:sz w:val="24"/>
          <w:szCs w:val="24"/>
        </w:rPr>
      </w:pPr>
      <w:bookmarkStart w:id="305" w:name="_Toc38013557"/>
      <w:bookmarkStart w:id="306" w:name="_Toc28251232"/>
      <w:r>
        <w:rPr>
          <w:rFonts w:hint="eastAsia" w:ascii="黑体" w:hAnsi="黑体"/>
          <w:b/>
          <w:bCs/>
          <w:szCs w:val="20"/>
        </w:rPr>
        <w:t>1.</w:t>
      </w:r>
      <w:bookmarkEnd w:id="305"/>
      <w:bookmarkEnd w:id="306"/>
      <w:r>
        <w:rPr>
          <w:rFonts w:hint="eastAsia" w:ascii="宋体" w:hAnsi="宋体" w:cs="宋体"/>
          <w:b/>
          <w:bCs/>
          <w:kern w:val="0"/>
          <w:sz w:val="24"/>
          <w:szCs w:val="24"/>
        </w:rPr>
        <w:t>本次磋商采用综合评分法：</w:t>
      </w:r>
      <w:r>
        <w:rPr>
          <w:rFonts w:hint="eastAsia" w:ascii="宋体" w:hAnsi="宋体" w:cs="宋体"/>
          <w:sz w:val="24"/>
          <w:szCs w:val="24"/>
        </w:rPr>
        <w:t>磋商小组对满足竞争性磋商文件实质性要求和提交最终报价的响应文件，按本章节规定的评分标准进行综合评分，并按得分由高到低顺序推荐3名成交候选人。</w:t>
      </w:r>
      <w:bookmarkStart w:id="307" w:name="_Toc19618"/>
      <w:bookmarkEnd w:id="307"/>
      <w:bookmarkStart w:id="308" w:name="_Toc179632619"/>
      <w:bookmarkEnd w:id="308"/>
      <w:bookmarkStart w:id="309" w:name="_Toc28030"/>
      <w:bookmarkEnd w:id="309"/>
      <w:bookmarkStart w:id="310" w:name="_Toc29880"/>
    </w:p>
    <w:p w14:paraId="34A5B953">
      <w:pPr>
        <w:spacing w:line="520" w:lineRule="exact"/>
        <w:ind w:firstLine="482" w:firstLineChars="200"/>
        <w:rPr>
          <w:rFonts w:ascii="宋体" w:hAnsi="宋体" w:cs="宋体"/>
          <w:b/>
          <w:bCs/>
          <w:sz w:val="24"/>
          <w:szCs w:val="24"/>
        </w:rPr>
      </w:pPr>
      <w:r>
        <w:rPr>
          <w:rFonts w:hint="eastAsia" w:ascii="宋体" w:hAnsi="宋体" w:cs="宋体"/>
          <w:b/>
          <w:bCs/>
          <w:sz w:val="24"/>
          <w:szCs w:val="24"/>
        </w:rPr>
        <w:t>2. 评审标准</w:t>
      </w:r>
      <w:bookmarkEnd w:id="310"/>
    </w:p>
    <w:p w14:paraId="41BF530B">
      <w:pPr>
        <w:pStyle w:val="28"/>
        <w:keepLines w:val="0"/>
        <w:widowControl/>
        <w:spacing w:line="520" w:lineRule="exact"/>
        <w:ind w:firstLine="480" w:firstLineChars="200"/>
        <w:rPr>
          <w:rFonts w:ascii="宋体" w:hAnsi="宋体" w:eastAsia="宋体"/>
        </w:rPr>
      </w:pPr>
      <w:bookmarkStart w:id="311" w:name="_Toc31847"/>
      <w:bookmarkEnd w:id="311"/>
      <w:bookmarkStart w:id="312" w:name="_Toc23196"/>
      <w:bookmarkEnd w:id="312"/>
      <w:bookmarkStart w:id="313" w:name="_Toc179632620"/>
      <w:bookmarkEnd w:id="313"/>
      <w:bookmarkStart w:id="314" w:name="_Toc12931"/>
      <w:bookmarkEnd w:id="314"/>
      <w:bookmarkStart w:id="315" w:name="_Toc12074"/>
      <w:r>
        <w:rPr>
          <w:rFonts w:hint="eastAsia" w:ascii="宋体" w:hAnsi="宋体" w:eastAsia="宋体"/>
        </w:rPr>
        <w:t>2.1 初步评审标准</w:t>
      </w:r>
      <w:bookmarkEnd w:id="315"/>
    </w:p>
    <w:p w14:paraId="5A79486D">
      <w:pPr>
        <w:spacing w:line="520" w:lineRule="exact"/>
        <w:ind w:firstLine="480" w:firstLineChars="200"/>
        <w:rPr>
          <w:rFonts w:ascii="宋体" w:hAnsi="宋体" w:cs="宋体"/>
          <w:sz w:val="24"/>
          <w:szCs w:val="24"/>
        </w:rPr>
      </w:pPr>
      <w:r>
        <w:rPr>
          <w:rFonts w:hint="eastAsia" w:ascii="宋体" w:hAnsi="宋体" w:cs="宋体"/>
          <w:sz w:val="24"/>
          <w:szCs w:val="24"/>
        </w:rPr>
        <w:t>2.1.1 形式评审标准：见磋商办法前附表。</w:t>
      </w:r>
    </w:p>
    <w:p w14:paraId="7844D7E7">
      <w:pPr>
        <w:spacing w:line="520" w:lineRule="exact"/>
        <w:ind w:firstLine="480" w:firstLineChars="200"/>
        <w:rPr>
          <w:rFonts w:ascii="宋体" w:hAnsi="宋体" w:cs="宋体"/>
          <w:sz w:val="24"/>
          <w:szCs w:val="24"/>
        </w:rPr>
      </w:pPr>
      <w:r>
        <w:rPr>
          <w:rFonts w:hint="eastAsia" w:ascii="宋体" w:hAnsi="宋体" w:cs="宋体"/>
          <w:sz w:val="24"/>
          <w:szCs w:val="24"/>
        </w:rPr>
        <w:t>2.1.2 资格评审标准：见磋商办法前附表。</w:t>
      </w:r>
    </w:p>
    <w:p w14:paraId="13A45E05">
      <w:pPr>
        <w:pStyle w:val="28"/>
        <w:keepLines w:val="0"/>
        <w:widowControl/>
        <w:spacing w:line="520" w:lineRule="exact"/>
        <w:ind w:firstLine="480" w:firstLineChars="200"/>
        <w:rPr>
          <w:rFonts w:ascii="宋体" w:hAnsi="宋体" w:eastAsia="宋体"/>
        </w:rPr>
      </w:pPr>
      <w:bookmarkStart w:id="316" w:name="_Toc607"/>
      <w:bookmarkEnd w:id="316"/>
      <w:bookmarkStart w:id="317" w:name="_Toc179632621"/>
      <w:bookmarkEnd w:id="317"/>
      <w:bookmarkStart w:id="318" w:name="_Toc16603"/>
      <w:bookmarkEnd w:id="318"/>
      <w:bookmarkStart w:id="319" w:name="_Toc11804"/>
      <w:bookmarkEnd w:id="319"/>
      <w:bookmarkStart w:id="320" w:name="_Toc12819"/>
      <w:r>
        <w:rPr>
          <w:rFonts w:hint="eastAsia" w:ascii="宋体" w:hAnsi="宋体" w:eastAsia="宋体"/>
        </w:rPr>
        <w:t>2.1.3 响应性评审标准：见磋商办法前附表。</w:t>
      </w:r>
      <w:bookmarkEnd w:id="320"/>
    </w:p>
    <w:p w14:paraId="61162416">
      <w:pPr>
        <w:pStyle w:val="28"/>
        <w:keepLines w:val="0"/>
        <w:widowControl/>
        <w:spacing w:line="520" w:lineRule="exact"/>
        <w:ind w:firstLine="480" w:firstLineChars="200"/>
        <w:rPr>
          <w:rFonts w:ascii="宋体" w:hAnsi="宋体" w:eastAsia="宋体"/>
        </w:rPr>
      </w:pPr>
      <w:bookmarkStart w:id="321" w:name="_Toc7169"/>
      <w:r>
        <w:rPr>
          <w:rFonts w:hint="eastAsia" w:ascii="宋体" w:hAnsi="宋体" w:eastAsia="宋体"/>
        </w:rPr>
        <w:t>2.2 详细评审</w:t>
      </w:r>
      <w:bookmarkEnd w:id="321"/>
    </w:p>
    <w:p w14:paraId="169C0867">
      <w:pPr>
        <w:spacing w:line="520" w:lineRule="exact"/>
        <w:ind w:firstLine="480" w:firstLineChars="200"/>
        <w:rPr>
          <w:rFonts w:ascii="宋体" w:hAnsi="宋体" w:cs="宋体"/>
          <w:sz w:val="24"/>
          <w:szCs w:val="24"/>
        </w:rPr>
      </w:pPr>
      <w:r>
        <w:rPr>
          <w:rFonts w:hint="eastAsia" w:ascii="宋体" w:hAnsi="宋体" w:cs="宋体"/>
          <w:sz w:val="24"/>
          <w:szCs w:val="24"/>
        </w:rPr>
        <w:t>2.2.1 分值构成</w:t>
      </w:r>
    </w:p>
    <w:p w14:paraId="74162B53">
      <w:pPr>
        <w:spacing w:line="520" w:lineRule="exact"/>
        <w:ind w:firstLine="420" w:firstLineChars="175"/>
        <w:rPr>
          <w:rFonts w:ascii="宋体" w:hAnsi="宋体" w:cs="宋体"/>
          <w:sz w:val="24"/>
          <w:szCs w:val="24"/>
        </w:rPr>
      </w:pPr>
      <w:r>
        <w:rPr>
          <w:rFonts w:hint="eastAsia" w:ascii="宋体" w:hAnsi="宋体" w:cs="宋体"/>
          <w:color w:val="000000" w:themeColor="text1"/>
          <w:sz w:val="24"/>
          <w:szCs w:val="24"/>
          <w14:textFill>
            <w14:solidFill>
              <w14:schemeClr w14:val="tx1"/>
            </w14:solidFill>
          </w14:textFill>
        </w:rPr>
        <w:t>（1）投标报价的</w:t>
      </w:r>
      <w:r>
        <w:rPr>
          <w:rFonts w:hint="eastAsia" w:ascii="宋体" w:hAnsi="宋体" w:cs="宋体"/>
          <w:sz w:val="24"/>
          <w:szCs w:val="24"/>
        </w:rPr>
        <w:t>权重占</w:t>
      </w:r>
      <w:r>
        <w:rPr>
          <w:rFonts w:hint="eastAsia" w:ascii="宋体" w:hAnsi="宋体" w:cs="宋体"/>
          <w:sz w:val="24"/>
          <w:szCs w:val="24"/>
          <w:lang w:val="en-US" w:eastAsia="zh-CN"/>
        </w:rPr>
        <w:t>3</w:t>
      </w:r>
      <w:r>
        <w:rPr>
          <w:rFonts w:hint="eastAsia" w:ascii="宋体" w:hAnsi="宋体" w:cs="宋体"/>
          <w:sz w:val="24"/>
          <w:szCs w:val="24"/>
        </w:rPr>
        <w:t>0%</w:t>
      </w:r>
    </w:p>
    <w:p w14:paraId="5CA9DADD">
      <w:pPr>
        <w:spacing w:line="520" w:lineRule="exact"/>
        <w:ind w:firstLine="420" w:firstLineChars="175"/>
        <w:rPr>
          <w:rFonts w:ascii="宋体" w:hAnsi="宋体" w:cs="宋体"/>
          <w:sz w:val="24"/>
          <w:szCs w:val="24"/>
        </w:rPr>
      </w:pPr>
      <w:r>
        <w:rPr>
          <w:rFonts w:hint="eastAsia" w:ascii="宋体" w:hAnsi="宋体" w:cs="宋体"/>
          <w:sz w:val="24"/>
          <w:szCs w:val="24"/>
        </w:rPr>
        <w:t>（2）技术标的权重占</w:t>
      </w:r>
      <w:r>
        <w:rPr>
          <w:rFonts w:hint="eastAsia" w:ascii="宋体" w:hAnsi="宋体" w:cs="宋体"/>
          <w:sz w:val="24"/>
          <w:szCs w:val="24"/>
          <w:lang w:val="en-US" w:eastAsia="zh-CN"/>
        </w:rPr>
        <w:t>50</w:t>
      </w:r>
      <w:r>
        <w:rPr>
          <w:rFonts w:hint="eastAsia" w:ascii="宋体" w:hAnsi="宋体" w:cs="宋体"/>
          <w:sz w:val="24"/>
          <w:szCs w:val="24"/>
        </w:rPr>
        <w:t>%</w:t>
      </w:r>
    </w:p>
    <w:p w14:paraId="5E76E10C">
      <w:pPr>
        <w:spacing w:line="520" w:lineRule="exact"/>
        <w:ind w:firstLine="420" w:firstLineChars="175"/>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综合</w:t>
      </w:r>
      <w:r>
        <w:rPr>
          <w:rFonts w:hint="eastAsia" w:ascii="宋体" w:hAnsi="宋体" w:cs="宋体"/>
          <w:sz w:val="24"/>
          <w:szCs w:val="24"/>
        </w:rPr>
        <w:t>标的权重占</w:t>
      </w:r>
      <w:r>
        <w:rPr>
          <w:rFonts w:hint="eastAsia" w:ascii="宋体" w:hAnsi="宋体" w:cs="宋体"/>
          <w:sz w:val="24"/>
          <w:szCs w:val="24"/>
          <w:lang w:val="en-US" w:eastAsia="zh-CN"/>
        </w:rPr>
        <w:t>20</w:t>
      </w:r>
      <w:r>
        <w:rPr>
          <w:rFonts w:hint="eastAsia" w:ascii="宋体" w:hAnsi="宋体" w:cs="宋体"/>
          <w:sz w:val="24"/>
          <w:szCs w:val="24"/>
        </w:rPr>
        <w:t>%</w:t>
      </w:r>
    </w:p>
    <w:p w14:paraId="2E33BFEF">
      <w:pPr>
        <w:spacing w:line="520" w:lineRule="exact"/>
        <w:ind w:firstLine="480" w:firstLineChars="200"/>
        <w:rPr>
          <w:rFonts w:ascii="宋体" w:hAnsi="宋体" w:cs="宋体"/>
          <w:sz w:val="24"/>
          <w:szCs w:val="24"/>
        </w:rPr>
      </w:pPr>
      <w:r>
        <w:rPr>
          <w:rFonts w:hint="eastAsia" w:ascii="宋体" w:hAnsi="宋体" w:cs="宋体"/>
          <w:sz w:val="24"/>
          <w:szCs w:val="24"/>
        </w:rPr>
        <w:t>2.2.2  评分标准：见磋商办法前附表。</w:t>
      </w:r>
      <w:bookmarkStart w:id="322" w:name="_Toc179632622"/>
      <w:bookmarkEnd w:id="322"/>
      <w:bookmarkStart w:id="323" w:name="_Toc11715"/>
      <w:bookmarkEnd w:id="323"/>
      <w:bookmarkStart w:id="324" w:name="_Toc13158"/>
      <w:bookmarkEnd w:id="324"/>
      <w:bookmarkStart w:id="325" w:name="_Toc152045604"/>
      <w:bookmarkEnd w:id="325"/>
      <w:bookmarkStart w:id="326" w:name="_Toc144974571"/>
      <w:bookmarkEnd w:id="326"/>
      <w:bookmarkStart w:id="327" w:name="_Toc25534"/>
      <w:bookmarkEnd w:id="327"/>
      <w:bookmarkStart w:id="328" w:name="_Toc152042381"/>
    </w:p>
    <w:p w14:paraId="4A78D759">
      <w:pPr>
        <w:spacing w:line="520" w:lineRule="exact"/>
        <w:ind w:firstLine="482" w:firstLineChars="200"/>
        <w:rPr>
          <w:rFonts w:ascii="宋体" w:hAnsi="宋体" w:cs="宋体"/>
          <w:b/>
          <w:bCs/>
          <w:sz w:val="24"/>
          <w:szCs w:val="24"/>
        </w:rPr>
      </w:pPr>
      <w:r>
        <w:rPr>
          <w:rFonts w:hint="eastAsia" w:ascii="宋体" w:hAnsi="宋体" w:cs="宋体"/>
          <w:b/>
          <w:bCs/>
          <w:sz w:val="24"/>
          <w:szCs w:val="24"/>
        </w:rPr>
        <w:t>3. 磋商程序</w:t>
      </w:r>
      <w:bookmarkEnd w:id="328"/>
    </w:p>
    <w:p w14:paraId="16AE81CA">
      <w:pPr>
        <w:pStyle w:val="28"/>
        <w:keepLines w:val="0"/>
        <w:widowControl/>
        <w:spacing w:line="520" w:lineRule="exact"/>
        <w:ind w:firstLine="480" w:firstLineChars="200"/>
        <w:rPr>
          <w:rFonts w:ascii="宋体" w:hAnsi="宋体" w:eastAsia="宋体"/>
        </w:rPr>
      </w:pPr>
      <w:bookmarkStart w:id="329" w:name="_Toc8644"/>
      <w:bookmarkEnd w:id="329"/>
      <w:bookmarkStart w:id="330" w:name="_Toc144974572"/>
      <w:bookmarkEnd w:id="330"/>
      <w:bookmarkStart w:id="331" w:name="_Toc152042382"/>
      <w:bookmarkEnd w:id="331"/>
      <w:bookmarkStart w:id="332" w:name="_Toc30372"/>
      <w:bookmarkEnd w:id="332"/>
      <w:bookmarkStart w:id="333" w:name="_Toc152045605"/>
      <w:bookmarkEnd w:id="333"/>
      <w:bookmarkStart w:id="334" w:name="_Toc31010"/>
      <w:bookmarkEnd w:id="334"/>
      <w:bookmarkStart w:id="335" w:name="_Toc10475"/>
      <w:bookmarkStart w:id="336" w:name="_Toc179632623"/>
      <w:r>
        <w:rPr>
          <w:rFonts w:hint="eastAsia" w:ascii="宋体" w:hAnsi="宋体" w:eastAsia="宋体"/>
        </w:rPr>
        <w:t>3.1 初步评审</w:t>
      </w:r>
      <w:bookmarkEnd w:id="335"/>
      <w:bookmarkEnd w:id="336"/>
    </w:p>
    <w:p w14:paraId="1D0877FA">
      <w:pPr>
        <w:spacing w:line="520" w:lineRule="exact"/>
        <w:ind w:firstLine="480" w:firstLineChars="200"/>
        <w:rPr>
          <w:rFonts w:ascii="宋体" w:hAnsi="宋体" w:cs="宋体"/>
          <w:sz w:val="24"/>
          <w:szCs w:val="24"/>
        </w:rPr>
      </w:pPr>
      <w:r>
        <w:rPr>
          <w:rFonts w:hint="eastAsia" w:ascii="宋体" w:hAnsi="宋体" w:cs="宋体"/>
          <w:sz w:val="24"/>
          <w:szCs w:val="24"/>
        </w:rPr>
        <w:t>3.1.1 磋商小组应该以供应商自行上传到投标文件中的有关证明和证件的原件扫描件为准，进行核验。磋商小组依据本章第2.1款规定的标准对响应文件进行初步评审。有一项不符合评审标准的，其磋商将被否决。</w:t>
      </w:r>
    </w:p>
    <w:p w14:paraId="676254E5">
      <w:pPr>
        <w:spacing w:line="520" w:lineRule="exact"/>
        <w:ind w:firstLine="480" w:firstLineChars="200"/>
        <w:rPr>
          <w:rFonts w:ascii="宋体" w:hAnsi="宋体" w:cs="宋体"/>
          <w:sz w:val="24"/>
          <w:szCs w:val="24"/>
        </w:rPr>
      </w:pPr>
      <w:r>
        <w:rPr>
          <w:rFonts w:hint="eastAsia" w:ascii="宋体" w:hAnsi="宋体" w:cs="宋体"/>
          <w:sz w:val="24"/>
          <w:szCs w:val="24"/>
        </w:rPr>
        <w:t>3.1.2磋商小组依据本章第2.1.1项、第2.1.2项、第2.1.3项规定的评审标准对响应文件进行初步评审。有一项不符合评审标准的，其磋商将被否决。</w:t>
      </w:r>
    </w:p>
    <w:p w14:paraId="5F7D1C98">
      <w:pPr>
        <w:spacing w:line="520" w:lineRule="exact"/>
        <w:ind w:firstLine="480" w:firstLineChars="200"/>
        <w:rPr>
          <w:rFonts w:ascii="宋体" w:hAnsi="宋体" w:cs="宋体"/>
          <w:sz w:val="24"/>
          <w:szCs w:val="24"/>
        </w:rPr>
      </w:pPr>
      <w:r>
        <w:rPr>
          <w:rFonts w:hint="eastAsia" w:ascii="宋体" w:hAnsi="宋体" w:cs="宋体"/>
          <w:sz w:val="24"/>
          <w:szCs w:val="24"/>
        </w:rPr>
        <w:t>3.1.3供应商有以下情形之一的，其磋商作无效标处理：</w:t>
      </w:r>
    </w:p>
    <w:p w14:paraId="5D202E6A">
      <w:pPr>
        <w:spacing w:line="520" w:lineRule="exact"/>
        <w:ind w:firstLine="480" w:firstLineChars="200"/>
        <w:rPr>
          <w:rFonts w:ascii="宋体" w:hAnsi="宋体" w:cs="宋体"/>
          <w:sz w:val="24"/>
          <w:szCs w:val="24"/>
        </w:rPr>
      </w:pPr>
      <w:r>
        <w:rPr>
          <w:rFonts w:hint="eastAsia" w:ascii="宋体" w:hAnsi="宋体" w:cs="宋体"/>
          <w:sz w:val="24"/>
          <w:szCs w:val="24"/>
        </w:rPr>
        <w:t>（1）串通磋商或弄虚作假或有其他违法行为的；</w:t>
      </w:r>
    </w:p>
    <w:p w14:paraId="53509EFF">
      <w:pPr>
        <w:spacing w:line="520" w:lineRule="exact"/>
        <w:ind w:firstLine="480" w:firstLineChars="200"/>
        <w:rPr>
          <w:rFonts w:ascii="宋体" w:hAnsi="宋体" w:cs="宋体"/>
          <w:sz w:val="24"/>
          <w:szCs w:val="24"/>
        </w:rPr>
      </w:pPr>
      <w:r>
        <w:rPr>
          <w:rFonts w:hint="eastAsia" w:ascii="宋体" w:hAnsi="宋体" w:cs="宋体"/>
          <w:sz w:val="24"/>
          <w:szCs w:val="24"/>
        </w:rPr>
        <w:t>（2）不按磋商小组要求澄清、说明或补正的。</w:t>
      </w:r>
    </w:p>
    <w:p w14:paraId="0C25369C">
      <w:pPr>
        <w:spacing w:line="520" w:lineRule="exact"/>
        <w:ind w:firstLine="480" w:firstLineChars="200"/>
        <w:rPr>
          <w:rFonts w:ascii="宋体" w:hAnsi="宋体" w:cs="宋体"/>
          <w:sz w:val="24"/>
          <w:szCs w:val="24"/>
        </w:rPr>
      </w:pPr>
      <w:r>
        <w:rPr>
          <w:rFonts w:hint="eastAsia" w:ascii="宋体" w:hAnsi="宋体" w:cs="宋体"/>
          <w:sz w:val="24"/>
          <w:szCs w:val="24"/>
        </w:rPr>
        <w:t>3.1.4磋商报价有算术错误的，磋商小组按以下原则对磋商报价进行修正，修正的价格经供应商书面确认后具有约束力。供应商不接受修正价格的，其磋商将被否决。</w:t>
      </w:r>
    </w:p>
    <w:p w14:paraId="6C62107B">
      <w:pPr>
        <w:spacing w:line="520" w:lineRule="exact"/>
        <w:ind w:firstLine="480" w:firstLineChars="200"/>
        <w:rPr>
          <w:rFonts w:ascii="宋体" w:hAnsi="宋体" w:cs="宋体"/>
          <w:sz w:val="24"/>
          <w:szCs w:val="24"/>
        </w:rPr>
      </w:pPr>
      <w:bookmarkStart w:id="337" w:name="_Toc152042383"/>
      <w:bookmarkEnd w:id="337"/>
      <w:r>
        <w:rPr>
          <w:rFonts w:hint="eastAsia" w:ascii="宋体" w:hAnsi="宋体" w:cs="宋体"/>
          <w:sz w:val="24"/>
          <w:szCs w:val="24"/>
        </w:rPr>
        <w:t>（1）响应文件中的大写金额与小写金额不一致的，以大写金额为准；</w:t>
      </w:r>
    </w:p>
    <w:p w14:paraId="2D49C52A">
      <w:pPr>
        <w:spacing w:line="520" w:lineRule="exact"/>
        <w:ind w:firstLine="480" w:firstLineChars="200"/>
        <w:rPr>
          <w:rFonts w:ascii="宋体" w:hAnsi="宋体" w:cs="宋体"/>
          <w:sz w:val="24"/>
          <w:szCs w:val="24"/>
        </w:rPr>
      </w:pPr>
      <w:r>
        <w:rPr>
          <w:rFonts w:hint="eastAsia" w:ascii="宋体" w:hAnsi="宋体" w:cs="宋体"/>
          <w:sz w:val="24"/>
          <w:szCs w:val="24"/>
        </w:rPr>
        <w:t>（2）总价金额与依据单价计算出的结果不一致的，以单价金额为准修正总价，但单价金额小数点有明显错误的除外。</w:t>
      </w:r>
    </w:p>
    <w:p w14:paraId="7E8C736A">
      <w:pPr>
        <w:spacing w:line="520" w:lineRule="exact"/>
        <w:ind w:firstLine="480" w:firstLineChars="200"/>
        <w:rPr>
          <w:rFonts w:ascii="宋体" w:hAnsi="宋体" w:cs="宋体"/>
          <w:sz w:val="24"/>
          <w:szCs w:val="24"/>
        </w:rPr>
      </w:pPr>
      <w:bookmarkStart w:id="338" w:name="_Toc179632624"/>
      <w:bookmarkEnd w:id="338"/>
      <w:bookmarkStart w:id="339" w:name="_Toc144974573"/>
      <w:bookmarkEnd w:id="339"/>
      <w:bookmarkStart w:id="340" w:name="_Toc152042384"/>
      <w:bookmarkEnd w:id="340"/>
      <w:bookmarkStart w:id="341" w:name="_Toc152045606"/>
      <w:r>
        <w:rPr>
          <w:rFonts w:hint="eastAsia" w:ascii="宋体" w:hAnsi="宋体" w:cs="宋体"/>
          <w:sz w:val="24"/>
          <w:szCs w:val="24"/>
        </w:rPr>
        <w:t>3.2 详细评审</w:t>
      </w:r>
      <w:bookmarkEnd w:id="341"/>
    </w:p>
    <w:p w14:paraId="2BC4A67B">
      <w:pPr>
        <w:spacing w:line="520" w:lineRule="exact"/>
        <w:ind w:firstLine="480" w:firstLineChars="200"/>
        <w:rPr>
          <w:rFonts w:ascii="宋体" w:hAnsi="宋体" w:cs="宋体"/>
          <w:sz w:val="24"/>
          <w:szCs w:val="24"/>
        </w:rPr>
      </w:pPr>
      <w:r>
        <w:rPr>
          <w:rFonts w:hint="eastAsia" w:ascii="宋体" w:hAnsi="宋体" w:cs="宋体"/>
          <w:sz w:val="24"/>
          <w:szCs w:val="24"/>
        </w:rPr>
        <w:t>3.2.1 磋商小组按本章第2.2款规定的量化因素和分值进行打分，并计算出综合评估得分。</w:t>
      </w:r>
    </w:p>
    <w:p w14:paraId="4085E68F">
      <w:pPr>
        <w:spacing w:line="520" w:lineRule="exact"/>
        <w:ind w:firstLine="480" w:firstLineChars="200"/>
        <w:rPr>
          <w:rFonts w:ascii="宋体" w:hAnsi="宋体" w:cs="宋体"/>
          <w:sz w:val="24"/>
          <w:szCs w:val="24"/>
        </w:rPr>
      </w:pPr>
      <w:r>
        <w:rPr>
          <w:rFonts w:hint="eastAsia" w:ascii="宋体" w:hAnsi="宋体" w:cs="宋体"/>
          <w:sz w:val="24"/>
          <w:szCs w:val="24"/>
        </w:rPr>
        <w:t>3.2.2 磋商小组发现供应商最终提交的报价明显低于其他磋商报价，或者在设有招标控制价时明显低于招标控制价，使得其磋商报价可能低于其个别成本的，应当要求该供应商作出书面说明并提供相应的证明材料。供应商不能合理说明或者不能提供相应证明材料的，由磋商小组认定该供应商以低于成本报价竞标，其磋商作无效标处理。</w:t>
      </w:r>
    </w:p>
    <w:p w14:paraId="5FAC35F9">
      <w:pPr>
        <w:spacing w:line="520" w:lineRule="exact"/>
        <w:ind w:firstLine="480" w:firstLineChars="200"/>
        <w:rPr>
          <w:rFonts w:ascii="宋体" w:hAnsi="宋体" w:cs="宋体"/>
          <w:sz w:val="24"/>
          <w:szCs w:val="24"/>
        </w:rPr>
      </w:pPr>
      <w:bookmarkStart w:id="342" w:name="_Toc423358132"/>
      <w:bookmarkEnd w:id="342"/>
      <w:bookmarkStart w:id="343" w:name="_Toc179632625"/>
      <w:bookmarkEnd w:id="343"/>
      <w:bookmarkStart w:id="344" w:name="_Toc418605429"/>
      <w:bookmarkEnd w:id="344"/>
      <w:bookmarkStart w:id="345" w:name="_Toc144974575"/>
      <w:bookmarkEnd w:id="345"/>
      <w:bookmarkStart w:id="346" w:name="_Toc389384087"/>
      <w:bookmarkEnd w:id="346"/>
      <w:bookmarkStart w:id="347" w:name="_Toc466566711"/>
      <w:bookmarkEnd w:id="347"/>
      <w:bookmarkStart w:id="348" w:name="_Toc387498748"/>
      <w:bookmarkEnd w:id="348"/>
      <w:bookmarkStart w:id="349" w:name="_Toc401512224"/>
      <w:bookmarkEnd w:id="349"/>
      <w:bookmarkStart w:id="350" w:name="_Toc466566800"/>
      <w:bookmarkEnd w:id="350"/>
      <w:bookmarkStart w:id="351" w:name="_Toc152042385"/>
      <w:bookmarkEnd w:id="351"/>
      <w:bookmarkStart w:id="352" w:name="_Toc421805017"/>
      <w:bookmarkEnd w:id="352"/>
      <w:bookmarkStart w:id="353" w:name="_Toc401926485"/>
      <w:bookmarkEnd w:id="353"/>
      <w:bookmarkStart w:id="354" w:name="_Toc421698384"/>
      <w:bookmarkEnd w:id="354"/>
      <w:bookmarkStart w:id="355" w:name="_Toc418608950"/>
      <w:bookmarkEnd w:id="355"/>
      <w:bookmarkStart w:id="356" w:name="_Toc152045607"/>
      <w:r>
        <w:rPr>
          <w:rFonts w:hint="eastAsia" w:ascii="宋体" w:hAnsi="宋体" w:cs="宋体"/>
          <w:sz w:val="24"/>
          <w:szCs w:val="24"/>
        </w:rPr>
        <w:t xml:space="preserve">3.3 </w:t>
      </w:r>
      <w:bookmarkEnd w:id="356"/>
      <w:r>
        <w:rPr>
          <w:rFonts w:hint="eastAsia" w:ascii="宋体" w:hAnsi="宋体" w:cs="宋体"/>
          <w:sz w:val="24"/>
          <w:szCs w:val="24"/>
        </w:rPr>
        <w:t>响应文件的澄清和补正</w:t>
      </w:r>
    </w:p>
    <w:p w14:paraId="6ECD6AF8">
      <w:pPr>
        <w:spacing w:line="520" w:lineRule="exact"/>
        <w:ind w:firstLine="480" w:firstLineChars="200"/>
        <w:rPr>
          <w:rFonts w:ascii="宋体" w:hAnsi="宋体" w:cs="宋体"/>
          <w:sz w:val="24"/>
          <w:szCs w:val="24"/>
        </w:rPr>
      </w:pPr>
      <w:r>
        <w:rPr>
          <w:rFonts w:hint="eastAsia" w:ascii="宋体" w:hAnsi="宋体" w:cs="宋体"/>
          <w:sz w:val="24"/>
          <w:szCs w:val="24"/>
        </w:rPr>
        <w:t>3.3.1在磋商过程中，磋商小组可以书面形式要求供应商对所提交响应文件中不明确的内容进行书面澄清或说明，或者对细微偏差进行补正。磋商小组不接受供应商主动提出的澄清、说明或补正。</w:t>
      </w:r>
    </w:p>
    <w:p w14:paraId="708737FE">
      <w:pPr>
        <w:spacing w:line="520" w:lineRule="exact"/>
        <w:ind w:firstLine="480" w:firstLineChars="200"/>
        <w:rPr>
          <w:rFonts w:ascii="宋体" w:hAnsi="宋体" w:cs="宋体"/>
          <w:sz w:val="24"/>
          <w:szCs w:val="24"/>
        </w:rPr>
      </w:pPr>
      <w:r>
        <w:rPr>
          <w:rFonts w:hint="eastAsia" w:ascii="宋体" w:hAnsi="宋体" w:cs="宋体"/>
          <w:sz w:val="24"/>
          <w:szCs w:val="24"/>
        </w:rPr>
        <w:t>3.3.2 澄清、说明和补正不得改变响应文件的实质性内容（算术性错误修正的除外）。供应商的书面澄清、说明和补正属于响应文件的组成部分。</w:t>
      </w:r>
    </w:p>
    <w:p w14:paraId="5B33FA86">
      <w:pPr>
        <w:spacing w:line="520" w:lineRule="exact"/>
        <w:ind w:firstLine="480" w:firstLineChars="200"/>
        <w:rPr>
          <w:rFonts w:ascii="宋体" w:hAnsi="宋体" w:cs="宋体"/>
          <w:sz w:val="24"/>
          <w:szCs w:val="24"/>
        </w:rPr>
      </w:pPr>
      <w:r>
        <w:rPr>
          <w:rFonts w:hint="eastAsia" w:ascii="宋体" w:hAnsi="宋体" w:cs="宋体"/>
          <w:sz w:val="24"/>
          <w:szCs w:val="24"/>
        </w:rPr>
        <w:t>3.3.3 磋商小组对供应商提交的澄清、说明或补正有疑问的，可以要求供应商进一步澄清、说明或补正，直至满足磋商小组的要求。</w:t>
      </w:r>
    </w:p>
    <w:p w14:paraId="0BF7810C">
      <w:pPr>
        <w:spacing w:line="520" w:lineRule="exact"/>
        <w:ind w:firstLine="480" w:firstLineChars="200"/>
        <w:rPr>
          <w:rFonts w:ascii="宋体" w:hAnsi="宋体" w:cs="宋体"/>
          <w:sz w:val="24"/>
          <w:szCs w:val="24"/>
        </w:rPr>
      </w:pPr>
      <w:bookmarkStart w:id="357" w:name="_Toc418608951"/>
      <w:bookmarkEnd w:id="357"/>
      <w:bookmarkStart w:id="358" w:name="_Toc179632626"/>
      <w:bookmarkEnd w:id="358"/>
      <w:bookmarkStart w:id="359" w:name="_Toc144974576"/>
      <w:bookmarkEnd w:id="359"/>
      <w:bookmarkStart w:id="360" w:name="_Toc423358133"/>
      <w:bookmarkEnd w:id="360"/>
      <w:bookmarkStart w:id="361" w:name="_Toc401512225"/>
      <w:bookmarkEnd w:id="361"/>
      <w:bookmarkStart w:id="362" w:name="_Toc421698385"/>
      <w:bookmarkEnd w:id="362"/>
      <w:bookmarkStart w:id="363" w:name="_Toc466566801"/>
      <w:bookmarkEnd w:id="363"/>
      <w:bookmarkStart w:id="364" w:name="_Toc466566712"/>
      <w:bookmarkEnd w:id="364"/>
      <w:bookmarkStart w:id="365" w:name="_Toc389384088"/>
      <w:bookmarkEnd w:id="365"/>
      <w:bookmarkStart w:id="366" w:name="_Toc152042386"/>
      <w:bookmarkEnd w:id="366"/>
      <w:bookmarkStart w:id="367" w:name="_Toc401926486"/>
      <w:bookmarkEnd w:id="367"/>
      <w:bookmarkStart w:id="368" w:name="_Toc152045608"/>
      <w:bookmarkEnd w:id="368"/>
      <w:bookmarkStart w:id="369" w:name="_Toc421805018"/>
      <w:bookmarkEnd w:id="369"/>
      <w:bookmarkStart w:id="370" w:name="_Toc418605430"/>
      <w:bookmarkEnd w:id="370"/>
      <w:bookmarkStart w:id="371" w:name="_Toc387498749"/>
      <w:r>
        <w:rPr>
          <w:rFonts w:hint="eastAsia" w:ascii="宋体" w:hAnsi="宋体" w:cs="宋体"/>
          <w:sz w:val="24"/>
          <w:szCs w:val="24"/>
        </w:rPr>
        <w:t>3.4供应商的最终得分</w:t>
      </w:r>
      <w:bookmarkEnd w:id="371"/>
    </w:p>
    <w:p w14:paraId="0F720D0C">
      <w:pPr>
        <w:spacing w:line="520" w:lineRule="exact"/>
        <w:ind w:firstLine="480" w:firstLineChars="200"/>
        <w:rPr>
          <w:rFonts w:ascii="宋体" w:hAnsi="宋体" w:cs="宋体"/>
          <w:sz w:val="24"/>
          <w:szCs w:val="24"/>
        </w:rPr>
      </w:pPr>
      <w:r>
        <w:rPr>
          <w:rFonts w:hint="eastAsia" w:ascii="宋体" w:hAnsi="宋体" w:cs="宋体"/>
          <w:sz w:val="24"/>
          <w:szCs w:val="24"/>
        </w:rPr>
        <w:t>（1）磋商小组完成对投标报价、技术标和商务标的汇总后，取平均值作为该供应商的最终得分。</w:t>
      </w:r>
    </w:p>
    <w:p w14:paraId="3E6197A8">
      <w:pPr>
        <w:spacing w:line="520" w:lineRule="exact"/>
        <w:ind w:firstLine="480" w:firstLineChars="200"/>
        <w:rPr>
          <w:rFonts w:ascii="宋体" w:hAnsi="宋体" w:cs="宋体"/>
          <w:sz w:val="24"/>
          <w:szCs w:val="24"/>
        </w:rPr>
      </w:pPr>
      <w:r>
        <w:rPr>
          <w:rFonts w:hint="eastAsia" w:ascii="宋体" w:hAnsi="宋体" w:cs="宋体"/>
          <w:sz w:val="24"/>
          <w:szCs w:val="24"/>
        </w:rPr>
        <w:t>（2）计算分值均保留两位小数。</w:t>
      </w:r>
    </w:p>
    <w:p w14:paraId="451D4612">
      <w:pPr>
        <w:spacing w:line="520" w:lineRule="exact"/>
        <w:ind w:firstLine="480" w:firstLineChars="200"/>
        <w:rPr>
          <w:rFonts w:ascii="宋体" w:hAnsi="宋体" w:cs="宋体"/>
          <w:sz w:val="24"/>
          <w:szCs w:val="24"/>
        </w:rPr>
      </w:pPr>
      <w:r>
        <w:rPr>
          <w:rFonts w:hint="eastAsia" w:ascii="宋体" w:hAnsi="宋体" w:cs="宋体"/>
          <w:sz w:val="24"/>
          <w:szCs w:val="24"/>
        </w:rPr>
        <w:t>3.5磋商结果</w:t>
      </w:r>
    </w:p>
    <w:p w14:paraId="04427E3D">
      <w:pPr>
        <w:spacing w:line="520" w:lineRule="exact"/>
        <w:ind w:firstLine="480" w:firstLineChars="200"/>
        <w:rPr>
          <w:rFonts w:ascii="宋体" w:hAnsi="宋体" w:cs="宋体"/>
          <w:sz w:val="24"/>
          <w:szCs w:val="24"/>
        </w:rPr>
      </w:pPr>
      <w:r>
        <w:rPr>
          <w:rFonts w:hint="eastAsia" w:ascii="宋体" w:hAnsi="宋体" w:cs="宋体"/>
          <w:sz w:val="24"/>
          <w:szCs w:val="24"/>
        </w:rPr>
        <w:t>3.5.1磋商小组按照得分由高到低的顺序推荐3名成交候选人。</w:t>
      </w:r>
    </w:p>
    <w:p w14:paraId="53D53C8D">
      <w:pPr>
        <w:spacing w:line="520" w:lineRule="exact"/>
        <w:ind w:firstLine="480" w:firstLineChars="200"/>
        <w:rPr>
          <w:rFonts w:ascii="宋体" w:hAnsi="宋体" w:cs="宋体"/>
          <w:sz w:val="24"/>
          <w:szCs w:val="24"/>
        </w:rPr>
      </w:pPr>
      <w:r>
        <w:rPr>
          <w:rFonts w:hint="eastAsia" w:ascii="宋体" w:hAnsi="宋体" w:cs="宋体"/>
          <w:sz w:val="24"/>
          <w:szCs w:val="24"/>
        </w:rPr>
        <w:t>3.5.2 磋商小组完成磋商后，应当向招标人提交书面评标报告。</w:t>
      </w:r>
    </w:p>
    <w:p w14:paraId="56AB8C0D">
      <w:pPr>
        <w:spacing w:line="480" w:lineRule="auto"/>
        <w:jc w:val="center"/>
        <w:rPr>
          <w:rFonts w:hint="eastAsia" w:ascii="宋体" w:hAnsi="宋体" w:cs="宋体"/>
          <w:b/>
          <w:bCs/>
          <w:sz w:val="28"/>
          <w:szCs w:val="28"/>
        </w:rPr>
      </w:pPr>
    </w:p>
    <w:p w14:paraId="27D80ADF">
      <w:pPr>
        <w:spacing w:line="480" w:lineRule="auto"/>
        <w:jc w:val="center"/>
        <w:rPr>
          <w:rFonts w:hint="eastAsia" w:ascii="宋体" w:hAnsi="宋体" w:cs="宋体"/>
          <w:b/>
          <w:bCs/>
          <w:sz w:val="28"/>
          <w:szCs w:val="28"/>
        </w:rPr>
      </w:pPr>
    </w:p>
    <w:p w14:paraId="40E169E5">
      <w:pPr>
        <w:spacing w:line="480" w:lineRule="auto"/>
        <w:jc w:val="center"/>
        <w:rPr>
          <w:rFonts w:ascii="宋体" w:hAnsi="宋体"/>
          <w:b/>
          <w:sz w:val="28"/>
          <w:szCs w:val="28"/>
        </w:rPr>
      </w:pPr>
      <w:r>
        <w:rPr>
          <w:rFonts w:hint="eastAsia" w:ascii="宋体" w:hAnsi="宋体" w:cs="宋体"/>
          <w:b/>
          <w:bCs/>
          <w:sz w:val="28"/>
          <w:szCs w:val="28"/>
        </w:rPr>
        <w:t>2.1初步评审表</w:t>
      </w:r>
    </w:p>
    <w:tbl>
      <w:tblPr>
        <w:tblStyle w:val="11"/>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709"/>
        <w:gridCol w:w="2126"/>
        <w:gridCol w:w="709"/>
        <w:gridCol w:w="5953"/>
      </w:tblGrid>
      <w:tr w14:paraId="78FA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101" w:type="dxa"/>
            <w:gridSpan w:val="2"/>
            <w:vAlign w:val="center"/>
          </w:tcPr>
          <w:p w14:paraId="3D1E3E47">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r>
              <w:rPr>
                <w:rFonts w:hint="eastAsia" w:asciiTheme="minorEastAsia" w:hAnsiTheme="minorEastAsia"/>
                <w:color w:val="000000"/>
                <w:sz w:val="24"/>
                <w:szCs w:val="24"/>
              </w:rPr>
              <w:t>条款号</w:t>
            </w:r>
          </w:p>
        </w:tc>
        <w:tc>
          <w:tcPr>
            <w:tcW w:w="2835" w:type="dxa"/>
            <w:gridSpan w:val="2"/>
            <w:vAlign w:val="center"/>
          </w:tcPr>
          <w:p w14:paraId="215EF96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r>
              <w:rPr>
                <w:rFonts w:hint="eastAsia" w:asciiTheme="minorEastAsia" w:hAnsiTheme="minorEastAsia"/>
                <w:color w:val="000000"/>
                <w:sz w:val="24"/>
                <w:szCs w:val="24"/>
              </w:rPr>
              <w:t>评审因素</w:t>
            </w:r>
          </w:p>
        </w:tc>
        <w:tc>
          <w:tcPr>
            <w:tcW w:w="5953" w:type="dxa"/>
            <w:vAlign w:val="center"/>
          </w:tcPr>
          <w:p w14:paraId="3516CE87">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r>
              <w:rPr>
                <w:rFonts w:hint="eastAsia" w:asciiTheme="minorEastAsia" w:hAnsiTheme="minorEastAsia"/>
                <w:color w:val="000000"/>
                <w:sz w:val="24"/>
                <w:szCs w:val="24"/>
              </w:rPr>
              <w:t>评审标准</w:t>
            </w:r>
          </w:p>
        </w:tc>
      </w:tr>
      <w:tr w14:paraId="4B0C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92" w:type="dxa"/>
            <w:vMerge w:val="restart"/>
            <w:vAlign w:val="center"/>
          </w:tcPr>
          <w:p w14:paraId="2A39F080">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2.1</w:t>
            </w:r>
          </w:p>
        </w:tc>
        <w:tc>
          <w:tcPr>
            <w:tcW w:w="709" w:type="dxa"/>
            <w:vMerge w:val="restart"/>
            <w:vAlign w:val="center"/>
          </w:tcPr>
          <w:p w14:paraId="6CE6F364">
            <w:pPr>
              <w:keepNext w:val="0"/>
              <w:keepLines w:val="0"/>
              <w:suppressLineNumbers w:val="0"/>
              <w:adjustRightInd w:val="0"/>
              <w:snapToGrid w:val="0"/>
              <w:spacing w:before="0" w:beforeAutospacing="0" w:after="0" w:afterAutospacing="0" w:line="360" w:lineRule="auto"/>
              <w:ind w:left="0" w:right="0"/>
              <w:jc w:val="center"/>
              <w:rPr>
                <w:rFonts w:hint="eastAsia" w:asciiTheme="minorEastAsia" w:hAnsiTheme="minorEastAsia" w:eastAsiaTheme="minorEastAsia"/>
                <w:color w:val="000000"/>
                <w:sz w:val="24"/>
                <w:szCs w:val="24"/>
                <w:lang w:val="en-US" w:eastAsia="zh-CN"/>
              </w:rPr>
            </w:pPr>
            <w:r>
              <w:rPr>
                <w:rFonts w:hint="eastAsia" w:asciiTheme="minorEastAsia" w:hAnsiTheme="minorEastAsia"/>
                <w:color w:val="000000"/>
                <w:sz w:val="24"/>
                <w:szCs w:val="24"/>
                <w:lang w:val="en-US" w:eastAsia="zh-CN"/>
              </w:rPr>
              <w:t>2.1.1资格</w:t>
            </w:r>
            <w:r>
              <w:rPr>
                <w:rFonts w:hint="eastAsia" w:asciiTheme="minorEastAsia" w:hAnsiTheme="minorEastAsia"/>
                <w:sz w:val="24"/>
                <w:szCs w:val="24"/>
              </w:rPr>
              <w:t>性评审标准</w:t>
            </w:r>
          </w:p>
        </w:tc>
        <w:tc>
          <w:tcPr>
            <w:tcW w:w="2835" w:type="dxa"/>
            <w:gridSpan w:val="2"/>
            <w:vAlign w:val="center"/>
          </w:tcPr>
          <w:p w14:paraId="34868F7D">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Theme="minorEastAsia" w:hAnsiTheme="minorEastAsia"/>
                <w:kern w:val="0"/>
                <w:sz w:val="24"/>
                <w:szCs w:val="24"/>
              </w:rPr>
              <w:t>符合《中华人民共和国政府采购法》第二十二条规定</w:t>
            </w:r>
          </w:p>
        </w:tc>
        <w:tc>
          <w:tcPr>
            <w:tcW w:w="5953" w:type="dxa"/>
            <w:vAlign w:val="center"/>
          </w:tcPr>
          <w:p w14:paraId="4F6F666B">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Theme="minorEastAsia" w:hAnsiTheme="minorEastAsia"/>
                <w:kern w:val="0"/>
                <w:sz w:val="24"/>
                <w:szCs w:val="24"/>
              </w:rPr>
              <w:t>符合《中华人民共和国政府采购法》第二十二条规定（相关证明资料或承诺书）</w:t>
            </w:r>
          </w:p>
        </w:tc>
      </w:tr>
      <w:tr w14:paraId="6595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392" w:type="dxa"/>
            <w:vMerge w:val="continue"/>
            <w:vAlign w:val="center"/>
          </w:tcPr>
          <w:p w14:paraId="275E46C8">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4357C6E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835" w:type="dxa"/>
            <w:gridSpan w:val="2"/>
            <w:vAlign w:val="center"/>
          </w:tcPr>
          <w:p w14:paraId="4FDF6294">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heme="minorEastAsia" w:hAnsiTheme="minorEastAsia" w:eastAsiaTheme="minorEastAsia"/>
                <w:kern w:val="0"/>
                <w:sz w:val="24"/>
                <w:szCs w:val="24"/>
                <w:lang w:val="en-US" w:eastAsia="zh-CN"/>
              </w:rPr>
            </w:pPr>
            <w:r>
              <w:rPr>
                <w:rFonts w:hint="default" w:asciiTheme="minorEastAsia" w:hAnsiTheme="minorEastAsia"/>
                <w:kern w:val="0"/>
                <w:sz w:val="24"/>
                <w:szCs w:val="24"/>
              </w:rPr>
              <w:t>营业</w:t>
            </w:r>
            <w:r>
              <w:rPr>
                <w:rFonts w:hint="eastAsia" w:asciiTheme="minorEastAsia" w:hAnsiTheme="minorEastAsia"/>
                <w:kern w:val="0"/>
                <w:sz w:val="24"/>
                <w:szCs w:val="24"/>
              </w:rPr>
              <w:t>执照</w:t>
            </w:r>
          </w:p>
        </w:tc>
        <w:tc>
          <w:tcPr>
            <w:tcW w:w="5953" w:type="dxa"/>
            <w:vAlign w:val="center"/>
          </w:tcPr>
          <w:p w14:paraId="4620F257">
            <w:pPr>
              <w:keepNext w:val="0"/>
              <w:keepLines w:val="0"/>
              <w:suppressLineNumbers w:val="0"/>
              <w:spacing w:before="0" w:beforeAutospacing="0" w:after="0" w:afterAutospacing="0" w:line="360" w:lineRule="auto"/>
              <w:ind w:left="0" w:right="0"/>
              <w:rPr>
                <w:rFonts w:hint="default" w:asciiTheme="minorEastAsia" w:hAnsiTheme="minorEastAsia"/>
                <w:kern w:val="0"/>
                <w:sz w:val="24"/>
                <w:szCs w:val="24"/>
              </w:rPr>
            </w:pPr>
            <w:r>
              <w:rPr>
                <w:rFonts w:hint="eastAsia" w:ascii="宋体" w:hAnsi="宋体" w:cs="宋体"/>
                <w:sz w:val="24"/>
                <w:szCs w:val="24"/>
                <w:lang w:val="en-US" w:eastAsia="zh-CN"/>
              </w:rPr>
              <w:t>供应商应在中华人民共和国境内注册，具有独立法人资格，具有有效的营业执照</w:t>
            </w:r>
          </w:p>
        </w:tc>
      </w:tr>
      <w:tr w14:paraId="699E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392" w:type="dxa"/>
            <w:vMerge w:val="continue"/>
            <w:vAlign w:val="center"/>
          </w:tcPr>
          <w:p w14:paraId="076E43D7">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14874BDF">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835" w:type="dxa"/>
            <w:gridSpan w:val="2"/>
            <w:vAlign w:val="center"/>
          </w:tcPr>
          <w:p w14:paraId="0FF20C1C">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default" w:asciiTheme="minorEastAsia" w:hAnsiTheme="minorEastAsia"/>
                <w:kern w:val="0"/>
                <w:sz w:val="24"/>
                <w:szCs w:val="24"/>
              </w:rPr>
              <w:t>资质证书、安全生产许可证</w:t>
            </w:r>
          </w:p>
        </w:tc>
        <w:tc>
          <w:tcPr>
            <w:tcW w:w="5953" w:type="dxa"/>
            <w:vAlign w:val="center"/>
          </w:tcPr>
          <w:p w14:paraId="684335CA">
            <w:pPr>
              <w:keepNext w:val="0"/>
              <w:keepLines w:val="0"/>
              <w:widowControl/>
              <w:suppressLineNumbers w:val="0"/>
              <w:adjustRightInd w:val="0"/>
              <w:snapToGrid w:val="0"/>
              <w:spacing w:before="0" w:beforeAutospacing="0" w:after="0" w:afterAutospacing="0" w:line="360" w:lineRule="auto"/>
              <w:ind w:left="0" w:right="0"/>
              <w:jc w:val="left"/>
              <w:rPr>
                <w:rFonts w:hint="eastAsia" w:asciiTheme="minorEastAsia" w:hAnsiTheme="minorEastAsia" w:eastAsiaTheme="minorEastAsia"/>
                <w:kern w:val="0"/>
                <w:sz w:val="24"/>
                <w:szCs w:val="24"/>
                <w:lang w:eastAsia="zh-CN"/>
              </w:rPr>
            </w:pPr>
            <w:r>
              <w:rPr>
                <w:rFonts w:hint="eastAsia" w:ascii="宋体" w:hAnsi="宋体" w:eastAsia="宋体" w:cs="宋体"/>
                <w:color w:val="auto"/>
                <w:sz w:val="24"/>
                <w:szCs w:val="24"/>
                <w:highlight w:val="none"/>
              </w:rPr>
              <w:t>供应商须具备</w:t>
            </w:r>
            <w:r>
              <w:rPr>
                <w:rFonts w:hint="eastAsia" w:ascii="宋体" w:hAnsi="宋体" w:eastAsia="宋体" w:cs="宋体"/>
                <w:color w:val="auto"/>
                <w:sz w:val="24"/>
                <w:szCs w:val="24"/>
                <w:highlight w:val="none"/>
                <w:lang w:eastAsia="zh-CN"/>
              </w:rPr>
              <w:t>建筑装修装饰工程专业承包二级及以上资质，具备有效的安全生产许可证</w:t>
            </w:r>
            <w:r>
              <w:rPr>
                <w:rFonts w:hint="eastAsia" w:ascii="宋体" w:hAnsi="宋体" w:eastAsia="宋体" w:cs="宋体"/>
                <w:color w:val="auto"/>
                <w:sz w:val="24"/>
                <w:szCs w:val="24"/>
                <w:highlight w:val="none"/>
              </w:rPr>
              <w:t>，并在人员、设备、资金等方面具有相应的施工能力</w:t>
            </w:r>
          </w:p>
        </w:tc>
      </w:tr>
      <w:tr w14:paraId="6A0E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392" w:type="dxa"/>
            <w:vMerge w:val="continue"/>
            <w:vAlign w:val="center"/>
          </w:tcPr>
          <w:p w14:paraId="7727036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0D27BAA0">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kern w:val="0"/>
                <w:sz w:val="24"/>
                <w:szCs w:val="24"/>
              </w:rPr>
            </w:pPr>
          </w:p>
        </w:tc>
        <w:tc>
          <w:tcPr>
            <w:tcW w:w="2835" w:type="dxa"/>
            <w:gridSpan w:val="2"/>
            <w:vAlign w:val="center"/>
          </w:tcPr>
          <w:p w14:paraId="3D0D809F">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default" w:asciiTheme="minorEastAsia" w:hAnsiTheme="minorEastAsia"/>
                <w:kern w:val="0"/>
                <w:sz w:val="24"/>
                <w:szCs w:val="24"/>
              </w:rPr>
              <w:t>项目经理</w:t>
            </w:r>
          </w:p>
        </w:tc>
        <w:tc>
          <w:tcPr>
            <w:tcW w:w="5953" w:type="dxa"/>
            <w:vAlign w:val="center"/>
          </w:tcPr>
          <w:p w14:paraId="267E3677">
            <w:pPr>
              <w:keepNext w:val="0"/>
              <w:keepLines w:val="0"/>
              <w:suppressLineNumbers w:val="0"/>
              <w:spacing w:before="0" w:beforeAutospacing="0" w:after="0" w:afterAutospacing="0" w:line="360" w:lineRule="auto"/>
              <w:ind w:right="0"/>
              <w:rPr>
                <w:rFonts w:hint="default" w:asciiTheme="minorEastAsia" w:hAnsiTheme="minorEastAsia"/>
                <w:kern w:val="0"/>
                <w:sz w:val="24"/>
                <w:szCs w:val="24"/>
              </w:rPr>
            </w:pPr>
            <w:r>
              <w:rPr>
                <w:rFonts w:hint="eastAsia" w:ascii="宋体" w:hAnsi="宋体" w:eastAsia="宋体" w:cs="宋体"/>
                <w:color w:val="auto"/>
                <w:sz w:val="24"/>
                <w:szCs w:val="24"/>
                <w:highlight w:val="none"/>
                <w:lang w:val="en-US"/>
              </w:rPr>
              <w:t>拟派项目经理应具备建筑工程专业贰级及以上注册建造师</w:t>
            </w:r>
            <w:r>
              <w:rPr>
                <w:rFonts w:hint="eastAsia" w:ascii="宋体" w:hAnsi="宋体" w:eastAsia="宋体" w:cs="宋体"/>
                <w:color w:val="auto"/>
                <w:sz w:val="24"/>
                <w:szCs w:val="24"/>
                <w:highlight w:val="none"/>
              </w:rPr>
              <w:t>，具有有效的安全生产考核合格证，提供养老保险缴费证明，且无其他在建施工项目（需出具无在建施工项目承诺书）</w:t>
            </w:r>
          </w:p>
        </w:tc>
      </w:tr>
      <w:tr w14:paraId="67EB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92" w:type="dxa"/>
            <w:vMerge w:val="continue"/>
            <w:vAlign w:val="center"/>
          </w:tcPr>
          <w:p w14:paraId="2BF46886">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32C20B57">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kern w:val="0"/>
                <w:sz w:val="24"/>
                <w:szCs w:val="24"/>
              </w:rPr>
            </w:pPr>
          </w:p>
        </w:tc>
        <w:tc>
          <w:tcPr>
            <w:tcW w:w="2835" w:type="dxa"/>
            <w:gridSpan w:val="2"/>
            <w:vAlign w:val="center"/>
          </w:tcPr>
          <w:p w14:paraId="5C404DFC">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Theme="minorEastAsia" w:hAnsiTheme="minorEastAsia"/>
                <w:kern w:val="0"/>
                <w:sz w:val="24"/>
                <w:szCs w:val="24"/>
              </w:rPr>
              <w:t>无商业贿赂及无不正当竞争行为的</w:t>
            </w:r>
            <w:r>
              <w:rPr>
                <w:rFonts w:hint="default" w:asciiTheme="minorEastAsia" w:hAnsiTheme="minorEastAsia"/>
                <w:kern w:val="0"/>
                <w:sz w:val="24"/>
                <w:szCs w:val="24"/>
              </w:rPr>
              <w:t>承诺书</w:t>
            </w:r>
          </w:p>
        </w:tc>
        <w:tc>
          <w:tcPr>
            <w:tcW w:w="5953" w:type="dxa"/>
            <w:vAlign w:val="center"/>
          </w:tcPr>
          <w:p w14:paraId="5DD58A60">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宋体" w:hAnsi="宋体" w:cs="宋体"/>
                <w:sz w:val="24"/>
                <w:szCs w:val="24"/>
                <w:lang w:val="en-US" w:eastAsia="en-US"/>
              </w:rPr>
              <w:t>供应商出具无商业贿赂及无不正当竞争行为的承诺书；</w:t>
            </w:r>
          </w:p>
        </w:tc>
      </w:tr>
      <w:tr w14:paraId="64C8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392" w:type="dxa"/>
            <w:vMerge w:val="continue"/>
            <w:vAlign w:val="center"/>
          </w:tcPr>
          <w:p w14:paraId="71B76F3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34FD220E">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kern w:val="0"/>
                <w:sz w:val="24"/>
                <w:szCs w:val="24"/>
              </w:rPr>
            </w:pPr>
          </w:p>
        </w:tc>
        <w:tc>
          <w:tcPr>
            <w:tcW w:w="2835" w:type="dxa"/>
            <w:gridSpan w:val="2"/>
            <w:vAlign w:val="center"/>
          </w:tcPr>
          <w:p w14:paraId="3700EF4C">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Theme="minorEastAsia" w:hAnsiTheme="minorEastAsia"/>
                <w:kern w:val="0"/>
                <w:sz w:val="24"/>
                <w:szCs w:val="24"/>
              </w:rPr>
              <w:t>中国裁判文书网查询（提供网页查询截图）或供应商自行承诺</w:t>
            </w:r>
          </w:p>
        </w:tc>
        <w:tc>
          <w:tcPr>
            <w:tcW w:w="5953" w:type="dxa"/>
            <w:vAlign w:val="center"/>
          </w:tcPr>
          <w:p w14:paraId="4128D597">
            <w:pPr>
              <w:keepNext w:val="0"/>
              <w:keepLines w:val="0"/>
              <w:suppressLineNumbers w:val="0"/>
              <w:spacing w:before="0" w:beforeAutospacing="0" w:after="0" w:afterAutospacing="0" w:line="360" w:lineRule="auto"/>
              <w:ind w:right="0"/>
              <w:rPr>
                <w:rFonts w:hint="default" w:asciiTheme="minorEastAsia" w:hAnsiTheme="minorEastAsia"/>
                <w:kern w:val="0"/>
                <w:sz w:val="24"/>
                <w:szCs w:val="24"/>
              </w:rPr>
            </w:pPr>
            <w:r>
              <w:rPr>
                <w:rFonts w:hint="eastAsia" w:ascii="宋体" w:hAnsi="宋体" w:cs="宋体"/>
                <w:sz w:val="24"/>
                <w:szCs w:val="24"/>
                <w:lang w:val="en-US" w:eastAsia="en-US"/>
              </w:rPr>
              <w:t>提供供应商企业、法定代表人无行贿犯罪记录，在中国裁判文书网查询（提供网页查询截图）或供应商自行承诺，（查询日期必须在公告发布之日之后）；</w:t>
            </w:r>
          </w:p>
        </w:tc>
      </w:tr>
      <w:tr w14:paraId="47EC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92" w:type="dxa"/>
            <w:vMerge w:val="continue"/>
            <w:vAlign w:val="center"/>
          </w:tcPr>
          <w:p w14:paraId="1233F6E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10546175">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kern w:val="0"/>
                <w:sz w:val="24"/>
                <w:szCs w:val="24"/>
              </w:rPr>
            </w:pPr>
          </w:p>
        </w:tc>
        <w:tc>
          <w:tcPr>
            <w:tcW w:w="2835" w:type="dxa"/>
            <w:gridSpan w:val="2"/>
            <w:vAlign w:val="center"/>
          </w:tcPr>
          <w:p w14:paraId="166A8A92">
            <w:pPr>
              <w:keepNext w:val="0"/>
              <w:keepLines w:val="0"/>
              <w:widowControl/>
              <w:suppressLineNumbers w:val="0"/>
              <w:adjustRightInd w:val="0"/>
              <w:snapToGrid w:val="0"/>
              <w:spacing w:before="0" w:beforeAutospacing="0" w:after="0" w:afterAutospacing="0" w:line="360" w:lineRule="auto"/>
              <w:ind w:left="0" w:right="0"/>
              <w:jc w:val="left"/>
              <w:rPr>
                <w:rFonts w:hint="default" w:asciiTheme="minorEastAsia" w:hAnsiTheme="minorEastAsia"/>
                <w:kern w:val="0"/>
                <w:sz w:val="24"/>
                <w:szCs w:val="24"/>
              </w:rPr>
            </w:pPr>
            <w:r>
              <w:rPr>
                <w:rFonts w:hint="eastAsia" w:asciiTheme="minorEastAsia" w:hAnsiTheme="minorEastAsia"/>
                <w:kern w:val="0"/>
                <w:sz w:val="24"/>
                <w:szCs w:val="24"/>
              </w:rPr>
              <w:t>信用中国及中国政府采购网查询页</w:t>
            </w:r>
          </w:p>
        </w:tc>
        <w:tc>
          <w:tcPr>
            <w:tcW w:w="5953" w:type="dxa"/>
            <w:vAlign w:val="center"/>
          </w:tcPr>
          <w:p w14:paraId="40D68AD0">
            <w:pPr>
              <w:keepNext w:val="0"/>
              <w:keepLines w:val="0"/>
              <w:suppressLineNumbers w:val="0"/>
              <w:spacing w:before="0" w:beforeAutospacing="0" w:after="0" w:afterAutospacing="0" w:line="360" w:lineRule="auto"/>
              <w:ind w:left="0" w:right="0" w:firstLine="420" w:firstLineChars="175"/>
              <w:rPr>
                <w:rFonts w:hint="default" w:asciiTheme="minorEastAsia" w:hAnsiTheme="minorEastAsia"/>
                <w:kern w:val="0"/>
                <w:sz w:val="24"/>
                <w:szCs w:val="24"/>
              </w:rPr>
            </w:pPr>
            <w:r>
              <w:rPr>
                <w:rFonts w:hint="eastAsia" w:ascii="宋体" w:hAnsi="宋体" w:cs="宋体"/>
                <w:sz w:val="24"/>
                <w:szCs w:val="24"/>
                <w:lang w:val="en-US" w:eastAsia="en-US"/>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w:t>
            </w:r>
          </w:p>
        </w:tc>
      </w:tr>
      <w:tr w14:paraId="4227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92" w:type="dxa"/>
            <w:vMerge w:val="continue"/>
            <w:vAlign w:val="center"/>
          </w:tcPr>
          <w:p w14:paraId="3B1C3B57">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05F021DF">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kern w:val="0"/>
                <w:sz w:val="24"/>
                <w:szCs w:val="24"/>
              </w:rPr>
            </w:pPr>
          </w:p>
        </w:tc>
        <w:tc>
          <w:tcPr>
            <w:tcW w:w="2835" w:type="dxa"/>
            <w:gridSpan w:val="2"/>
            <w:vAlign w:val="center"/>
          </w:tcPr>
          <w:p w14:paraId="2388DD09">
            <w:pPr>
              <w:keepNext w:val="0"/>
              <w:keepLines w:val="0"/>
              <w:widowControl/>
              <w:suppressLineNumbers w:val="0"/>
              <w:adjustRightInd w:val="0"/>
              <w:snapToGrid w:val="0"/>
              <w:spacing w:before="0" w:beforeAutospacing="0" w:after="0" w:afterAutospacing="0" w:line="360" w:lineRule="auto"/>
              <w:ind w:left="0" w:right="0"/>
              <w:jc w:val="left"/>
              <w:rPr>
                <w:rFonts w:hint="eastAsia" w:asciiTheme="minorEastAsia" w:hAnsiTheme="minorEastAsia" w:eastAsiaTheme="minorEastAsia"/>
                <w:kern w:val="0"/>
                <w:sz w:val="24"/>
                <w:szCs w:val="24"/>
                <w:lang w:val="en-US" w:eastAsia="zh-CN"/>
              </w:rPr>
            </w:pPr>
            <w:r>
              <w:rPr>
                <w:rFonts w:hint="eastAsia" w:asciiTheme="minorEastAsia" w:hAnsiTheme="minorEastAsia"/>
                <w:kern w:val="0"/>
                <w:sz w:val="24"/>
                <w:szCs w:val="24"/>
                <w:lang w:val="en-US" w:eastAsia="zh-CN"/>
              </w:rPr>
              <w:t>控股关系</w:t>
            </w:r>
          </w:p>
        </w:tc>
        <w:tc>
          <w:tcPr>
            <w:tcW w:w="5953" w:type="dxa"/>
            <w:vAlign w:val="center"/>
          </w:tcPr>
          <w:p w14:paraId="572B07D3">
            <w:pPr>
              <w:keepNext w:val="0"/>
              <w:keepLines w:val="0"/>
              <w:suppressLineNumbers w:val="0"/>
              <w:spacing w:before="0" w:beforeAutospacing="0" w:after="0" w:afterAutospacing="0" w:line="360" w:lineRule="auto"/>
              <w:ind w:right="0"/>
              <w:rPr>
                <w:rFonts w:hint="eastAsia" w:ascii="宋体" w:hAnsi="宋体" w:cs="宋体"/>
                <w:sz w:val="24"/>
                <w:szCs w:val="24"/>
                <w:lang w:val="en-US" w:eastAsia="en-US"/>
              </w:rPr>
            </w:pPr>
            <w:r>
              <w:rPr>
                <w:rFonts w:hint="default" w:ascii="宋体" w:hAnsi="宋体" w:cs="宋体"/>
                <w:sz w:val="24"/>
                <w:szCs w:val="24"/>
                <w:lang w:val="en-US" w:eastAsia="en-US"/>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tc>
      </w:tr>
      <w:tr w14:paraId="42ED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92" w:type="dxa"/>
            <w:vMerge w:val="continue"/>
            <w:vAlign w:val="center"/>
          </w:tcPr>
          <w:p w14:paraId="4317514A">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restart"/>
            <w:vAlign w:val="center"/>
          </w:tcPr>
          <w:p w14:paraId="4A8FEE54">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sz w:val="24"/>
                <w:szCs w:val="24"/>
              </w:rPr>
            </w:pPr>
            <w:r>
              <w:rPr>
                <w:rFonts w:hint="eastAsia" w:asciiTheme="minorEastAsia" w:hAnsiTheme="minorEastAsia"/>
                <w:sz w:val="24"/>
                <w:szCs w:val="24"/>
                <w:lang w:val="en-US" w:eastAsia="zh-CN"/>
              </w:rPr>
              <w:t>2.1.2</w:t>
            </w:r>
            <w:r>
              <w:rPr>
                <w:rFonts w:hint="eastAsia" w:asciiTheme="minorEastAsia" w:hAnsiTheme="minorEastAsia"/>
                <w:sz w:val="24"/>
                <w:szCs w:val="24"/>
              </w:rPr>
              <w:t>符合性评审标准</w:t>
            </w:r>
          </w:p>
        </w:tc>
        <w:tc>
          <w:tcPr>
            <w:tcW w:w="2126" w:type="dxa"/>
            <w:vAlign w:val="center"/>
          </w:tcPr>
          <w:p w14:paraId="72E10133">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eastAsia" w:cs="宋体" w:asciiTheme="minorEastAsia" w:hAnsiTheme="minorEastAsia"/>
                <w:sz w:val="24"/>
                <w:szCs w:val="24"/>
              </w:rPr>
              <w:t>供应商名称</w:t>
            </w:r>
          </w:p>
        </w:tc>
        <w:tc>
          <w:tcPr>
            <w:tcW w:w="6662" w:type="dxa"/>
            <w:gridSpan w:val="2"/>
            <w:vAlign w:val="center"/>
          </w:tcPr>
          <w:p w14:paraId="652E91A4">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eastAsia" w:cs="宋体" w:asciiTheme="minorEastAsia" w:hAnsiTheme="minorEastAsia"/>
                <w:sz w:val="24"/>
                <w:szCs w:val="24"/>
              </w:rPr>
              <w:t>与营业执照一致</w:t>
            </w:r>
          </w:p>
        </w:tc>
      </w:tr>
      <w:tr w14:paraId="5478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92" w:type="dxa"/>
            <w:vMerge w:val="continue"/>
            <w:vAlign w:val="center"/>
          </w:tcPr>
          <w:p w14:paraId="466916DD">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4414258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sz w:val="24"/>
                <w:szCs w:val="24"/>
              </w:rPr>
            </w:pPr>
          </w:p>
        </w:tc>
        <w:tc>
          <w:tcPr>
            <w:tcW w:w="2126" w:type="dxa"/>
            <w:vAlign w:val="center"/>
          </w:tcPr>
          <w:p w14:paraId="71519ABF">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default" w:cs="宋体" w:asciiTheme="minorEastAsia" w:hAnsiTheme="minorEastAsia"/>
                <w:sz w:val="24"/>
                <w:szCs w:val="24"/>
              </w:rPr>
              <w:t>盖章、签字</w:t>
            </w:r>
          </w:p>
        </w:tc>
        <w:tc>
          <w:tcPr>
            <w:tcW w:w="6662" w:type="dxa"/>
            <w:gridSpan w:val="2"/>
            <w:vAlign w:val="center"/>
          </w:tcPr>
          <w:p w14:paraId="02F004C2">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default" w:cs="宋体" w:asciiTheme="minorEastAsia" w:hAnsiTheme="minorEastAsia"/>
                <w:sz w:val="24"/>
                <w:szCs w:val="24"/>
              </w:rPr>
              <w:t>符合竞争性磋商文件签字、盖章的要求</w:t>
            </w:r>
          </w:p>
        </w:tc>
      </w:tr>
      <w:tr w14:paraId="32C2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2" w:type="dxa"/>
            <w:vMerge w:val="continue"/>
            <w:vAlign w:val="center"/>
          </w:tcPr>
          <w:p w14:paraId="4EAEC80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34209A13">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697DF817">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eastAsia" w:cs="宋体" w:asciiTheme="minorEastAsia" w:hAnsiTheme="minorEastAsia"/>
                <w:sz w:val="24"/>
                <w:szCs w:val="24"/>
              </w:rPr>
              <w:t>响应文件格式</w:t>
            </w:r>
          </w:p>
        </w:tc>
        <w:tc>
          <w:tcPr>
            <w:tcW w:w="6662" w:type="dxa"/>
            <w:gridSpan w:val="2"/>
            <w:vAlign w:val="center"/>
          </w:tcPr>
          <w:p w14:paraId="7DC3752B">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eastAsia" w:cs="宋体" w:asciiTheme="minorEastAsia" w:hAnsiTheme="minorEastAsia"/>
                <w:sz w:val="24"/>
                <w:szCs w:val="24"/>
              </w:rPr>
              <w:t>符合第六章“响应文件格式”要求</w:t>
            </w:r>
          </w:p>
        </w:tc>
      </w:tr>
      <w:tr w14:paraId="291D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92" w:type="dxa"/>
            <w:vMerge w:val="continue"/>
            <w:vAlign w:val="center"/>
          </w:tcPr>
          <w:p w14:paraId="2DD62B8C">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4982CE03">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309ECC4B">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default" w:cs="宋体" w:asciiTheme="minorEastAsia" w:hAnsiTheme="minorEastAsia"/>
                <w:sz w:val="24"/>
                <w:szCs w:val="24"/>
              </w:rPr>
              <w:t>报价唯一</w:t>
            </w:r>
          </w:p>
        </w:tc>
        <w:tc>
          <w:tcPr>
            <w:tcW w:w="6662" w:type="dxa"/>
            <w:gridSpan w:val="2"/>
            <w:vAlign w:val="center"/>
          </w:tcPr>
          <w:p w14:paraId="128DED94">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default" w:cs="宋体" w:asciiTheme="minorEastAsia" w:hAnsiTheme="minorEastAsia"/>
                <w:sz w:val="24"/>
                <w:szCs w:val="24"/>
              </w:rPr>
              <w:t>只能有一个有效报价且不超过最高限价</w:t>
            </w:r>
          </w:p>
        </w:tc>
      </w:tr>
      <w:tr w14:paraId="0256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92" w:type="dxa"/>
            <w:vMerge w:val="continue"/>
            <w:vAlign w:val="center"/>
          </w:tcPr>
          <w:p w14:paraId="49DD3E72">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restart"/>
            <w:vAlign w:val="center"/>
          </w:tcPr>
          <w:p w14:paraId="54FADF09">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r>
              <w:rPr>
                <w:rFonts w:hint="eastAsia" w:asciiTheme="minorEastAsia" w:hAnsiTheme="minorEastAsia"/>
                <w:color w:val="000000"/>
                <w:sz w:val="24"/>
                <w:szCs w:val="24"/>
                <w:lang w:val="en-US" w:eastAsia="zh-CN"/>
              </w:rPr>
              <w:t>2.1.3</w:t>
            </w:r>
            <w:r>
              <w:rPr>
                <w:rFonts w:hint="default" w:asciiTheme="minorEastAsia" w:hAnsiTheme="minorEastAsia"/>
                <w:color w:val="000000"/>
                <w:sz w:val="24"/>
                <w:szCs w:val="24"/>
              </w:rPr>
              <w:t>响应性评审标准</w:t>
            </w:r>
          </w:p>
        </w:tc>
        <w:tc>
          <w:tcPr>
            <w:tcW w:w="2126" w:type="dxa"/>
            <w:vAlign w:val="center"/>
          </w:tcPr>
          <w:p w14:paraId="77EC13DD">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color w:val="auto"/>
                <w:sz w:val="24"/>
                <w:szCs w:val="24"/>
                <w:highlight w:val="none"/>
              </w:rPr>
            </w:pPr>
            <w:r>
              <w:rPr>
                <w:rFonts w:hint="eastAsia" w:cs="宋体" w:asciiTheme="minorEastAsia" w:hAnsiTheme="minorEastAsia"/>
                <w:color w:val="auto"/>
                <w:sz w:val="24"/>
                <w:szCs w:val="24"/>
                <w:highlight w:val="none"/>
              </w:rPr>
              <w:t>计划工期</w:t>
            </w:r>
          </w:p>
        </w:tc>
        <w:tc>
          <w:tcPr>
            <w:tcW w:w="6662" w:type="dxa"/>
            <w:gridSpan w:val="2"/>
            <w:vAlign w:val="center"/>
          </w:tcPr>
          <w:p w14:paraId="25EAAEBC">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eastAsiaTheme="minorEastAsia"/>
                <w:color w:val="auto"/>
                <w:sz w:val="24"/>
                <w:szCs w:val="24"/>
                <w:highlight w:val="none"/>
                <w:lang w:val="en-US" w:eastAsia="zh-CN"/>
              </w:rPr>
            </w:pPr>
            <w:r>
              <w:rPr>
                <w:rFonts w:hint="eastAsia" w:cs="宋体" w:asciiTheme="minorEastAsia" w:hAnsiTheme="minorEastAsia"/>
                <w:color w:val="auto"/>
                <w:sz w:val="24"/>
                <w:szCs w:val="24"/>
                <w:highlight w:val="none"/>
                <w:lang w:val="en-US" w:eastAsia="zh-CN"/>
              </w:rPr>
              <w:t>60日历天</w:t>
            </w:r>
          </w:p>
        </w:tc>
      </w:tr>
      <w:tr w14:paraId="7065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92" w:type="dxa"/>
            <w:vMerge w:val="continue"/>
            <w:vAlign w:val="center"/>
          </w:tcPr>
          <w:p w14:paraId="72BAFEF1">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0569FFA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6024138D">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eastAsia" w:cs="宋体" w:asciiTheme="minorEastAsia" w:hAnsiTheme="minorEastAsia"/>
                <w:sz w:val="24"/>
                <w:szCs w:val="24"/>
              </w:rPr>
              <w:t>质量要求</w:t>
            </w:r>
          </w:p>
        </w:tc>
        <w:tc>
          <w:tcPr>
            <w:tcW w:w="6662" w:type="dxa"/>
            <w:gridSpan w:val="2"/>
            <w:vAlign w:val="center"/>
          </w:tcPr>
          <w:p w14:paraId="1013E2AE">
            <w:pPr>
              <w:keepNext w:val="0"/>
              <w:keepLines w:val="0"/>
              <w:suppressLineNumbers w:val="0"/>
              <w:suppressAutoHyphens/>
              <w:adjustRightInd w:val="0"/>
              <w:snapToGrid w:val="0"/>
              <w:spacing w:before="0" w:beforeAutospacing="0" w:after="0" w:afterAutospacing="0" w:line="360" w:lineRule="auto"/>
              <w:ind w:left="0" w:right="0"/>
              <w:jc w:val="left"/>
              <w:rPr>
                <w:rFonts w:hint="eastAsia" w:cs="宋体" w:asciiTheme="minorEastAsia" w:hAnsiTheme="minorEastAsia" w:eastAsiaTheme="minorEastAsia"/>
                <w:sz w:val="24"/>
                <w:szCs w:val="24"/>
                <w:lang w:eastAsia="zh-CN"/>
              </w:rPr>
            </w:pPr>
            <w:r>
              <w:rPr>
                <w:rFonts w:hint="eastAsia" w:ascii="宋体" w:hAnsi="宋体" w:cs="宋体"/>
                <w:sz w:val="24"/>
                <w:szCs w:val="24"/>
                <w:lang w:eastAsia="zh-CN"/>
              </w:rPr>
              <w:t>达到国家现行工程施工质量验收规范合格标准</w:t>
            </w:r>
          </w:p>
        </w:tc>
      </w:tr>
      <w:tr w14:paraId="6EEF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2" w:type="dxa"/>
            <w:vMerge w:val="continue"/>
            <w:vAlign w:val="center"/>
          </w:tcPr>
          <w:p w14:paraId="313DC835">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1228C2E4">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08B4242A">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default" w:cs="宋体" w:asciiTheme="minorEastAsia" w:hAnsiTheme="minorEastAsia"/>
                <w:sz w:val="24"/>
                <w:szCs w:val="24"/>
              </w:rPr>
              <w:t>质保期</w:t>
            </w:r>
          </w:p>
        </w:tc>
        <w:tc>
          <w:tcPr>
            <w:tcW w:w="6662" w:type="dxa"/>
            <w:gridSpan w:val="2"/>
            <w:vAlign w:val="center"/>
          </w:tcPr>
          <w:p w14:paraId="1E3AAB53">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default" w:cs="宋体" w:asciiTheme="minorEastAsia" w:hAnsiTheme="minorEastAsia"/>
                <w:sz w:val="24"/>
                <w:szCs w:val="24"/>
              </w:rPr>
              <w:t>按国家规定</w:t>
            </w:r>
          </w:p>
        </w:tc>
      </w:tr>
      <w:tr w14:paraId="1E72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92" w:type="dxa"/>
            <w:vMerge w:val="continue"/>
            <w:vAlign w:val="center"/>
          </w:tcPr>
          <w:p w14:paraId="4DD51DB3">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59E9023C">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0F5FB6F3">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sz w:val="24"/>
                <w:szCs w:val="24"/>
              </w:rPr>
            </w:pPr>
            <w:r>
              <w:rPr>
                <w:rFonts w:hint="eastAsia" w:cs="宋体" w:asciiTheme="minorEastAsia" w:hAnsiTheme="minorEastAsia"/>
                <w:sz w:val="24"/>
                <w:szCs w:val="24"/>
              </w:rPr>
              <w:t>磋商有效期</w:t>
            </w:r>
          </w:p>
        </w:tc>
        <w:tc>
          <w:tcPr>
            <w:tcW w:w="6662" w:type="dxa"/>
            <w:gridSpan w:val="2"/>
            <w:vAlign w:val="center"/>
          </w:tcPr>
          <w:p w14:paraId="730B05AD">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sz w:val="24"/>
                <w:szCs w:val="24"/>
              </w:rPr>
            </w:pPr>
            <w:r>
              <w:rPr>
                <w:rFonts w:hint="eastAsia" w:cs="宋体" w:asciiTheme="minorEastAsia" w:hAnsiTheme="minorEastAsia"/>
                <w:sz w:val="24"/>
                <w:szCs w:val="24"/>
              </w:rPr>
              <w:t>磋商响应文件递交截止日后60日历天</w:t>
            </w:r>
          </w:p>
        </w:tc>
      </w:tr>
      <w:tr w14:paraId="4626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92" w:type="dxa"/>
            <w:vMerge w:val="continue"/>
            <w:vAlign w:val="center"/>
          </w:tcPr>
          <w:p w14:paraId="27632956">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709" w:type="dxa"/>
            <w:vMerge w:val="continue"/>
            <w:vAlign w:val="center"/>
          </w:tcPr>
          <w:p w14:paraId="2A7670A1">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000000"/>
                <w:sz w:val="24"/>
                <w:szCs w:val="24"/>
              </w:rPr>
            </w:pPr>
          </w:p>
        </w:tc>
        <w:tc>
          <w:tcPr>
            <w:tcW w:w="2126" w:type="dxa"/>
            <w:vAlign w:val="center"/>
          </w:tcPr>
          <w:p w14:paraId="256BE627">
            <w:pPr>
              <w:keepNext w:val="0"/>
              <w:keepLines w:val="0"/>
              <w:suppressLineNumbers w:val="0"/>
              <w:suppressAutoHyphens/>
              <w:adjustRightInd w:val="0"/>
              <w:snapToGrid w:val="0"/>
              <w:spacing w:before="0" w:beforeAutospacing="0" w:after="0" w:afterAutospacing="0" w:line="360" w:lineRule="auto"/>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已标价工程量清单</w:t>
            </w:r>
          </w:p>
        </w:tc>
        <w:tc>
          <w:tcPr>
            <w:tcW w:w="6662" w:type="dxa"/>
            <w:gridSpan w:val="2"/>
            <w:vAlign w:val="center"/>
          </w:tcPr>
          <w:p w14:paraId="47BF64C1">
            <w:pPr>
              <w:keepNext w:val="0"/>
              <w:keepLines w:val="0"/>
              <w:suppressLineNumbers w:val="0"/>
              <w:suppressAutoHyphens/>
              <w:adjustRightInd w:val="0"/>
              <w:snapToGrid w:val="0"/>
              <w:spacing w:before="0" w:beforeAutospacing="0" w:after="0" w:afterAutospacing="0" w:line="360" w:lineRule="auto"/>
              <w:ind w:left="0" w:right="0"/>
              <w:jc w:val="left"/>
              <w:rPr>
                <w:rFonts w:hint="default" w:cs="宋体" w:asciiTheme="minorEastAsia" w:hAnsiTheme="minorEastAsia"/>
                <w:color w:val="000000"/>
                <w:sz w:val="24"/>
                <w:szCs w:val="24"/>
              </w:rPr>
            </w:pPr>
            <w:r>
              <w:rPr>
                <w:rFonts w:hint="eastAsia" w:cs="宋体" w:asciiTheme="minorEastAsia" w:hAnsiTheme="minorEastAsia"/>
                <w:color w:val="000000"/>
                <w:sz w:val="24"/>
                <w:szCs w:val="24"/>
              </w:rPr>
              <w:t>符合“工程量清单”给出的范围及数量，供应商不得擅自修改工程量清单上的工程项目和数量，否则其投标将予否决</w:t>
            </w:r>
          </w:p>
        </w:tc>
      </w:tr>
    </w:tbl>
    <w:p w14:paraId="56AAA7A8">
      <w:pPr>
        <w:spacing w:line="480" w:lineRule="auto"/>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2.2详细评审</w:t>
      </w:r>
    </w:p>
    <w:tbl>
      <w:tblPr>
        <w:tblStyle w:val="11"/>
        <w:tblW w:w="4943" w:type="pct"/>
        <w:tblInd w:w="0" w:type="dxa"/>
        <w:tblLayout w:type="autofit"/>
        <w:tblCellMar>
          <w:top w:w="0" w:type="dxa"/>
          <w:left w:w="108" w:type="dxa"/>
          <w:bottom w:w="0" w:type="dxa"/>
          <w:right w:w="108" w:type="dxa"/>
        </w:tblCellMar>
      </w:tblPr>
      <w:tblGrid>
        <w:gridCol w:w="1001"/>
        <w:gridCol w:w="1640"/>
        <w:gridCol w:w="7110"/>
      </w:tblGrid>
      <w:tr w14:paraId="2F4D3DFD">
        <w:tblPrEx>
          <w:tblCellMar>
            <w:top w:w="0" w:type="dxa"/>
            <w:left w:w="108" w:type="dxa"/>
            <w:bottom w:w="0" w:type="dxa"/>
            <w:right w:w="108" w:type="dxa"/>
          </w:tblCellMar>
        </w:tblPrEx>
        <w:trPr>
          <w:trHeight w:val="570" w:hRule="atLeast"/>
        </w:trPr>
        <w:tc>
          <w:tcPr>
            <w:tcW w:w="513" w:type="pct"/>
            <w:tcBorders>
              <w:top w:val="single" w:color="auto" w:sz="4" w:space="0"/>
              <w:left w:val="single" w:color="auto" w:sz="4" w:space="0"/>
              <w:bottom w:val="single" w:color="auto" w:sz="4" w:space="0"/>
              <w:right w:val="single" w:color="auto" w:sz="4" w:space="0"/>
            </w:tcBorders>
            <w:noWrap/>
            <w:vAlign w:val="center"/>
          </w:tcPr>
          <w:p w14:paraId="4CAF4AC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条款号</w:t>
            </w:r>
          </w:p>
        </w:tc>
        <w:tc>
          <w:tcPr>
            <w:tcW w:w="841" w:type="pct"/>
            <w:tcBorders>
              <w:top w:val="single" w:color="auto" w:sz="4" w:space="0"/>
              <w:left w:val="nil"/>
              <w:bottom w:val="single" w:color="auto" w:sz="4" w:space="0"/>
              <w:right w:val="single" w:color="auto" w:sz="4" w:space="0"/>
            </w:tcBorders>
            <w:noWrap/>
            <w:vAlign w:val="center"/>
          </w:tcPr>
          <w:p w14:paraId="7AFA1D1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评审内容</w:t>
            </w:r>
          </w:p>
        </w:tc>
        <w:tc>
          <w:tcPr>
            <w:tcW w:w="3644" w:type="pct"/>
            <w:tcBorders>
              <w:top w:val="single" w:color="auto" w:sz="4" w:space="0"/>
              <w:left w:val="nil"/>
              <w:bottom w:val="single" w:color="auto" w:sz="4" w:space="0"/>
              <w:right w:val="single" w:color="auto" w:sz="4" w:space="0"/>
            </w:tcBorders>
            <w:noWrap/>
            <w:vAlign w:val="center"/>
          </w:tcPr>
          <w:p w14:paraId="039241C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评审标准</w:t>
            </w:r>
          </w:p>
        </w:tc>
      </w:tr>
      <w:tr w14:paraId="359C3241">
        <w:tblPrEx>
          <w:tblCellMar>
            <w:top w:w="0" w:type="dxa"/>
            <w:left w:w="108" w:type="dxa"/>
            <w:bottom w:w="0" w:type="dxa"/>
            <w:right w:w="108" w:type="dxa"/>
          </w:tblCellMar>
        </w:tblPrEx>
        <w:trPr>
          <w:trHeight w:val="967" w:hRule="atLeast"/>
        </w:trPr>
        <w:tc>
          <w:tcPr>
            <w:tcW w:w="513" w:type="pct"/>
            <w:tcBorders>
              <w:top w:val="nil"/>
              <w:left w:val="single" w:color="auto" w:sz="4" w:space="0"/>
              <w:bottom w:val="single" w:color="auto" w:sz="4" w:space="0"/>
              <w:right w:val="single" w:color="auto" w:sz="4" w:space="0"/>
            </w:tcBorders>
            <w:vAlign w:val="center"/>
          </w:tcPr>
          <w:p w14:paraId="2B00BCA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1、投标报价   （</w:t>
            </w:r>
            <w:r>
              <w:rPr>
                <w:rFonts w:hint="eastAsia" w:ascii="宋体" w:hAnsi="宋体" w:cs="宋体"/>
                <w:color w:val="000000"/>
                <w:kern w:val="0"/>
                <w:sz w:val="24"/>
                <w:lang w:val="en-US" w:eastAsia="zh-CN"/>
              </w:rPr>
              <w:t>30</w:t>
            </w:r>
            <w:r>
              <w:rPr>
                <w:rFonts w:hint="eastAsia" w:ascii="宋体" w:hAnsi="宋体" w:cs="宋体"/>
                <w:color w:val="000000"/>
                <w:kern w:val="0"/>
                <w:sz w:val="24"/>
              </w:rPr>
              <w:t>分）</w:t>
            </w:r>
          </w:p>
        </w:tc>
        <w:tc>
          <w:tcPr>
            <w:tcW w:w="841" w:type="pct"/>
            <w:tcBorders>
              <w:top w:val="nil"/>
              <w:left w:val="nil"/>
              <w:bottom w:val="single" w:color="auto" w:sz="4" w:space="0"/>
              <w:right w:val="single" w:color="auto" w:sz="4" w:space="0"/>
            </w:tcBorders>
            <w:vAlign w:val="center"/>
          </w:tcPr>
          <w:p w14:paraId="037B775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投标报价（</w:t>
            </w:r>
            <w:r>
              <w:rPr>
                <w:rFonts w:hint="eastAsia" w:ascii="宋体" w:hAnsi="宋体" w:cs="宋体"/>
                <w:color w:val="000000"/>
                <w:kern w:val="0"/>
                <w:sz w:val="24"/>
                <w:lang w:val="en-US" w:eastAsia="zh-CN"/>
              </w:rPr>
              <w:t>3</w:t>
            </w:r>
            <w:r>
              <w:rPr>
                <w:rFonts w:hint="eastAsia" w:ascii="宋体" w:hAnsi="宋体" w:cs="宋体"/>
                <w:color w:val="000000"/>
                <w:kern w:val="0"/>
                <w:sz w:val="24"/>
              </w:rPr>
              <w:t>0分）</w:t>
            </w:r>
          </w:p>
        </w:tc>
        <w:tc>
          <w:tcPr>
            <w:tcW w:w="3644" w:type="pct"/>
            <w:tcBorders>
              <w:top w:val="nil"/>
              <w:left w:val="nil"/>
              <w:bottom w:val="single" w:color="auto" w:sz="4" w:space="0"/>
              <w:right w:val="single" w:color="auto" w:sz="4" w:space="0"/>
            </w:tcBorders>
            <w:vAlign w:val="center"/>
          </w:tcPr>
          <w:p w14:paraId="6C693474">
            <w:pPr>
              <w:widowControl/>
              <w:kinsoku w:val="0"/>
              <w:autoSpaceDE w:val="0"/>
              <w:autoSpaceDN w:val="0"/>
              <w:adjustRightInd w:val="0"/>
              <w:snapToGrid w:val="0"/>
              <w:spacing w:line="440" w:lineRule="exact"/>
              <w:ind w:firstLine="480" w:firstLineChars="200"/>
              <w:jc w:val="left"/>
              <w:textAlignment w:val="baseline"/>
              <w:rPr>
                <w:rFonts w:ascii="宋体" w:hAnsi="宋体" w:eastAsia="宋体" w:cs="宋体"/>
                <w:snapToGrid w:val="0"/>
                <w:kern w:val="0"/>
                <w:sz w:val="24"/>
                <w:szCs w:val="24"/>
                <w:lang w:eastAsia="zh-CN"/>
              </w:rPr>
            </w:pPr>
            <w:r>
              <w:rPr>
                <w:rFonts w:hint="eastAsia" w:ascii="宋体" w:hAnsi="宋体" w:eastAsia="宋体" w:cs="宋体"/>
                <w:snapToGrid w:val="0"/>
                <w:kern w:val="0"/>
                <w:sz w:val="24"/>
                <w:szCs w:val="24"/>
                <w:lang w:eastAsia="zh-CN"/>
              </w:rPr>
              <w:t>价格分统一采用低价优先法计算，即满足招标文件要求且投标折扣率最低的投标报价为评标基准价，得满分</w:t>
            </w:r>
            <w:r>
              <w:rPr>
                <w:rFonts w:ascii="宋体" w:hAnsi="宋体" w:eastAsia="宋体" w:cs="宋体"/>
                <w:snapToGrid w:val="0"/>
                <w:kern w:val="0"/>
                <w:sz w:val="24"/>
                <w:szCs w:val="24"/>
                <w:lang w:eastAsia="zh-CN"/>
              </w:rPr>
              <w:t>30</w:t>
            </w:r>
            <w:r>
              <w:rPr>
                <w:rFonts w:hint="eastAsia" w:ascii="宋体" w:hAnsi="宋体" w:eastAsia="宋体" w:cs="宋体"/>
                <w:snapToGrid w:val="0"/>
                <w:kern w:val="0"/>
                <w:sz w:val="24"/>
                <w:szCs w:val="24"/>
                <w:lang w:eastAsia="zh-CN"/>
              </w:rPr>
              <w:t>分。</w:t>
            </w:r>
          </w:p>
          <w:p w14:paraId="3F3E7DEC">
            <w:pPr>
              <w:widowControl/>
              <w:kinsoku w:val="0"/>
              <w:autoSpaceDE w:val="0"/>
              <w:autoSpaceDN w:val="0"/>
              <w:adjustRightInd w:val="0"/>
              <w:snapToGrid w:val="0"/>
              <w:spacing w:line="440" w:lineRule="exact"/>
              <w:ind w:firstLine="480" w:firstLineChars="200"/>
              <w:jc w:val="left"/>
              <w:textAlignment w:val="baseline"/>
              <w:rPr>
                <w:rFonts w:ascii="宋体" w:hAnsi="宋体" w:eastAsia="宋体" w:cs="宋体"/>
                <w:snapToGrid w:val="0"/>
                <w:kern w:val="0"/>
                <w:sz w:val="24"/>
                <w:szCs w:val="24"/>
                <w:lang w:eastAsia="zh-CN"/>
              </w:rPr>
            </w:pPr>
            <w:r>
              <w:rPr>
                <w:rFonts w:hint="eastAsia" w:ascii="宋体" w:hAnsi="宋体" w:eastAsia="宋体" w:cs="宋体"/>
                <w:snapToGrid w:val="0"/>
                <w:kern w:val="0"/>
                <w:sz w:val="24"/>
                <w:szCs w:val="24"/>
                <w:lang w:eastAsia="zh-CN"/>
              </w:rPr>
              <w:t>其他投标供应商的价格分按照下列公式计算：</w:t>
            </w:r>
          </w:p>
          <w:p w14:paraId="108D05EB">
            <w:pPr>
              <w:widowControl/>
              <w:kinsoku w:val="0"/>
              <w:autoSpaceDE w:val="0"/>
              <w:autoSpaceDN w:val="0"/>
              <w:adjustRightInd w:val="0"/>
              <w:snapToGrid w:val="0"/>
              <w:spacing w:line="440" w:lineRule="exact"/>
              <w:ind w:firstLine="480" w:firstLineChars="200"/>
              <w:jc w:val="left"/>
              <w:textAlignment w:val="baseline"/>
              <w:rPr>
                <w:rFonts w:ascii="宋体" w:hAnsi="宋体" w:eastAsia="宋体" w:cs="宋体"/>
                <w:snapToGrid w:val="0"/>
                <w:kern w:val="0"/>
                <w:sz w:val="24"/>
                <w:szCs w:val="24"/>
                <w:lang w:eastAsia="zh-CN"/>
              </w:rPr>
            </w:pPr>
            <w:r>
              <w:rPr>
                <w:rFonts w:hint="eastAsia" w:ascii="宋体" w:hAnsi="宋体" w:eastAsia="宋体" w:cs="宋体"/>
                <w:snapToGrid w:val="0"/>
                <w:kern w:val="0"/>
                <w:sz w:val="24"/>
                <w:szCs w:val="24"/>
                <w:lang w:eastAsia="zh-CN"/>
              </w:rPr>
              <w:t>报价得分</w:t>
            </w:r>
            <w:r>
              <w:rPr>
                <w:rFonts w:ascii="宋体" w:hAnsi="宋体" w:eastAsia="宋体" w:cs="宋体"/>
                <w:snapToGrid w:val="0"/>
                <w:kern w:val="0"/>
                <w:sz w:val="24"/>
                <w:szCs w:val="24"/>
                <w:lang w:eastAsia="zh-CN"/>
              </w:rPr>
              <w:t>=</w:t>
            </w:r>
            <w:r>
              <w:rPr>
                <w:rFonts w:hint="eastAsia" w:ascii="宋体" w:hAnsi="宋体" w:eastAsia="宋体" w:cs="宋体"/>
                <w:snapToGrid w:val="0"/>
                <w:kern w:val="0"/>
                <w:sz w:val="24"/>
                <w:szCs w:val="24"/>
                <w:lang w:eastAsia="zh-CN"/>
              </w:rPr>
              <w:t>（评标基准价</w:t>
            </w:r>
            <w:r>
              <w:rPr>
                <w:rFonts w:ascii="宋体" w:hAnsi="宋体" w:eastAsia="宋体" w:cs="宋体"/>
                <w:snapToGrid w:val="0"/>
                <w:kern w:val="0"/>
                <w:sz w:val="24"/>
                <w:szCs w:val="24"/>
                <w:lang w:eastAsia="zh-CN"/>
              </w:rPr>
              <w:t>/</w:t>
            </w:r>
            <w:r>
              <w:rPr>
                <w:rFonts w:hint="eastAsia" w:ascii="宋体" w:hAnsi="宋体" w:eastAsia="宋体" w:cs="宋体"/>
                <w:snapToGrid w:val="0"/>
                <w:kern w:val="0"/>
                <w:sz w:val="24"/>
                <w:szCs w:val="24"/>
                <w:lang w:eastAsia="zh-CN"/>
              </w:rPr>
              <w:t>投标报价）</w:t>
            </w:r>
            <w:r>
              <w:rPr>
                <w:rFonts w:ascii="宋体" w:hAnsi="宋体" w:eastAsia="宋体" w:cs="宋体"/>
                <w:snapToGrid w:val="0"/>
                <w:kern w:val="0"/>
                <w:sz w:val="24"/>
                <w:szCs w:val="24"/>
                <w:lang w:eastAsia="zh-CN"/>
              </w:rPr>
              <w:t>×30×100%</w:t>
            </w:r>
          </w:p>
          <w:p w14:paraId="42DCE89F">
            <w:pPr>
              <w:widowControl/>
              <w:kinsoku w:val="0"/>
              <w:autoSpaceDE w:val="0"/>
              <w:autoSpaceDN w:val="0"/>
              <w:adjustRightInd w:val="0"/>
              <w:snapToGrid w:val="0"/>
              <w:spacing w:line="440" w:lineRule="exact"/>
              <w:jc w:val="left"/>
              <w:textAlignment w:val="baseline"/>
              <w:rPr>
                <w:rFonts w:ascii="宋体" w:hAnsi="宋体" w:eastAsia="宋体" w:cs="宋体"/>
                <w:b/>
                <w:bCs/>
                <w:snapToGrid w:val="0"/>
                <w:kern w:val="0"/>
                <w:sz w:val="24"/>
                <w:szCs w:val="24"/>
                <w:lang w:eastAsia="zh-CN"/>
              </w:rPr>
            </w:pPr>
            <w:r>
              <w:rPr>
                <w:rFonts w:hint="eastAsia" w:ascii="宋体" w:hAnsi="宋体" w:eastAsia="宋体" w:cs="宋体"/>
                <w:b/>
                <w:bCs/>
                <w:snapToGrid w:val="0"/>
                <w:kern w:val="0"/>
                <w:sz w:val="24"/>
                <w:szCs w:val="24"/>
                <w:lang w:eastAsia="zh-CN"/>
              </w:rPr>
              <w:t>注：</w:t>
            </w:r>
            <w:r>
              <w:rPr>
                <w:rFonts w:hint="eastAsia" w:ascii="宋体" w:hAnsi="宋体" w:eastAsia="宋体" w:cs="宋体"/>
                <w:snapToGrid w:val="0"/>
                <w:kern w:val="0"/>
                <w:sz w:val="24"/>
                <w:szCs w:val="24"/>
                <w:lang w:eastAsia="zh-CN"/>
              </w:rPr>
              <w:t>1.本项目对小微企业、监狱企业、残疾人福利性企业作为供应商所提供的本企业生产的产品的价格给予</w:t>
            </w:r>
            <w:r>
              <w:rPr>
                <w:rFonts w:hint="eastAsia" w:ascii="宋体" w:hAnsi="宋体" w:eastAsia="宋体" w:cs="宋体"/>
                <w:snapToGrid w:val="0"/>
                <w:kern w:val="0"/>
                <w:sz w:val="24"/>
                <w:szCs w:val="24"/>
                <w:lang w:val="en-US" w:eastAsia="zh-CN"/>
              </w:rPr>
              <w:t>3</w:t>
            </w:r>
            <w:r>
              <w:rPr>
                <w:rFonts w:ascii="宋体" w:hAnsi="宋体" w:eastAsia="宋体" w:cs="宋体"/>
                <w:snapToGrid w:val="0"/>
                <w:kern w:val="0"/>
                <w:sz w:val="24"/>
                <w:szCs w:val="24"/>
                <w:lang w:eastAsia="zh-CN"/>
              </w:rPr>
              <w:t>%</w:t>
            </w:r>
            <w:r>
              <w:rPr>
                <w:rFonts w:hint="eastAsia" w:ascii="宋体" w:hAnsi="宋体" w:eastAsia="宋体" w:cs="宋体"/>
                <w:snapToGrid w:val="0"/>
                <w:kern w:val="0"/>
                <w:sz w:val="24"/>
                <w:szCs w:val="24"/>
                <w:lang w:eastAsia="zh-CN"/>
              </w:rPr>
              <w:t>的扣除，同一供应商中小微企业产品、监狱企业产品、残疾人福利性单位产品的价格扣除优惠只享受一次，不得重复享受。</w:t>
            </w:r>
          </w:p>
          <w:p w14:paraId="0CFC5340">
            <w:pPr>
              <w:keepNext w:val="0"/>
              <w:keepLines w:val="0"/>
              <w:suppressLineNumbers w:val="0"/>
              <w:spacing w:before="0" w:beforeAutospacing="0" w:after="0" w:afterAutospacing="0" w:line="400" w:lineRule="exact"/>
              <w:ind w:left="0" w:right="0"/>
              <w:jc w:val="left"/>
              <w:rPr>
                <w:rFonts w:hint="default" w:ascii="宋体" w:hAnsi="宋体"/>
                <w:color w:val="000000"/>
                <w:sz w:val="24"/>
                <w:szCs w:val="24"/>
              </w:rPr>
            </w:pPr>
            <w:r>
              <w:rPr>
                <w:rFonts w:hint="eastAsia" w:ascii="宋体" w:hAnsi="宋体" w:eastAsia="宋体" w:cs="宋体"/>
                <w:snapToGrid w:val="0"/>
                <w:kern w:val="0"/>
                <w:sz w:val="24"/>
                <w:szCs w:val="24"/>
                <w:lang w:eastAsia="zh-CN"/>
              </w:rPr>
              <w:t>2.供应商的投标折扣过低或者有可能影响商品质量和不能诚信履约的, 其投标报价为零, 作无效标处理。</w:t>
            </w:r>
          </w:p>
        </w:tc>
      </w:tr>
      <w:tr w14:paraId="6E6D341A">
        <w:tblPrEx>
          <w:tblCellMar>
            <w:top w:w="0" w:type="dxa"/>
            <w:left w:w="108" w:type="dxa"/>
            <w:bottom w:w="0" w:type="dxa"/>
            <w:right w:w="108" w:type="dxa"/>
          </w:tblCellMar>
        </w:tblPrEx>
        <w:trPr>
          <w:trHeight w:val="90" w:hRule="atLeast"/>
        </w:trPr>
        <w:tc>
          <w:tcPr>
            <w:tcW w:w="513" w:type="pct"/>
            <w:vMerge w:val="restart"/>
            <w:tcBorders>
              <w:top w:val="nil"/>
              <w:left w:val="single" w:color="auto" w:sz="4" w:space="0"/>
              <w:right w:val="single" w:color="auto" w:sz="4" w:space="0"/>
            </w:tcBorders>
            <w:vAlign w:val="center"/>
          </w:tcPr>
          <w:p w14:paraId="287036D7">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24"/>
              </w:rPr>
            </w:pPr>
            <w:r>
              <w:rPr>
                <w:rFonts w:hint="eastAsia" w:ascii="宋体" w:hAnsi="宋体" w:cs="宋体"/>
                <w:color w:val="000000"/>
                <w:kern w:val="0"/>
                <w:sz w:val="24"/>
                <w:szCs w:val="24"/>
              </w:rPr>
              <w:t>2、技术标评审（5</w:t>
            </w:r>
            <w:r>
              <w:rPr>
                <w:rFonts w:hint="eastAsia" w:ascii="宋体" w:hAnsi="宋体" w:cs="宋体"/>
                <w:color w:val="000000"/>
                <w:kern w:val="0"/>
                <w:sz w:val="24"/>
                <w:szCs w:val="24"/>
                <w:lang w:val="en-US" w:eastAsia="zh-CN"/>
              </w:rPr>
              <w:t>0</w:t>
            </w:r>
            <w:r>
              <w:rPr>
                <w:rFonts w:hint="eastAsia" w:ascii="宋体" w:hAnsi="宋体" w:cs="宋体"/>
                <w:color w:val="000000"/>
                <w:kern w:val="0"/>
                <w:sz w:val="24"/>
                <w:szCs w:val="24"/>
              </w:rPr>
              <w:t xml:space="preserve">分） </w:t>
            </w:r>
          </w:p>
          <w:p w14:paraId="238E3AB4">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p w14:paraId="6D15EC11">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24"/>
              </w:rPr>
            </w:pPr>
          </w:p>
        </w:tc>
        <w:tc>
          <w:tcPr>
            <w:tcW w:w="841" w:type="pct"/>
            <w:vMerge w:val="restart"/>
            <w:tcBorders>
              <w:top w:val="nil"/>
              <w:left w:val="nil"/>
              <w:right w:val="single" w:color="auto" w:sz="4" w:space="0"/>
            </w:tcBorders>
            <w:vAlign w:val="center"/>
          </w:tcPr>
          <w:p w14:paraId="1F4B20A5">
            <w:pPr>
              <w:keepNext w:val="0"/>
              <w:keepLines w:val="0"/>
              <w:suppressLineNumbers w:val="0"/>
              <w:spacing w:before="0" w:beforeAutospacing="0" w:after="0" w:afterAutospacing="0" w:line="280" w:lineRule="exact"/>
              <w:ind w:left="0" w:right="0"/>
              <w:jc w:val="center"/>
              <w:rPr>
                <w:rFonts w:hint="default"/>
                <w:color w:val="000000"/>
                <w:sz w:val="24"/>
                <w:szCs w:val="24"/>
              </w:rPr>
            </w:pPr>
            <w:r>
              <w:rPr>
                <w:rFonts w:hint="eastAsia" w:ascii="宋体" w:hAnsi="宋体"/>
                <w:color w:val="000000"/>
                <w:sz w:val="24"/>
                <w:szCs w:val="24"/>
              </w:rPr>
              <w:t>内容完整性（</w:t>
            </w:r>
            <w:r>
              <w:rPr>
                <w:rFonts w:hint="eastAsia" w:ascii="宋体" w:hAnsi="宋体"/>
                <w:color w:val="000000"/>
                <w:sz w:val="24"/>
                <w:szCs w:val="24"/>
                <w:lang w:val="en-US" w:eastAsia="zh-CN"/>
              </w:rPr>
              <w:t>0-</w:t>
            </w:r>
            <w:r>
              <w:rPr>
                <w:rFonts w:hint="eastAsia" w:ascii="宋体" w:hAnsi="宋体"/>
                <w:color w:val="000000"/>
                <w:sz w:val="24"/>
                <w:szCs w:val="24"/>
              </w:rPr>
              <w:t>5分）</w:t>
            </w:r>
          </w:p>
        </w:tc>
        <w:tc>
          <w:tcPr>
            <w:tcW w:w="3644" w:type="pct"/>
            <w:tcBorders>
              <w:top w:val="nil"/>
              <w:left w:val="nil"/>
              <w:bottom w:val="single" w:color="auto" w:sz="4" w:space="0"/>
              <w:right w:val="single" w:color="auto" w:sz="4" w:space="0"/>
            </w:tcBorders>
            <w:vAlign w:val="center"/>
          </w:tcPr>
          <w:p w14:paraId="5E9097FB">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cstheme="minorEastAsia"/>
                <w:kern w:val="0"/>
                <w:sz w:val="24"/>
                <w:szCs w:val="24"/>
              </w:rPr>
            </w:pPr>
            <w:r>
              <w:rPr>
                <w:rFonts w:hint="default" w:asciiTheme="minorEastAsia" w:hAnsiTheme="minorEastAsia" w:eastAsiaTheme="minorEastAsia" w:cstheme="minorEastAsia"/>
                <w:kern w:val="0"/>
                <w:sz w:val="24"/>
                <w:szCs w:val="24"/>
                <w:lang w:val="en-US" w:eastAsia="zh-CN"/>
              </w:rPr>
              <w:t>技术标的主要内容具有完整性，符合竞争性磋商文件的要求，得5分。</w:t>
            </w:r>
          </w:p>
        </w:tc>
      </w:tr>
      <w:tr w14:paraId="571EAC72">
        <w:tblPrEx>
          <w:tblCellMar>
            <w:top w:w="0" w:type="dxa"/>
            <w:left w:w="108" w:type="dxa"/>
            <w:bottom w:w="0" w:type="dxa"/>
            <w:right w:w="108" w:type="dxa"/>
          </w:tblCellMar>
        </w:tblPrEx>
        <w:trPr>
          <w:trHeight w:val="605" w:hRule="atLeast"/>
        </w:trPr>
        <w:tc>
          <w:tcPr>
            <w:tcW w:w="513" w:type="pct"/>
            <w:vMerge w:val="continue"/>
            <w:tcBorders>
              <w:left w:val="single" w:color="auto" w:sz="4" w:space="0"/>
              <w:right w:val="single" w:color="auto" w:sz="4" w:space="0"/>
            </w:tcBorders>
            <w:vAlign w:val="center"/>
          </w:tcPr>
          <w:p w14:paraId="37C3E62E">
            <w:pPr>
              <w:keepNext w:val="0"/>
              <w:keepLines w:val="0"/>
              <w:widowControl/>
              <w:suppressLineNumbers w:val="0"/>
              <w:spacing w:before="0" w:beforeAutospacing="0" w:after="0" w:afterAutospacing="0" w:line="400" w:lineRule="exact"/>
              <w:ind w:left="0" w:right="0"/>
              <w:jc w:val="left"/>
              <w:rPr>
                <w:rFonts w:hint="default"/>
              </w:rPr>
            </w:pPr>
          </w:p>
        </w:tc>
        <w:tc>
          <w:tcPr>
            <w:tcW w:w="841" w:type="pct"/>
            <w:vMerge w:val="continue"/>
            <w:tcBorders>
              <w:left w:val="nil"/>
              <w:bottom w:val="single" w:color="auto" w:sz="4" w:space="0"/>
              <w:right w:val="single" w:color="auto" w:sz="4" w:space="0"/>
            </w:tcBorders>
            <w:vAlign w:val="center"/>
          </w:tcPr>
          <w:p w14:paraId="1B74231D">
            <w:pPr>
              <w:keepNext w:val="0"/>
              <w:keepLines w:val="0"/>
              <w:widowControl/>
              <w:suppressLineNumbers w:val="0"/>
              <w:spacing w:before="0" w:beforeAutospacing="0" w:after="0" w:afterAutospacing="0" w:line="400" w:lineRule="exact"/>
              <w:ind w:left="0" w:right="0"/>
              <w:jc w:val="left"/>
              <w:rPr>
                <w:rFonts w:hint="default"/>
              </w:rPr>
            </w:pPr>
          </w:p>
        </w:tc>
        <w:tc>
          <w:tcPr>
            <w:tcW w:w="3644" w:type="pct"/>
            <w:tcBorders>
              <w:top w:val="nil"/>
              <w:left w:val="nil"/>
              <w:bottom w:val="single" w:color="auto" w:sz="4" w:space="0"/>
              <w:right w:val="single" w:color="auto" w:sz="4" w:space="0"/>
            </w:tcBorders>
            <w:vAlign w:val="center"/>
          </w:tcPr>
          <w:p w14:paraId="71521342">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cstheme="minorEastAsia"/>
                <w:kern w:val="0"/>
                <w:sz w:val="24"/>
                <w:szCs w:val="24"/>
                <w:lang w:val="en-US" w:eastAsia="zh-CN"/>
              </w:rPr>
            </w:pPr>
            <w:r>
              <w:rPr>
                <w:rFonts w:hint="default" w:asciiTheme="minorEastAsia" w:hAnsiTheme="minorEastAsia" w:eastAsiaTheme="minorEastAsia" w:cstheme="minorEastAsia"/>
                <w:kern w:val="0"/>
                <w:sz w:val="24"/>
                <w:szCs w:val="24"/>
                <w:lang w:val="en-US" w:eastAsia="zh-CN"/>
              </w:rPr>
              <w:t>技术标不符合竞争性磋商文件要求，不得分。</w:t>
            </w:r>
          </w:p>
        </w:tc>
      </w:tr>
      <w:tr w14:paraId="4D333854">
        <w:tblPrEx>
          <w:tblCellMar>
            <w:top w:w="0" w:type="dxa"/>
            <w:left w:w="108" w:type="dxa"/>
            <w:bottom w:w="0" w:type="dxa"/>
            <w:right w:w="108" w:type="dxa"/>
          </w:tblCellMar>
        </w:tblPrEx>
        <w:trPr>
          <w:trHeight w:val="1085" w:hRule="atLeast"/>
        </w:trPr>
        <w:tc>
          <w:tcPr>
            <w:tcW w:w="513" w:type="pct"/>
            <w:vMerge w:val="continue"/>
            <w:tcBorders>
              <w:top w:val="nil"/>
              <w:left w:val="single" w:color="auto" w:sz="4" w:space="0"/>
              <w:right w:val="single" w:color="auto" w:sz="4" w:space="0"/>
            </w:tcBorders>
            <w:vAlign w:val="center"/>
          </w:tcPr>
          <w:p w14:paraId="22C9F196">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24"/>
              </w:rPr>
            </w:pPr>
          </w:p>
        </w:tc>
        <w:tc>
          <w:tcPr>
            <w:tcW w:w="841" w:type="pct"/>
            <w:vMerge w:val="restart"/>
            <w:tcBorders>
              <w:top w:val="nil"/>
              <w:left w:val="nil"/>
              <w:right w:val="single" w:color="auto" w:sz="4" w:space="0"/>
            </w:tcBorders>
            <w:vAlign w:val="center"/>
          </w:tcPr>
          <w:p w14:paraId="0EC6934D">
            <w:pPr>
              <w:keepNext w:val="0"/>
              <w:keepLines w:val="0"/>
              <w:suppressLineNumbers w:val="0"/>
              <w:spacing w:before="0" w:beforeAutospacing="0" w:after="0" w:afterAutospacing="0" w:line="280" w:lineRule="exact"/>
              <w:ind w:left="0" w:right="0"/>
              <w:rPr>
                <w:rFonts w:hint="default"/>
                <w:color w:val="000000"/>
                <w:sz w:val="24"/>
                <w:szCs w:val="24"/>
              </w:rPr>
            </w:pPr>
            <w:r>
              <w:rPr>
                <w:rFonts w:hint="eastAsia" w:ascii="宋体" w:hAnsi="宋体"/>
                <w:color w:val="000000"/>
                <w:sz w:val="24"/>
                <w:szCs w:val="24"/>
                <w:lang w:val="en-US" w:eastAsia="zh-CN"/>
              </w:rPr>
              <w:t>主要施工方案与技术措施</w:t>
            </w:r>
            <w:r>
              <w:rPr>
                <w:rFonts w:hint="eastAsia" w:ascii="宋体" w:hAnsi="宋体"/>
                <w:color w:val="000000"/>
                <w:sz w:val="24"/>
                <w:szCs w:val="24"/>
              </w:rPr>
              <w:t>（</w:t>
            </w:r>
            <w:r>
              <w:rPr>
                <w:rFonts w:hint="eastAsia" w:ascii="宋体" w:hAnsi="宋体"/>
                <w:color w:val="000000"/>
                <w:sz w:val="24"/>
                <w:szCs w:val="24"/>
                <w:lang w:val="en-US" w:eastAsia="zh-CN"/>
              </w:rPr>
              <w:t>0-</w:t>
            </w:r>
            <w:r>
              <w:rPr>
                <w:rFonts w:hint="eastAsia" w:ascii="宋体" w:hAnsi="宋体"/>
                <w:color w:val="000000"/>
                <w:sz w:val="24"/>
                <w:szCs w:val="24"/>
              </w:rPr>
              <w:t>5分）</w:t>
            </w:r>
          </w:p>
        </w:tc>
        <w:tc>
          <w:tcPr>
            <w:tcW w:w="3644" w:type="pct"/>
            <w:tcBorders>
              <w:top w:val="nil"/>
              <w:left w:val="nil"/>
              <w:bottom w:val="single" w:color="auto" w:sz="4" w:space="0"/>
              <w:right w:val="single" w:color="auto" w:sz="4" w:space="0"/>
            </w:tcBorders>
            <w:vAlign w:val="center"/>
          </w:tcPr>
          <w:p w14:paraId="2CD87CB1">
            <w:pPr>
              <w:keepNext w:val="0"/>
              <w:keepLines w:val="0"/>
              <w:numPr>
                <w:ilvl w:val="0"/>
                <w:numId w:val="0"/>
              </w:numPr>
              <w:suppressLineNumbers w:val="0"/>
              <w:spacing w:before="0" w:beforeAutospacing="0" w:after="0" w:afterAutospacing="0" w:line="360" w:lineRule="exact"/>
              <w:ind w:left="0" w:right="0"/>
              <w:rPr>
                <w:rFonts w:hint="default"/>
                <w:color w:val="000000"/>
                <w:sz w:val="24"/>
                <w:szCs w:val="24"/>
              </w:rPr>
            </w:pPr>
            <w:r>
              <w:rPr>
                <w:rFonts w:hint="default"/>
                <w:color w:val="000000"/>
                <w:sz w:val="24"/>
                <w:szCs w:val="24"/>
                <w:lang w:val="en-US" w:eastAsia="zh-CN"/>
              </w:rPr>
              <w:t>施工方案（含工程特点、施工重点与难点及绿色施工）总体安排合理，运用先进、合理的施工工艺、施工机械；对施工难点有先进和合理的建议。5分</w:t>
            </w:r>
          </w:p>
        </w:tc>
      </w:tr>
      <w:tr w14:paraId="59606611">
        <w:tblPrEx>
          <w:tblCellMar>
            <w:top w:w="0" w:type="dxa"/>
            <w:left w:w="108" w:type="dxa"/>
            <w:bottom w:w="0" w:type="dxa"/>
            <w:right w:w="108" w:type="dxa"/>
          </w:tblCellMar>
        </w:tblPrEx>
        <w:trPr>
          <w:trHeight w:val="1085" w:hRule="atLeast"/>
        </w:trPr>
        <w:tc>
          <w:tcPr>
            <w:tcW w:w="513" w:type="pct"/>
            <w:vMerge w:val="continue"/>
            <w:tcBorders>
              <w:left w:val="single" w:color="auto" w:sz="4" w:space="0"/>
              <w:right w:val="single" w:color="auto" w:sz="4" w:space="0"/>
            </w:tcBorders>
            <w:vAlign w:val="center"/>
          </w:tcPr>
          <w:p w14:paraId="7BB61209">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6E87A433">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25E17CE7">
            <w:pPr>
              <w:keepNext w:val="0"/>
              <w:keepLines w:val="0"/>
              <w:numPr>
                <w:ilvl w:val="0"/>
                <w:numId w:val="0"/>
              </w:numPr>
              <w:suppressLineNumbers w:val="0"/>
              <w:spacing w:before="0" w:beforeAutospacing="0" w:after="0" w:afterAutospacing="0" w:line="360" w:lineRule="exact"/>
              <w:ind w:left="0" w:right="0"/>
              <w:rPr>
                <w:rFonts w:hint="default"/>
                <w:color w:val="000000"/>
                <w:sz w:val="24"/>
                <w:szCs w:val="24"/>
                <w:lang w:val="en-US" w:eastAsia="zh-CN"/>
              </w:rPr>
            </w:pPr>
            <w:r>
              <w:rPr>
                <w:rFonts w:hint="default"/>
                <w:color w:val="000000"/>
                <w:sz w:val="24"/>
                <w:szCs w:val="24"/>
                <w:lang w:val="en-US" w:eastAsia="zh-CN"/>
              </w:rPr>
              <w:t>施工方案（含工程特点、施工重点与难点及绿色施工）总体安排合理，施工工艺、施工机械合理、可行；对施工难点有合理的建议。3分</w:t>
            </w:r>
          </w:p>
        </w:tc>
      </w:tr>
      <w:tr w14:paraId="4924ACA5">
        <w:tblPrEx>
          <w:tblCellMar>
            <w:top w:w="0" w:type="dxa"/>
            <w:left w:w="108" w:type="dxa"/>
            <w:bottom w:w="0" w:type="dxa"/>
            <w:right w:w="108" w:type="dxa"/>
          </w:tblCellMar>
        </w:tblPrEx>
        <w:trPr>
          <w:trHeight w:val="905" w:hRule="atLeast"/>
        </w:trPr>
        <w:tc>
          <w:tcPr>
            <w:tcW w:w="513" w:type="pct"/>
            <w:vMerge w:val="continue"/>
            <w:tcBorders>
              <w:left w:val="single" w:color="auto" w:sz="4" w:space="0"/>
              <w:right w:val="single" w:color="auto" w:sz="4" w:space="0"/>
            </w:tcBorders>
            <w:vAlign w:val="center"/>
          </w:tcPr>
          <w:p w14:paraId="579F186D">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6BCDE8A8">
            <w:pPr>
              <w:keepNext w:val="0"/>
              <w:keepLines w:val="0"/>
              <w:suppressLineNumbers w:val="0"/>
              <w:spacing w:before="0" w:beforeAutospacing="0" w:after="0" w:afterAutospacing="0" w:line="280" w:lineRule="exact"/>
              <w:ind w:left="0" w:right="0"/>
              <w:rPr>
                <w:rFonts w:hint="default" w:ascii="宋体" w:hAnsi="宋体"/>
                <w:color w:val="000000"/>
                <w:sz w:val="24"/>
                <w:szCs w:val="24"/>
              </w:rPr>
            </w:pPr>
            <w:r>
              <w:rPr>
                <w:rFonts w:hint="eastAsia" w:ascii="宋体" w:hAnsi="宋体"/>
                <w:color w:val="000000"/>
                <w:sz w:val="24"/>
                <w:szCs w:val="24"/>
                <w:lang w:val="en-US" w:eastAsia="zh-CN"/>
              </w:rPr>
              <w:t>质量管理体系与措施</w:t>
            </w:r>
            <w:r>
              <w:rPr>
                <w:rFonts w:hint="eastAsia" w:ascii="宋体" w:hAnsi="宋体"/>
                <w:color w:val="000000"/>
                <w:sz w:val="24"/>
                <w:szCs w:val="24"/>
              </w:rPr>
              <w:t>（</w:t>
            </w:r>
            <w:r>
              <w:rPr>
                <w:rFonts w:hint="eastAsia" w:ascii="宋体" w:hAnsi="宋体"/>
                <w:color w:val="000000"/>
                <w:sz w:val="24"/>
                <w:szCs w:val="24"/>
                <w:lang w:val="en-US" w:eastAsia="zh-CN"/>
              </w:rPr>
              <w:t>0-</w:t>
            </w:r>
            <w:r>
              <w:rPr>
                <w:rFonts w:hint="eastAsia" w:ascii="宋体" w:hAnsi="宋体"/>
                <w:color w:val="000000"/>
                <w:sz w:val="24"/>
                <w:szCs w:val="24"/>
              </w:rPr>
              <w:t>5分）</w:t>
            </w:r>
          </w:p>
        </w:tc>
        <w:tc>
          <w:tcPr>
            <w:tcW w:w="3644" w:type="pct"/>
            <w:tcBorders>
              <w:top w:val="nil"/>
              <w:left w:val="nil"/>
              <w:bottom w:val="single" w:color="auto" w:sz="4" w:space="0"/>
              <w:right w:val="single" w:color="auto" w:sz="4" w:space="0"/>
            </w:tcBorders>
            <w:vAlign w:val="center"/>
          </w:tcPr>
          <w:p w14:paraId="5636349B">
            <w:pPr>
              <w:keepNext w:val="0"/>
              <w:keepLines w:val="0"/>
              <w:numPr>
                <w:ilvl w:val="0"/>
                <w:numId w:val="0"/>
              </w:numPr>
              <w:suppressLineNumbers w:val="0"/>
              <w:spacing w:before="0" w:beforeAutospacing="0" w:after="0" w:afterAutospacing="0" w:line="360" w:lineRule="exact"/>
              <w:ind w:left="0" w:right="0"/>
              <w:rPr>
                <w:rFonts w:hint="default" w:ascii="新宋体" w:hAnsi="新宋体" w:eastAsia="新宋体" w:cs="新宋体"/>
                <w:sz w:val="24"/>
                <w:szCs w:val="24"/>
              </w:rPr>
            </w:pPr>
            <w:r>
              <w:rPr>
                <w:rFonts w:hint="default" w:ascii="新宋体" w:hAnsi="新宋体" w:eastAsia="新宋体" w:cs="新宋体"/>
                <w:sz w:val="24"/>
                <w:szCs w:val="24"/>
                <w:lang w:val="en-US" w:eastAsia="zh-CN"/>
              </w:rPr>
              <w:t>组织机构形式合理，有完善的指挥系统、质量监控系统、联络协调系统，对项目提出先进、可行、具体的保证措施。5分</w:t>
            </w:r>
          </w:p>
        </w:tc>
      </w:tr>
      <w:tr w14:paraId="353C0299">
        <w:tblPrEx>
          <w:tblCellMar>
            <w:top w:w="0" w:type="dxa"/>
            <w:left w:w="108" w:type="dxa"/>
            <w:bottom w:w="0" w:type="dxa"/>
            <w:right w:w="108" w:type="dxa"/>
          </w:tblCellMar>
        </w:tblPrEx>
        <w:trPr>
          <w:trHeight w:val="905" w:hRule="atLeast"/>
        </w:trPr>
        <w:tc>
          <w:tcPr>
            <w:tcW w:w="513" w:type="pct"/>
            <w:vMerge w:val="continue"/>
            <w:tcBorders>
              <w:left w:val="single" w:color="auto" w:sz="4" w:space="0"/>
              <w:right w:val="single" w:color="auto" w:sz="4" w:space="0"/>
            </w:tcBorders>
            <w:vAlign w:val="center"/>
          </w:tcPr>
          <w:p w14:paraId="4782A19C">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6236962C">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3571F2FC">
            <w:pPr>
              <w:keepNext w:val="0"/>
              <w:keepLines w:val="0"/>
              <w:numPr>
                <w:ilvl w:val="0"/>
                <w:numId w:val="0"/>
              </w:numPr>
              <w:suppressLineNumbers w:val="0"/>
              <w:spacing w:before="0" w:beforeAutospacing="0" w:after="0" w:afterAutospacing="0" w:line="360" w:lineRule="exact"/>
              <w:ind w:left="0" w:right="0"/>
              <w:rPr>
                <w:rFonts w:hint="default" w:ascii="新宋体" w:hAnsi="新宋体" w:eastAsia="新宋体" w:cs="新宋体"/>
                <w:sz w:val="24"/>
                <w:szCs w:val="24"/>
              </w:rPr>
            </w:pPr>
            <w:r>
              <w:rPr>
                <w:rFonts w:hint="default" w:ascii="新宋体" w:hAnsi="新宋体" w:eastAsia="新宋体" w:cs="新宋体"/>
                <w:sz w:val="24"/>
                <w:szCs w:val="24"/>
                <w:lang w:val="en-US" w:eastAsia="zh-CN"/>
              </w:rPr>
              <w:t>组织机构形式基本合理，指挥系统、质量监控系统、联络协调系统，具体措施可行。质量保证措施经济、安全、基本可行。</w:t>
            </w:r>
          </w:p>
          <w:p w14:paraId="238C1EEA">
            <w:pPr>
              <w:keepNext w:val="0"/>
              <w:keepLines w:val="0"/>
              <w:numPr>
                <w:ilvl w:val="0"/>
                <w:numId w:val="0"/>
              </w:numPr>
              <w:suppressLineNumbers w:val="0"/>
              <w:spacing w:before="0" w:beforeAutospacing="0" w:after="0" w:afterAutospacing="0" w:line="360" w:lineRule="exact"/>
              <w:ind w:left="0" w:right="0"/>
              <w:rPr>
                <w:rFonts w:hint="default" w:ascii="新宋体" w:hAnsi="新宋体" w:eastAsia="新宋体" w:cs="新宋体"/>
                <w:sz w:val="24"/>
                <w:szCs w:val="24"/>
                <w:lang w:val="en-US" w:eastAsia="zh-CN"/>
              </w:rPr>
            </w:pPr>
            <w:r>
              <w:rPr>
                <w:rFonts w:hint="default" w:ascii="新宋体" w:hAnsi="新宋体" w:eastAsia="新宋体" w:cs="新宋体"/>
                <w:sz w:val="24"/>
                <w:szCs w:val="24"/>
                <w:lang w:val="en-US" w:eastAsia="zh-CN"/>
              </w:rPr>
              <w:t>3分</w:t>
            </w:r>
          </w:p>
        </w:tc>
      </w:tr>
      <w:tr w14:paraId="65F34FC7">
        <w:tblPrEx>
          <w:tblCellMar>
            <w:top w:w="0" w:type="dxa"/>
            <w:left w:w="108" w:type="dxa"/>
            <w:bottom w:w="0" w:type="dxa"/>
            <w:right w:w="108" w:type="dxa"/>
          </w:tblCellMar>
        </w:tblPrEx>
        <w:trPr>
          <w:trHeight w:val="1085" w:hRule="atLeast"/>
        </w:trPr>
        <w:tc>
          <w:tcPr>
            <w:tcW w:w="513" w:type="pct"/>
            <w:vMerge w:val="continue"/>
            <w:tcBorders>
              <w:left w:val="single" w:color="auto" w:sz="4" w:space="0"/>
              <w:right w:val="single" w:color="auto" w:sz="4" w:space="0"/>
            </w:tcBorders>
            <w:vAlign w:val="center"/>
          </w:tcPr>
          <w:p w14:paraId="6D856728">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1C3F31DD">
            <w:pPr>
              <w:keepNext w:val="0"/>
              <w:keepLines w:val="0"/>
              <w:suppressLineNumbers w:val="0"/>
              <w:spacing w:before="0" w:beforeAutospacing="0" w:after="0" w:afterAutospacing="0" w:line="280" w:lineRule="exact"/>
              <w:ind w:left="0" w:right="0"/>
              <w:rPr>
                <w:rFonts w:hint="default"/>
                <w:color w:val="auto"/>
                <w:sz w:val="24"/>
                <w:szCs w:val="24"/>
              </w:rPr>
            </w:pPr>
            <w:r>
              <w:rPr>
                <w:rFonts w:hint="eastAsia" w:ascii="宋体" w:hAnsi="宋体"/>
                <w:color w:val="auto"/>
                <w:sz w:val="24"/>
                <w:szCs w:val="24"/>
                <w:lang w:val="en-US" w:eastAsia="zh-CN"/>
              </w:rPr>
              <w:t>安全管理体系与措施</w:t>
            </w:r>
            <w:r>
              <w:rPr>
                <w:rFonts w:hint="eastAsia" w:ascii="宋体" w:hAnsi="宋体"/>
                <w:color w:val="auto"/>
                <w:sz w:val="24"/>
                <w:szCs w:val="24"/>
              </w:rPr>
              <w:t>（</w:t>
            </w:r>
            <w:r>
              <w:rPr>
                <w:rFonts w:hint="eastAsia" w:ascii="宋体" w:hAnsi="宋体"/>
                <w:color w:val="auto"/>
                <w:sz w:val="24"/>
                <w:szCs w:val="24"/>
                <w:lang w:val="en-US" w:eastAsia="zh-CN"/>
              </w:rPr>
              <w:t>0-</w:t>
            </w:r>
            <w:r>
              <w:rPr>
                <w:rFonts w:hint="eastAsia" w:ascii="宋体" w:hAnsi="宋体"/>
                <w:color w:val="auto"/>
                <w:sz w:val="24"/>
                <w:szCs w:val="24"/>
              </w:rPr>
              <w:t>5分）</w:t>
            </w:r>
          </w:p>
        </w:tc>
        <w:tc>
          <w:tcPr>
            <w:tcW w:w="3644" w:type="pct"/>
            <w:tcBorders>
              <w:top w:val="nil"/>
              <w:left w:val="nil"/>
              <w:bottom w:val="single" w:color="auto" w:sz="4" w:space="0"/>
              <w:right w:val="single" w:color="auto" w:sz="4" w:space="0"/>
            </w:tcBorders>
            <w:vAlign w:val="center"/>
          </w:tcPr>
          <w:p w14:paraId="78EE8A05">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施工安全生产保障体系健全，安全管理制度完善，安全管理目标具体，全员安全责任制明确，现场安全管理组织机构。根据工程特点、施工工艺，现场重大危险源辨识全面，明确有相应的安全管理措施。安全技术方案措施科学合理、先进可行。</w:t>
            </w:r>
          </w:p>
          <w:p w14:paraId="38BE8554">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5分</w:t>
            </w:r>
          </w:p>
        </w:tc>
      </w:tr>
      <w:tr w14:paraId="12AA99B9">
        <w:tblPrEx>
          <w:tblCellMar>
            <w:top w:w="0" w:type="dxa"/>
            <w:left w:w="108" w:type="dxa"/>
            <w:bottom w:w="0" w:type="dxa"/>
            <w:right w:w="108" w:type="dxa"/>
          </w:tblCellMar>
        </w:tblPrEx>
        <w:trPr>
          <w:trHeight w:val="1085" w:hRule="atLeast"/>
        </w:trPr>
        <w:tc>
          <w:tcPr>
            <w:tcW w:w="513" w:type="pct"/>
            <w:vMerge w:val="continue"/>
            <w:tcBorders>
              <w:left w:val="single" w:color="auto" w:sz="4" w:space="0"/>
              <w:right w:val="single" w:color="auto" w:sz="4" w:space="0"/>
            </w:tcBorders>
            <w:vAlign w:val="center"/>
          </w:tcPr>
          <w:p w14:paraId="72FF6AF1">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1525D43E">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47EC2F76">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有施工安全生产保障体系、安全责任制和安全管理制度，现场安全管理机构。根据工程特点、施工工艺，正确识别现场重大危险源并有相应的安全防护管理措施。制定相关专项施工方案（或方案计划），安全技术方案、措施基本可行。3分</w:t>
            </w:r>
          </w:p>
        </w:tc>
      </w:tr>
      <w:tr w14:paraId="271D790F">
        <w:tblPrEx>
          <w:tblCellMar>
            <w:top w:w="0" w:type="dxa"/>
            <w:left w:w="108" w:type="dxa"/>
            <w:bottom w:w="0" w:type="dxa"/>
            <w:right w:w="108" w:type="dxa"/>
          </w:tblCellMar>
        </w:tblPrEx>
        <w:trPr>
          <w:trHeight w:val="1605" w:hRule="atLeast"/>
        </w:trPr>
        <w:tc>
          <w:tcPr>
            <w:tcW w:w="513" w:type="pct"/>
            <w:vMerge w:val="continue"/>
            <w:tcBorders>
              <w:left w:val="single" w:color="auto" w:sz="4" w:space="0"/>
              <w:right w:val="single" w:color="auto" w:sz="4" w:space="0"/>
            </w:tcBorders>
            <w:vAlign w:val="center"/>
          </w:tcPr>
          <w:p w14:paraId="5B11DD47">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1ECF8CD1">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auto"/>
                <w:kern w:val="0"/>
                <w:sz w:val="24"/>
                <w:szCs w:val="24"/>
              </w:rPr>
            </w:pPr>
            <w:r>
              <w:rPr>
                <w:rFonts w:hint="eastAsia" w:ascii="宋体" w:hAnsi="宋体" w:cs="宋体"/>
                <w:color w:val="auto"/>
                <w:kern w:val="0"/>
                <w:sz w:val="24"/>
                <w:szCs w:val="24"/>
                <w:lang w:val="en-US" w:eastAsia="zh-CN"/>
              </w:rPr>
              <w:t>文明施工、环境保护管理体系及施工现场扬尘治理措施</w:t>
            </w:r>
            <w:r>
              <w:rPr>
                <w:rFonts w:hint="eastAsia" w:ascii="宋体" w:hAnsi="宋体" w:cs="宋体"/>
                <w:color w:val="auto"/>
                <w:kern w:val="0"/>
                <w:sz w:val="24"/>
                <w:szCs w:val="24"/>
              </w:rPr>
              <w:t>（</w:t>
            </w:r>
            <w:r>
              <w:rPr>
                <w:rFonts w:hint="eastAsia" w:ascii="宋体" w:hAnsi="宋体" w:cs="宋体"/>
                <w:color w:val="auto"/>
                <w:kern w:val="0"/>
                <w:sz w:val="24"/>
                <w:szCs w:val="24"/>
                <w:lang w:val="en-US" w:eastAsia="zh-CN"/>
              </w:rPr>
              <w:t>0-</w:t>
            </w:r>
            <w:r>
              <w:rPr>
                <w:rFonts w:hint="eastAsia" w:ascii="宋体" w:hAnsi="宋体" w:cs="宋体"/>
                <w:color w:val="auto"/>
                <w:kern w:val="0"/>
                <w:sz w:val="24"/>
                <w:szCs w:val="24"/>
              </w:rPr>
              <w:t>5分）</w:t>
            </w:r>
          </w:p>
        </w:tc>
        <w:tc>
          <w:tcPr>
            <w:tcW w:w="3644" w:type="pct"/>
            <w:tcBorders>
              <w:top w:val="nil"/>
              <w:left w:val="nil"/>
              <w:bottom w:val="single" w:color="auto" w:sz="4" w:space="0"/>
              <w:right w:val="single" w:color="auto" w:sz="4" w:space="0"/>
            </w:tcBorders>
            <w:vAlign w:val="center"/>
          </w:tcPr>
          <w:p w14:paraId="55AFDC5E">
            <w:pPr>
              <w:keepNext w:val="0"/>
              <w:keepLines w:val="0"/>
              <w:widowControl/>
              <w:numPr>
                <w:ilvl w:val="0"/>
                <w:numId w:val="0"/>
              </w:numPr>
              <w:suppressLineNumbers w:val="0"/>
              <w:spacing w:before="0" w:beforeAutospacing="0" w:after="0" w:afterAutospacing="0" w:line="400" w:lineRule="exact"/>
              <w:ind w:left="0" w:right="0"/>
              <w:rPr>
                <w:rFonts w:hint="default" w:asciiTheme="minorEastAsia" w:hAnsiTheme="minorEastAsia" w:eastAsiaTheme="minorEastAsia" w:cstheme="minorEastAsia"/>
                <w:color w:val="auto"/>
                <w:sz w:val="24"/>
                <w:szCs w:val="24"/>
              </w:rPr>
            </w:pPr>
            <w:r>
              <w:rPr>
                <w:rFonts w:hint="default" w:asciiTheme="minorEastAsia" w:hAnsiTheme="minorEastAsia" w:eastAsiaTheme="minorEastAsia" w:cstheme="minorEastAsia"/>
                <w:color w:val="auto"/>
                <w:sz w:val="24"/>
                <w:szCs w:val="24"/>
                <w:lang w:val="en-US" w:eastAsia="zh-CN"/>
              </w:rPr>
              <w:t>创安全文明标准化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规定，防治方案科学、先进。5分</w:t>
            </w:r>
          </w:p>
        </w:tc>
      </w:tr>
      <w:tr w14:paraId="19EF491A">
        <w:tblPrEx>
          <w:tblCellMar>
            <w:top w:w="0" w:type="dxa"/>
            <w:left w:w="108" w:type="dxa"/>
            <w:bottom w:w="0" w:type="dxa"/>
            <w:right w:w="108" w:type="dxa"/>
          </w:tblCellMar>
        </w:tblPrEx>
        <w:trPr>
          <w:trHeight w:val="1605" w:hRule="atLeast"/>
        </w:trPr>
        <w:tc>
          <w:tcPr>
            <w:tcW w:w="513" w:type="pct"/>
            <w:vMerge w:val="continue"/>
            <w:tcBorders>
              <w:left w:val="single" w:color="auto" w:sz="4" w:space="0"/>
              <w:right w:val="single" w:color="auto" w:sz="4" w:space="0"/>
            </w:tcBorders>
            <w:vAlign w:val="center"/>
          </w:tcPr>
          <w:p w14:paraId="186DEA1B">
            <w:pPr>
              <w:keepNext w:val="0"/>
              <w:keepLines w:val="0"/>
              <w:widowControl/>
              <w:suppressLineNumbers w:val="0"/>
              <w:spacing w:before="0" w:beforeAutospacing="0" w:after="0" w:afterAutospacing="0" w:line="40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3936939B">
            <w:pPr>
              <w:keepNext w:val="0"/>
              <w:keepLines w:val="0"/>
              <w:widowControl/>
              <w:suppressLineNumbers w:val="0"/>
              <w:spacing w:before="0" w:beforeAutospacing="0" w:after="0" w:afterAutospacing="0" w:line="40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693CAB2D">
            <w:pPr>
              <w:keepNext w:val="0"/>
              <w:keepLines w:val="0"/>
              <w:widowControl/>
              <w:numPr>
                <w:ilvl w:val="0"/>
                <w:numId w:val="0"/>
              </w:numPr>
              <w:suppressLineNumbers w:val="0"/>
              <w:spacing w:before="0" w:beforeAutospacing="0" w:after="0" w:afterAutospacing="0" w:line="400" w:lineRule="exact"/>
              <w:ind w:left="0" w:right="0"/>
              <w:rPr>
                <w:rFonts w:hint="default"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有</w:t>
            </w:r>
            <w:r>
              <w:rPr>
                <w:rFonts w:hint="default" w:asciiTheme="minorEastAsia" w:hAnsiTheme="minorEastAsia" w:eastAsiaTheme="minorEastAsia" w:cstheme="minorEastAsia"/>
                <w:color w:val="auto"/>
                <w:sz w:val="24"/>
                <w:szCs w:val="24"/>
                <w:lang w:val="en-US" w:eastAsia="zh-CN"/>
              </w:rPr>
              <w:t>安全文明标准化创建目标计划和创建措施，有安全文明措施费用投入使用计划，现场施工区、生活区、办公区等设置符合有关文明施工、健康卫生的规定。施工现场扬尘治理措施基本达</w:t>
            </w:r>
            <w:r>
              <w:rPr>
                <w:rFonts w:hint="eastAsia" w:asciiTheme="minorEastAsia" w:hAnsiTheme="minorEastAsia" w:cstheme="minorEastAsia"/>
                <w:color w:val="auto"/>
                <w:sz w:val="24"/>
                <w:szCs w:val="24"/>
                <w:lang w:val="en-US" w:eastAsia="zh-CN"/>
              </w:rPr>
              <w:t>到</w:t>
            </w:r>
            <w:r>
              <w:rPr>
                <w:rFonts w:hint="default" w:asciiTheme="minorEastAsia" w:hAnsiTheme="minorEastAsia" w:eastAsiaTheme="minorEastAsia" w:cstheme="minorEastAsia"/>
                <w:color w:val="auto"/>
                <w:sz w:val="24"/>
                <w:szCs w:val="24"/>
                <w:lang w:val="en-US" w:eastAsia="zh-CN"/>
              </w:rPr>
              <w:t>规定，有防治方案。3分</w:t>
            </w:r>
          </w:p>
        </w:tc>
      </w:tr>
      <w:tr w14:paraId="0FFF2B86">
        <w:tblPrEx>
          <w:tblCellMar>
            <w:top w:w="0" w:type="dxa"/>
            <w:left w:w="108" w:type="dxa"/>
            <w:bottom w:w="0" w:type="dxa"/>
            <w:right w:w="108" w:type="dxa"/>
          </w:tblCellMar>
        </w:tblPrEx>
        <w:trPr>
          <w:trHeight w:val="365" w:hRule="atLeast"/>
        </w:trPr>
        <w:tc>
          <w:tcPr>
            <w:tcW w:w="513" w:type="pct"/>
            <w:vMerge w:val="continue"/>
            <w:tcBorders>
              <w:left w:val="single" w:color="auto" w:sz="4" w:space="0"/>
              <w:right w:val="single" w:color="auto" w:sz="4" w:space="0"/>
            </w:tcBorders>
            <w:vAlign w:val="center"/>
          </w:tcPr>
          <w:p w14:paraId="3C3743A5">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1375019E">
            <w:pPr>
              <w:keepNext w:val="0"/>
              <w:keepLines w:val="0"/>
              <w:suppressLineNumbers w:val="0"/>
              <w:spacing w:before="0" w:beforeAutospacing="0" w:after="0" w:afterAutospacing="0" w:line="280" w:lineRule="exact"/>
              <w:ind w:left="0" w:right="0"/>
              <w:rPr>
                <w:rFonts w:hint="default"/>
                <w:color w:val="auto"/>
                <w:sz w:val="24"/>
                <w:szCs w:val="24"/>
              </w:rPr>
            </w:pPr>
            <w:r>
              <w:rPr>
                <w:rFonts w:hint="eastAsia" w:ascii="宋体" w:hAnsi="宋体"/>
                <w:color w:val="auto"/>
                <w:sz w:val="24"/>
                <w:szCs w:val="24"/>
                <w:lang w:val="en-US" w:eastAsia="zh-CN"/>
              </w:rPr>
              <w:t>工期保证措施（0-5分</w:t>
            </w:r>
            <w:r>
              <w:rPr>
                <w:rFonts w:hint="eastAsia" w:ascii="宋体" w:hAnsi="宋体"/>
                <w:color w:val="auto"/>
                <w:sz w:val="24"/>
                <w:szCs w:val="24"/>
              </w:rPr>
              <w:t>）</w:t>
            </w:r>
          </w:p>
        </w:tc>
        <w:tc>
          <w:tcPr>
            <w:tcW w:w="3644" w:type="pct"/>
            <w:tcBorders>
              <w:top w:val="nil"/>
              <w:left w:val="nil"/>
              <w:bottom w:val="single" w:color="auto" w:sz="4" w:space="0"/>
              <w:right w:val="single" w:color="auto" w:sz="4" w:space="0"/>
            </w:tcBorders>
            <w:vAlign w:val="center"/>
          </w:tcPr>
          <w:p w14:paraId="59E2FA78">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工期承诺满足竞争性磋商文件要求，工期保证措施合理且有针对性，有具体的违约责任承诺。5分</w:t>
            </w:r>
          </w:p>
        </w:tc>
      </w:tr>
      <w:tr w14:paraId="6FF38139">
        <w:tblPrEx>
          <w:tblCellMar>
            <w:top w:w="0" w:type="dxa"/>
            <w:left w:w="108" w:type="dxa"/>
            <w:bottom w:w="0" w:type="dxa"/>
            <w:right w:w="108" w:type="dxa"/>
          </w:tblCellMar>
        </w:tblPrEx>
        <w:trPr>
          <w:trHeight w:val="365" w:hRule="atLeast"/>
        </w:trPr>
        <w:tc>
          <w:tcPr>
            <w:tcW w:w="513" w:type="pct"/>
            <w:vMerge w:val="continue"/>
            <w:tcBorders>
              <w:left w:val="single" w:color="auto" w:sz="4" w:space="0"/>
              <w:right w:val="single" w:color="auto" w:sz="4" w:space="0"/>
            </w:tcBorders>
            <w:vAlign w:val="center"/>
          </w:tcPr>
          <w:p w14:paraId="34E5C928">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6F2CB187">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6AE3F7A9">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工期承诺满足竞争性磋商文件要求，工期保证措施基本合理，有具体的违约责任承诺。3分</w:t>
            </w:r>
          </w:p>
        </w:tc>
      </w:tr>
      <w:tr w14:paraId="79B90269">
        <w:tblPrEx>
          <w:tblCellMar>
            <w:top w:w="0" w:type="dxa"/>
            <w:left w:w="108" w:type="dxa"/>
            <w:bottom w:w="0" w:type="dxa"/>
            <w:right w:w="108" w:type="dxa"/>
          </w:tblCellMar>
        </w:tblPrEx>
        <w:trPr>
          <w:trHeight w:val="1265" w:hRule="atLeast"/>
        </w:trPr>
        <w:tc>
          <w:tcPr>
            <w:tcW w:w="513" w:type="pct"/>
            <w:vMerge w:val="continue"/>
            <w:tcBorders>
              <w:left w:val="single" w:color="auto" w:sz="4" w:space="0"/>
              <w:right w:val="single" w:color="auto" w:sz="4" w:space="0"/>
            </w:tcBorders>
            <w:vAlign w:val="center"/>
          </w:tcPr>
          <w:p w14:paraId="36ED0ACB">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5FAF0101">
            <w:pPr>
              <w:keepNext w:val="0"/>
              <w:keepLines w:val="0"/>
              <w:suppressLineNumbers w:val="0"/>
              <w:spacing w:before="0" w:beforeAutospacing="0" w:after="0" w:afterAutospacing="0" w:line="280" w:lineRule="exact"/>
              <w:ind w:left="0" w:right="0"/>
              <w:rPr>
                <w:rFonts w:hint="eastAsia" w:ascii="宋体" w:hAnsi="宋体"/>
                <w:color w:val="auto"/>
                <w:sz w:val="24"/>
                <w:szCs w:val="24"/>
                <w:lang w:val="en-US" w:eastAsia="zh-CN"/>
              </w:rPr>
            </w:pPr>
            <w:r>
              <w:rPr>
                <w:rFonts w:hint="eastAsia" w:ascii="宋体" w:hAnsi="宋体"/>
                <w:color w:val="auto"/>
                <w:sz w:val="24"/>
                <w:szCs w:val="24"/>
                <w:lang w:val="en-US" w:eastAsia="zh-CN"/>
              </w:rPr>
              <w:t>拟投入资源配备计划（0-5分）</w:t>
            </w:r>
          </w:p>
        </w:tc>
        <w:tc>
          <w:tcPr>
            <w:tcW w:w="3644" w:type="pct"/>
            <w:tcBorders>
              <w:top w:val="nil"/>
              <w:left w:val="nil"/>
              <w:bottom w:val="single" w:color="auto" w:sz="4" w:space="0"/>
              <w:right w:val="single" w:color="auto" w:sz="4" w:space="0"/>
            </w:tcBorders>
            <w:vAlign w:val="center"/>
          </w:tcPr>
          <w:p w14:paraId="69F87734">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1</w:t>
            </w:r>
            <w:r>
              <w:rPr>
                <w:rFonts w:hint="default"/>
                <w:color w:val="auto"/>
                <w:sz w:val="24"/>
                <w:szCs w:val="24"/>
                <w:lang w:val="en-US" w:eastAsia="zh-CN"/>
              </w:rPr>
              <w:t>、机械：投入计划与进度计划呼应，采用先进机械设备且配置合理、先进，满足安全技术规范和施工进度需要；</w:t>
            </w:r>
          </w:p>
          <w:p w14:paraId="6F0AB5E4">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2、劳动力：投入计划与进度计划呼应，较好满足施工需要，调配投入计划合理、准确；</w:t>
            </w:r>
          </w:p>
          <w:p w14:paraId="7B9C15D1">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3、主要物资计划：主要物资投入计划与进度计划呼应，较好满足施工需要，调配投入计划合理、准确。5分</w:t>
            </w:r>
          </w:p>
        </w:tc>
      </w:tr>
      <w:tr w14:paraId="0AC21DB4">
        <w:tblPrEx>
          <w:tblCellMar>
            <w:top w:w="0" w:type="dxa"/>
            <w:left w:w="108" w:type="dxa"/>
            <w:bottom w:w="0" w:type="dxa"/>
            <w:right w:w="108" w:type="dxa"/>
          </w:tblCellMar>
        </w:tblPrEx>
        <w:trPr>
          <w:trHeight w:val="1265" w:hRule="atLeast"/>
        </w:trPr>
        <w:tc>
          <w:tcPr>
            <w:tcW w:w="513" w:type="pct"/>
            <w:vMerge w:val="continue"/>
            <w:tcBorders>
              <w:left w:val="single" w:color="auto" w:sz="4" w:space="0"/>
              <w:right w:val="single" w:color="auto" w:sz="4" w:space="0"/>
            </w:tcBorders>
            <w:vAlign w:val="center"/>
          </w:tcPr>
          <w:p w14:paraId="09906DEE">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442FE63B">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5DF23339">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1</w:t>
            </w:r>
            <w:r>
              <w:rPr>
                <w:rFonts w:hint="default"/>
                <w:color w:val="auto"/>
                <w:sz w:val="24"/>
                <w:szCs w:val="24"/>
                <w:lang w:val="en-US" w:eastAsia="zh-CN"/>
              </w:rPr>
              <w:t>、机械：投入计划与进度计划呼应，机械设备配置基本合理，满足安全技术规范和施工进度需要；</w:t>
            </w:r>
          </w:p>
          <w:p w14:paraId="732AFF93">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2、劳动力：投入计划与进度计划呼应，基本满足施工需要，调配投入计划基本合理；</w:t>
            </w:r>
          </w:p>
          <w:p w14:paraId="2CDB84BA">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3、主要物资计划：主要物资投入计划与进度计划呼应，基本满足施工需要，调配投入计划基本合理。3分</w:t>
            </w:r>
          </w:p>
        </w:tc>
      </w:tr>
      <w:tr w14:paraId="0D4C2F15">
        <w:tblPrEx>
          <w:tblCellMar>
            <w:top w:w="0" w:type="dxa"/>
            <w:left w:w="108" w:type="dxa"/>
            <w:bottom w:w="0" w:type="dxa"/>
            <w:right w:w="108" w:type="dxa"/>
          </w:tblCellMar>
        </w:tblPrEx>
        <w:trPr>
          <w:trHeight w:val="625" w:hRule="atLeast"/>
        </w:trPr>
        <w:tc>
          <w:tcPr>
            <w:tcW w:w="513" w:type="pct"/>
            <w:vMerge w:val="continue"/>
            <w:tcBorders>
              <w:left w:val="single" w:color="auto" w:sz="4" w:space="0"/>
              <w:right w:val="single" w:color="auto" w:sz="4" w:space="0"/>
            </w:tcBorders>
            <w:vAlign w:val="center"/>
          </w:tcPr>
          <w:p w14:paraId="1653D313">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513ADD68">
            <w:pPr>
              <w:keepNext w:val="0"/>
              <w:keepLines w:val="0"/>
              <w:suppressLineNumbers w:val="0"/>
              <w:spacing w:before="0" w:beforeAutospacing="0" w:after="0" w:afterAutospacing="0" w:line="280" w:lineRule="exact"/>
              <w:ind w:left="0" w:right="0"/>
              <w:rPr>
                <w:rFonts w:hint="eastAsia" w:ascii="宋体" w:hAnsi="宋体"/>
                <w:color w:val="auto"/>
                <w:sz w:val="24"/>
                <w:szCs w:val="24"/>
                <w:lang w:val="en-US" w:eastAsia="zh-CN"/>
              </w:rPr>
            </w:pPr>
            <w:r>
              <w:rPr>
                <w:rFonts w:hint="eastAsia" w:ascii="宋体" w:hAnsi="宋体"/>
                <w:color w:val="auto"/>
                <w:sz w:val="24"/>
                <w:szCs w:val="24"/>
                <w:lang w:val="en-US" w:eastAsia="zh-CN"/>
              </w:rPr>
              <w:t>施工进度表与网络计划图（0-5分）</w:t>
            </w:r>
          </w:p>
        </w:tc>
        <w:tc>
          <w:tcPr>
            <w:tcW w:w="3644" w:type="pct"/>
            <w:tcBorders>
              <w:top w:val="nil"/>
              <w:left w:val="nil"/>
              <w:bottom w:val="single" w:color="auto" w:sz="4" w:space="0"/>
              <w:right w:val="single" w:color="auto" w:sz="4" w:space="0"/>
            </w:tcBorders>
            <w:vAlign w:val="center"/>
          </w:tcPr>
          <w:p w14:paraId="4BA93BC2">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关</w:t>
            </w:r>
            <w:r>
              <w:rPr>
                <w:rFonts w:hint="default"/>
                <w:color w:val="auto"/>
                <w:sz w:val="24"/>
                <w:szCs w:val="24"/>
                <w:lang w:val="en-US" w:eastAsia="zh-CN"/>
              </w:rPr>
              <w:t>键线路清晰、准确、完整、计划编制合理、可行、满足竞争性磋商文件对工期的要求。5分</w:t>
            </w:r>
          </w:p>
        </w:tc>
      </w:tr>
      <w:tr w14:paraId="3844E504">
        <w:tblPrEx>
          <w:tblCellMar>
            <w:top w:w="0" w:type="dxa"/>
            <w:left w:w="108" w:type="dxa"/>
            <w:bottom w:w="0" w:type="dxa"/>
            <w:right w:w="108" w:type="dxa"/>
          </w:tblCellMar>
        </w:tblPrEx>
        <w:trPr>
          <w:trHeight w:val="625" w:hRule="atLeast"/>
        </w:trPr>
        <w:tc>
          <w:tcPr>
            <w:tcW w:w="513" w:type="pct"/>
            <w:vMerge w:val="continue"/>
            <w:tcBorders>
              <w:left w:val="single" w:color="auto" w:sz="4" w:space="0"/>
              <w:right w:val="single" w:color="auto" w:sz="4" w:space="0"/>
            </w:tcBorders>
            <w:vAlign w:val="center"/>
          </w:tcPr>
          <w:p w14:paraId="3829F75E">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2E982B82">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6A92FF22">
            <w:pPr>
              <w:keepNext w:val="0"/>
              <w:keepLines w:val="0"/>
              <w:numPr>
                <w:ilvl w:val="0"/>
                <w:numId w:val="0"/>
              </w:numPr>
              <w:suppressLineNumbers w:val="0"/>
              <w:spacing w:before="0" w:beforeAutospacing="0" w:after="0" w:afterAutospacing="0" w:line="360" w:lineRule="exact"/>
              <w:ind w:left="0" w:right="0"/>
              <w:rPr>
                <w:rFonts w:hint="eastAsia"/>
                <w:color w:val="auto"/>
                <w:sz w:val="24"/>
                <w:szCs w:val="24"/>
                <w:lang w:val="en-US" w:eastAsia="zh-CN"/>
              </w:rPr>
            </w:pPr>
            <w:r>
              <w:rPr>
                <w:rFonts w:hint="default"/>
                <w:color w:val="auto"/>
                <w:sz w:val="24"/>
                <w:szCs w:val="24"/>
                <w:lang w:val="en-US" w:eastAsia="zh-CN"/>
              </w:rPr>
              <w:t>关键线路基本准确，计划编制基本可行。3分</w:t>
            </w:r>
          </w:p>
        </w:tc>
      </w:tr>
      <w:tr w14:paraId="558C196A">
        <w:tblPrEx>
          <w:tblCellMar>
            <w:top w:w="0" w:type="dxa"/>
            <w:left w:w="108" w:type="dxa"/>
            <w:bottom w:w="0" w:type="dxa"/>
            <w:right w:w="108" w:type="dxa"/>
          </w:tblCellMar>
        </w:tblPrEx>
        <w:trPr>
          <w:trHeight w:val="835" w:hRule="atLeast"/>
        </w:trPr>
        <w:tc>
          <w:tcPr>
            <w:tcW w:w="513" w:type="pct"/>
            <w:vMerge w:val="continue"/>
            <w:tcBorders>
              <w:left w:val="single" w:color="auto" w:sz="4" w:space="0"/>
              <w:right w:val="single" w:color="auto" w:sz="4" w:space="0"/>
            </w:tcBorders>
            <w:vAlign w:val="center"/>
          </w:tcPr>
          <w:p w14:paraId="1DD0A33A">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410B1F1D">
            <w:pPr>
              <w:keepNext w:val="0"/>
              <w:keepLines w:val="0"/>
              <w:suppressLineNumbers w:val="0"/>
              <w:spacing w:before="0" w:beforeAutospacing="0" w:after="0" w:afterAutospacing="0" w:line="280" w:lineRule="exact"/>
              <w:ind w:left="0" w:right="0"/>
              <w:rPr>
                <w:rFonts w:hint="eastAsia" w:ascii="宋体" w:hAnsi="宋体"/>
                <w:color w:val="auto"/>
                <w:sz w:val="24"/>
                <w:szCs w:val="24"/>
                <w:lang w:val="en-US" w:eastAsia="zh-CN"/>
              </w:rPr>
            </w:pPr>
            <w:r>
              <w:rPr>
                <w:rFonts w:hint="eastAsia" w:ascii="宋体" w:hAnsi="宋体"/>
                <w:color w:val="auto"/>
                <w:sz w:val="24"/>
                <w:szCs w:val="24"/>
                <w:lang w:val="en-US" w:eastAsia="zh-CN"/>
              </w:rPr>
              <w:t>施工总平面图布置（0-5分）</w:t>
            </w:r>
          </w:p>
        </w:tc>
        <w:tc>
          <w:tcPr>
            <w:tcW w:w="3644" w:type="pct"/>
            <w:tcBorders>
              <w:top w:val="nil"/>
              <w:left w:val="nil"/>
              <w:bottom w:val="single" w:color="auto" w:sz="4" w:space="0"/>
              <w:right w:val="single" w:color="auto" w:sz="4" w:space="0"/>
            </w:tcBorders>
            <w:vAlign w:val="center"/>
          </w:tcPr>
          <w:p w14:paraId="3EC05223">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总体布置有针对性、合理、能较好满足施工需要，符合安全、文明施工要求；材料堆放有序。5分</w:t>
            </w:r>
          </w:p>
        </w:tc>
      </w:tr>
      <w:tr w14:paraId="542CB910">
        <w:tblPrEx>
          <w:tblCellMar>
            <w:top w:w="0" w:type="dxa"/>
            <w:left w:w="108" w:type="dxa"/>
            <w:bottom w:w="0" w:type="dxa"/>
            <w:right w:w="108" w:type="dxa"/>
          </w:tblCellMar>
        </w:tblPrEx>
        <w:trPr>
          <w:trHeight w:val="835" w:hRule="atLeast"/>
        </w:trPr>
        <w:tc>
          <w:tcPr>
            <w:tcW w:w="513" w:type="pct"/>
            <w:vMerge w:val="continue"/>
            <w:tcBorders>
              <w:left w:val="single" w:color="auto" w:sz="4" w:space="0"/>
              <w:right w:val="single" w:color="auto" w:sz="4" w:space="0"/>
            </w:tcBorders>
            <w:vAlign w:val="center"/>
          </w:tcPr>
          <w:p w14:paraId="362193FD">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69535716">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2DC722CC">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总体布置基本合理、基本满足施工需要。3分</w:t>
            </w:r>
          </w:p>
        </w:tc>
      </w:tr>
      <w:tr w14:paraId="30FB814B">
        <w:tblPrEx>
          <w:tblCellMar>
            <w:top w:w="0" w:type="dxa"/>
            <w:left w:w="108" w:type="dxa"/>
            <w:bottom w:w="0" w:type="dxa"/>
            <w:right w:w="108" w:type="dxa"/>
          </w:tblCellMar>
        </w:tblPrEx>
        <w:trPr>
          <w:trHeight w:val="845" w:hRule="atLeast"/>
        </w:trPr>
        <w:tc>
          <w:tcPr>
            <w:tcW w:w="513" w:type="pct"/>
            <w:vMerge w:val="continue"/>
            <w:tcBorders>
              <w:left w:val="single" w:color="auto" w:sz="4" w:space="0"/>
              <w:right w:val="single" w:color="auto" w:sz="4" w:space="0"/>
            </w:tcBorders>
            <w:vAlign w:val="center"/>
          </w:tcPr>
          <w:p w14:paraId="1E310098">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841" w:type="pct"/>
            <w:vMerge w:val="restart"/>
            <w:tcBorders>
              <w:top w:val="nil"/>
              <w:left w:val="nil"/>
              <w:right w:val="single" w:color="auto" w:sz="4" w:space="0"/>
            </w:tcBorders>
            <w:vAlign w:val="center"/>
          </w:tcPr>
          <w:p w14:paraId="56002B1B">
            <w:pPr>
              <w:keepNext w:val="0"/>
              <w:keepLines w:val="0"/>
              <w:suppressLineNumbers w:val="0"/>
              <w:spacing w:before="0" w:beforeAutospacing="0" w:after="0" w:afterAutospacing="0" w:line="280" w:lineRule="exact"/>
              <w:ind w:left="0" w:right="0"/>
              <w:rPr>
                <w:rFonts w:hint="eastAsia" w:ascii="宋体" w:hAnsi="宋体"/>
                <w:color w:val="auto"/>
                <w:sz w:val="24"/>
                <w:szCs w:val="24"/>
                <w:lang w:val="en-US" w:eastAsia="zh-CN"/>
              </w:rPr>
            </w:pPr>
            <w:r>
              <w:rPr>
                <w:rFonts w:hint="eastAsia" w:ascii="宋体" w:hAnsi="宋体"/>
                <w:color w:val="auto"/>
                <w:sz w:val="24"/>
                <w:szCs w:val="24"/>
                <w:lang w:val="en-US" w:eastAsia="zh-CN"/>
              </w:rPr>
              <w:t>采用新工艺、新技术、新设备、新材料、BIM等的程度（0-5分）</w:t>
            </w:r>
          </w:p>
          <w:p w14:paraId="71A4F2DB">
            <w:pPr>
              <w:keepNext w:val="0"/>
              <w:keepLines w:val="0"/>
              <w:suppressLineNumbers w:val="0"/>
              <w:spacing w:before="0" w:beforeAutospacing="0" w:after="0" w:afterAutospacing="0" w:line="280" w:lineRule="exact"/>
              <w:ind w:left="0" w:right="0"/>
              <w:rPr>
                <w:rFonts w:hint="eastAsia" w:ascii="宋体" w:hAnsi="宋体"/>
                <w:color w:val="auto"/>
                <w:sz w:val="24"/>
                <w:szCs w:val="24"/>
                <w:lang w:val="en-US" w:eastAsia="zh-CN"/>
              </w:rPr>
            </w:pPr>
          </w:p>
        </w:tc>
        <w:tc>
          <w:tcPr>
            <w:tcW w:w="3644" w:type="pct"/>
            <w:tcBorders>
              <w:top w:val="nil"/>
              <w:left w:val="nil"/>
              <w:bottom w:val="single" w:color="auto" w:sz="4" w:space="0"/>
              <w:right w:val="single" w:color="auto" w:sz="4" w:space="0"/>
            </w:tcBorders>
            <w:vAlign w:val="center"/>
          </w:tcPr>
          <w:p w14:paraId="2D011271">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采用新工艺、新技术、新设备、新材料、BIM等的程度满足设计要求，符合施工需要和相应技术标准等规定，经济适用。5分</w:t>
            </w:r>
          </w:p>
        </w:tc>
      </w:tr>
      <w:tr w14:paraId="0B7F4FD0">
        <w:tblPrEx>
          <w:tblCellMar>
            <w:top w:w="0" w:type="dxa"/>
            <w:left w:w="108" w:type="dxa"/>
            <w:bottom w:w="0" w:type="dxa"/>
            <w:right w:w="108" w:type="dxa"/>
          </w:tblCellMar>
        </w:tblPrEx>
        <w:trPr>
          <w:trHeight w:val="845" w:hRule="atLeast"/>
        </w:trPr>
        <w:tc>
          <w:tcPr>
            <w:tcW w:w="513" w:type="pct"/>
            <w:vMerge w:val="continue"/>
            <w:tcBorders>
              <w:left w:val="single" w:color="auto" w:sz="4" w:space="0"/>
              <w:right w:val="single" w:color="auto" w:sz="4" w:space="0"/>
            </w:tcBorders>
            <w:vAlign w:val="center"/>
          </w:tcPr>
          <w:p w14:paraId="7BF3D5E9">
            <w:pPr>
              <w:keepNext w:val="0"/>
              <w:keepLines w:val="0"/>
              <w:suppressLineNumbers w:val="0"/>
              <w:spacing w:before="0" w:beforeAutospacing="0" w:after="0" w:afterAutospacing="0" w:line="360" w:lineRule="exact"/>
              <w:ind w:left="0" w:right="0"/>
              <w:rPr>
                <w:rFonts w:hint="default"/>
              </w:rPr>
            </w:pPr>
          </w:p>
        </w:tc>
        <w:tc>
          <w:tcPr>
            <w:tcW w:w="841" w:type="pct"/>
            <w:vMerge w:val="continue"/>
            <w:tcBorders>
              <w:left w:val="nil"/>
              <w:bottom w:val="single" w:color="auto" w:sz="4" w:space="0"/>
              <w:right w:val="single" w:color="auto" w:sz="4" w:space="0"/>
            </w:tcBorders>
            <w:vAlign w:val="center"/>
          </w:tcPr>
          <w:p w14:paraId="3D993BAD">
            <w:pPr>
              <w:keepNext w:val="0"/>
              <w:keepLines w:val="0"/>
              <w:suppressLineNumbers w:val="0"/>
              <w:spacing w:before="0" w:beforeAutospacing="0" w:after="0" w:afterAutospacing="0" w:line="360" w:lineRule="exact"/>
              <w:ind w:left="0" w:right="0"/>
              <w:rPr>
                <w:rFonts w:hint="default"/>
              </w:rPr>
            </w:pPr>
          </w:p>
        </w:tc>
        <w:tc>
          <w:tcPr>
            <w:tcW w:w="3644" w:type="pct"/>
            <w:tcBorders>
              <w:top w:val="nil"/>
              <w:left w:val="nil"/>
              <w:bottom w:val="single" w:color="auto" w:sz="4" w:space="0"/>
              <w:right w:val="single" w:color="auto" w:sz="4" w:space="0"/>
            </w:tcBorders>
            <w:vAlign w:val="center"/>
          </w:tcPr>
          <w:p w14:paraId="11DB3ED3">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采用新工艺、新技术、新设备、新材料、BIM等的程度满足设计要求，基本符合施工要求和相应技术标准等规定。3分</w:t>
            </w:r>
          </w:p>
        </w:tc>
      </w:tr>
      <w:tr w14:paraId="0429D09D">
        <w:tblPrEx>
          <w:tblCellMar>
            <w:top w:w="0" w:type="dxa"/>
            <w:left w:w="108" w:type="dxa"/>
            <w:bottom w:w="0" w:type="dxa"/>
            <w:right w:w="108" w:type="dxa"/>
          </w:tblCellMar>
        </w:tblPrEx>
        <w:trPr>
          <w:trHeight w:val="557" w:hRule="atLeast"/>
        </w:trPr>
        <w:tc>
          <w:tcPr>
            <w:tcW w:w="513" w:type="pct"/>
            <w:vMerge w:val="continue"/>
            <w:tcBorders>
              <w:left w:val="single" w:color="auto" w:sz="4" w:space="0"/>
              <w:bottom w:val="single" w:color="auto" w:sz="4" w:space="0"/>
              <w:right w:val="single" w:color="auto" w:sz="4" w:space="0"/>
            </w:tcBorders>
            <w:vAlign w:val="center"/>
          </w:tcPr>
          <w:p w14:paraId="32720A5F">
            <w:pPr>
              <w:keepNext w:val="0"/>
              <w:keepLines w:val="0"/>
              <w:widowControl/>
              <w:suppressLineNumbers w:val="0"/>
              <w:spacing w:before="100" w:beforeAutospacing="1" w:after="100" w:afterAutospacing="1" w:line="280" w:lineRule="exact"/>
              <w:ind w:left="0" w:right="0"/>
              <w:jc w:val="center"/>
              <w:rPr>
                <w:rFonts w:hint="default" w:ascii="宋体" w:hAnsi="宋体" w:cs="宋体"/>
                <w:color w:val="000000"/>
                <w:kern w:val="0"/>
                <w:sz w:val="24"/>
                <w:szCs w:val="18"/>
              </w:rPr>
            </w:pPr>
          </w:p>
        </w:tc>
        <w:tc>
          <w:tcPr>
            <w:tcW w:w="4486" w:type="pct"/>
            <w:gridSpan w:val="2"/>
            <w:tcBorders>
              <w:top w:val="nil"/>
              <w:left w:val="nil"/>
              <w:bottom w:val="single" w:color="auto" w:sz="4" w:space="0"/>
              <w:right w:val="single" w:color="auto" w:sz="4" w:space="0"/>
            </w:tcBorders>
            <w:vAlign w:val="center"/>
          </w:tcPr>
          <w:p w14:paraId="58510A97">
            <w:pPr>
              <w:keepNext w:val="0"/>
              <w:keepLines w:val="0"/>
              <w:suppressLineNumbers w:val="0"/>
              <w:adjustRightInd w:val="0"/>
              <w:snapToGrid w:val="0"/>
              <w:spacing w:before="0" w:beforeAutospacing="0" w:after="0" w:afterAutospacing="0" w:line="360" w:lineRule="exact"/>
              <w:ind w:left="0" w:right="0"/>
              <w:rPr>
                <w:rFonts w:hint="default" w:ascii="宋体" w:hAnsi="宋体" w:cs="宋体"/>
                <w:color w:val="000000"/>
                <w:kern w:val="0"/>
                <w:sz w:val="24"/>
              </w:rPr>
            </w:pPr>
            <w:r>
              <w:rPr>
                <w:rFonts w:hint="eastAsia"/>
                <w:sz w:val="24"/>
                <w:szCs w:val="24"/>
              </w:rPr>
              <w:t>备注：以上项目若有缺项的，该项为0分；不缺项的，不低于最低分。</w:t>
            </w:r>
          </w:p>
        </w:tc>
      </w:tr>
      <w:tr w14:paraId="2C99A863">
        <w:tblPrEx>
          <w:tblCellMar>
            <w:top w:w="0" w:type="dxa"/>
            <w:left w:w="108" w:type="dxa"/>
            <w:bottom w:w="0" w:type="dxa"/>
            <w:right w:w="108" w:type="dxa"/>
          </w:tblCellMar>
        </w:tblPrEx>
        <w:trPr>
          <w:trHeight w:val="1280" w:hRule="atLeast"/>
        </w:trPr>
        <w:tc>
          <w:tcPr>
            <w:tcW w:w="513" w:type="pct"/>
            <w:vMerge w:val="restart"/>
            <w:tcBorders>
              <w:top w:val="single" w:color="auto" w:sz="4" w:space="0"/>
              <w:left w:val="single" w:color="auto" w:sz="4" w:space="0"/>
              <w:right w:val="single" w:color="auto" w:sz="4" w:space="0"/>
            </w:tcBorders>
            <w:vAlign w:val="center"/>
          </w:tcPr>
          <w:p w14:paraId="540B4DEB">
            <w:pPr>
              <w:keepNext w:val="0"/>
              <w:keepLines w:val="0"/>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3</w:t>
            </w:r>
            <w:r>
              <w:rPr>
                <w:rFonts w:hint="eastAsia" w:ascii="宋体" w:hAnsi="宋体" w:cs="宋体"/>
                <w:kern w:val="0"/>
                <w:sz w:val="24"/>
              </w:rPr>
              <w:t>、</w:t>
            </w:r>
            <w:r>
              <w:rPr>
                <w:rFonts w:hint="eastAsia" w:ascii="宋体" w:hAnsi="宋体" w:cs="宋体"/>
                <w:kern w:val="0"/>
                <w:sz w:val="24"/>
                <w:lang w:val="en-US" w:eastAsia="zh-CN"/>
              </w:rPr>
              <w:t>综合</w:t>
            </w:r>
            <w:r>
              <w:rPr>
                <w:rFonts w:hint="eastAsia" w:ascii="宋体" w:hAnsi="宋体" w:cs="宋体"/>
                <w:kern w:val="0"/>
                <w:sz w:val="24"/>
              </w:rPr>
              <w:t>标评审（</w:t>
            </w:r>
            <w:r>
              <w:rPr>
                <w:rFonts w:hint="eastAsia" w:ascii="宋体" w:hAnsi="宋体" w:cs="宋体"/>
                <w:kern w:val="0"/>
                <w:sz w:val="24"/>
                <w:lang w:val="en-US" w:eastAsia="zh-CN"/>
              </w:rPr>
              <w:t>20</w:t>
            </w:r>
            <w:r>
              <w:rPr>
                <w:rFonts w:hint="eastAsia" w:ascii="宋体" w:hAnsi="宋体" w:cs="宋体"/>
                <w:kern w:val="0"/>
                <w:sz w:val="24"/>
              </w:rPr>
              <w:t>分）</w:t>
            </w:r>
          </w:p>
        </w:tc>
        <w:tc>
          <w:tcPr>
            <w:tcW w:w="841" w:type="pct"/>
            <w:tcBorders>
              <w:top w:val="single" w:color="auto" w:sz="4" w:space="0"/>
              <w:left w:val="nil"/>
              <w:bottom w:val="single" w:color="auto" w:sz="4" w:space="0"/>
              <w:right w:val="single" w:color="auto" w:sz="4" w:space="0"/>
            </w:tcBorders>
            <w:vAlign w:val="center"/>
          </w:tcPr>
          <w:p w14:paraId="318859E8">
            <w:pPr>
              <w:keepNext w:val="0"/>
              <w:keepLines w:val="0"/>
              <w:suppressLineNumbers w:val="0"/>
              <w:spacing w:before="0" w:beforeAutospacing="0" w:after="0" w:afterAutospacing="0" w:line="400" w:lineRule="exact"/>
              <w:ind w:left="0" w:right="0"/>
              <w:rPr>
                <w:rFonts w:hint="default"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企业</w:t>
            </w:r>
            <w:r>
              <w:rPr>
                <w:rFonts w:hint="eastAsia" w:asciiTheme="minorEastAsia" w:hAnsiTheme="minorEastAsia" w:eastAsiaTheme="minorEastAsia" w:cstheme="minorEastAsia"/>
                <w:sz w:val="24"/>
                <w:szCs w:val="24"/>
              </w:rPr>
              <w:t>业绩（</w:t>
            </w:r>
            <w:r>
              <w:rPr>
                <w:rFonts w:hint="eastAsia" w:asciiTheme="minorEastAsia" w:hAnsiTheme="minorEastAsia" w:cstheme="minorEastAsia"/>
                <w:sz w:val="24"/>
                <w:szCs w:val="24"/>
                <w:lang w:val="en-US" w:eastAsia="zh-CN"/>
              </w:rPr>
              <w:t>9</w:t>
            </w:r>
            <w:r>
              <w:rPr>
                <w:rFonts w:hint="eastAsia" w:asciiTheme="minorEastAsia" w:hAnsiTheme="minorEastAsia" w:eastAsiaTheme="minorEastAsia" w:cstheme="minorEastAsia"/>
                <w:sz w:val="24"/>
                <w:szCs w:val="24"/>
              </w:rPr>
              <w:t>分）</w:t>
            </w:r>
          </w:p>
        </w:tc>
        <w:tc>
          <w:tcPr>
            <w:tcW w:w="3644" w:type="pct"/>
            <w:tcBorders>
              <w:top w:val="single" w:color="auto" w:sz="4" w:space="0"/>
              <w:left w:val="nil"/>
              <w:bottom w:val="single" w:color="auto" w:sz="4" w:space="0"/>
              <w:right w:val="single" w:color="auto" w:sz="4" w:space="0"/>
            </w:tcBorders>
          </w:tcPr>
          <w:p w14:paraId="2B1E5B1D">
            <w:pPr>
              <w:keepNext w:val="0"/>
              <w:keepLines w:val="0"/>
              <w:suppressLineNumbers w:val="0"/>
              <w:spacing w:before="0" w:beforeAutospacing="0" w:after="0" w:afterAutospacing="0" w:line="400" w:lineRule="exact"/>
              <w:ind w:left="0" w:right="0"/>
              <w:rPr>
                <w:rFonts w:hint="default" w:ascii="宋体" w:hAnsi="宋体" w:cs="宋体"/>
                <w:sz w:val="24"/>
              </w:rPr>
            </w:pPr>
            <w:r>
              <w:rPr>
                <w:rFonts w:hint="eastAsia" w:ascii="宋体" w:hAnsi="宋体" w:cs="宋体"/>
                <w:sz w:val="24"/>
                <w:lang w:val="en-US" w:eastAsia="zh-CN"/>
              </w:rPr>
              <w:t>供应商</w:t>
            </w:r>
            <w:r>
              <w:rPr>
                <w:rFonts w:hint="default" w:ascii="宋体" w:hAnsi="宋体" w:cs="宋体"/>
                <w:sz w:val="24"/>
                <w:lang w:val="en-US" w:eastAsia="zh-CN"/>
              </w:rPr>
              <w:t>自202</w:t>
            </w:r>
            <w:r>
              <w:rPr>
                <w:rFonts w:hint="eastAsia" w:ascii="宋体" w:hAnsi="宋体" w:cs="宋体"/>
                <w:sz w:val="24"/>
                <w:lang w:val="en-US" w:eastAsia="zh-CN"/>
              </w:rPr>
              <w:t>3</w:t>
            </w:r>
            <w:r>
              <w:rPr>
                <w:rFonts w:hint="default" w:ascii="宋体" w:hAnsi="宋体" w:cs="宋体"/>
                <w:sz w:val="24"/>
                <w:lang w:val="en-US" w:eastAsia="zh-CN"/>
              </w:rPr>
              <w:t>年1月1日以来完成过类似工程业绩的，每提供一项得</w:t>
            </w:r>
            <w:r>
              <w:rPr>
                <w:rFonts w:hint="eastAsia" w:ascii="宋体" w:hAnsi="宋体" w:cs="宋体"/>
                <w:sz w:val="24"/>
                <w:lang w:val="en-US" w:eastAsia="zh-CN"/>
              </w:rPr>
              <w:t>3</w:t>
            </w:r>
            <w:r>
              <w:rPr>
                <w:rFonts w:hint="default" w:ascii="宋体" w:hAnsi="宋体" w:cs="宋体"/>
                <w:sz w:val="24"/>
                <w:lang w:val="en-US" w:eastAsia="zh-CN"/>
              </w:rPr>
              <w:t>分，最多得</w:t>
            </w:r>
            <w:r>
              <w:rPr>
                <w:rFonts w:hint="eastAsia" w:ascii="宋体" w:hAnsi="宋体" w:cs="宋体"/>
                <w:sz w:val="24"/>
                <w:lang w:val="en-US" w:eastAsia="zh-CN"/>
              </w:rPr>
              <w:t>9</w:t>
            </w:r>
            <w:r>
              <w:rPr>
                <w:rFonts w:hint="default" w:ascii="宋体" w:hAnsi="宋体" w:cs="宋体"/>
                <w:sz w:val="24"/>
                <w:lang w:val="en-US" w:eastAsia="zh-CN"/>
              </w:rPr>
              <w:t>分</w:t>
            </w:r>
            <w:r>
              <w:rPr>
                <w:rFonts w:hint="eastAsia" w:ascii="宋体" w:hAnsi="宋体" w:eastAsia="宋体" w:cs="宋体"/>
                <w:bCs/>
                <w:color w:val="auto"/>
                <w:kern w:val="1"/>
                <w:sz w:val="24"/>
                <w:szCs w:val="24"/>
                <w:highlight w:val="none"/>
                <w:lang w:val="zh-CN"/>
              </w:rPr>
              <w:t>（须提供合同</w:t>
            </w:r>
            <w:r>
              <w:rPr>
                <w:rFonts w:hint="eastAsia" w:ascii="宋体" w:hAnsi="宋体" w:eastAsia="宋体" w:cs="宋体"/>
                <w:bCs/>
                <w:color w:val="auto"/>
                <w:kern w:val="1"/>
                <w:sz w:val="24"/>
                <w:szCs w:val="24"/>
                <w:highlight w:val="none"/>
                <w:lang w:val="en-US" w:eastAsia="zh-CN"/>
              </w:rPr>
              <w:t>扫描件</w:t>
            </w:r>
            <w:r>
              <w:rPr>
                <w:rFonts w:hint="eastAsia" w:ascii="宋体" w:hAnsi="宋体" w:eastAsia="宋体" w:cs="宋体"/>
                <w:bCs/>
                <w:color w:val="auto"/>
                <w:kern w:val="1"/>
                <w:sz w:val="24"/>
                <w:szCs w:val="24"/>
                <w:highlight w:val="none"/>
                <w:lang w:val="zh-CN"/>
              </w:rPr>
              <w:t>，时间以签订施工合同为准，否则不得分）</w:t>
            </w:r>
          </w:p>
        </w:tc>
      </w:tr>
      <w:tr w14:paraId="5C85655C">
        <w:tblPrEx>
          <w:tblCellMar>
            <w:top w:w="0" w:type="dxa"/>
            <w:left w:w="108" w:type="dxa"/>
            <w:bottom w:w="0" w:type="dxa"/>
            <w:right w:w="108" w:type="dxa"/>
          </w:tblCellMar>
        </w:tblPrEx>
        <w:trPr>
          <w:trHeight w:val="1252" w:hRule="atLeast"/>
        </w:trPr>
        <w:tc>
          <w:tcPr>
            <w:tcW w:w="513" w:type="pct"/>
            <w:vMerge w:val="continue"/>
            <w:tcBorders>
              <w:left w:val="single" w:color="auto" w:sz="4" w:space="0"/>
              <w:right w:val="single" w:color="auto" w:sz="4" w:space="0"/>
            </w:tcBorders>
            <w:vAlign w:val="center"/>
          </w:tcPr>
          <w:p w14:paraId="23814C57">
            <w:pPr>
              <w:keepNext w:val="0"/>
              <w:keepLines w:val="0"/>
              <w:suppressLineNumbers w:val="0"/>
              <w:spacing w:before="0" w:beforeAutospacing="0" w:after="0" w:afterAutospacing="0"/>
              <w:ind w:left="0" w:right="0"/>
              <w:jc w:val="center"/>
              <w:rPr>
                <w:rFonts w:hint="default" w:ascii="宋体" w:hAnsi="宋体" w:cs="宋体"/>
                <w:color w:val="000000"/>
                <w:kern w:val="0"/>
                <w:sz w:val="24"/>
              </w:rPr>
            </w:pPr>
          </w:p>
        </w:tc>
        <w:tc>
          <w:tcPr>
            <w:tcW w:w="841" w:type="pct"/>
            <w:tcBorders>
              <w:top w:val="single" w:color="auto" w:sz="4" w:space="0"/>
              <w:left w:val="nil"/>
              <w:bottom w:val="single" w:color="auto" w:sz="4" w:space="0"/>
              <w:right w:val="single" w:color="auto" w:sz="4" w:space="0"/>
            </w:tcBorders>
            <w:vAlign w:val="center"/>
          </w:tcPr>
          <w:p w14:paraId="70182C80">
            <w:pPr>
              <w:keepNext w:val="0"/>
              <w:keepLines w:val="0"/>
              <w:suppressLineNumbers w:val="0"/>
              <w:spacing w:before="0" w:beforeAutospacing="0" w:after="0" w:afterAutospacing="0"/>
              <w:ind w:left="0" w:right="0"/>
              <w:jc w:val="center"/>
              <w:rPr>
                <w:rFonts w:hint="default" w:ascii="宋体" w:hAnsi="宋体" w:cs="宋体"/>
                <w:kern w:val="0"/>
                <w:sz w:val="24"/>
                <w:szCs w:val="24"/>
              </w:rPr>
            </w:pPr>
            <w:r>
              <w:rPr>
                <w:rFonts w:hint="eastAsia" w:ascii="宋体" w:hAnsi="宋体" w:cs="宋体"/>
                <w:kern w:val="0"/>
                <w:sz w:val="24"/>
                <w:szCs w:val="24"/>
              </w:rPr>
              <w:t>项目经理业绩(</w:t>
            </w:r>
            <w:r>
              <w:rPr>
                <w:rFonts w:hint="eastAsia" w:ascii="宋体" w:hAnsi="宋体" w:cs="宋体"/>
                <w:kern w:val="0"/>
                <w:sz w:val="24"/>
                <w:szCs w:val="24"/>
                <w:lang w:val="en-US" w:eastAsia="zh-CN"/>
              </w:rPr>
              <w:t>4</w:t>
            </w:r>
            <w:r>
              <w:rPr>
                <w:rFonts w:hint="eastAsia" w:ascii="宋体" w:hAnsi="宋体" w:cs="宋体"/>
                <w:kern w:val="0"/>
                <w:sz w:val="24"/>
                <w:szCs w:val="24"/>
              </w:rPr>
              <w:t>分)</w:t>
            </w:r>
          </w:p>
        </w:tc>
        <w:tc>
          <w:tcPr>
            <w:tcW w:w="3644" w:type="pct"/>
            <w:tcBorders>
              <w:top w:val="single" w:color="auto" w:sz="4" w:space="0"/>
              <w:left w:val="nil"/>
              <w:bottom w:val="single" w:color="auto" w:sz="4" w:space="0"/>
              <w:right w:val="single" w:color="auto" w:sz="4" w:space="0"/>
            </w:tcBorders>
            <w:vAlign w:val="center"/>
          </w:tcPr>
          <w:p w14:paraId="4DBF8D4C">
            <w:pPr>
              <w:keepNext w:val="0"/>
              <w:keepLines w:val="0"/>
              <w:suppressLineNumbers w:val="0"/>
              <w:spacing w:before="0" w:beforeAutospacing="0" w:after="0" w:afterAutospacing="0"/>
              <w:ind w:left="0" w:right="0"/>
              <w:jc w:val="left"/>
              <w:rPr>
                <w:rFonts w:hint="default" w:ascii="宋体" w:hAnsi="宋体"/>
              </w:rPr>
            </w:pPr>
            <w:r>
              <w:rPr>
                <w:rFonts w:hint="default" w:ascii="宋体" w:hAnsi="宋体" w:cs="宋体"/>
                <w:sz w:val="24"/>
                <w:lang w:val="en-US" w:eastAsia="zh-CN"/>
              </w:rPr>
              <w:t>供应商202</w:t>
            </w:r>
            <w:r>
              <w:rPr>
                <w:rFonts w:hint="eastAsia" w:ascii="宋体" w:hAnsi="宋体" w:cs="宋体"/>
                <w:sz w:val="24"/>
                <w:lang w:val="en-US" w:eastAsia="zh-CN"/>
              </w:rPr>
              <w:t>3</w:t>
            </w:r>
            <w:r>
              <w:rPr>
                <w:rFonts w:hint="default" w:ascii="宋体" w:hAnsi="宋体" w:cs="宋体"/>
                <w:sz w:val="24"/>
                <w:lang w:val="en-US" w:eastAsia="zh-CN"/>
              </w:rPr>
              <w:t>年1月1日以来类似项目业绩，每提供一份得2分，</w:t>
            </w:r>
            <w:r>
              <w:rPr>
                <w:rFonts w:hint="eastAsia" w:ascii="宋体" w:hAnsi="宋体" w:cs="宋体"/>
                <w:sz w:val="24"/>
                <w:lang w:val="zh-CN" w:eastAsia="zh-CN"/>
              </w:rPr>
              <w:t>（</w:t>
            </w:r>
            <w:r>
              <w:rPr>
                <w:rFonts w:hint="eastAsia" w:ascii="宋体" w:hAnsi="宋体" w:eastAsia="宋体" w:cs="宋体"/>
                <w:bCs/>
                <w:color w:val="auto"/>
                <w:kern w:val="1"/>
                <w:sz w:val="24"/>
                <w:szCs w:val="24"/>
                <w:highlight w:val="none"/>
                <w:lang w:val="zh-CN"/>
              </w:rPr>
              <w:t>须提供合同</w:t>
            </w:r>
            <w:r>
              <w:rPr>
                <w:rFonts w:hint="eastAsia" w:ascii="宋体" w:hAnsi="宋体" w:eastAsia="宋体" w:cs="宋体"/>
                <w:bCs/>
                <w:color w:val="auto"/>
                <w:kern w:val="1"/>
                <w:sz w:val="24"/>
                <w:szCs w:val="24"/>
                <w:highlight w:val="none"/>
                <w:lang w:val="en-US" w:eastAsia="zh-CN"/>
              </w:rPr>
              <w:t>扫描件</w:t>
            </w:r>
            <w:r>
              <w:rPr>
                <w:rFonts w:hint="eastAsia" w:ascii="宋体" w:hAnsi="宋体" w:cs="宋体"/>
                <w:sz w:val="24"/>
                <w:lang w:val="zh-CN" w:eastAsia="zh-CN"/>
              </w:rPr>
              <w:t>，时间以签订施工合同为准，否则不得分）</w:t>
            </w:r>
            <w:r>
              <w:rPr>
                <w:rFonts w:hint="default" w:ascii="宋体" w:hAnsi="宋体" w:cs="宋体"/>
                <w:sz w:val="24"/>
                <w:lang w:val="en-US" w:eastAsia="zh-CN"/>
              </w:rPr>
              <w:t>（项目经理业绩与企业业绩不重复计分）</w:t>
            </w:r>
          </w:p>
        </w:tc>
      </w:tr>
      <w:tr w14:paraId="6ED5F30A">
        <w:tblPrEx>
          <w:tblCellMar>
            <w:top w:w="0" w:type="dxa"/>
            <w:left w:w="108" w:type="dxa"/>
            <w:bottom w:w="0" w:type="dxa"/>
            <w:right w:w="108" w:type="dxa"/>
          </w:tblCellMar>
        </w:tblPrEx>
        <w:trPr>
          <w:trHeight w:val="971" w:hRule="atLeast"/>
        </w:trPr>
        <w:tc>
          <w:tcPr>
            <w:tcW w:w="513" w:type="pct"/>
            <w:vMerge w:val="continue"/>
            <w:tcBorders>
              <w:left w:val="single" w:color="auto" w:sz="4" w:space="0"/>
              <w:right w:val="single" w:color="auto" w:sz="4" w:space="0"/>
            </w:tcBorders>
            <w:vAlign w:val="center"/>
          </w:tcPr>
          <w:p w14:paraId="42A1F4F7">
            <w:pPr>
              <w:keepNext w:val="0"/>
              <w:keepLines w:val="0"/>
              <w:suppressLineNumbers w:val="0"/>
              <w:spacing w:before="0" w:beforeAutospacing="0" w:after="0" w:afterAutospacing="0"/>
              <w:ind w:left="0" w:right="0"/>
              <w:jc w:val="center"/>
              <w:rPr>
                <w:rFonts w:hint="default" w:ascii="宋体" w:hAnsi="宋体" w:cs="宋体"/>
                <w:color w:val="000000"/>
                <w:kern w:val="0"/>
                <w:sz w:val="24"/>
              </w:rPr>
            </w:pPr>
          </w:p>
        </w:tc>
        <w:tc>
          <w:tcPr>
            <w:tcW w:w="841" w:type="pct"/>
            <w:tcBorders>
              <w:top w:val="single" w:color="auto" w:sz="4" w:space="0"/>
              <w:left w:val="nil"/>
              <w:right w:val="single" w:color="auto" w:sz="4" w:space="0"/>
            </w:tcBorders>
            <w:vAlign w:val="center"/>
          </w:tcPr>
          <w:p w14:paraId="346047DA">
            <w:pPr>
              <w:keepNext w:val="0"/>
              <w:keepLines w:val="0"/>
              <w:suppressLineNumbers w:val="0"/>
              <w:spacing w:before="0" w:beforeAutospacing="0" w:after="0" w:afterAutospacing="0"/>
              <w:ind w:left="0" w:right="0"/>
              <w:jc w:val="center"/>
              <w:rPr>
                <w:rFonts w:hint="eastAsia" w:ascii="宋体" w:hAnsi="宋体" w:cs="宋体"/>
                <w:sz w:val="24"/>
              </w:rPr>
            </w:pPr>
            <w:r>
              <w:rPr>
                <w:rFonts w:hint="eastAsia" w:ascii="宋体" w:hAnsi="宋体" w:cs="宋体"/>
                <w:sz w:val="24"/>
                <w:lang w:val="en-US" w:eastAsia="zh-CN"/>
              </w:rPr>
              <w:t>合理化建议（0-3）</w:t>
            </w:r>
          </w:p>
        </w:tc>
        <w:tc>
          <w:tcPr>
            <w:tcW w:w="3644" w:type="pct"/>
            <w:tcBorders>
              <w:top w:val="single" w:color="auto" w:sz="4" w:space="0"/>
              <w:left w:val="nil"/>
              <w:bottom w:val="single" w:color="auto" w:sz="4" w:space="0"/>
              <w:right w:val="single" w:color="auto" w:sz="4" w:space="0"/>
            </w:tcBorders>
            <w:vAlign w:val="center"/>
          </w:tcPr>
          <w:p w14:paraId="547CC62A">
            <w:pPr>
              <w:pStyle w:val="29"/>
              <w:keepNext w:val="0"/>
              <w:keepLines w:val="0"/>
              <w:suppressLineNumbers w:val="0"/>
              <w:spacing w:before="0" w:beforeAutospacing="0" w:after="0" w:afterAutospacing="0"/>
              <w:ind w:left="0" w:right="0"/>
              <w:rPr>
                <w:rFonts w:hint="default" w:ascii="宋体" w:hAnsi="宋体" w:cs="宋体"/>
                <w:sz w:val="24"/>
                <w:lang w:val="en-US" w:eastAsia="zh-CN"/>
              </w:rPr>
            </w:pPr>
            <w:r>
              <w:rPr>
                <w:rFonts w:hint="default" w:ascii="宋体" w:hAnsi="宋体" w:cs="宋体"/>
                <w:sz w:val="24"/>
                <w:lang w:val="en-US" w:eastAsia="zh-CN"/>
              </w:rPr>
              <w:t>科学、合理、满足要求的得</w:t>
            </w:r>
            <w:r>
              <w:rPr>
                <w:rFonts w:hint="eastAsia" w:ascii="宋体" w:hAnsi="宋体" w:cs="宋体"/>
                <w:sz w:val="24"/>
                <w:lang w:val="en-US" w:eastAsia="zh-CN"/>
              </w:rPr>
              <w:t>3</w:t>
            </w:r>
            <w:r>
              <w:rPr>
                <w:rFonts w:hint="default" w:ascii="宋体" w:hAnsi="宋体" w:cs="宋体"/>
                <w:sz w:val="24"/>
                <w:lang w:val="en-US" w:eastAsia="zh-CN"/>
              </w:rPr>
              <w:t>分；基本合理、基本满足要求的得</w:t>
            </w:r>
            <w:r>
              <w:rPr>
                <w:rFonts w:hint="eastAsia" w:ascii="宋体" w:hAnsi="宋体" w:cs="宋体"/>
                <w:sz w:val="24"/>
                <w:lang w:val="en-US" w:eastAsia="zh-CN"/>
              </w:rPr>
              <w:t>1</w:t>
            </w:r>
            <w:r>
              <w:rPr>
                <w:rFonts w:hint="default" w:ascii="宋体" w:hAnsi="宋体" w:cs="宋体"/>
                <w:sz w:val="24"/>
                <w:lang w:val="en-US" w:eastAsia="zh-CN"/>
              </w:rPr>
              <w:t>分；没有不得分</w:t>
            </w:r>
            <w:r>
              <w:rPr>
                <w:rFonts w:hint="eastAsia" w:ascii="宋体" w:hAnsi="宋体" w:cs="宋体"/>
                <w:sz w:val="24"/>
                <w:lang w:val="en-US" w:eastAsia="zh-CN"/>
              </w:rPr>
              <w:t>。</w:t>
            </w:r>
          </w:p>
        </w:tc>
      </w:tr>
      <w:tr w14:paraId="6CE77E38">
        <w:tblPrEx>
          <w:tblCellMar>
            <w:top w:w="0" w:type="dxa"/>
            <w:left w:w="108" w:type="dxa"/>
            <w:bottom w:w="0" w:type="dxa"/>
            <w:right w:w="108" w:type="dxa"/>
          </w:tblCellMar>
        </w:tblPrEx>
        <w:trPr>
          <w:trHeight w:val="2006" w:hRule="atLeast"/>
        </w:trPr>
        <w:tc>
          <w:tcPr>
            <w:tcW w:w="513" w:type="pct"/>
            <w:vMerge w:val="continue"/>
            <w:tcBorders>
              <w:left w:val="single" w:color="auto" w:sz="4" w:space="0"/>
              <w:right w:val="single" w:color="auto" w:sz="4" w:space="0"/>
            </w:tcBorders>
            <w:vAlign w:val="center"/>
          </w:tcPr>
          <w:p w14:paraId="03761FE7">
            <w:pPr>
              <w:keepNext w:val="0"/>
              <w:keepLines w:val="0"/>
              <w:suppressLineNumbers w:val="0"/>
              <w:spacing w:before="0" w:beforeAutospacing="0" w:after="0" w:afterAutospacing="0"/>
              <w:ind w:left="0" w:right="0"/>
              <w:jc w:val="center"/>
              <w:rPr>
                <w:rFonts w:hint="default" w:ascii="宋体" w:hAnsi="宋体" w:cs="宋体"/>
                <w:color w:val="000000"/>
                <w:kern w:val="0"/>
                <w:sz w:val="24"/>
              </w:rPr>
            </w:pPr>
          </w:p>
        </w:tc>
        <w:tc>
          <w:tcPr>
            <w:tcW w:w="841" w:type="pct"/>
            <w:tcBorders>
              <w:top w:val="single" w:color="auto" w:sz="4" w:space="0"/>
              <w:left w:val="nil"/>
              <w:right w:val="single" w:color="auto" w:sz="4" w:space="0"/>
            </w:tcBorders>
            <w:vAlign w:val="center"/>
          </w:tcPr>
          <w:p w14:paraId="05EFB3E8">
            <w:pPr>
              <w:keepNext w:val="0"/>
              <w:keepLines w:val="0"/>
              <w:suppressLineNumbers w:val="0"/>
              <w:spacing w:before="0" w:beforeAutospacing="0" w:after="0" w:afterAutospacing="0"/>
              <w:ind w:left="0" w:right="0"/>
              <w:jc w:val="center"/>
              <w:rPr>
                <w:rFonts w:hint="eastAsia" w:ascii="宋体" w:hAnsi="宋体" w:cs="宋体"/>
                <w:sz w:val="24"/>
              </w:rPr>
            </w:pPr>
            <w:r>
              <w:rPr>
                <w:rFonts w:hint="eastAsia" w:ascii="宋体" w:hAnsi="宋体" w:cs="宋体"/>
                <w:sz w:val="24"/>
                <w:lang w:val="en-US" w:eastAsia="zh-CN"/>
              </w:rPr>
              <w:t>履职尽责承诺（0-4分）</w:t>
            </w:r>
          </w:p>
          <w:p w14:paraId="39381EAD">
            <w:pPr>
              <w:keepNext w:val="0"/>
              <w:keepLines w:val="0"/>
              <w:suppressLineNumbers w:val="0"/>
              <w:spacing w:before="0" w:beforeAutospacing="0" w:after="0" w:afterAutospacing="0"/>
              <w:ind w:left="0" w:right="0"/>
              <w:jc w:val="center"/>
              <w:rPr>
                <w:rFonts w:hint="eastAsia" w:ascii="宋体" w:hAnsi="宋体" w:cs="宋体"/>
                <w:sz w:val="24"/>
              </w:rPr>
            </w:pPr>
          </w:p>
        </w:tc>
        <w:tc>
          <w:tcPr>
            <w:tcW w:w="3644" w:type="pct"/>
            <w:tcBorders>
              <w:top w:val="single" w:color="auto" w:sz="4" w:space="0"/>
              <w:left w:val="nil"/>
              <w:bottom w:val="single" w:color="auto" w:sz="4" w:space="0"/>
              <w:right w:val="single" w:color="auto" w:sz="4" w:space="0"/>
            </w:tcBorders>
            <w:vAlign w:val="center"/>
          </w:tcPr>
          <w:p w14:paraId="0FF5FCE2">
            <w:pPr>
              <w:pStyle w:val="29"/>
              <w:keepNext w:val="0"/>
              <w:keepLines w:val="0"/>
              <w:suppressLineNumbers w:val="0"/>
              <w:spacing w:before="0" w:beforeAutospacing="0" w:after="0" w:afterAutospacing="0"/>
              <w:ind w:left="0" w:right="0"/>
              <w:rPr>
                <w:rFonts w:hint="default" w:ascii="宋体" w:hAnsi="宋体" w:cs="宋体"/>
                <w:sz w:val="24"/>
                <w:lang w:val="en-US" w:eastAsia="zh-CN"/>
              </w:rPr>
            </w:pPr>
            <w:r>
              <w:rPr>
                <w:rFonts w:hint="default" w:ascii="宋体" w:hAnsi="宋体" w:cs="宋体"/>
                <w:sz w:val="24"/>
                <w:lang w:val="en-US" w:eastAsia="zh-CN"/>
              </w:rPr>
              <w:t>具有全面、详实、可行、合法有效的书面保证技术措施落实到位的承诺和落实不到位的处理承诺，其中包括各关键岗位人员（项目经理及相关技术人员）的在岗、更换等履职尽责承诺，提供响应人履约保证得</w:t>
            </w:r>
            <w:r>
              <w:rPr>
                <w:rFonts w:hint="eastAsia" w:ascii="宋体" w:hAnsi="宋体" w:cs="宋体"/>
                <w:sz w:val="24"/>
                <w:lang w:val="en-US" w:eastAsia="zh-CN"/>
              </w:rPr>
              <w:t>4</w:t>
            </w:r>
            <w:r>
              <w:rPr>
                <w:rFonts w:hint="default" w:ascii="宋体" w:hAnsi="宋体" w:cs="宋体"/>
                <w:sz w:val="24"/>
                <w:lang w:val="en-US" w:eastAsia="zh-CN"/>
              </w:rPr>
              <w:t>分；</w:t>
            </w:r>
          </w:p>
          <w:p w14:paraId="699203B8">
            <w:pPr>
              <w:pStyle w:val="29"/>
              <w:keepNext w:val="0"/>
              <w:keepLines w:val="0"/>
              <w:suppressLineNumbers w:val="0"/>
              <w:spacing w:before="0" w:beforeAutospacing="0" w:after="0" w:afterAutospacing="0"/>
              <w:ind w:left="0" w:right="0"/>
              <w:rPr>
                <w:rFonts w:hint="default" w:ascii="宋体" w:hAnsi="宋体" w:cs="宋体"/>
                <w:sz w:val="24"/>
                <w:lang w:val="en-US" w:eastAsia="zh-CN"/>
              </w:rPr>
            </w:pPr>
            <w:r>
              <w:rPr>
                <w:rFonts w:hint="default" w:ascii="宋体" w:hAnsi="宋体" w:cs="宋体"/>
                <w:sz w:val="24"/>
                <w:lang w:val="en-US" w:eastAsia="zh-CN"/>
              </w:rPr>
              <w:t>保证技术措施落实到位的承诺和落实不到位的处理承诺不够全面、详尽、可行的，得</w:t>
            </w:r>
            <w:r>
              <w:rPr>
                <w:rFonts w:hint="eastAsia" w:ascii="宋体" w:hAnsi="宋体" w:cs="宋体"/>
                <w:sz w:val="24"/>
                <w:lang w:val="en-US" w:eastAsia="zh-CN"/>
              </w:rPr>
              <w:t>2</w:t>
            </w:r>
            <w:r>
              <w:rPr>
                <w:rFonts w:hint="default" w:ascii="宋体" w:hAnsi="宋体" w:cs="宋体"/>
                <w:sz w:val="24"/>
                <w:lang w:val="en-US" w:eastAsia="zh-CN"/>
              </w:rPr>
              <w:t>分；</w:t>
            </w:r>
          </w:p>
          <w:p w14:paraId="5BCA80AE">
            <w:pPr>
              <w:pStyle w:val="29"/>
              <w:keepNext w:val="0"/>
              <w:keepLines w:val="0"/>
              <w:suppressLineNumbers w:val="0"/>
              <w:spacing w:before="0" w:beforeAutospacing="0" w:after="0" w:afterAutospacing="0"/>
              <w:ind w:left="0" w:right="0"/>
              <w:rPr>
                <w:rFonts w:hint="default" w:ascii="宋体" w:hAnsi="宋体" w:cs="宋体"/>
                <w:sz w:val="24"/>
                <w:lang w:val="en-US" w:eastAsia="zh-CN"/>
              </w:rPr>
            </w:pPr>
            <w:r>
              <w:rPr>
                <w:rFonts w:hint="default" w:ascii="宋体" w:hAnsi="宋体" w:cs="宋体"/>
                <w:sz w:val="24"/>
                <w:lang w:val="en-US" w:eastAsia="zh-CN"/>
              </w:rPr>
              <w:t>承诺不合理、不科学的不得分。</w:t>
            </w:r>
          </w:p>
        </w:tc>
      </w:tr>
      <w:tr w14:paraId="0720C983">
        <w:tblPrEx>
          <w:tblCellMar>
            <w:top w:w="0" w:type="dxa"/>
            <w:left w:w="108" w:type="dxa"/>
            <w:bottom w:w="0" w:type="dxa"/>
            <w:right w:w="108" w:type="dxa"/>
          </w:tblCellMar>
        </w:tblPrEx>
        <w:trPr>
          <w:trHeight w:val="485" w:hRule="atLeast"/>
        </w:trPr>
        <w:tc>
          <w:tcPr>
            <w:tcW w:w="513" w:type="pct"/>
            <w:vMerge w:val="continue"/>
            <w:tcBorders>
              <w:left w:val="single" w:color="auto" w:sz="4" w:space="0"/>
              <w:bottom w:val="single" w:color="auto" w:sz="4" w:space="0"/>
              <w:right w:val="single" w:color="auto" w:sz="4" w:space="0"/>
            </w:tcBorders>
            <w:vAlign w:val="center"/>
          </w:tcPr>
          <w:p w14:paraId="47DD3A8D">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p>
        </w:tc>
        <w:tc>
          <w:tcPr>
            <w:tcW w:w="4486" w:type="pct"/>
            <w:gridSpan w:val="2"/>
            <w:tcBorders>
              <w:top w:val="single" w:color="auto" w:sz="4" w:space="0"/>
              <w:left w:val="nil"/>
              <w:bottom w:val="single" w:color="auto" w:sz="4" w:space="0"/>
              <w:right w:val="single" w:color="auto" w:sz="4" w:space="0"/>
            </w:tcBorders>
            <w:vAlign w:val="center"/>
          </w:tcPr>
          <w:p w14:paraId="6A8DB1FF">
            <w:pPr>
              <w:keepNext w:val="0"/>
              <w:keepLines w:val="0"/>
              <w:suppressLineNumbers w:val="0"/>
              <w:spacing w:before="0" w:beforeAutospacing="0" w:after="0" w:afterAutospacing="0"/>
              <w:ind w:left="0" w:right="0"/>
              <w:jc w:val="left"/>
              <w:rPr>
                <w:rFonts w:hint="default" w:ascii="宋体" w:hAnsi="宋体" w:cs="宋体"/>
                <w:kern w:val="0"/>
                <w:sz w:val="24"/>
                <w:szCs w:val="24"/>
              </w:rPr>
            </w:pPr>
            <w:r>
              <w:rPr>
                <w:rFonts w:hint="eastAsia"/>
                <w:sz w:val="24"/>
                <w:szCs w:val="24"/>
              </w:rPr>
              <w:t>备注：以上项目若有缺项的，该项为0分；不缺项的，不低于最低分。</w:t>
            </w:r>
          </w:p>
        </w:tc>
      </w:tr>
    </w:tbl>
    <w:p w14:paraId="52C30D75">
      <w:pPr>
        <w:widowControl/>
        <w:spacing w:line="500" w:lineRule="exact"/>
        <w:ind w:firstLine="425"/>
        <w:jc w:val="left"/>
        <w:rPr>
          <w:rFonts w:ascii="宋体" w:hAnsi="宋体" w:eastAsia="宋体" w:cs="Times New Roman"/>
          <w:kern w:val="0"/>
          <w:sz w:val="24"/>
        </w:rPr>
      </w:pPr>
    </w:p>
    <w:p w14:paraId="4344955F">
      <w:pPr>
        <w:spacing w:line="360" w:lineRule="auto"/>
        <w:ind w:firstLine="420" w:firstLineChars="175"/>
        <w:rPr>
          <w:rFonts w:ascii="宋体" w:hAnsi="宋体" w:cs="宋体"/>
          <w:bCs/>
          <w:sz w:val="24"/>
        </w:rPr>
        <w:sectPr>
          <w:headerReference r:id="rId5" w:type="default"/>
          <w:footerReference r:id="rId6" w:type="default"/>
          <w:pgSz w:w="11915" w:h="16840"/>
          <w:pgMar w:top="1134" w:right="1134" w:bottom="1134" w:left="1134" w:header="720" w:footer="720" w:gutter="0"/>
          <w:pgNumType w:fmt="decimal" w:start="1"/>
          <w:cols w:space="720" w:num="1"/>
          <w:docGrid w:type="lines" w:linePitch="312" w:charSpace="0"/>
        </w:sectPr>
      </w:pPr>
    </w:p>
    <w:p w14:paraId="5C9CF5A5">
      <w:pPr>
        <w:pStyle w:val="2"/>
        <w:bidi w:val="0"/>
      </w:pPr>
      <w:bookmarkStart w:id="372" w:name="_Toc29028"/>
      <w:bookmarkStart w:id="373" w:name="_Toc6248"/>
      <w:r>
        <w:rPr>
          <w:rFonts w:hint="eastAsia"/>
        </w:rPr>
        <w:t>第五章  合同条款及格式</w:t>
      </w:r>
      <w:bookmarkEnd w:id="372"/>
      <w:bookmarkEnd w:id="373"/>
    </w:p>
    <w:p w14:paraId="242AE3A4">
      <w:pPr>
        <w:spacing w:line="360" w:lineRule="auto"/>
        <w:jc w:val="center"/>
        <w:rPr>
          <w:rFonts w:ascii="宋体" w:hAnsi="宋体" w:eastAsia="宋体" w:cs="宋体"/>
          <w:bCs/>
          <w:sz w:val="28"/>
          <w:szCs w:val="28"/>
        </w:rPr>
      </w:pPr>
      <w:r>
        <w:rPr>
          <w:rFonts w:hint="eastAsia" w:ascii="宋体" w:hAnsi="宋体" w:eastAsia="宋体" w:cs="宋体"/>
          <w:bCs/>
          <w:sz w:val="28"/>
          <w:szCs w:val="28"/>
        </w:rPr>
        <w:t>（本合同格式仅供参考，具体条款以签订合同为准）</w:t>
      </w:r>
    </w:p>
    <w:p w14:paraId="48DF7117">
      <w:pPr>
        <w:keepNext/>
        <w:keepLines/>
        <w:spacing w:line="400" w:lineRule="exact"/>
        <w:ind w:firstLine="643"/>
        <w:jc w:val="center"/>
        <w:outlineLvl w:val="2"/>
        <w:rPr>
          <w:rFonts w:hint="eastAsia" w:ascii="宋体" w:hAnsi="宋体"/>
          <w:bCs/>
          <w:color w:val="auto"/>
          <w:sz w:val="32"/>
          <w:szCs w:val="32"/>
          <w:highlight w:val="none"/>
        </w:rPr>
      </w:pPr>
      <w:bookmarkStart w:id="374" w:name="_Toc12861"/>
      <w:r>
        <w:rPr>
          <w:rFonts w:hint="eastAsia" w:ascii="宋体" w:hAnsi="宋体"/>
          <w:bCs/>
          <w:color w:val="auto"/>
          <w:sz w:val="32"/>
          <w:szCs w:val="32"/>
          <w:highlight w:val="none"/>
        </w:rPr>
        <w:t>第一部分、合同协议书</w:t>
      </w:r>
      <w:bookmarkEnd w:id="374"/>
    </w:p>
    <w:p w14:paraId="1996EA8B">
      <w:pPr>
        <w:spacing w:line="400" w:lineRule="exact"/>
        <w:ind w:firstLine="482"/>
        <w:rPr>
          <w:rFonts w:hint="eastAsia" w:ascii="宋体" w:hAnsi="宋体" w:eastAsiaTheme="minorEastAsia"/>
          <w:color w:val="auto"/>
          <w:sz w:val="24"/>
          <w:szCs w:val="24"/>
          <w:highlight w:val="none"/>
          <w:u w:val="single"/>
          <w:lang w:eastAsia="zh-CN"/>
        </w:rPr>
      </w:pPr>
      <w:r>
        <w:rPr>
          <w:rFonts w:hint="eastAsia" w:ascii="宋体" w:hAnsi="宋体"/>
          <w:color w:val="auto"/>
          <w:sz w:val="24"/>
          <w:szCs w:val="24"/>
          <w:highlight w:val="none"/>
        </w:rPr>
        <w:t>发包人（全称）：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eastAsia="zh-CN"/>
        </w:rPr>
        <w:t>三门峡市第三高级中学</w:t>
      </w:r>
    </w:p>
    <w:p w14:paraId="6B723BCB">
      <w:pPr>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承包人（全称）：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p>
    <w:p w14:paraId="054D0984">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根据《中华人民共和国民法典》、《中华人民共和国建筑法》及有关法律规定，遵循平等、自愿、公平和诚实信用的原则，双方</w:t>
      </w:r>
      <w:r>
        <w:rPr>
          <w:rFonts w:hint="eastAsia" w:ascii="宋体" w:hAnsi="宋体"/>
          <w:color w:val="auto"/>
          <w:sz w:val="24"/>
          <w:szCs w:val="24"/>
          <w:highlight w:val="none"/>
          <w:lang w:val="en-US" w:eastAsia="zh-CN"/>
        </w:rPr>
        <w:t>该项目</w:t>
      </w:r>
      <w:r>
        <w:rPr>
          <w:rFonts w:hint="eastAsia" w:ascii="宋体" w:hAnsi="宋体"/>
          <w:color w:val="auto"/>
          <w:sz w:val="24"/>
          <w:szCs w:val="24"/>
          <w:highlight w:val="none"/>
        </w:rPr>
        <w:t>协商一致，共同达成如下协议：</w:t>
      </w:r>
    </w:p>
    <w:p w14:paraId="0B4AA58D">
      <w:pPr>
        <w:keepNext/>
        <w:keepLines/>
        <w:spacing w:line="400" w:lineRule="exact"/>
        <w:ind w:firstLine="482"/>
        <w:outlineLvl w:val="3"/>
        <w:rPr>
          <w:rFonts w:hint="eastAsia" w:ascii="宋体" w:hAnsi="宋体"/>
          <w:color w:val="auto"/>
          <w:sz w:val="24"/>
          <w:szCs w:val="24"/>
          <w:highlight w:val="none"/>
        </w:rPr>
      </w:pPr>
      <w:bookmarkStart w:id="375" w:name="_Toc351203481"/>
      <w:r>
        <w:rPr>
          <w:rFonts w:hint="eastAsia" w:ascii="宋体" w:hAnsi="宋体"/>
          <w:bCs/>
          <w:color w:val="auto"/>
          <w:sz w:val="24"/>
          <w:szCs w:val="24"/>
          <w:highlight w:val="none"/>
        </w:rPr>
        <w:t>一、工程概况</w:t>
      </w:r>
      <w:bookmarkEnd w:id="375"/>
    </w:p>
    <w:p w14:paraId="72AEB643">
      <w:pPr>
        <w:spacing w:line="400" w:lineRule="exact"/>
        <w:ind w:firstLine="470" w:firstLineChars="196"/>
        <w:rPr>
          <w:rFonts w:hint="eastAsia" w:ascii="宋体" w:hAnsi="宋体"/>
          <w:color w:val="auto"/>
          <w:sz w:val="24"/>
          <w:szCs w:val="24"/>
          <w:highlight w:val="none"/>
          <w:u w:val="single"/>
        </w:rPr>
      </w:pPr>
      <w:r>
        <w:rPr>
          <w:rFonts w:hint="eastAsia" w:ascii="宋体" w:hAnsi="宋体"/>
          <w:bCs/>
          <w:color w:val="auto"/>
          <w:sz w:val="24"/>
          <w:szCs w:val="24"/>
          <w:highlight w:val="none"/>
        </w:rPr>
        <w:t>1.工程名称</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（A包）</w:t>
      </w:r>
      <w:r>
        <w:rPr>
          <w:rFonts w:hint="eastAsia" w:ascii="宋体" w:hAnsi="宋体"/>
          <w:color w:val="auto"/>
          <w:sz w:val="24"/>
          <w:szCs w:val="24"/>
          <w:highlight w:val="none"/>
          <w:u w:val="single"/>
          <w:lang w:eastAsia="zh-CN"/>
        </w:rPr>
        <w:t xml:space="preserve"> </w:t>
      </w:r>
      <w:r>
        <w:rPr>
          <w:rFonts w:hint="eastAsia" w:ascii="宋体" w:hAnsi="宋体"/>
          <w:color w:val="auto"/>
          <w:sz w:val="24"/>
          <w:szCs w:val="24"/>
          <w:highlight w:val="none"/>
        </w:rPr>
        <w:t>。</w:t>
      </w:r>
    </w:p>
    <w:p w14:paraId="700C02ED">
      <w:pPr>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2.工程地点：</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86981F9">
      <w:pPr>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3.工程立项批准文号：</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1D08B167">
      <w:pPr>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4.资金来源：</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0F625583">
      <w:pPr>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5.工程内容：</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7C7C8A58">
      <w:pPr>
        <w:spacing w:line="400" w:lineRule="exact"/>
        <w:ind w:firstLine="470" w:firstLineChars="196"/>
        <w:rPr>
          <w:rFonts w:hint="eastAsia" w:ascii="宋体" w:hAnsi="宋体"/>
          <w:bCs/>
          <w:color w:val="auto"/>
          <w:sz w:val="24"/>
          <w:szCs w:val="24"/>
          <w:highlight w:val="none"/>
        </w:rPr>
      </w:pPr>
      <w:r>
        <w:rPr>
          <w:rFonts w:hint="eastAsia" w:ascii="宋体" w:hAnsi="宋体"/>
          <w:color w:val="auto"/>
          <w:sz w:val="24"/>
          <w:szCs w:val="24"/>
          <w:highlight w:val="none"/>
        </w:rPr>
        <w:t>群体工程应附《承包人承揽工程项目一览表》（附件1）。</w:t>
      </w:r>
    </w:p>
    <w:p w14:paraId="3AECC32E">
      <w:pPr>
        <w:spacing w:line="400" w:lineRule="exact"/>
        <w:ind w:firstLine="470" w:firstLineChars="196"/>
        <w:rPr>
          <w:rFonts w:hint="eastAsia" w:ascii="宋体" w:hAnsi="宋体"/>
          <w:color w:val="auto"/>
          <w:sz w:val="24"/>
          <w:szCs w:val="24"/>
          <w:highlight w:val="none"/>
        </w:rPr>
      </w:pPr>
      <w:r>
        <w:rPr>
          <w:rFonts w:hint="eastAsia" w:ascii="宋体" w:hAnsi="宋体"/>
          <w:bCs/>
          <w:color w:val="auto"/>
          <w:sz w:val="24"/>
          <w:szCs w:val="24"/>
          <w:highlight w:val="none"/>
        </w:rPr>
        <w:t>6.工程承包范围：</w:t>
      </w:r>
      <w:r>
        <w:rPr>
          <w:rFonts w:hint="eastAsia" w:ascii="宋体" w:hAnsi="宋体"/>
          <w:color w:val="auto"/>
          <w:sz w:val="24"/>
          <w:szCs w:val="24"/>
          <w:highlight w:val="none"/>
        </w:rPr>
        <w:t>。</w:t>
      </w:r>
    </w:p>
    <w:p w14:paraId="7B8E53D7">
      <w:pPr>
        <w:keepNext/>
        <w:keepLines/>
        <w:spacing w:line="400" w:lineRule="exact"/>
        <w:ind w:firstLine="482"/>
        <w:outlineLvl w:val="3"/>
        <w:rPr>
          <w:rFonts w:hint="eastAsia" w:ascii="宋体" w:hAnsi="宋体"/>
          <w:bCs/>
          <w:color w:val="auto"/>
          <w:sz w:val="24"/>
          <w:szCs w:val="24"/>
          <w:highlight w:val="none"/>
        </w:rPr>
      </w:pPr>
      <w:bookmarkStart w:id="376" w:name="_Toc351203482"/>
      <w:r>
        <w:rPr>
          <w:rFonts w:hint="eastAsia" w:ascii="宋体" w:hAnsi="宋体"/>
          <w:bCs/>
          <w:color w:val="auto"/>
          <w:sz w:val="24"/>
          <w:szCs w:val="24"/>
          <w:highlight w:val="none"/>
        </w:rPr>
        <w:t>二、合同工期</w:t>
      </w:r>
      <w:bookmarkEnd w:id="376"/>
    </w:p>
    <w:p w14:paraId="796642B7">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计划开工日期：年月日。</w:t>
      </w:r>
    </w:p>
    <w:p w14:paraId="2C74F6D4">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计划竣工日期：年月日。</w:t>
      </w:r>
    </w:p>
    <w:p w14:paraId="5F4E6D3A">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工期总日历天数：天。工期总日历天数与根据前述计划开竣工日期计算的工期天数不一致的，以工期总日历天数为准。</w:t>
      </w:r>
    </w:p>
    <w:p w14:paraId="50D02904">
      <w:pPr>
        <w:keepNext/>
        <w:keepLines/>
        <w:spacing w:line="400" w:lineRule="exact"/>
        <w:ind w:firstLine="482"/>
        <w:outlineLvl w:val="3"/>
        <w:rPr>
          <w:rFonts w:hint="eastAsia" w:ascii="宋体" w:hAnsi="宋体"/>
          <w:color w:val="auto"/>
          <w:sz w:val="24"/>
          <w:szCs w:val="24"/>
          <w:highlight w:val="none"/>
        </w:rPr>
      </w:pPr>
      <w:bookmarkStart w:id="377" w:name="_Toc351203483"/>
      <w:r>
        <w:rPr>
          <w:rFonts w:hint="eastAsia" w:ascii="宋体" w:hAnsi="宋体"/>
          <w:bCs/>
          <w:color w:val="auto"/>
          <w:sz w:val="24"/>
          <w:szCs w:val="24"/>
          <w:highlight w:val="none"/>
        </w:rPr>
        <w:t>三、质量标准</w:t>
      </w:r>
      <w:bookmarkEnd w:id="377"/>
    </w:p>
    <w:p w14:paraId="77552990">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工程质量符合标准。</w:t>
      </w:r>
    </w:p>
    <w:p w14:paraId="7E217A13">
      <w:pPr>
        <w:keepNext/>
        <w:keepLines/>
        <w:spacing w:line="400" w:lineRule="exact"/>
        <w:ind w:firstLine="482"/>
        <w:outlineLvl w:val="3"/>
        <w:rPr>
          <w:rFonts w:hint="eastAsia" w:ascii="宋体" w:hAnsi="宋体"/>
          <w:color w:val="auto"/>
          <w:sz w:val="24"/>
          <w:szCs w:val="24"/>
          <w:highlight w:val="none"/>
        </w:rPr>
      </w:pPr>
      <w:bookmarkStart w:id="378" w:name="_Toc351203484"/>
      <w:r>
        <w:rPr>
          <w:rFonts w:hint="eastAsia" w:ascii="宋体" w:hAnsi="宋体"/>
          <w:bCs/>
          <w:color w:val="auto"/>
          <w:sz w:val="24"/>
          <w:szCs w:val="24"/>
          <w:highlight w:val="none"/>
        </w:rPr>
        <w:t>四、签约合同价与合同价格形式</w:t>
      </w:r>
      <w:bookmarkEnd w:id="378"/>
      <w:r>
        <w:rPr>
          <w:rFonts w:hint="eastAsia" w:ascii="宋体" w:hAnsi="宋体"/>
          <w:bCs/>
          <w:color w:val="auto"/>
          <w:sz w:val="24"/>
          <w:szCs w:val="24"/>
          <w:highlight w:val="none"/>
        </w:rPr>
        <w:tab/>
      </w:r>
    </w:p>
    <w:p w14:paraId="3421F195">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1.签约合同价为：</w:t>
      </w:r>
    </w:p>
    <w:p w14:paraId="2863CE71">
      <w:pPr>
        <w:spacing w:line="400" w:lineRule="exact"/>
        <w:ind w:firstLine="600" w:firstLineChars="250"/>
        <w:rPr>
          <w:rFonts w:hint="eastAsia" w:ascii="宋体" w:hAnsi="宋体"/>
          <w:color w:val="auto"/>
          <w:sz w:val="24"/>
          <w:szCs w:val="24"/>
          <w:highlight w:val="none"/>
        </w:rPr>
      </w:pPr>
      <w:r>
        <w:rPr>
          <w:rFonts w:hint="eastAsia" w:ascii="宋体" w:hAnsi="宋体"/>
          <w:color w:val="auto"/>
          <w:sz w:val="24"/>
          <w:szCs w:val="24"/>
          <w:highlight w:val="none"/>
        </w:rPr>
        <w:t>人民币（大写）(¥元)；</w:t>
      </w:r>
    </w:p>
    <w:p w14:paraId="56B109AF">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其中：</w:t>
      </w:r>
    </w:p>
    <w:p w14:paraId="728D89EA">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（1）安全文明施工费：</w:t>
      </w:r>
    </w:p>
    <w:p w14:paraId="161233A9">
      <w:pPr>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520C2F2A">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（2）材料和工程设备暂估价金额：</w:t>
      </w:r>
    </w:p>
    <w:p w14:paraId="5DE3FE78">
      <w:pPr>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235D81C5">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（3）专业工程暂估价金额：</w:t>
      </w:r>
    </w:p>
    <w:p w14:paraId="2037B154">
      <w:pPr>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63D58056">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（4）暂列金额：</w:t>
      </w:r>
    </w:p>
    <w:p w14:paraId="2CDC38D9">
      <w:pPr>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6597B727">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2.合同价格形式：</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3121152">
      <w:pPr>
        <w:keepNext/>
        <w:keepLines/>
        <w:spacing w:line="400" w:lineRule="exact"/>
        <w:ind w:firstLine="482"/>
        <w:outlineLvl w:val="3"/>
        <w:rPr>
          <w:rFonts w:hint="eastAsia" w:ascii="宋体" w:hAnsi="宋体"/>
          <w:bCs/>
          <w:color w:val="auto"/>
          <w:sz w:val="24"/>
          <w:szCs w:val="24"/>
          <w:highlight w:val="none"/>
        </w:rPr>
      </w:pPr>
      <w:bookmarkStart w:id="379" w:name="_Toc351203485"/>
      <w:r>
        <w:rPr>
          <w:rFonts w:hint="eastAsia" w:ascii="宋体" w:hAnsi="宋体"/>
          <w:bCs/>
          <w:color w:val="auto"/>
          <w:sz w:val="24"/>
          <w:szCs w:val="24"/>
          <w:highlight w:val="none"/>
        </w:rPr>
        <w:t>五、</w:t>
      </w:r>
      <w:bookmarkEnd w:id="379"/>
      <w:r>
        <w:rPr>
          <w:rFonts w:hint="eastAsia" w:ascii="宋体" w:hAnsi="宋体"/>
          <w:bCs/>
          <w:color w:val="auto"/>
          <w:sz w:val="24"/>
          <w:szCs w:val="24"/>
          <w:highlight w:val="none"/>
        </w:rPr>
        <w:t>项目经理</w:t>
      </w:r>
    </w:p>
    <w:p w14:paraId="0E2F35D9">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承包人项目经理：。</w:t>
      </w:r>
    </w:p>
    <w:p w14:paraId="62B7AFF6">
      <w:pPr>
        <w:keepNext/>
        <w:keepLines/>
        <w:spacing w:line="400" w:lineRule="exact"/>
        <w:ind w:firstLine="482"/>
        <w:outlineLvl w:val="3"/>
        <w:rPr>
          <w:rFonts w:hint="eastAsia" w:ascii="宋体" w:hAnsi="宋体"/>
          <w:color w:val="auto"/>
          <w:sz w:val="24"/>
          <w:szCs w:val="24"/>
          <w:highlight w:val="none"/>
        </w:rPr>
      </w:pPr>
      <w:bookmarkStart w:id="380" w:name="_Toc351203486"/>
      <w:r>
        <w:rPr>
          <w:rFonts w:hint="eastAsia" w:ascii="宋体" w:hAnsi="宋体"/>
          <w:bCs/>
          <w:color w:val="auto"/>
          <w:sz w:val="24"/>
          <w:szCs w:val="24"/>
          <w:highlight w:val="none"/>
        </w:rPr>
        <w:t>六、合同文件构成</w:t>
      </w:r>
      <w:bookmarkEnd w:id="380"/>
    </w:p>
    <w:p w14:paraId="605FB056">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本协议书与下列文件一起构成合同文件：</w:t>
      </w:r>
    </w:p>
    <w:p w14:paraId="0F0408C0">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（1）中标通知书（如果有）；</w:t>
      </w:r>
    </w:p>
    <w:p w14:paraId="42DE8319">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（2）投标函及其附录（如果有）； </w:t>
      </w:r>
    </w:p>
    <w:p w14:paraId="34FE6AE4">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（3）专用合同草案及其附件；</w:t>
      </w:r>
    </w:p>
    <w:p w14:paraId="0FF12059">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（4）通用合同草案；</w:t>
      </w:r>
    </w:p>
    <w:p w14:paraId="44815AC4">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（5）技术标准和要求；</w:t>
      </w:r>
    </w:p>
    <w:p w14:paraId="265A1324">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（6）图纸；</w:t>
      </w:r>
    </w:p>
    <w:p w14:paraId="29140BDE">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（7）已标价工程量清单或预算书；</w:t>
      </w:r>
    </w:p>
    <w:p w14:paraId="1A1FD564">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（8）其他合同文件。</w:t>
      </w:r>
    </w:p>
    <w:p w14:paraId="495870FA">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在合同订立及履行过程中形成的与合同有关的文件均构成合同文件组成部分。</w:t>
      </w:r>
    </w:p>
    <w:p w14:paraId="3B5FBE85">
      <w:pPr>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上述各项合同文件包括合同当事人就该项合同文件所作出的补充和修改，属于同一类内容的文件，应以最新签署的为准。专用合同草案及其附件须经合同当事人电子签章。</w:t>
      </w:r>
    </w:p>
    <w:p w14:paraId="7D70C290">
      <w:pPr>
        <w:keepNext/>
        <w:keepLines/>
        <w:spacing w:line="400" w:lineRule="exact"/>
        <w:ind w:firstLine="482"/>
        <w:outlineLvl w:val="3"/>
        <w:rPr>
          <w:rFonts w:hint="eastAsia" w:ascii="宋体" w:hAnsi="宋体"/>
          <w:color w:val="auto"/>
          <w:sz w:val="24"/>
          <w:szCs w:val="24"/>
          <w:highlight w:val="none"/>
        </w:rPr>
      </w:pPr>
      <w:bookmarkStart w:id="381" w:name="_Toc351203487"/>
      <w:r>
        <w:rPr>
          <w:rFonts w:hint="eastAsia" w:ascii="宋体" w:hAnsi="宋体"/>
          <w:bCs/>
          <w:color w:val="auto"/>
          <w:sz w:val="24"/>
          <w:szCs w:val="24"/>
          <w:highlight w:val="none"/>
        </w:rPr>
        <w:t>七、承诺</w:t>
      </w:r>
      <w:bookmarkEnd w:id="381"/>
    </w:p>
    <w:p w14:paraId="34D06362">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1.发包人承诺按照法律规定履行项目审批手续、筹集工程建设资金并按照合同约定的期限和方式支付合同价款。</w:t>
      </w:r>
    </w:p>
    <w:p w14:paraId="1D9D2651">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2C2C9DFA">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3.发包人和承包人通过招投标形式签订合同的，双方理解并承诺不再就同一工程另行签订与合同实质性内容相背离的协议。</w:t>
      </w:r>
    </w:p>
    <w:p w14:paraId="69391796">
      <w:pPr>
        <w:spacing w:line="400" w:lineRule="exact"/>
        <w:ind w:firstLine="482"/>
        <w:rPr>
          <w:rFonts w:hint="eastAsia" w:ascii="宋体" w:hAnsi="宋体"/>
          <w:bCs/>
          <w:color w:val="auto"/>
          <w:sz w:val="24"/>
          <w:szCs w:val="24"/>
          <w:highlight w:val="none"/>
        </w:rPr>
      </w:pPr>
      <w:bookmarkStart w:id="382" w:name="_Toc351203488"/>
      <w:r>
        <w:rPr>
          <w:rFonts w:hint="eastAsia" w:ascii="宋体" w:hAnsi="宋体"/>
          <w:color w:val="auto"/>
          <w:sz w:val="24"/>
          <w:szCs w:val="24"/>
          <w:highlight w:val="none"/>
        </w:rPr>
        <w:t>八、词语含义</w:t>
      </w:r>
      <w:bookmarkEnd w:id="382"/>
    </w:p>
    <w:p w14:paraId="35705C93">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本协议书中词语含义与第二部分通用合同草案中赋予的含义相同。</w:t>
      </w:r>
    </w:p>
    <w:p w14:paraId="50DA62BD">
      <w:pPr>
        <w:keepNext/>
        <w:keepLines/>
        <w:spacing w:line="400" w:lineRule="exact"/>
        <w:ind w:firstLine="482"/>
        <w:outlineLvl w:val="3"/>
        <w:rPr>
          <w:rFonts w:hint="eastAsia" w:ascii="宋体" w:hAnsi="宋体"/>
          <w:color w:val="auto"/>
          <w:sz w:val="24"/>
          <w:szCs w:val="24"/>
          <w:highlight w:val="none"/>
        </w:rPr>
      </w:pPr>
      <w:bookmarkStart w:id="383" w:name="_Toc351203489"/>
      <w:r>
        <w:rPr>
          <w:rFonts w:hint="eastAsia" w:ascii="宋体" w:hAnsi="宋体"/>
          <w:bCs/>
          <w:color w:val="auto"/>
          <w:sz w:val="24"/>
          <w:szCs w:val="24"/>
          <w:highlight w:val="none"/>
        </w:rPr>
        <w:t>九、签订时间</w:t>
      </w:r>
      <w:bookmarkEnd w:id="383"/>
    </w:p>
    <w:p w14:paraId="4629DC87">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本合同于年月日签订。</w:t>
      </w:r>
    </w:p>
    <w:p w14:paraId="4375EA3A">
      <w:pPr>
        <w:keepNext/>
        <w:keepLines/>
        <w:spacing w:line="400" w:lineRule="exact"/>
        <w:ind w:firstLine="482"/>
        <w:outlineLvl w:val="3"/>
        <w:rPr>
          <w:rFonts w:hint="eastAsia" w:ascii="宋体" w:hAnsi="宋体"/>
          <w:color w:val="auto"/>
          <w:sz w:val="24"/>
          <w:szCs w:val="24"/>
          <w:highlight w:val="none"/>
        </w:rPr>
      </w:pPr>
      <w:bookmarkStart w:id="384" w:name="_Toc351203490"/>
      <w:r>
        <w:rPr>
          <w:rFonts w:hint="eastAsia" w:ascii="宋体" w:hAnsi="宋体"/>
          <w:bCs/>
          <w:color w:val="auto"/>
          <w:sz w:val="24"/>
          <w:szCs w:val="24"/>
          <w:highlight w:val="none"/>
        </w:rPr>
        <w:t>十、签订地点</w:t>
      </w:r>
      <w:bookmarkEnd w:id="384"/>
    </w:p>
    <w:p w14:paraId="6D2B0B56">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本合同在签订。</w:t>
      </w:r>
    </w:p>
    <w:p w14:paraId="2E13801F">
      <w:pPr>
        <w:keepNext/>
        <w:keepLines/>
        <w:spacing w:line="400" w:lineRule="exact"/>
        <w:ind w:firstLine="482"/>
        <w:outlineLvl w:val="3"/>
        <w:rPr>
          <w:rFonts w:hint="eastAsia" w:ascii="宋体" w:hAnsi="宋体"/>
          <w:color w:val="auto"/>
          <w:sz w:val="24"/>
          <w:szCs w:val="24"/>
          <w:highlight w:val="none"/>
        </w:rPr>
      </w:pPr>
      <w:bookmarkStart w:id="385" w:name="_Toc351203491"/>
      <w:r>
        <w:rPr>
          <w:rFonts w:hint="eastAsia" w:ascii="宋体" w:hAnsi="宋体"/>
          <w:bCs/>
          <w:color w:val="auto"/>
          <w:sz w:val="24"/>
          <w:szCs w:val="24"/>
          <w:highlight w:val="none"/>
        </w:rPr>
        <w:t>十一、补充协议</w:t>
      </w:r>
      <w:bookmarkEnd w:id="385"/>
    </w:p>
    <w:p w14:paraId="33E40CF7">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合同未尽事宜，合同当事人另行签订补充协议，补充协议是合同的组成部分。</w:t>
      </w:r>
    </w:p>
    <w:p w14:paraId="2AAC4B67">
      <w:pPr>
        <w:keepNext/>
        <w:keepLines/>
        <w:spacing w:line="400" w:lineRule="exact"/>
        <w:ind w:firstLine="482"/>
        <w:outlineLvl w:val="3"/>
        <w:rPr>
          <w:rFonts w:hint="eastAsia" w:ascii="宋体" w:hAnsi="宋体"/>
          <w:color w:val="auto"/>
          <w:sz w:val="24"/>
          <w:szCs w:val="24"/>
          <w:highlight w:val="none"/>
        </w:rPr>
      </w:pPr>
      <w:bookmarkStart w:id="386" w:name="_Toc351203492"/>
      <w:r>
        <w:rPr>
          <w:rFonts w:hint="eastAsia" w:ascii="宋体" w:hAnsi="宋体"/>
          <w:bCs/>
          <w:color w:val="auto"/>
          <w:sz w:val="24"/>
          <w:szCs w:val="24"/>
          <w:highlight w:val="none"/>
        </w:rPr>
        <w:t>十二、合同生效</w:t>
      </w:r>
      <w:bookmarkEnd w:id="386"/>
    </w:p>
    <w:p w14:paraId="3AEDEF2E">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本合同自生效。</w:t>
      </w:r>
    </w:p>
    <w:p w14:paraId="088145E5">
      <w:pPr>
        <w:keepNext/>
        <w:keepLines/>
        <w:spacing w:line="400" w:lineRule="exact"/>
        <w:ind w:firstLine="482"/>
        <w:outlineLvl w:val="3"/>
        <w:rPr>
          <w:rFonts w:hint="eastAsia" w:ascii="宋体" w:hAnsi="宋体"/>
          <w:color w:val="auto"/>
          <w:sz w:val="24"/>
          <w:szCs w:val="24"/>
          <w:highlight w:val="none"/>
        </w:rPr>
      </w:pPr>
      <w:bookmarkStart w:id="387" w:name="_Toc351203493"/>
      <w:r>
        <w:rPr>
          <w:rFonts w:hint="eastAsia" w:ascii="宋体" w:hAnsi="宋体"/>
          <w:bCs/>
          <w:color w:val="auto"/>
          <w:sz w:val="24"/>
          <w:szCs w:val="24"/>
          <w:highlight w:val="none"/>
        </w:rPr>
        <w:t>十三、合同份数</w:t>
      </w:r>
      <w:bookmarkEnd w:id="387"/>
    </w:p>
    <w:p w14:paraId="706F8F49">
      <w:pPr>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本合同一式份，均具有同等法律效力，发包人执份，承包人执份。</w:t>
      </w:r>
    </w:p>
    <w:p w14:paraId="3A281EFD">
      <w:pPr>
        <w:spacing w:line="400" w:lineRule="exact"/>
        <w:ind w:firstLine="482"/>
        <w:rPr>
          <w:rFonts w:hint="eastAsia" w:ascii="宋体" w:hAnsi="宋体"/>
          <w:bCs/>
          <w:color w:val="auto"/>
          <w:sz w:val="24"/>
          <w:szCs w:val="24"/>
          <w:highlight w:val="none"/>
        </w:rPr>
      </w:pPr>
    </w:p>
    <w:p w14:paraId="0E0C1969">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发包人：  (公章)承包人：  (公章)</w:t>
      </w:r>
    </w:p>
    <w:p w14:paraId="71A1884A">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 xml:space="preserve">法定代表人或其委托代理人：（签字） 法定代表人或其委托代理人：（签字）                    </w:t>
      </w:r>
    </w:p>
    <w:p w14:paraId="21BA8EED">
      <w:pPr>
        <w:tabs>
          <w:tab w:val="left" w:pos="4410"/>
        </w:tabs>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组织机构代码：</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组织机构代码：</w:t>
      </w:r>
      <w:r>
        <w:rPr>
          <w:rFonts w:hint="eastAsia" w:ascii="宋体" w:hAnsi="宋体"/>
          <w:color w:val="auto"/>
          <w:sz w:val="24"/>
          <w:szCs w:val="24"/>
          <w:highlight w:val="none"/>
          <w:u w:val="single"/>
        </w:rPr>
        <w:t xml:space="preserve">   </w:t>
      </w:r>
    </w:p>
    <w:p w14:paraId="697285E4">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地  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地  址：</w:t>
      </w:r>
      <w:r>
        <w:rPr>
          <w:rFonts w:hint="eastAsia" w:ascii="宋体" w:hAnsi="宋体"/>
          <w:color w:val="auto"/>
          <w:sz w:val="24"/>
          <w:szCs w:val="24"/>
          <w:highlight w:val="none"/>
          <w:u w:val="single"/>
        </w:rPr>
        <w:t xml:space="preserve"> </w:t>
      </w:r>
    </w:p>
    <w:p w14:paraId="7D64B197">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邮政编码：</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邮政编码：</w:t>
      </w:r>
      <w:r>
        <w:rPr>
          <w:rFonts w:hint="eastAsia" w:ascii="宋体" w:hAnsi="宋体"/>
          <w:color w:val="auto"/>
          <w:sz w:val="24"/>
          <w:szCs w:val="24"/>
          <w:highlight w:val="none"/>
          <w:u w:val="single"/>
        </w:rPr>
        <w:t xml:space="preserve">   </w:t>
      </w:r>
    </w:p>
    <w:p w14:paraId="406F8E69">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法定代表人：法定代表人：</w:t>
      </w:r>
    </w:p>
    <w:p w14:paraId="00D1CA98">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委托代理人：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委托代理人：</w:t>
      </w:r>
      <w:r>
        <w:rPr>
          <w:rFonts w:hint="eastAsia" w:ascii="宋体" w:hAnsi="宋体"/>
          <w:color w:val="auto"/>
          <w:sz w:val="24"/>
          <w:szCs w:val="24"/>
          <w:highlight w:val="none"/>
          <w:u w:val="single"/>
        </w:rPr>
        <w:t xml:space="preserve">  </w:t>
      </w:r>
    </w:p>
    <w:p w14:paraId="361A6CEE">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电  话：电  话：</w:t>
      </w:r>
    </w:p>
    <w:p w14:paraId="0BC5BC49">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传  真：</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传  真：</w:t>
      </w:r>
      <w:r>
        <w:rPr>
          <w:rFonts w:hint="eastAsia" w:ascii="宋体" w:hAnsi="宋体"/>
          <w:color w:val="auto"/>
          <w:sz w:val="24"/>
          <w:szCs w:val="24"/>
          <w:highlight w:val="none"/>
          <w:u w:val="single"/>
        </w:rPr>
        <w:t xml:space="preserve">   </w:t>
      </w:r>
    </w:p>
    <w:p w14:paraId="2DAEE7FE">
      <w:pPr>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电子信箱：电子信箱：</w:t>
      </w:r>
      <w:r>
        <w:rPr>
          <w:rFonts w:hint="eastAsia" w:ascii="宋体" w:hAnsi="宋体"/>
          <w:color w:val="auto"/>
          <w:sz w:val="24"/>
          <w:szCs w:val="24"/>
          <w:highlight w:val="none"/>
          <w:u w:val="single"/>
        </w:rPr>
        <w:t xml:space="preserve">   </w:t>
      </w:r>
    </w:p>
    <w:p w14:paraId="472F9032">
      <w:pPr>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开户银行：</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开户银行：</w:t>
      </w:r>
      <w:r>
        <w:rPr>
          <w:rFonts w:hint="eastAsia" w:ascii="宋体" w:hAnsi="宋体"/>
          <w:color w:val="auto"/>
          <w:sz w:val="24"/>
          <w:szCs w:val="24"/>
          <w:highlight w:val="none"/>
          <w:u w:val="single"/>
        </w:rPr>
        <w:t xml:space="preserve">   </w:t>
      </w:r>
    </w:p>
    <w:p w14:paraId="2EDF8F49">
      <w:pPr>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账  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账 号：</w:t>
      </w:r>
    </w:p>
    <w:p w14:paraId="1ACA2178">
      <w:pPr>
        <w:spacing w:line="490" w:lineRule="exact"/>
        <w:ind w:firstLine="482"/>
        <w:jc w:val="center"/>
        <w:rPr>
          <w:rFonts w:hint="eastAsia" w:ascii="宋体" w:hAnsi="宋体" w:cs="仿宋_GB2312"/>
          <w:color w:val="auto"/>
          <w:sz w:val="24"/>
          <w:szCs w:val="24"/>
          <w:highlight w:val="none"/>
        </w:rPr>
      </w:pPr>
    </w:p>
    <w:p w14:paraId="01F33516">
      <w:pPr>
        <w:spacing w:line="490" w:lineRule="exact"/>
        <w:ind w:firstLine="482"/>
        <w:rPr>
          <w:rFonts w:hint="eastAsia" w:ascii="宋体" w:hAnsi="宋体"/>
          <w:color w:val="auto"/>
          <w:sz w:val="24"/>
          <w:szCs w:val="24"/>
          <w:highlight w:val="none"/>
        </w:rPr>
      </w:pPr>
    </w:p>
    <w:p w14:paraId="41F37FA2">
      <w:pPr>
        <w:spacing w:line="490" w:lineRule="exact"/>
        <w:ind w:firstLine="640"/>
        <w:jc w:val="center"/>
        <w:rPr>
          <w:rFonts w:hint="eastAsia" w:ascii="宋体" w:hAnsi="宋体"/>
          <w:color w:val="auto"/>
          <w:kern w:val="0"/>
          <w:sz w:val="32"/>
          <w:szCs w:val="32"/>
          <w:highlight w:val="none"/>
        </w:rPr>
      </w:pPr>
      <w:r>
        <w:rPr>
          <w:rFonts w:hint="eastAsia" w:ascii="宋体" w:hAnsi="宋体" w:cs="宋体"/>
          <w:b/>
          <w:bCs/>
          <w:color w:val="auto"/>
          <w:sz w:val="32"/>
          <w:szCs w:val="32"/>
          <w:highlight w:val="none"/>
        </w:rPr>
        <w:br w:type="page"/>
      </w:r>
      <w:bookmarkStart w:id="388" w:name="_Toc351203494"/>
      <w:r>
        <w:rPr>
          <w:rFonts w:hint="eastAsia" w:ascii="宋体" w:hAnsi="宋体"/>
          <w:color w:val="auto"/>
          <w:kern w:val="0"/>
          <w:sz w:val="32"/>
          <w:szCs w:val="32"/>
          <w:highlight w:val="none"/>
        </w:rPr>
        <w:t>第二部分 通用</w:t>
      </w:r>
      <w:bookmarkEnd w:id="388"/>
      <w:r>
        <w:rPr>
          <w:rFonts w:hint="eastAsia" w:ascii="宋体" w:hAnsi="宋体"/>
          <w:color w:val="auto"/>
          <w:kern w:val="0"/>
          <w:sz w:val="32"/>
          <w:szCs w:val="32"/>
          <w:highlight w:val="none"/>
        </w:rPr>
        <w:t>合同草案</w:t>
      </w:r>
    </w:p>
    <w:p w14:paraId="6C0D71E1">
      <w:pPr>
        <w:spacing w:line="490" w:lineRule="exact"/>
        <w:ind w:firstLine="562"/>
        <w:jc w:val="center"/>
        <w:rPr>
          <w:rFonts w:hint="eastAsia" w:ascii="Calibri" w:hAnsi="Calibri"/>
          <w:color w:val="auto"/>
          <w:highlight w:val="none"/>
        </w:rPr>
      </w:pPr>
      <w:r>
        <w:rPr>
          <w:rFonts w:hint="eastAsia" w:ascii="宋体" w:hAnsi="宋体"/>
          <w:color w:val="auto"/>
          <w:kern w:val="0"/>
          <w:sz w:val="28"/>
          <w:szCs w:val="28"/>
          <w:highlight w:val="none"/>
        </w:rPr>
        <w:t>详见建设工程施工合同（GF—2017—0201）中的通用合同草案</w:t>
      </w:r>
    </w:p>
    <w:p w14:paraId="3248D05B">
      <w:pPr>
        <w:spacing w:line="490" w:lineRule="exact"/>
        <w:ind w:firstLine="562"/>
        <w:jc w:val="center"/>
        <w:rPr>
          <w:rFonts w:ascii="宋体" w:hAnsi="宋体"/>
          <w:color w:val="auto"/>
          <w:kern w:val="0"/>
          <w:sz w:val="28"/>
          <w:szCs w:val="28"/>
          <w:highlight w:val="none"/>
        </w:rPr>
      </w:pPr>
    </w:p>
    <w:p w14:paraId="6F91A502">
      <w:pPr>
        <w:autoSpaceDE w:val="0"/>
        <w:autoSpaceDN w:val="0"/>
        <w:adjustRightInd w:val="0"/>
        <w:spacing w:line="490" w:lineRule="exact"/>
        <w:ind w:firstLine="643"/>
        <w:jc w:val="center"/>
        <w:rPr>
          <w:rFonts w:hint="eastAsia" w:ascii="宋体" w:hAnsi="宋体"/>
          <w:bCs/>
          <w:color w:val="auto"/>
          <w:sz w:val="32"/>
          <w:szCs w:val="32"/>
          <w:highlight w:val="none"/>
        </w:rPr>
      </w:pPr>
    </w:p>
    <w:p w14:paraId="0BDC9C24">
      <w:pPr>
        <w:autoSpaceDE w:val="0"/>
        <w:autoSpaceDN w:val="0"/>
        <w:adjustRightInd w:val="0"/>
        <w:spacing w:line="400" w:lineRule="exact"/>
        <w:ind w:firstLine="643"/>
        <w:jc w:val="center"/>
        <w:rPr>
          <w:rFonts w:hint="eastAsia" w:ascii="宋体" w:hAnsi="宋体"/>
          <w:bCs/>
          <w:color w:val="auto"/>
          <w:sz w:val="32"/>
          <w:szCs w:val="32"/>
          <w:highlight w:val="none"/>
        </w:rPr>
      </w:pPr>
      <w:r>
        <w:rPr>
          <w:rFonts w:hint="eastAsia" w:ascii="宋体" w:hAnsi="宋体"/>
          <w:bCs/>
          <w:color w:val="auto"/>
          <w:sz w:val="32"/>
          <w:szCs w:val="32"/>
          <w:highlight w:val="none"/>
        </w:rPr>
        <w:t>第三部分 专用合同草案</w:t>
      </w:r>
    </w:p>
    <w:p w14:paraId="2F331B59">
      <w:pPr>
        <w:keepNext/>
        <w:keepLines/>
        <w:spacing w:line="380" w:lineRule="exact"/>
        <w:ind w:firstLine="482"/>
        <w:outlineLvl w:val="3"/>
        <w:rPr>
          <w:rFonts w:hint="eastAsia" w:ascii="宋体" w:hAnsi="宋体"/>
          <w:bCs/>
          <w:color w:val="auto"/>
          <w:sz w:val="24"/>
          <w:szCs w:val="24"/>
          <w:highlight w:val="none"/>
        </w:rPr>
      </w:pPr>
      <w:bookmarkStart w:id="389" w:name="_Toc351203633"/>
      <w:r>
        <w:rPr>
          <w:rFonts w:hint="eastAsia" w:ascii="宋体" w:hAnsi="宋体"/>
          <w:bCs/>
          <w:color w:val="auto"/>
          <w:sz w:val="24"/>
          <w:szCs w:val="24"/>
          <w:highlight w:val="none"/>
        </w:rPr>
        <w:t>1</w:t>
      </w:r>
      <w:bookmarkStart w:id="390" w:name="_Toc297120456"/>
      <w:bookmarkStart w:id="391" w:name="_Toc296890984"/>
      <w:bookmarkStart w:id="392" w:name="_Toc296503156"/>
      <w:bookmarkStart w:id="393" w:name="_Toc292559361"/>
      <w:bookmarkStart w:id="394" w:name="_Toc296346657"/>
      <w:bookmarkStart w:id="395" w:name="_Toc296347155"/>
      <w:bookmarkStart w:id="396" w:name="_Toc296891196"/>
      <w:bookmarkStart w:id="397" w:name="_Toc297048342"/>
      <w:bookmarkStart w:id="398" w:name="_Toc292559866"/>
      <w:bookmarkStart w:id="399" w:name="_Toc296944495"/>
      <w:r>
        <w:rPr>
          <w:rFonts w:hint="eastAsia" w:ascii="宋体" w:hAnsi="宋体"/>
          <w:bCs/>
          <w:color w:val="auto"/>
          <w:sz w:val="24"/>
          <w:szCs w:val="24"/>
          <w:highlight w:val="none"/>
        </w:rPr>
        <w:t>. 一般约定</w:t>
      </w:r>
      <w:bookmarkEnd w:id="389"/>
    </w:p>
    <w:bookmarkEnd w:id="390"/>
    <w:bookmarkEnd w:id="391"/>
    <w:bookmarkEnd w:id="392"/>
    <w:bookmarkEnd w:id="393"/>
    <w:bookmarkEnd w:id="394"/>
    <w:bookmarkEnd w:id="395"/>
    <w:bookmarkEnd w:id="396"/>
    <w:bookmarkEnd w:id="397"/>
    <w:bookmarkEnd w:id="398"/>
    <w:bookmarkEnd w:id="399"/>
    <w:p w14:paraId="2745A609">
      <w:pPr>
        <w:spacing w:line="380" w:lineRule="exact"/>
        <w:ind w:firstLine="480" w:firstLineChars="200"/>
        <w:outlineLvl w:val="0"/>
        <w:rPr>
          <w:rFonts w:hint="eastAsia" w:ascii="宋体" w:hAnsi="宋体"/>
          <w:color w:val="auto"/>
          <w:sz w:val="24"/>
          <w:szCs w:val="24"/>
          <w:highlight w:val="none"/>
        </w:rPr>
      </w:pPr>
      <w:bookmarkStart w:id="400" w:name="_Toc19202"/>
      <w:bookmarkStart w:id="401" w:name="_Toc6409"/>
      <w:bookmarkStart w:id="402" w:name="_Toc22970"/>
      <w:bookmarkStart w:id="403" w:name="_Toc30819"/>
      <w:bookmarkStart w:id="404" w:name="_Toc5323"/>
      <w:bookmarkStart w:id="405" w:name="_Toc18899"/>
      <w:bookmarkStart w:id="406" w:name="_Toc3310"/>
      <w:bookmarkStart w:id="407" w:name="_Toc31882"/>
      <w:r>
        <w:rPr>
          <w:rFonts w:hint="eastAsia" w:ascii="宋体" w:hAnsi="宋体"/>
          <w:color w:val="auto"/>
          <w:sz w:val="24"/>
          <w:szCs w:val="24"/>
          <w:highlight w:val="none"/>
        </w:rPr>
        <w:t>1.1 词语定义</w:t>
      </w:r>
      <w:bookmarkEnd w:id="400"/>
      <w:bookmarkEnd w:id="401"/>
      <w:bookmarkEnd w:id="402"/>
      <w:bookmarkEnd w:id="403"/>
      <w:bookmarkEnd w:id="404"/>
      <w:bookmarkEnd w:id="405"/>
      <w:bookmarkEnd w:id="406"/>
      <w:bookmarkEnd w:id="407"/>
    </w:p>
    <w:p w14:paraId="12F998DE">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1.1.1合同</w:t>
      </w:r>
    </w:p>
    <w:p w14:paraId="31AFB21F">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1.1.1.10其他合同文件包括：</w:t>
      </w:r>
      <w:r>
        <w:rPr>
          <w:rFonts w:hint="eastAsia" w:ascii="宋体" w:hAnsi="宋体" w:cs="宋体"/>
          <w:color w:val="auto"/>
          <w:sz w:val="24"/>
          <w:szCs w:val="24"/>
          <w:highlight w:val="none"/>
          <w:u w:val="single"/>
          <w:lang w:bidi="ar"/>
        </w:rPr>
        <w:t>合同发行中，发包人和承包人有关工程的会议纪要、工程变更、签证、工程洽商、有关通知、信件、数据电文等，以及法律、法规规定具有证明效力和合同效力的文件或资料视为本合同的组成部分</w:t>
      </w:r>
      <w:r>
        <w:rPr>
          <w:rFonts w:hint="eastAsia" w:ascii="宋体" w:hAnsi="宋体"/>
          <w:color w:val="auto"/>
          <w:sz w:val="24"/>
          <w:szCs w:val="24"/>
          <w:highlight w:val="none"/>
        </w:rPr>
        <w:t>。</w:t>
      </w:r>
    </w:p>
    <w:p w14:paraId="000CC3E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 合同当事人及其他相关方</w:t>
      </w:r>
    </w:p>
    <w:p w14:paraId="7031E24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1.1.2.4监理人：</w:t>
      </w:r>
    </w:p>
    <w:p w14:paraId="2B4DD25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名    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77E527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资质类别和等级：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819F39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7A4851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0DA5F9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BAAD94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1.1.2.5 设计人：</w:t>
      </w:r>
    </w:p>
    <w:p w14:paraId="427F666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名    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788556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资质类别和等级：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87DD30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A89B0A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FD8A4A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5CEC0A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 工程和设备</w:t>
      </w:r>
    </w:p>
    <w:p w14:paraId="76023FC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1.1.3.7 作为施工现场组成部分的其他场所包括：</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201809CF">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1.1.3.9 永久占地包括：</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p>
    <w:p w14:paraId="354095F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1.1.3.10 临时占地包括：</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p>
    <w:p w14:paraId="75792BB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 xml:space="preserve">1.3法律 </w:t>
      </w:r>
    </w:p>
    <w:p w14:paraId="6BF17881">
      <w:pPr>
        <w:autoSpaceDE w:val="0"/>
        <w:autoSpaceDN w:val="0"/>
        <w:adjustRightInd w:val="0"/>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适用于合同的其他规范性文件：</w:t>
      </w:r>
      <w:r>
        <w:rPr>
          <w:rFonts w:hint="eastAsia" w:ascii="宋体" w:hAnsi="宋体"/>
          <w:color w:val="auto"/>
          <w:sz w:val="24"/>
          <w:szCs w:val="24"/>
          <w:highlight w:val="none"/>
          <w:u w:val="single" w:color="000000"/>
          <w:lang w:val="zh-TW" w:eastAsia="zh-TW"/>
        </w:rPr>
        <w:t>《中华人民共和国建筑法》、《</w:t>
      </w:r>
      <w:r>
        <w:rPr>
          <w:rFonts w:hint="eastAsia" w:ascii="宋体" w:hAnsi="宋体"/>
          <w:color w:val="auto"/>
          <w:sz w:val="24"/>
          <w:szCs w:val="24"/>
          <w:highlight w:val="none"/>
          <w:u w:val="single" w:color="000000"/>
          <w:lang w:val="zh-TW"/>
        </w:rPr>
        <w:t>中华人民共和国民法典</w:t>
      </w:r>
      <w:r>
        <w:rPr>
          <w:rFonts w:hint="eastAsia" w:ascii="宋体" w:hAnsi="宋体"/>
          <w:color w:val="auto"/>
          <w:sz w:val="24"/>
          <w:szCs w:val="24"/>
          <w:highlight w:val="none"/>
          <w:u w:val="single" w:color="000000"/>
          <w:lang w:val="zh-TW" w:eastAsia="zh-TW"/>
        </w:rPr>
        <w:t>》、《中华人民共和国招标投标法》、《</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强制性标准条文》、《建设工程质量管理条例》、《</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质量保修办法》、河南省及</w:t>
      </w:r>
      <w:r>
        <w:rPr>
          <w:rFonts w:hint="eastAsia" w:ascii="宋体" w:hAnsi="宋体"/>
          <w:color w:val="auto"/>
          <w:sz w:val="24"/>
          <w:szCs w:val="24"/>
          <w:highlight w:val="none"/>
          <w:u w:val="single" w:color="000000"/>
          <w:lang w:val="zh-TW"/>
        </w:rPr>
        <w:t>三门峡</w:t>
      </w:r>
      <w:r>
        <w:rPr>
          <w:rFonts w:hint="eastAsia" w:ascii="宋体" w:hAnsi="宋体"/>
          <w:color w:val="auto"/>
          <w:sz w:val="24"/>
          <w:szCs w:val="24"/>
          <w:highlight w:val="none"/>
          <w:u w:val="single" w:color="000000"/>
          <w:lang w:val="zh-TW" w:eastAsia="zh-TW"/>
        </w:rPr>
        <w:t>市关于安全文明施工的法规、条例和行政规范性文件等</w:t>
      </w:r>
      <w:r>
        <w:rPr>
          <w:rFonts w:hint="eastAsia" w:ascii="宋体" w:hAnsi="宋体"/>
          <w:color w:val="auto"/>
          <w:sz w:val="24"/>
          <w:szCs w:val="24"/>
          <w:highlight w:val="none"/>
        </w:rPr>
        <w:t>。</w:t>
      </w:r>
    </w:p>
    <w:p w14:paraId="41B1E25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 标准和规范</w:t>
      </w:r>
    </w:p>
    <w:p w14:paraId="323156F1">
      <w:pPr>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1.4.1适用于工程的标准规范包括：</w:t>
      </w:r>
      <w:r>
        <w:rPr>
          <w:rFonts w:hint="eastAsia" w:ascii="宋体" w:hAnsi="宋体"/>
          <w:color w:val="auto"/>
          <w:sz w:val="24"/>
          <w:szCs w:val="24"/>
          <w:highlight w:val="none"/>
          <w:u w:val="single" w:color="000000"/>
          <w:lang w:val="zh-TW" w:eastAsia="zh-CN"/>
        </w:rPr>
        <w:t>《建设工程工程量清单计价标准》</w:t>
      </w:r>
      <w:r>
        <w:rPr>
          <w:rFonts w:hint="eastAsia" w:ascii="宋体" w:hAnsi="宋体"/>
          <w:color w:val="auto"/>
          <w:sz w:val="24"/>
          <w:szCs w:val="24"/>
          <w:highlight w:val="none"/>
          <w:u w:val="single" w:color="000000"/>
          <w:lang w:val="zh-TW" w:eastAsia="zh-TW"/>
        </w:rPr>
        <w:t>（</w:t>
      </w:r>
      <w:r>
        <w:rPr>
          <w:rFonts w:hint="eastAsia" w:ascii="宋体" w:hAnsi="宋体"/>
          <w:color w:val="auto"/>
          <w:sz w:val="24"/>
          <w:szCs w:val="24"/>
          <w:highlight w:val="none"/>
          <w:u w:val="single" w:color="000000"/>
          <w:lang w:eastAsia="zh-CN"/>
        </w:rPr>
        <w:t>GB/T50500-2024</w:t>
      </w:r>
      <w:r>
        <w:rPr>
          <w:rFonts w:hint="eastAsia" w:ascii="宋体" w:hAnsi="宋体"/>
          <w:color w:val="auto"/>
          <w:sz w:val="24"/>
          <w:szCs w:val="24"/>
          <w:highlight w:val="none"/>
          <w:u w:val="single" w:color="000000"/>
          <w:lang w:val="zh-TW" w:eastAsia="zh-TW"/>
        </w:rPr>
        <w:t>）、《</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施工质量验收统一标准》等现行国家标准、规范等</w:t>
      </w:r>
      <w:r>
        <w:rPr>
          <w:rFonts w:hint="eastAsia" w:ascii="宋体" w:hAnsi="宋体"/>
          <w:color w:val="auto"/>
          <w:sz w:val="24"/>
          <w:szCs w:val="24"/>
          <w:highlight w:val="none"/>
        </w:rPr>
        <w:t>。</w:t>
      </w:r>
    </w:p>
    <w:p w14:paraId="16FF8178">
      <w:pPr>
        <w:spacing w:line="380" w:lineRule="exact"/>
        <w:ind w:firstLine="480" w:firstLineChars="200"/>
        <w:outlineLvl w:val="0"/>
        <w:rPr>
          <w:rFonts w:hint="eastAsia" w:ascii="宋体" w:hAnsi="宋体"/>
          <w:color w:val="auto"/>
          <w:kern w:val="0"/>
          <w:sz w:val="24"/>
          <w:szCs w:val="24"/>
          <w:highlight w:val="none"/>
        </w:rPr>
      </w:pPr>
      <w:bookmarkStart w:id="408" w:name="_Toc29816"/>
      <w:bookmarkStart w:id="409" w:name="_Toc17608"/>
      <w:bookmarkStart w:id="410" w:name="_Toc26784"/>
      <w:bookmarkStart w:id="411" w:name="_Toc3436"/>
      <w:bookmarkStart w:id="412" w:name="_Toc18852"/>
      <w:bookmarkStart w:id="413" w:name="_Toc14271"/>
      <w:bookmarkStart w:id="414" w:name="_Toc7481"/>
      <w:bookmarkStart w:id="415" w:name="_Toc8531"/>
      <w:r>
        <w:rPr>
          <w:rFonts w:hint="eastAsia" w:ascii="宋体" w:hAnsi="宋体"/>
          <w:color w:val="auto"/>
          <w:kern w:val="0"/>
          <w:sz w:val="24"/>
          <w:szCs w:val="24"/>
          <w:highlight w:val="none"/>
        </w:rPr>
        <w:t>1.4.2 发包人提供国外标准、规范的名称：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bookmarkEnd w:id="408"/>
      <w:bookmarkEnd w:id="409"/>
      <w:bookmarkEnd w:id="410"/>
      <w:bookmarkEnd w:id="411"/>
      <w:bookmarkEnd w:id="412"/>
      <w:bookmarkEnd w:id="413"/>
      <w:bookmarkEnd w:id="414"/>
      <w:bookmarkEnd w:id="415"/>
    </w:p>
    <w:p w14:paraId="048658F9">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发包人提供国外标准、规范的份数：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7962766B">
      <w:pPr>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发包人提供国外标准、规范的名称：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54C96215">
      <w:pPr>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1.4.3发包人对工程的技术标准和功能要求的特殊要求：</w:t>
      </w:r>
    </w:p>
    <w:p w14:paraId="549B91CA">
      <w:pPr>
        <w:widowControl/>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s="宋体"/>
          <w:color w:val="auto"/>
          <w:kern w:val="0"/>
          <w:sz w:val="24"/>
          <w:szCs w:val="24"/>
          <w:highlight w:val="none"/>
          <w:u w:val="single" w:color="000000"/>
          <w:lang w:val="zh-TW" w:eastAsia="zh-TW"/>
        </w:rPr>
        <w:t>如遇遗漏所需施工的工程规范，承包人应征得监理工程师和发包人代表同意，补充规范以满足合同要求。</w:t>
      </w:r>
    </w:p>
    <w:p w14:paraId="2466AF58">
      <w:pPr>
        <w:widowControl/>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s="宋体"/>
          <w:color w:val="auto"/>
          <w:kern w:val="0"/>
          <w:sz w:val="24"/>
          <w:szCs w:val="24"/>
          <w:highlight w:val="none"/>
          <w:u w:val="single" w:color="000000"/>
          <w:lang w:val="zh-TW" w:eastAsia="zh-TW"/>
        </w:rPr>
        <w:t>如遇设计或施工规范和标准对同一问题的处理出现相互矛盾的情况时，承包人应通知监理工程师，提出解决办法并征得监理工程师和发包人代表的同意。</w:t>
      </w:r>
    </w:p>
    <w:p w14:paraId="7C6A5FC7">
      <w:pPr>
        <w:widowControl/>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olor w:val="auto"/>
          <w:sz w:val="24"/>
          <w:szCs w:val="24"/>
          <w:highlight w:val="none"/>
          <w:u w:val="single"/>
          <w:lang w:val="zh-TW" w:eastAsia="zh-TW"/>
        </w:rPr>
        <w:t>施工所用的规范及标准应采用最新版本，除非所使用规范、监理工程师书面通知或合同中另有规定</w:t>
      </w:r>
      <w:r>
        <w:rPr>
          <w:rFonts w:hint="eastAsia" w:ascii="宋体" w:hAnsi="宋体"/>
          <w:color w:val="auto"/>
          <w:sz w:val="24"/>
          <w:szCs w:val="24"/>
          <w:highlight w:val="none"/>
        </w:rPr>
        <w:t>。</w:t>
      </w:r>
    </w:p>
    <w:p w14:paraId="1C189854">
      <w:pPr>
        <w:spacing w:line="380" w:lineRule="exact"/>
        <w:ind w:firstLine="480" w:firstLineChars="200"/>
        <w:outlineLvl w:val="0"/>
        <w:rPr>
          <w:rFonts w:hint="eastAsia" w:ascii="宋体" w:hAnsi="宋体"/>
          <w:color w:val="auto"/>
          <w:sz w:val="24"/>
          <w:szCs w:val="24"/>
          <w:highlight w:val="none"/>
        </w:rPr>
      </w:pPr>
      <w:bookmarkStart w:id="416" w:name="_Toc22939"/>
      <w:bookmarkStart w:id="417" w:name="_Toc14278"/>
      <w:bookmarkStart w:id="418" w:name="_Toc4785"/>
      <w:bookmarkStart w:id="419" w:name="_Toc15485"/>
      <w:bookmarkStart w:id="420" w:name="_Toc32029"/>
      <w:bookmarkStart w:id="421" w:name="_Toc19049"/>
      <w:bookmarkStart w:id="422" w:name="_Toc25428"/>
      <w:bookmarkStart w:id="423" w:name="_Toc10302"/>
      <w:r>
        <w:rPr>
          <w:rFonts w:hint="eastAsia" w:ascii="宋体" w:hAnsi="宋体"/>
          <w:color w:val="auto"/>
          <w:sz w:val="24"/>
          <w:szCs w:val="24"/>
          <w:highlight w:val="none"/>
        </w:rPr>
        <w:t>1.5 合同文件的优先顺序</w:t>
      </w:r>
      <w:bookmarkEnd w:id="416"/>
      <w:bookmarkEnd w:id="417"/>
      <w:bookmarkEnd w:id="418"/>
      <w:bookmarkEnd w:id="419"/>
      <w:bookmarkEnd w:id="420"/>
      <w:bookmarkEnd w:id="421"/>
      <w:bookmarkEnd w:id="422"/>
      <w:bookmarkEnd w:id="423"/>
    </w:p>
    <w:p w14:paraId="2D9E6BC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合同文件组成及优先顺序为：</w:t>
      </w:r>
      <w:r>
        <w:rPr>
          <w:rFonts w:hint="eastAsia" w:ascii="宋体" w:hAnsi="宋体"/>
          <w:color w:val="auto"/>
          <w:sz w:val="24"/>
          <w:szCs w:val="24"/>
          <w:highlight w:val="none"/>
          <w:u w:val="single" w:color="000000"/>
          <w:lang w:val="zh-TW" w:eastAsia="zh-TW"/>
        </w:rPr>
        <w:t>按照本合同第一部分合同协议书第六条处理，本合同处于最优先地位。合同履行中签订的补充或修改合同文书并入本合同</w:t>
      </w:r>
      <w:r>
        <w:rPr>
          <w:rFonts w:hint="eastAsia" w:ascii="宋体" w:hAnsi="宋体"/>
          <w:color w:val="auto"/>
          <w:sz w:val="24"/>
          <w:szCs w:val="24"/>
          <w:highlight w:val="none"/>
        </w:rPr>
        <w:t>。</w:t>
      </w:r>
    </w:p>
    <w:p w14:paraId="27FD5613">
      <w:pPr>
        <w:spacing w:line="380" w:lineRule="exact"/>
        <w:ind w:firstLine="480" w:firstLineChars="200"/>
        <w:outlineLvl w:val="0"/>
        <w:rPr>
          <w:rFonts w:hint="eastAsia" w:ascii="宋体" w:hAnsi="宋体"/>
          <w:color w:val="auto"/>
          <w:sz w:val="24"/>
          <w:szCs w:val="24"/>
          <w:highlight w:val="none"/>
        </w:rPr>
      </w:pPr>
      <w:bookmarkStart w:id="424" w:name="_Toc12742"/>
      <w:bookmarkStart w:id="425" w:name="_Toc28009"/>
      <w:bookmarkStart w:id="426" w:name="_Toc32741"/>
      <w:bookmarkStart w:id="427" w:name="_Toc2477"/>
      <w:bookmarkStart w:id="428" w:name="_Toc13900"/>
      <w:bookmarkStart w:id="429" w:name="_Toc12786"/>
      <w:bookmarkStart w:id="430" w:name="_Toc1278"/>
      <w:bookmarkStart w:id="431" w:name="_Toc8185"/>
      <w:r>
        <w:rPr>
          <w:rFonts w:hint="eastAsia" w:ascii="宋体" w:hAnsi="宋体"/>
          <w:color w:val="auto"/>
          <w:sz w:val="24"/>
          <w:szCs w:val="24"/>
          <w:highlight w:val="none"/>
        </w:rPr>
        <w:t>1.6 图纸和承包人文件</w:t>
      </w:r>
      <w:bookmarkEnd w:id="424"/>
      <w:bookmarkEnd w:id="425"/>
      <w:bookmarkEnd w:id="426"/>
      <w:bookmarkEnd w:id="427"/>
      <w:bookmarkEnd w:id="428"/>
      <w:bookmarkEnd w:id="429"/>
      <w:bookmarkEnd w:id="430"/>
      <w:bookmarkEnd w:id="431"/>
      <w:r>
        <w:rPr>
          <w:rFonts w:hint="eastAsia" w:ascii="宋体" w:hAnsi="宋体"/>
          <w:color w:val="auto"/>
          <w:sz w:val="24"/>
          <w:szCs w:val="24"/>
          <w:highlight w:val="none"/>
        </w:rPr>
        <w:tab/>
      </w:r>
    </w:p>
    <w:p w14:paraId="2462029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1.6.1 图纸的提供</w:t>
      </w:r>
    </w:p>
    <w:p w14:paraId="3CF66C6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78F0FA2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发包人向承包人提供图纸的数量：；</w:t>
      </w:r>
    </w:p>
    <w:p w14:paraId="118129D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发包人向承包人提供图纸的内容：</w:t>
      </w:r>
      <w:r>
        <w:rPr>
          <w:rFonts w:hint="eastAsia" w:ascii="宋体" w:hAnsi="宋体" w:cs="宋体"/>
          <w:color w:val="auto"/>
          <w:sz w:val="24"/>
          <w:szCs w:val="24"/>
          <w:highlight w:val="none"/>
          <w:u w:val="single"/>
          <w:lang w:bidi="ar"/>
        </w:rPr>
        <w:t xml:space="preserve">详见图纸目录    </w:t>
      </w:r>
      <w:r>
        <w:rPr>
          <w:rFonts w:hint="eastAsia" w:ascii="宋体" w:hAnsi="宋体"/>
          <w:color w:val="auto"/>
          <w:sz w:val="24"/>
          <w:szCs w:val="24"/>
          <w:highlight w:val="none"/>
        </w:rPr>
        <w:t>。</w:t>
      </w:r>
    </w:p>
    <w:p w14:paraId="557FA62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1.6.4 承包人文件</w:t>
      </w:r>
    </w:p>
    <w:p w14:paraId="4378E2D3">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需要由承包人提供的文件，包括：</w:t>
      </w:r>
      <w:r>
        <w:rPr>
          <w:rFonts w:hint="eastAsia" w:ascii="宋体" w:hAnsi="宋体" w:cs="宋体"/>
          <w:color w:val="auto"/>
          <w:sz w:val="24"/>
          <w:szCs w:val="24"/>
          <w:highlight w:val="none"/>
          <w:u w:val="single"/>
          <w:lang w:bidi="ar"/>
        </w:rPr>
        <w:t>施工组织设计及方案、施工过程管控资料及相关会议纪要、联系函等文件</w:t>
      </w:r>
      <w:r>
        <w:rPr>
          <w:rFonts w:hint="eastAsia" w:ascii="宋体" w:hAnsi="宋体"/>
          <w:color w:val="auto"/>
          <w:sz w:val="24"/>
          <w:szCs w:val="24"/>
          <w:highlight w:val="none"/>
        </w:rPr>
        <w:t>；</w:t>
      </w:r>
    </w:p>
    <w:p w14:paraId="2FBF5EA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承包人提供的文件的期限为：</w:t>
      </w:r>
      <w:r>
        <w:rPr>
          <w:rFonts w:hint="eastAsia" w:ascii="宋体" w:hAnsi="宋体" w:cs="宋体"/>
          <w:color w:val="auto"/>
          <w:sz w:val="24"/>
          <w:szCs w:val="24"/>
          <w:highlight w:val="none"/>
          <w:u w:val="single"/>
          <w:lang w:bidi="ar"/>
        </w:rPr>
        <w:t>按基本要求</w:t>
      </w:r>
      <w:r>
        <w:rPr>
          <w:rFonts w:hint="eastAsia" w:ascii="宋体" w:hAnsi="宋体"/>
          <w:color w:val="auto"/>
          <w:sz w:val="24"/>
          <w:szCs w:val="24"/>
          <w:highlight w:val="none"/>
        </w:rPr>
        <w:t>；</w:t>
      </w:r>
    </w:p>
    <w:p w14:paraId="731A0B7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承包人提供的文件的数量为：</w:t>
      </w:r>
      <w:r>
        <w:rPr>
          <w:rFonts w:hint="eastAsia" w:ascii="宋体" w:hAnsi="宋体" w:cs="宋体"/>
          <w:color w:val="auto"/>
          <w:sz w:val="24"/>
          <w:szCs w:val="24"/>
          <w:highlight w:val="none"/>
          <w:u w:val="single"/>
          <w:lang w:bidi="ar"/>
        </w:rPr>
        <w:t>按基本要求</w:t>
      </w:r>
      <w:r>
        <w:rPr>
          <w:rFonts w:hint="eastAsia" w:ascii="宋体" w:hAnsi="宋体"/>
          <w:color w:val="auto"/>
          <w:sz w:val="24"/>
          <w:szCs w:val="24"/>
          <w:highlight w:val="none"/>
        </w:rPr>
        <w:t>；</w:t>
      </w:r>
    </w:p>
    <w:p w14:paraId="5126C1E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承包人提供的文件的形式为：</w:t>
      </w:r>
      <w:r>
        <w:rPr>
          <w:rFonts w:hint="eastAsia" w:ascii="宋体" w:hAnsi="宋体" w:cs="宋体"/>
          <w:color w:val="auto"/>
          <w:sz w:val="24"/>
          <w:szCs w:val="24"/>
          <w:highlight w:val="none"/>
          <w:u w:val="single"/>
          <w:lang w:bidi="ar"/>
        </w:rPr>
        <w:t>纸质</w:t>
      </w:r>
      <w:r>
        <w:rPr>
          <w:rFonts w:hint="eastAsia" w:ascii="宋体" w:hAnsi="宋体"/>
          <w:color w:val="auto"/>
          <w:sz w:val="24"/>
          <w:szCs w:val="24"/>
          <w:highlight w:val="none"/>
        </w:rPr>
        <w:t>；</w:t>
      </w:r>
    </w:p>
    <w:p w14:paraId="3291617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发包人审批承包人文件的期限：</w:t>
      </w:r>
      <w:r>
        <w:rPr>
          <w:rFonts w:hint="eastAsia" w:ascii="宋体" w:hAnsi="宋体" w:cs="宋体"/>
          <w:color w:val="auto"/>
          <w:sz w:val="24"/>
          <w:szCs w:val="24"/>
          <w:highlight w:val="none"/>
          <w:u w:val="single"/>
          <w:lang w:bidi="ar"/>
        </w:rPr>
        <w:t>七日内</w:t>
      </w:r>
      <w:r>
        <w:rPr>
          <w:rFonts w:hint="eastAsia" w:ascii="宋体" w:hAnsi="宋体"/>
          <w:color w:val="auto"/>
          <w:sz w:val="24"/>
          <w:szCs w:val="24"/>
          <w:highlight w:val="none"/>
        </w:rPr>
        <w:t>。</w:t>
      </w:r>
    </w:p>
    <w:p w14:paraId="5421397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1.6.5 现场图纸准备</w:t>
      </w:r>
    </w:p>
    <w:p w14:paraId="3EB9CDE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关于现场图纸准备的约定：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A3F0002">
      <w:pPr>
        <w:spacing w:line="380" w:lineRule="exact"/>
        <w:ind w:firstLine="480" w:firstLineChars="200"/>
        <w:outlineLvl w:val="0"/>
        <w:rPr>
          <w:rFonts w:hint="eastAsia" w:ascii="宋体" w:hAnsi="宋体"/>
          <w:color w:val="auto"/>
          <w:sz w:val="24"/>
          <w:szCs w:val="24"/>
          <w:highlight w:val="none"/>
        </w:rPr>
      </w:pPr>
      <w:bookmarkStart w:id="432" w:name="_Toc9890"/>
      <w:bookmarkStart w:id="433" w:name="_Toc23676"/>
      <w:bookmarkStart w:id="434" w:name="_Toc32560"/>
      <w:bookmarkStart w:id="435" w:name="_Toc20330"/>
      <w:bookmarkStart w:id="436" w:name="_Toc22947"/>
      <w:bookmarkStart w:id="437" w:name="_Toc21272"/>
      <w:bookmarkStart w:id="438" w:name="_Toc22565"/>
      <w:bookmarkStart w:id="439" w:name="_Toc2154"/>
      <w:r>
        <w:rPr>
          <w:rFonts w:hint="eastAsia" w:ascii="宋体" w:hAnsi="宋体"/>
          <w:color w:val="auto"/>
          <w:sz w:val="24"/>
          <w:szCs w:val="24"/>
          <w:highlight w:val="none"/>
        </w:rPr>
        <w:t>1.7 联络</w:t>
      </w:r>
      <w:bookmarkEnd w:id="432"/>
      <w:bookmarkEnd w:id="433"/>
      <w:bookmarkEnd w:id="434"/>
      <w:bookmarkEnd w:id="435"/>
      <w:bookmarkEnd w:id="436"/>
      <w:bookmarkEnd w:id="437"/>
      <w:bookmarkEnd w:id="438"/>
      <w:bookmarkEnd w:id="439"/>
    </w:p>
    <w:p w14:paraId="181E10AF">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1.7.1发包人和承包人应当在</w:t>
      </w:r>
      <w:r>
        <w:rPr>
          <w:rFonts w:hint="eastAsia" w:ascii="宋体" w:hAnsi="宋体"/>
          <w:color w:val="auto"/>
          <w:sz w:val="24"/>
          <w:szCs w:val="24"/>
          <w:highlight w:val="none"/>
          <w:u w:val="single"/>
        </w:rPr>
        <w:t>7</w:t>
      </w:r>
      <w:r>
        <w:rPr>
          <w:rFonts w:hint="eastAsia" w:ascii="宋体" w:hAnsi="宋体"/>
          <w:color w:val="auto"/>
          <w:kern w:val="0"/>
          <w:sz w:val="24"/>
          <w:szCs w:val="24"/>
          <w:highlight w:val="none"/>
        </w:rPr>
        <w:t>天内将与合同有关的通知、批准、证明、证书、指示、指令、要求、请求、同意、意见、确定和决定等书面函件送达对方当事人。</w:t>
      </w:r>
    </w:p>
    <w:p w14:paraId="437D7D7A">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1.7.2 发包人接收文件的地点：</w:t>
      </w:r>
      <w:r>
        <w:rPr>
          <w:rFonts w:hint="eastAsia" w:ascii="宋体" w:hAnsi="宋体"/>
          <w:color w:val="auto"/>
          <w:sz w:val="24"/>
          <w:szCs w:val="24"/>
          <w:highlight w:val="none"/>
          <w:u w:val="single"/>
          <w:lang w:val="zh-TW" w:eastAsia="zh-TW"/>
        </w:rPr>
        <w:t>发包人办公地点</w:t>
      </w:r>
      <w:r>
        <w:rPr>
          <w:rFonts w:hint="eastAsia" w:ascii="宋体" w:hAnsi="宋体"/>
          <w:color w:val="auto"/>
          <w:kern w:val="0"/>
          <w:sz w:val="24"/>
          <w:szCs w:val="24"/>
          <w:highlight w:val="none"/>
        </w:rPr>
        <w:t>；</w:t>
      </w:r>
    </w:p>
    <w:p w14:paraId="7E4E32C7">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发包人指定的接收人为：</w:t>
      </w:r>
      <w:r>
        <w:rPr>
          <w:rFonts w:hint="eastAsia" w:ascii="宋体" w:hAnsi="宋体"/>
          <w:color w:val="auto"/>
          <w:sz w:val="24"/>
          <w:szCs w:val="24"/>
          <w:highlight w:val="none"/>
          <w:u w:val="single"/>
          <w:lang w:val="zh-TW" w:eastAsia="zh-TW"/>
        </w:rPr>
        <w:t>发包人代表</w:t>
      </w:r>
      <w:r>
        <w:rPr>
          <w:rFonts w:hint="eastAsia" w:ascii="宋体" w:hAnsi="宋体"/>
          <w:color w:val="auto"/>
          <w:kern w:val="0"/>
          <w:sz w:val="24"/>
          <w:szCs w:val="24"/>
          <w:highlight w:val="none"/>
        </w:rPr>
        <w:t>。</w:t>
      </w:r>
    </w:p>
    <w:p w14:paraId="6E20AB37">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承包人接收文件的地点：</w:t>
      </w:r>
      <w:r>
        <w:rPr>
          <w:rFonts w:hint="eastAsia" w:ascii="宋体" w:hAnsi="宋体"/>
          <w:color w:val="auto"/>
          <w:sz w:val="24"/>
          <w:szCs w:val="24"/>
          <w:highlight w:val="none"/>
          <w:u w:val="single"/>
          <w:lang w:val="zh-TW" w:eastAsia="zh-TW"/>
        </w:rPr>
        <w:t>承包人工程项目部</w:t>
      </w:r>
      <w:r>
        <w:rPr>
          <w:rFonts w:hint="eastAsia" w:ascii="宋体" w:hAnsi="宋体"/>
          <w:color w:val="auto"/>
          <w:kern w:val="0"/>
          <w:sz w:val="24"/>
          <w:szCs w:val="24"/>
          <w:highlight w:val="none"/>
        </w:rPr>
        <w:t>；</w:t>
      </w:r>
    </w:p>
    <w:p w14:paraId="21D895E5">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承包人指定的接收人为：</w:t>
      </w:r>
      <w:r>
        <w:rPr>
          <w:rFonts w:hint="eastAsia" w:ascii="宋体" w:hAnsi="宋体"/>
          <w:color w:val="auto"/>
          <w:sz w:val="24"/>
          <w:szCs w:val="24"/>
          <w:highlight w:val="none"/>
          <w:u w:val="single"/>
          <w:lang w:val="zh-TW" w:eastAsia="zh-TW"/>
        </w:rPr>
        <w:t>项目经理</w:t>
      </w:r>
      <w:r>
        <w:rPr>
          <w:rFonts w:hint="eastAsia" w:ascii="宋体" w:hAnsi="宋体"/>
          <w:color w:val="auto"/>
          <w:kern w:val="0"/>
          <w:sz w:val="24"/>
          <w:szCs w:val="24"/>
          <w:highlight w:val="none"/>
        </w:rPr>
        <w:t>。</w:t>
      </w:r>
    </w:p>
    <w:p w14:paraId="62316763">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监理人接收文件的地点：</w:t>
      </w:r>
      <w:r>
        <w:rPr>
          <w:rFonts w:hint="eastAsia" w:ascii="宋体" w:hAnsi="宋体"/>
          <w:color w:val="auto"/>
          <w:sz w:val="24"/>
          <w:szCs w:val="24"/>
          <w:highlight w:val="none"/>
          <w:u w:val="single"/>
          <w:lang w:val="zh-TW" w:eastAsia="zh-TW"/>
        </w:rPr>
        <w:t>监理项目部</w:t>
      </w:r>
      <w:r>
        <w:rPr>
          <w:rFonts w:hint="eastAsia" w:ascii="宋体" w:hAnsi="宋体"/>
          <w:color w:val="auto"/>
          <w:kern w:val="0"/>
          <w:sz w:val="24"/>
          <w:szCs w:val="24"/>
          <w:highlight w:val="none"/>
        </w:rPr>
        <w:t>；</w:t>
      </w:r>
    </w:p>
    <w:p w14:paraId="7E6C2B7E">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监理人指定的接收人为：</w:t>
      </w:r>
      <w:r>
        <w:rPr>
          <w:rFonts w:hint="eastAsia" w:ascii="宋体" w:hAnsi="宋体"/>
          <w:color w:val="auto"/>
          <w:sz w:val="24"/>
          <w:szCs w:val="24"/>
          <w:highlight w:val="none"/>
          <w:u w:val="single"/>
          <w:lang w:val="zh-TW" w:eastAsia="zh-TW"/>
        </w:rPr>
        <w:t>项目总监</w:t>
      </w:r>
      <w:r>
        <w:rPr>
          <w:rFonts w:hint="eastAsia" w:ascii="宋体" w:hAnsi="宋体"/>
          <w:color w:val="auto"/>
          <w:kern w:val="0"/>
          <w:sz w:val="24"/>
          <w:szCs w:val="24"/>
          <w:highlight w:val="none"/>
        </w:rPr>
        <w:t>。</w:t>
      </w:r>
    </w:p>
    <w:p w14:paraId="0FE58C52">
      <w:pPr>
        <w:spacing w:line="380" w:lineRule="exact"/>
        <w:ind w:firstLine="480" w:firstLineChars="200"/>
        <w:outlineLvl w:val="0"/>
        <w:rPr>
          <w:rFonts w:hint="eastAsia" w:ascii="宋体" w:hAnsi="宋体"/>
          <w:color w:val="auto"/>
          <w:sz w:val="24"/>
          <w:szCs w:val="24"/>
          <w:highlight w:val="none"/>
        </w:rPr>
      </w:pPr>
      <w:bookmarkStart w:id="440" w:name="_Toc19491"/>
      <w:bookmarkStart w:id="441" w:name="_Toc19893"/>
      <w:bookmarkStart w:id="442" w:name="_Toc9600"/>
      <w:bookmarkStart w:id="443" w:name="_Toc7819"/>
      <w:bookmarkStart w:id="444" w:name="_Toc25614"/>
      <w:bookmarkStart w:id="445" w:name="_Toc21604"/>
      <w:bookmarkStart w:id="446" w:name="_Toc22426"/>
      <w:bookmarkStart w:id="447" w:name="_Toc2508"/>
      <w:r>
        <w:rPr>
          <w:rFonts w:hint="eastAsia" w:ascii="宋体" w:hAnsi="宋体"/>
          <w:color w:val="auto"/>
          <w:sz w:val="24"/>
          <w:szCs w:val="24"/>
          <w:highlight w:val="none"/>
        </w:rPr>
        <w:t>1.10 交通运输</w:t>
      </w:r>
      <w:bookmarkEnd w:id="440"/>
      <w:bookmarkEnd w:id="441"/>
      <w:bookmarkEnd w:id="442"/>
      <w:bookmarkEnd w:id="443"/>
      <w:bookmarkEnd w:id="444"/>
      <w:bookmarkEnd w:id="445"/>
      <w:bookmarkEnd w:id="446"/>
      <w:bookmarkEnd w:id="447"/>
    </w:p>
    <w:p w14:paraId="365E1B3D">
      <w:pPr>
        <w:spacing w:line="380" w:lineRule="exact"/>
        <w:ind w:firstLine="480" w:firstLineChars="200"/>
        <w:outlineLvl w:val="0"/>
        <w:rPr>
          <w:rFonts w:hint="eastAsia" w:ascii="宋体" w:hAnsi="宋体"/>
          <w:color w:val="auto"/>
          <w:sz w:val="24"/>
          <w:szCs w:val="24"/>
          <w:highlight w:val="none"/>
        </w:rPr>
      </w:pPr>
      <w:bookmarkStart w:id="448" w:name="_Toc29818"/>
      <w:bookmarkStart w:id="449" w:name="_Toc7381"/>
      <w:bookmarkStart w:id="450" w:name="_Toc14855"/>
      <w:bookmarkStart w:id="451" w:name="_Toc23966"/>
      <w:bookmarkStart w:id="452" w:name="_Toc21983"/>
      <w:bookmarkStart w:id="453" w:name="_Toc26529"/>
      <w:bookmarkStart w:id="454" w:name="_Toc26127"/>
      <w:bookmarkStart w:id="455" w:name="_Toc14894"/>
      <w:r>
        <w:rPr>
          <w:rFonts w:hint="eastAsia" w:ascii="宋体" w:hAnsi="宋体"/>
          <w:color w:val="auto"/>
          <w:sz w:val="24"/>
          <w:szCs w:val="24"/>
          <w:highlight w:val="none"/>
        </w:rPr>
        <w:t>1</w:t>
      </w:r>
      <w:bookmarkStart w:id="456" w:name="_Toc304295521"/>
      <w:bookmarkStart w:id="457" w:name="_Toc312677986"/>
      <w:bookmarkStart w:id="458" w:name="_Toc318581155"/>
      <w:bookmarkStart w:id="459" w:name="_Toc300934943"/>
      <w:bookmarkStart w:id="460" w:name="_Toc303539100"/>
      <w:r>
        <w:rPr>
          <w:rFonts w:hint="eastAsia" w:ascii="宋体" w:hAnsi="宋体"/>
          <w:color w:val="auto"/>
          <w:sz w:val="24"/>
          <w:szCs w:val="24"/>
          <w:highlight w:val="none"/>
        </w:rPr>
        <w:t>.10.1 出入现场的权利</w:t>
      </w:r>
      <w:bookmarkEnd w:id="448"/>
      <w:bookmarkEnd w:id="449"/>
      <w:bookmarkEnd w:id="450"/>
      <w:bookmarkEnd w:id="451"/>
      <w:bookmarkEnd w:id="452"/>
      <w:bookmarkEnd w:id="453"/>
      <w:bookmarkEnd w:id="454"/>
      <w:bookmarkEnd w:id="455"/>
    </w:p>
    <w:p w14:paraId="52526D4F">
      <w:pPr>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关于出入现场的权利的约定：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bookmarkEnd w:id="456"/>
    <w:bookmarkEnd w:id="457"/>
    <w:bookmarkEnd w:id="458"/>
    <w:bookmarkEnd w:id="459"/>
    <w:bookmarkEnd w:id="460"/>
    <w:p w14:paraId="5533B939">
      <w:pPr>
        <w:spacing w:line="380" w:lineRule="exact"/>
        <w:ind w:firstLine="480" w:firstLineChars="200"/>
        <w:jc w:val="left"/>
        <w:outlineLvl w:val="0"/>
        <w:rPr>
          <w:rFonts w:hint="eastAsia" w:ascii="宋体" w:hAnsi="宋体"/>
          <w:color w:val="auto"/>
          <w:sz w:val="24"/>
          <w:szCs w:val="24"/>
          <w:highlight w:val="none"/>
        </w:rPr>
      </w:pPr>
      <w:bookmarkStart w:id="461" w:name="_Toc9547"/>
      <w:bookmarkStart w:id="462" w:name="_Toc26942"/>
      <w:bookmarkStart w:id="463" w:name="_Toc25657"/>
      <w:bookmarkStart w:id="464" w:name="_Toc29938"/>
      <w:bookmarkStart w:id="465" w:name="_Toc22632"/>
      <w:bookmarkStart w:id="466" w:name="_Toc32733"/>
      <w:bookmarkStart w:id="467" w:name="_Toc9751"/>
      <w:bookmarkStart w:id="468" w:name="_Toc10776"/>
      <w:r>
        <w:rPr>
          <w:rFonts w:hint="eastAsia" w:ascii="宋体" w:hAnsi="宋体"/>
          <w:color w:val="auto"/>
          <w:sz w:val="24"/>
          <w:szCs w:val="24"/>
          <w:highlight w:val="none"/>
        </w:rPr>
        <w:t>1</w:t>
      </w:r>
      <w:bookmarkStart w:id="469" w:name="_Toc312677987"/>
      <w:bookmarkStart w:id="470" w:name="_Toc304295522"/>
      <w:bookmarkStart w:id="471" w:name="_Toc303539101"/>
      <w:bookmarkStart w:id="472" w:name="_Toc318581156"/>
      <w:bookmarkStart w:id="473" w:name="_Toc300934944"/>
      <w:r>
        <w:rPr>
          <w:rFonts w:hint="eastAsia" w:ascii="宋体" w:hAnsi="宋体"/>
          <w:color w:val="auto"/>
          <w:sz w:val="24"/>
          <w:szCs w:val="24"/>
          <w:highlight w:val="none"/>
        </w:rPr>
        <w:t>.10.3 场内交通</w:t>
      </w:r>
      <w:bookmarkEnd w:id="461"/>
      <w:bookmarkEnd w:id="462"/>
      <w:bookmarkEnd w:id="463"/>
      <w:bookmarkEnd w:id="464"/>
      <w:bookmarkEnd w:id="465"/>
      <w:bookmarkEnd w:id="466"/>
      <w:bookmarkEnd w:id="467"/>
      <w:bookmarkEnd w:id="468"/>
    </w:p>
    <w:p w14:paraId="1F8AE135">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关于场外交通和场内交通的边界的约定：</w:t>
      </w:r>
      <w:r>
        <w:rPr>
          <w:rFonts w:hint="eastAsia" w:ascii="宋体" w:hAnsi="宋体" w:cs="宋体"/>
          <w:color w:val="auto"/>
          <w:sz w:val="24"/>
          <w:szCs w:val="24"/>
          <w:highlight w:val="none"/>
          <w:u w:val="single"/>
          <w:lang w:bidi="ar"/>
        </w:rPr>
        <w:t>发包人根据施工需要，负责取得出入施工现场所需的批准手续和全部权利</w:t>
      </w:r>
      <w:r>
        <w:rPr>
          <w:rFonts w:hint="eastAsia" w:ascii="宋体" w:hAnsi="宋体"/>
          <w:color w:val="auto"/>
          <w:sz w:val="24"/>
          <w:szCs w:val="24"/>
          <w:highlight w:val="none"/>
        </w:rPr>
        <w:t>。</w:t>
      </w:r>
    </w:p>
    <w:p w14:paraId="22848481">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关于发包人向承包人免费提供满足工程施工需要的场内道路和交通设施的约定：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bookmarkEnd w:id="469"/>
      <w:bookmarkEnd w:id="470"/>
      <w:bookmarkEnd w:id="471"/>
      <w:bookmarkEnd w:id="472"/>
      <w:bookmarkEnd w:id="473"/>
      <w:bookmarkStart w:id="474" w:name="_Toc318581157"/>
    </w:p>
    <w:p w14:paraId="6A0FE7DB">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1.10.4超大件和超重件的运输</w:t>
      </w:r>
    </w:p>
    <w:p w14:paraId="3A69F604">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运输超大件或超重件所需的道路和桥梁临时加固改造费用和其他有关费用由</w:t>
      </w:r>
      <w:r>
        <w:rPr>
          <w:rFonts w:hint="eastAsia" w:ascii="宋体" w:hAnsi="宋体" w:cs="宋体"/>
          <w:color w:val="auto"/>
          <w:sz w:val="24"/>
          <w:szCs w:val="24"/>
          <w:highlight w:val="none"/>
          <w:u w:val="single"/>
          <w:lang w:bidi="ar"/>
        </w:rPr>
        <w:t>承包人</w:t>
      </w:r>
      <w:r>
        <w:rPr>
          <w:rFonts w:hint="eastAsia" w:ascii="宋体" w:hAnsi="宋体"/>
          <w:color w:val="auto"/>
          <w:sz w:val="24"/>
          <w:szCs w:val="24"/>
          <w:highlight w:val="none"/>
        </w:rPr>
        <w:t>承担。</w:t>
      </w:r>
    </w:p>
    <w:bookmarkEnd w:id="474"/>
    <w:p w14:paraId="0FE3F88C">
      <w:pPr>
        <w:spacing w:line="380" w:lineRule="exact"/>
        <w:ind w:firstLine="480" w:firstLineChars="200"/>
        <w:outlineLvl w:val="0"/>
        <w:rPr>
          <w:rFonts w:hint="eastAsia" w:ascii="宋体" w:hAnsi="宋体"/>
          <w:color w:val="auto"/>
          <w:sz w:val="24"/>
          <w:szCs w:val="24"/>
          <w:highlight w:val="none"/>
        </w:rPr>
      </w:pPr>
      <w:bookmarkStart w:id="475" w:name="_Toc5804"/>
      <w:bookmarkStart w:id="476" w:name="_Toc15146"/>
      <w:bookmarkStart w:id="477" w:name="_Toc31852"/>
      <w:bookmarkStart w:id="478" w:name="_Toc20355"/>
      <w:bookmarkStart w:id="479" w:name="_Toc11496"/>
      <w:bookmarkStart w:id="480" w:name="_Toc3388"/>
      <w:bookmarkStart w:id="481" w:name="_Toc13598"/>
      <w:r>
        <w:rPr>
          <w:rFonts w:hint="eastAsia" w:ascii="宋体" w:hAnsi="宋体"/>
          <w:color w:val="auto"/>
          <w:sz w:val="24"/>
          <w:szCs w:val="24"/>
          <w:highlight w:val="none"/>
        </w:rPr>
        <w:t>1.11 知识产权</w:t>
      </w:r>
      <w:bookmarkEnd w:id="475"/>
      <w:bookmarkEnd w:id="476"/>
      <w:bookmarkEnd w:id="477"/>
      <w:bookmarkEnd w:id="478"/>
      <w:bookmarkEnd w:id="479"/>
      <w:bookmarkEnd w:id="480"/>
      <w:bookmarkEnd w:id="481"/>
    </w:p>
    <w:p w14:paraId="741583D6">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 w:val="24"/>
          <w:szCs w:val="24"/>
          <w:highlight w:val="none"/>
          <w:u w:val="single"/>
          <w:lang w:bidi="ar"/>
        </w:rPr>
        <w:t>发包人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1909780">
      <w:pPr>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关于发包人提供的上述文件的使用限制的要求：</w:t>
      </w:r>
      <w:r>
        <w:rPr>
          <w:rFonts w:hint="eastAsia" w:ascii="宋体" w:hAnsi="宋体" w:cs="宋体"/>
          <w:color w:val="auto"/>
          <w:sz w:val="24"/>
          <w:szCs w:val="24"/>
          <w:highlight w:val="none"/>
          <w:u w:val="single"/>
          <w:lang w:bidi="ar"/>
        </w:rPr>
        <w:t>不得转给任何第三方</w:t>
      </w:r>
      <w:r>
        <w:rPr>
          <w:rFonts w:hint="eastAsia" w:ascii="宋体" w:hAnsi="宋体"/>
          <w:color w:val="auto"/>
          <w:sz w:val="24"/>
          <w:szCs w:val="24"/>
          <w:highlight w:val="none"/>
        </w:rPr>
        <w:t>。</w:t>
      </w:r>
    </w:p>
    <w:p w14:paraId="48A13B0C">
      <w:pPr>
        <w:spacing w:line="380" w:lineRule="exact"/>
        <w:ind w:firstLine="482"/>
        <w:outlineLvl w:val="0"/>
        <w:rPr>
          <w:rFonts w:hint="eastAsia" w:ascii="宋体" w:hAnsi="宋体"/>
          <w:color w:val="auto"/>
          <w:sz w:val="24"/>
          <w:szCs w:val="24"/>
          <w:highlight w:val="none"/>
        </w:rPr>
      </w:pPr>
      <w:bookmarkStart w:id="482" w:name="_Toc16189"/>
      <w:bookmarkStart w:id="483" w:name="_Toc6771"/>
      <w:bookmarkStart w:id="484" w:name="_Toc22778"/>
      <w:bookmarkStart w:id="485" w:name="_Toc14221"/>
      <w:bookmarkStart w:id="486" w:name="_Toc18516"/>
      <w:bookmarkStart w:id="487" w:name="_Toc23892"/>
      <w:bookmarkStart w:id="488" w:name="_Toc4949"/>
      <w:r>
        <w:rPr>
          <w:rFonts w:hint="eastAsia" w:ascii="宋体" w:hAnsi="宋体"/>
          <w:color w:val="auto"/>
          <w:sz w:val="24"/>
          <w:szCs w:val="24"/>
          <w:highlight w:val="none"/>
        </w:rPr>
        <w:t>1.11.2 关于承包人为实施工程所编制文件的著作权的归属：</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bookmarkEnd w:id="482"/>
      <w:bookmarkEnd w:id="483"/>
      <w:bookmarkEnd w:id="484"/>
      <w:bookmarkEnd w:id="485"/>
      <w:bookmarkEnd w:id="486"/>
      <w:bookmarkEnd w:id="487"/>
      <w:bookmarkEnd w:id="488"/>
    </w:p>
    <w:p w14:paraId="653E6F0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关于承包人提供的上述文件的使用限制的要求：</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ECFF2D6">
      <w:pPr>
        <w:spacing w:line="380" w:lineRule="exact"/>
        <w:ind w:firstLine="480" w:firstLineChars="200"/>
        <w:outlineLvl w:val="0"/>
        <w:rPr>
          <w:rFonts w:hint="eastAsia" w:ascii="宋体" w:hAnsi="宋体"/>
          <w:color w:val="auto"/>
          <w:kern w:val="0"/>
          <w:sz w:val="24"/>
          <w:szCs w:val="24"/>
          <w:highlight w:val="none"/>
        </w:rPr>
      </w:pPr>
      <w:bookmarkStart w:id="489" w:name="_Toc19030"/>
      <w:bookmarkStart w:id="490" w:name="_Toc19647"/>
      <w:bookmarkStart w:id="491" w:name="_Toc32767"/>
      <w:bookmarkStart w:id="492" w:name="_Toc20088"/>
      <w:bookmarkStart w:id="493" w:name="_Toc12165"/>
      <w:bookmarkStart w:id="494" w:name="_Toc18009"/>
      <w:bookmarkStart w:id="495" w:name="_Toc19620"/>
      <w:bookmarkStart w:id="496" w:name="_Toc12079"/>
      <w:r>
        <w:rPr>
          <w:rFonts w:hint="eastAsia" w:ascii="宋体" w:hAnsi="宋体"/>
          <w:color w:val="auto"/>
          <w:sz w:val="24"/>
          <w:szCs w:val="24"/>
          <w:highlight w:val="none"/>
        </w:rPr>
        <w:t>1.11.4 承包人在施工过程中所采用的专利、专有技术、技术秘密的使用费的承担方式：</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bookmarkEnd w:id="489"/>
      <w:bookmarkEnd w:id="490"/>
      <w:bookmarkEnd w:id="491"/>
      <w:bookmarkEnd w:id="492"/>
      <w:bookmarkEnd w:id="493"/>
      <w:bookmarkEnd w:id="494"/>
      <w:bookmarkEnd w:id="495"/>
      <w:bookmarkEnd w:id="496"/>
    </w:p>
    <w:p w14:paraId="358A906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1.13工程量清单错误的修正</w:t>
      </w:r>
    </w:p>
    <w:p w14:paraId="40EF297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出现工程量清单错误时，是否调整合同价格：</w:t>
      </w:r>
      <w:r>
        <w:rPr>
          <w:rFonts w:hint="eastAsia" w:ascii="宋体" w:hAnsi="宋体"/>
          <w:color w:val="auto"/>
          <w:sz w:val="24"/>
          <w:szCs w:val="24"/>
          <w:highlight w:val="none"/>
          <w:u w:val="single"/>
        </w:rPr>
        <w:t xml:space="preserve"> 是  </w:t>
      </w:r>
      <w:r>
        <w:rPr>
          <w:rFonts w:hint="eastAsia" w:ascii="宋体" w:hAnsi="宋体"/>
          <w:color w:val="auto"/>
          <w:kern w:val="0"/>
          <w:sz w:val="24"/>
          <w:szCs w:val="24"/>
          <w:highlight w:val="none"/>
        </w:rPr>
        <w:t>。</w:t>
      </w:r>
    </w:p>
    <w:p w14:paraId="7608BD1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允许调整合同价格的工程量偏差范围：</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工程结算时：</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、当工程量清单中所列的工程量与实际完成工程量不符或由于设计变更引起工程量增减时，</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）、工程量增加幅度在</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％以内（包括</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）按原综合单价结算，工程量据实调整；</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）、工程量增加幅度在</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％以上的部分可以调整综合单价；</w:t>
      </w:r>
      <w:r>
        <w:rPr>
          <w:rFonts w:hint="eastAsia" w:ascii="宋体" w:hAnsi="宋体"/>
          <w:color w:val="auto"/>
          <w:sz w:val="24"/>
          <w:szCs w:val="24"/>
          <w:highlight w:val="none"/>
          <w:u w:val="single"/>
        </w:rPr>
        <w:t>3</w:t>
      </w:r>
      <w:r>
        <w:rPr>
          <w:rFonts w:hint="eastAsia" w:ascii="宋体" w:hAnsi="宋体"/>
          <w:color w:val="auto"/>
          <w:sz w:val="24"/>
          <w:szCs w:val="24"/>
          <w:highlight w:val="none"/>
          <w:u w:val="single"/>
          <w:lang w:val="zh-TW" w:eastAsia="zh-TW"/>
        </w:rPr>
        <w:t>）工程量减少时按原单价扣除，工程量据实调整。</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、工程变更调整：非承包人原因的工程量变更，造成增加新的工程清单项目，对应的综合单价按以下方法确定：</w:t>
      </w:r>
      <w:r>
        <w:rPr>
          <w:rFonts w:hint="eastAsia" w:ascii="宋体" w:hAnsi="宋体"/>
          <w:color w:val="auto"/>
          <w:sz w:val="24"/>
          <w:szCs w:val="24"/>
          <w:highlight w:val="none"/>
          <w:u w:val="single"/>
        </w:rPr>
        <w:t>①</w:t>
      </w:r>
      <w:r>
        <w:rPr>
          <w:rFonts w:hint="eastAsia" w:ascii="宋体" w:hAnsi="宋体"/>
          <w:color w:val="auto"/>
          <w:sz w:val="24"/>
          <w:szCs w:val="24"/>
          <w:highlight w:val="none"/>
          <w:u w:val="single"/>
          <w:lang w:val="zh-TW" w:eastAsia="zh-TW"/>
        </w:rPr>
        <w:t>工程量清单中已有适用的综合单价，按已有的综合单价确定；</w:t>
      </w:r>
      <w:r>
        <w:rPr>
          <w:rFonts w:hint="eastAsia" w:ascii="宋体" w:hAnsi="宋体"/>
          <w:color w:val="auto"/>
          <w:sz w:val="24"/>
          <w:szCs w:val="24"/>
          <w:highlight w:val="none"/>
          <w:u w:val="single"/>
        </w:rPr>
        <w:t>②</w:t>
      </w:r>
      <w:r>
        <w:rPr>
          <w:rFonts w:hint="eastAsia" w:ascii="宋体" w:hAnsi="宋体"/>
          <w:color w:val="auto"/>
          <w:sz w:val="24"/>
          <w:szCs w:val="24"/>
          <w:highlight w:val="none"/>
          <w:u w:val="single"/>
          <w:lang w:val="zh-TW" w:eastAsia="zh-TW"/>
        </w:rPr>
        <w:t>工程量清单中有类似的综合单价，按类似的综合单价确定；</w:t>
      </w:r>
      <w:r>
        <w:rPr>
          <w:rFonts w:hint="eastAsia" w:ascii="宋体" w:hAnsi="宋体"/>
          <w:color w:val="auto"/>
          <w:sz w:val="24"/>
          <w:szCs w:val="24"/>
          <w:highlight w:val="none"/>
          <w:u w:val="single"/>
        </w:rPr>
        <w:t>③</w:t>
      </w:r>
      <w:r>
        <w:rPr>
          <w:rFonts w:hint="eastAsia" w:ascii="宋体" w:hAnsi="宋体"/>
          <w:color w:val="auto"/>
          <w:sz w:val="24"/>
          <w:szCs w:val="24"/>
          <w:highlight w:val="none"/>
          <w:u w:val="single"/>
          <w:lang w:val="zh-TW" w:eastAsia="zh-TW"/>
        </w:rPr>
        <w:t>中标工程量清单中没有适用或类似的综合单价，按</w:t>
      </w:r>
      <w:r>
        <w:rPr>
          <w:rFonts w:hint="eastAsia" w:ascii="宋体" w:hAnsi="宋体"/>
          <w:color w:val="auto"/>
          <w:sz w:val="24"/>
          <w:szCs w:val="24"/>
          <w:highlight w:val="none"/>
          <w:u w:val="single"/>
          <w:lang w:val="zh-TW" w:eastAsia="zh-CN"/>
        </w:rPr>
        <w:t>《建设工程工程量清单计价标准》</w:t>
      </w:r>
      <w:r>
        <w:rPr>
          <w:rFonts w:hint="eastAsia" w:ascii="宋体" w:hAnsi="宋体"/>
          <w:color w:val="auto"/>
          <w:sz w:val="24"/>
          <w:szCs w:val="24"/>
          <w:highlight w:val="none"/>
          <w:u w:val="single"/>
          <w:lang w:val="zh-TW" w:eastAsia="zh-TW"/>
        </w:rPr>
        <w:t>（</w:t>
      </w:r>
      <w:r>
        <w:rPr>
          <w:rFonts w:hint="eastAsia" w:ascii="宋体" w:hAnsi="宋体"/>
          <w:color w:val="auto"/>
          <w:sz w:val="24"/>
          <w:szCs w:val="24"/>
          <w:highlight w:val="none"/>
          <w:u w:val="single"/>
          <w:lang w:eastAsia="zh-CN"/>
        </w:rPr>
        <w:t>GB/T50500-2024</w:t>
      </w:r>
      <w:r>
        <w:rPr>
          <w:rFonts w:hint="eastAsia" w:ascii="宋体" w:hAnsi="宋体"/>
          <w:color w:val="auto"/>
          <w:sz w:val="24"/>
          <w:szCs w:val="24"/>
          <w:highlight w:val="none"/>
          <w:u w:val="single"/>
          <w:lang w:val="zh-TW" w:eastAsia="zh-TW"/>
        </w:rPr>
        <w:t>），《河南省房屋建筑与装饰工程预算定额》（</w:t>
      </w:r>
      <w:r>
        <w:rPr>
          <w:rFonts w:hint="eastAsia" w:ascii="宋体" w:hAnsi="宋体"/>
          <w:color w:val="auto"/>
          <w:sz w:val="24"/>
          <w:szCs w:val="24"/>
          <w:highlight w:val="none"/>
          <w:u w:val="single"/>
        </w:rPr>
        <w:t>HA01-31-2016</w:t>
      </w:r>
      <w:r>
        <w:rPr>
          <w:rFonts w:hint="eastAsia" w:ascii="宋体" w:hAnsi="宋体"/>
          <w:color w:val="auto"/>
          <w:sz w:val="24"/>
          <w:szCs w:val="24"/>
          <w:highlight w:val="none"/>
          <w:u w:val="single"/>
          <w:lang w:val="zh-TW" w:eastAsia="zh-TW"/>
        </w:rPr>
        <w:t>）、《河南省通用安装工程预算定额》（</w:t>
      </w:r>
      <w:r>
        <w:rPr>
          <w:rFonts w:hint="eastAsia" w:ascii="宋体" w:hAnsi="宋体"/>
          <w:color w:val="auto"/>
          <w:sz w:val="24"/>
          <w:szCs w:val="24"/>
          <w:highlight w:val="none"/>
          <w:u w:val="single"/>
        </w:rPr>
        <w:t>HA02-31-2016</w:t>
      </w:r>
      <w:r>
        <w:rPr>
          <w:rFonts w:hint="eastAsia" w:ascii="宋体" w:hAnsi="宋体"/>
          <w:color w:val="auto"/>
          <w:sz w:val="24"/>
          <w:szCs w:val="24"/>
          <w:highlight w:val="none"/>
          <w:u w:val="single"/>
          <w:lang w:val="zh-TW" w:eastAsia="zh-TW"/>
        </w:rPr>
        <w:t>）</w:t>
      </w:r>
      <w:r>
        <w:rPr>
          <w:rFonts w:hint="eastAsia" w:ascii="宋体" w:hAnsi="宋体"/>
          <w:color w:val="auto"/>
          <w:kern w:val="0"/>
          <w:sz w:val="24"/>
          <w:szCs w:val="24"/>
          <w:highlight w:val="none"/>
        </w:rPr>
        <w:t>。</w:t>
      </w:r>
    </w:p>
    <w:p w14:paraId="1843CDC8">
      <w:pPr>
        <w:keepNext/>
        <w:keepLines/>
        <w:spacing w:line="380" w:lineRule="exact"/>
        <w:ind w:firstLine="482"/>
        <w:outlineLvl w:val="3"/>
        <w:rPr>
          <w:rFonts w:hint="eastAsia" w:ascii="宋体" w:hAnsi="宋体"/>
          <w:bCs/>
          <w:color w:val="auto"/>
          <w:sz w:val="24"/>
          <w:szCs w:val="24"/>
          <w:highlight w:val="none"/>
        </w:rPr>
      </w:pPr>
      <w:bookmarkStart w:id="497" w:name="_Toc351203634"/>
      <w:r>
        <w:rPr>
          <w:rFonts w:hint="eastAsia" w:ascii="宋体" w:hAnsi="宋体"/>
          <w:bCs/>
          <w:color w:val="auto"/>
          <w:sz w:val="24"/>
          <w:szCs w:val="24"/>
          <w:highlight w:val="none"/>
        </w:rPr>
        <w:t>2</w:t>
      </w:r>
      <w:bookmarkStart w:id="498" w:name="_Toc296346658"/>
      <w:bookmarkStart w:id="499" w:name="_Toc292559867"/>
      <w:bookmarkStart w:id="500" w:name="_Toc296503157"/>
      <w:bookmarkStart w:id="501" w:name="_Toc296944496"/>
      <w:bookmarkStart w:id="502" w:name="_Toc292559362"/>
      <w:bookmarkStart w:id="503" w:name="_Toc297120457"/>
      <w:bookmarkStart w:id="504" w:name="_Toc296891197"/>
      <w:bookmarkStart w:id="505" w:name="_Toc297048343"/>
      <w:bookmarkStart w:id="506" w:name="_Toc296890985"/>
      <w:bookmarkStart w:id="507" w:name="_Toc296347156"/>
      <w:r>
        <w:rPr>
          <w:rFonts w:hint="eastAsia" w:ascii="宋体" w:hAnsi="宋体"/>
          <w:bCs/>
          <w:color w:val="auto"/>
          <w:sz w:val="24"/>
          <w:szCs w:val="24"/>
          <w:highlight w:val="none"/>
        </w:rPr>
        <w:t>. 发包人</w:t>
      </w:r>
      <w:bookmarkEnd w:id="497"/>
    </w:p>
    <w:bookmarkEnd w:id="498"/>
    <w:bookmarkEnd w:id="499"/>
    <w:bookmarkEnd w:id="500"/>
    <w:bookmarkEnd w:id="501"/>
    <w:bookmarkEnd w:id="502"/>
    <w:bookmarkEnd w:id="503"/>
    <w:bookmarkEnd w:id="504"/>
    <w:bookmarkEnd w:id="505"/>
    <w:bookmarkEnd w:id="506"/>
    <w:bookmarkEnd w:id="507"/>
    <w:p w14:paraId="4F5959FE">
      <w:pPr>
        <w:spacing w:line="380" w:lineRule="exact"/>
        <w:ind w:firstLine="480" w:firstLineChars="200"/>
        <w:outlineLvl w:val="0"/>
        <w:rPr>
          <w:rFonts w:hint="eastAsia" w:ascii="宋体" w:hAnsi="宋体"/>
          <w:color w:val="auto"/>
          <w:sz w:val="24"/>
          <w:szCs w:val="24"/>
          <w:highlight w:val="none"/>
        </w:rPr>
      </w:pPr>
      <w:bookmarkStart w:id="508" w:name="_Toc14097"/>
      <w:bookmarkStart w:id="509" w:name="_Toc6618"/>
      <w:bookmarkStart w:id="510" w:name="_Toc7117"/>
      <w:bookmarkStart w:id="511" w:name="_Toc26299"/>
      <w:bookmarkStart w:id="512" w:name="_Toc25607"/>
      <w:bookmarkStart w:id="513" w:name="_Toc26816"/>
      <w:bookmarkStart w:id="514" w:name="_Toc14811"/>
      <w:bookmarkStart w:id="515" w:name="_Toc17050"/>
      <w:r>
        <w:rPr>
          <w:rFonts w:hint="eastAsia" w:ascii="宋体" w:hAnsi="宋体"/>
          <w:color w:val="auto"/>
          <w:sz w:val="24"/>
          <w:szCs w:val="24"/>
          <w:highlight w:val="none"/>
        </w:rPr>
        <w:t>2.2 发包人代表</w:t>
      </w:r>
      <w:bookmarkEnd w:id="508"/>
      <w:bookmarkEnd w:id="509"/>
      <w:bookmarkEnd w:id="510"/>
      <w:bookmarkEnd w:id="511"/>
      <w:bookmarkEnd w:id="512"/>
      <w:bookmarkEnd w:id="513"/>
      <w:bookmarkEnd w:id="514"/>
      <w:bookmarkEnd w:id="515"/>
    </w:p>
    <w:p w14:paraId="3B6971C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发包人代表：</w:t>
      </w:r>
    </w:p>
    <w:p w14:paraId="687EEC1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4862A7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身份证号：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AA6871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职    务：</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901EDE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77ABE8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551C781">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718174C">
      <w:pPr>
        <w:spacing w:line="380" w:lineRule="exact"/>
        <w:ind w:firstLine="482"/>
        <w:rPr>
          <w:rFonts w:hint="eastAsia" w:ascii="宋体" w:hAnsi="宋体"/>
          <w:b/>
          <w:color w:val="auto"/>
          <w:sz w:val="24"/>
          <w:szCs w:val="24"/>
          <w:highlight w:val="none"/>
        </w:rPr>
      </w:pPr>
      <w:r>
        <w:rPr>
          <w:rFonts w:hint="eastAsia" w:ascii="宋体" w:hAnsi="宋体"/>
          <w:color w:val="auto"/>
          <w:sz w:val="24"/>
          <w:szCs w:val="24"/>
          <w:highlight w:val="none"/>
        </w:rPr>
        <w:t>发包人对发包人代表的授权范围如下：。</w:t>
      </w:r>
    </w:p>
    <w:p w14:paraId="2093C390">
      <w:pPr>
        <w:spacing w:line="380" w:lineRule="exact"/>
        <w:ind w:firstLine="480" w:firstLineChars="200"/>
        <w:outlineLvl w:val="0"/>
        <w:rPr>
          <w:rFonts w:hint="eastAsia" w:ascii="宋体" w:hAnsi="宋体"/>
          <w:color w:val="auto"/>
          <w:sz w:val="24"/>
          <w:szCs w:val="24"/>
          <w:highlight w:val="none"/>
        </w:rPr>
      </w:pPr>
      <w:bookmarkStart w:id="516" w:name="_Toc10388"/>
      <w:bookmarkStart w:id="517" w:name="_Toc5375"/>
      <w:bookmarkStart w:id="518" w:name="_Toc7802"/>
      <w:bookmarkStart w:id="519" w:name="_Toc15455"/>
      <w:bookmarkStart w:id="520" w:name="_Toc18092"/>
      <w:bookmarkStart w:id="521" w:name="_Toc29715"/>
      <w:bookmarkStart w:id="522" w:name="_Toc28782"/>
      <w:bookmarkStart w:id="523" w:name="_Toc27870"/>
      <w:r>
        <w:rPr>
          <w:rFonts w:hint="eastAsia" w:ascii="宋体" w:hAnsi="宋体"/>
          <w:color w:val="auto"/>
          <w:sz w:val="24"/>
          <w:szCs w:val="24"/>
          <w:highlight w:val="none"/>
        </w:rPr>
        <w:t>2.4 施工现场、施工条件和基础资料的提供</w:t>
      </w:r>
      <w:bookmarkEnd w:id="516"/>
      <w:bookmarkEnd w:id="517"/>
      <w:bookmarkEnd w:id="518"/>
      <w:bookmarkEnd w:id="519"/>
      <w:bookmarkEnd w:id="520"/>
      <w:bookmarkEnd w:id="521"/>
      <w:bookmarkEnd w:id="522"/>
      <w:bookmarkEnd w:id="523"/>
    </w:p>
    <w:p w14:paraId="0D3E476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2.4.1 提供施工现场</w:t>
      </w:r>
    </w:p>
    <w:p w14:paraId="3D50DB59">
      <w:pPr>
        <w:widowControl/>
        <w:spacing w:line="380" w:lineRule="exact"/>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关于发包人移交施工现场的期限要求：</w:t>
      </w:r>
      <w:r>
        <w:rPr>
          <w:rFonts w:hint="eastAsia" w:ascii="宋体" w:hAnsi="宋体" w:cs="宋体"/>
          <w:color w:val="auto"/>
          <w:kern w:val="0"/>
          <w:sz w:val="24"/>
          <w:szCs w:val="24"/>
          <w:highlight w:val="none"/>
          <w:u w:val="single"/>
        </w:rPr>
        <w:t>开工前3天</w:t>
      </w:r>
      <w:r>
        <w:rPr>
          <w:rFonts w:hint="eastAsia" w:ascii="宋体" w:hAnsi="宋体" w:cs="宋体"/>
          <w:color w:val="auto"/>
          <w:kern w:val="0"/>
          <w:sz w:val="24"/>
          <w:szCs w:val="24"/>
          <w:highlight w:val="none"/>
          <w:u w:val="single" w:color="000000"/>
          <w:lang w:val="zh-TW" w:eastAsia="zh-TW"/>
        </w:rPr>
        <w:t>。</w:t>
      </w:r>
    </w:p>
    <w:p w14:paraId="5BF6D74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2.4.2 提供施工条件</w:t>
      </w:r>
    </w:p>
    <w:p w14:paraId="29FFBF70">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关于发包人应负责提供施工所需要的条件，包括：</w:t>
      </w:r>
      <w:r>
        <w:rPr>
          <w:rFonts w:hint="eastAsia" w:ascii="宋体" w:hAnsi="宋体" w:cs="宋体"/>
          <w:color w:val="auto"/>
          <w:sz w:val="24"/>
          <w:szCs w:val="24"/>
          <w:highlight w:val="none"/>
          <w:u w:val="single"/>
          <w:lang w:bidi="ar"/>
        </w:rPr>
        <w:t>工程开工前7日内，组织水准点与坐标控制点交验，承包人自行安装相关设备</w:t>
      </w:r>
      <w:r>
        <w:rPr>
          <w:rFonts w:hint="eastAsia" w:ascii="宋体" w:hAnsi="宋体"/>
          <w:color w:val="auto"/>
          <w:sz w:val="24"/>
          <w:szCs w:val="24"/>
          <w:highlight w:val="none"/>
        </w:rPr>
        <w:t>。</w:t>
      </w:r>
    </w:p>
    <w:p w14:paraId="3F501CF3">
      <w:pPr>
        <w:spacing w:line="380" w:lineRule="exact"/>
        <w:ind w:firstLine="480" w:firstLineChars="200"/>
        <w:outlineLvl w:val="0"/>
        <w:rPr>
          <w:rFonts w:hint="eastAsia" w:ascii="宋体" w:hAnsi="宋体"/>
          <w:color w:val="auto"/>
          <w:sz w:val="24"/>
          <w:szCs w:val="24"/>
          <w:highlight w:val="none"/>
        </w:rPr>
      </w:pPr>
      <w:bookmarkStart w:id="524" w:name="_Toc28463"/>
      <w:bookmarkStart w:id="525" w:name="_Toc24997"/>
      <w:bookmarkStart w:id="526" w:name="_Toc767"/>
      <w:bookmarkStart w:id="527" w:name="_Toc5742"/>
      <w:bookmarkStart w:id="528" w:name="_Toc3165"/>
      <w:bookmarkStart w:id="529" w:name="_Toc989"/>
      <w:bookmarkStart w:id="530" w:name="_Toc4461"/>
      <w:bookmarkStart w:id="531" w:name="_Toc30880"/>
      <w:r>
        <w:rPr>
          <w:rFonts w:hint="eastAsia" w:ascii="宋体" w:hAnsi="宋体"/>
          <w:color w:val="auto"/>
          <w:sz w:val="24"/>
          <w:szCs w:val="24"/>
          <w:highlight w:val="none"/>
        </w:rPr>
        <w:t>2.5 资金来源证明及支付担保</w:t>
      </w:r>
      <w:bookmarkEnd w:id="524"/>
      <w:bookmarkEnd w:id="525"/>
      <w:bookmarkEnd w:id="526"/>
      <w:bookmarkEnd w:id="527"/>
      <w:bookmarkEnd w:id="528"/>
      <w:bookmarkEnd w:id="529"/>
      <w:bookmarkEnd w:id="530"/>
      <w:bookmarkEnd w:id="531"/>
    </w:p>
    <w:p w14:paraId="071A803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发包人提供资金来源证明的期限要求：</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66286BB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发包人是否提供支付担保：</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7A8F2EA1">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发包人提供支付担保的形式：</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57D6D89">
      <w:pPr>
        <w:keepNext/>
        <w:keepLines/>
        <w:spacing w:line="380" w:lineRule="exact"/>
        <w:ind w:firstLine="482"/>
        <w:outlineLvl w:val="3"/>
        <w:rPr>
          <w:rFonts w:hint="eastAsia" w:ascii="宋体" w:hAnsi="宋体"/>
          <w:bCs/>
          <w:color w:val="auto"/>
          <w:sz w:val="24"/>
          <w:szCs w:val="24"/>
          <w:highlight w:val="none"/>
        </w:rPr>
      </w:pPr>
      <w:bookmarkStart w:id="532" w:name="_Toc351203635"/>
      <w:r>
        <w:rPr>
          <w:rFonts w:hint="eastAsia" w:ascii="宋体" w:hAnsi="宋体"/>
          <w:bCs/>
          <w:color w:val="auto"/>
          <w:sz w:val="24"/>
          <w:szCs w:val="24"/>
          <w:highlight w:val="none"/>
        </w:rPr>
        <w:t>3</w:t>
      </w:r>
      <w:bookmarkStart w:id="533" w:name="_Toc296944497"/>
      <w:bookmarkStart w:id="534" w:name="_Toc292559868"/>
      <w:bookmarkStart w:id="535" w:name="_Toc296503158"/>
      <w:bookmarkStart w:id="536" w:name="_Toc296891198"/>
      <w:bookmarkStart w:id="537" w:name="_Toc297048344"/>
      <w:bookmarkStart w:id="538" w:name="_Toc296347157"/>
      <w:bookmarkStart w:id="539" w:name="_Toc297120458"/>
      <w:bookmarkStart w:id="540" w:name="_Toc296890986"/>
      <w:bookmarkStart w:id="541" w:name="_Toc296346659"/>
      <w:bookmarkStart w:id="542" w:name="_Toc292559363"/>
      <w:r>
        <w:rPr>
          <w:rFonts w:hint="eastAsia" w:ascii="宋体" w:hAnsi="宋体"/>
          <w:bCs/>
          <w:color w:val="auto"/>
          <w:sz w:val="24"/>
          <w:szCs w:val="24"/>
          <w:highlight w:val="none"/>
        </w:rPr>
        <w:t>. 承包人</w:t>
      </w:r>
      <w:bookmarkEnd w:id="532"/>
    </w:p>
    <w:bookmarkEnd w:id="533"/>
    <w:bookmarkEnd w:id="534"/>
    <w:bookmarkEnd w:id="535"/>
    <w:bookmarkEnd w:id="536"/>
    <w:bookmarkEnd w:id="537"/>
    <w:bookmarkEnd w:id="538"/>
    <w:bookmarkEnd w:id="539"/>
    <w:bookmarkEnd w:id="540"/>
    <w:bookmarkEnd w:id="541"/>
    <w:bookmarkEnd w:id="542"/>
    <w:p w14:paraId="010E3A4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3.1 承包人的一般义务</w:t>
      </w:r>
    </w:p>
    <w:p w14:paraId="281623A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（9）</w:t>
      </w:r>
      <w:r>
        <w:rPr>
          <w:rFonts w:hint="eastAsia" w:ascii="宋体" w:hAnsi="宋体"/>
          <w:color w:val="auto"/>
          <w:sz w:val="24"/>
          <w:szCs w:val="24"/>
          <w:highlight w:val="none"/>
        </w:rPr>
        <w:t>承包人提交的竣工资料的内容：</w:t>
      </w:r>
      <w:r>
        <w:rPr>
          <w:rFonts w:hint="eastAsia" w:ascii="宋体" w:hAnsi="宋体" w:cs="宋体"/>
          <w:color w:val="auto"/>
          <w:sz w:val="24"/>
          <w:szCs w:val="24"/>
          <w:highlight w:val="none"/>
          <w:u w:val="single"/>
          <w:lang w:bidi="ar"/>
        </w:rPr>
        <w:t>竣工图及竣工验收资料</w:t>
      </w:r>
      <w:r>
        <w:rPr>
          <w:rFonts w:hint="eastAsia" w:ascii="宋体" w:hAnsi="宋体"/>
          <w:color w:val="auto"/>
          <w:sz w:val="24"/>
          <w:szCs w:val="24"/>
          <w:highlight w:val="none"/>
        </w:rPr>
        <w:t>。</w:t>
      </w:r>
    </w:p>
    <w:p w14:paraId="54DD1E5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承包人需要提交的竣工资料套数：。</w:t>
      </w:r>
    </w:p>
    <w:p w14:paraId="2ACA1F08">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承包人提交的竣工资料的费用承担：</w:t>
      </w:r>
      <w:r>
        <w:rPr>
          <w:rFonts w:hint="eastAsia" w:ascii="宋体" w:hAnsi="宋体" w:cs="宋体"/>
          <w:color w:val="auto"/>
          <w:sz w:val="24"/>
          <w:szCs w:val="24"/>
          <w:highlight w:val="none"/>
          <w:u w:val="single"/>
          <w:lang w:bidi="ar"/>
        </w:rPr>
        <w:t>自行承担</w:t>
      </w:r>
      <w:r>
        <w:rPr>
          <w:rFonts w:hint="eastAsia" w:ascii="宋体" w:hAnsi="宋体"/>
          <w:color w:val="auto"/>
          <w:sz w:val="24"/>
          <w:szCs w:val="24"/>
          <w:highlight w:val="none"/>
        </w:rPr>
        <w:t>。</w:t>
      </w:r>
    </w:p>
    <w:p w14:paraId="5DEE02C3">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承包人提交的竣工资料移交时间：</w:t>
      </w:r>
      <w:r>
        <w:rPr>
          <w:rFonts w:hint="eastAsia" w:ascii="宋体" w:hAnsi="宋体" w:cs="宋体"/>
          <w:color w:val="auto"/>
          <w:sz w:val="24"/>
          <w:szCs w:val="24"/>
          <w:highlight w:val="none"/>
          <w:u w:val="single"/>
          <w:lang w:bidi="ar"/>
        </w:rPr>
        <w:t>竣工验收后28天内</w:t>
      </w:r>
      <w:r>
        <w:rPr>
          <w:rFonts w:hint="eastAsia" w:ascii="宋体" w:hAnsi="宋体"/>
          <w:color w:val="auto"/>
          <w:sz w:val="24"/>
          <w:szCs w:val="24"/>
          <w:highlight w:val="none"/>
        </w:rPr>
        <w:t>。</w:t>
      </w:r>
    </w:p>
    <w:p w14:paraId="3D0D937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承包人提交的竣工资料形式要求：</w:t>
      </w:r>
      <w:r>
        <w:rPr>
          <w:rFonts w:hint="eastAsia" w:ascii="宋体" w:hAnsi="宋体" w:cs="宋体"/>
          <w:color w:val="auto"/>
          <w:sz w:val="24"/>
          <w:szCs w:val="24"/>
          <w:highlight w:val="none"/>
          <w:u w:val="single"/>
          <w:lang w:bidi="ar"/>
        </w:rPr>
        <w:t>纸质</w:t>
      </w:r>
      <w:r>
        <w:rPr>
          <w:rFonts w:hint="eastAsia" w:ascii="宋体" w:hAnsi="宋体"/>
          <w:color w:val="auto"/>
          <w:sz w:val="24"/>
          <w:szCs w:val="24"/>
          <w:highlight w:val="none"/>
        </w:rPr>
        <w:t>。</w:t>
      </w:r>
    </w:p>
    <w:p w14:paraId="738B5F88">
      <w:pPr>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（10）承包人应履行的其他义务：</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D673F7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3.2 项目经理</w:t>
      </w:r>
    </w:p>
    <w:p w14:paraId="7C1805ED">
      <w:pPr>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 xml:space="preserve">3.2.1 </w:t>
      </w:r>
      <w:r>
        <w:rPr>
          <w:rFonts w:hint="eastAsia" w:ascii="宋体" w:hAnsi="宋体"/>
          <w:color w:val="auto"/>
          <w:sz w:val="24"/>
          <w:szCs w:val="24"/>
          <w:highlight w:val="none"/>
        </w:rPr>
        <w:t>项目经理：</w:t>
      </w:r>
    </w:p>
    <w:p w14:paraId="6CFE476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EA6F771">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身份证号：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93BE0D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建造师执业资格等级：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15DC48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建造师注册证书号：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2D634C6">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建造师执业印章号：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FD74021">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安全生产考核合格证书号：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7BDA571">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549DCA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779B80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4C177A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承包人对项目经理的授权范围如下：</w:t>
      </w:r>
      <w:r>
        <w:rPr>
          <w:rFonts w:hint="eastAsia" w:ascii="宋体" w:hAnsi="宋体"/>
          <w:color w:val="auto"/>
          <w:sz w:val="24"/>
          <w:szCs w:val="24"/>
          <w:highlight w:val="none"/>
          <w:u w:val="single"/>
        </w:rPr>
        <w:t>代表承包人行使本合同约定的权利，履行本合同约定的义务</w:t>
      </w:r>
      <w:r>
        <w:rPr>
          <w:rFonts w:hint="eastAsia" w:ascii="宋体" w:hAnsi="宋体"/>
          <w:color w:val="auto"/>
          <w:sz w:val="24"/>
          <w:szCs w:val="24"/>
          <w:highlight w:val="none"/>
        </w:rPr>
        <w:t>。</w:t>
      </w:r>
    </w:p>
    <w:p w14:paraId="3008E091">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关于项目经理每月在施工现场的时间要求：</w:t>
      </w:r>
      <w:r>
        <w:rPr>
          <w:rFonts w:hint="eastAsia" w:ascii="宋体" w:hAnsi="宋体"/>
          <w:color w:val="auto"/>
          <w:sz w:val="24"/>
          <w:szCs w:val="24"/>
          <w:highlight w:val="none"/>
          <w:u w:val="single"/>
          <w:lang w:val="zh-TW" w:eastAsia="zh-TW"/>
        </w:rPr>
        <w:t>上岗时间不低于施工时间的50%</w:t>
      </w:r>
      <w:r>
        <w:rPr>
          <w:rFonts w:hint="eastAsia" w:ascii="宋体" w:hAnsi="宋体"/>
          <w:color w:val="auto"/>
          <w:sz w:val="24"/>
          <w:szCs w:val="24"/>
          <w:highlight w:val="none"/>
        </w:rPr>
        <w:t>。</w:t>
      </w:r>
    </w:p>
    <w:p w14:paraId="2C75538D">
      <w:pPr>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承包人未提交劳动合同，以及没有为项目经理缴纳社会保险证明的违约责任：</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129AFD3E">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kern w:val="0"/>
          <w:sz w:val="24"/>
          <w:szCs w:val="24"/>
          <w:highlight w:val="none"/>
        </w:rPr>
        <w:t>项目经理未经批准，擅自离开施工现场的违约责任：</w:t>
      </w:r>
      <w:r>
        <w:rPr>
          <w:rFonts w:hint="eastAsia" w:ascii="宋体" w:hAnsi="宋体"/>
          <w:color w:val="auto"/>
          <w:sz w:val="24"/>
          <w:szCs w:val="24"/>
          <w:highlight w:val="none"/>
          <w:u w:val="single"/>
          <w:lang w:val="zh-TW" w:eastAsia="zh-TW"/>
        </w:rPr>
        <w:t>按有关规定执行处理</w:t>
      </w:r>
      <w:r>
        <w:rPr>
          <w:rFonts w:hint="eastAsia" w:ascii="宋体" w:hAnsi="宋体"/>
          <w:color w:val="auto"/>
          <w:sz w:val="24"/>
          <w:szCs w:val="24"/>
          <w:highlight w:val="none"/>
        </w:rPr>
        <w:t>。</w:t>
      </w:r>
    </w:p>
    <w:p w14:paraId="0DB4D43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3.2.3 承包人擅自更换项目经理的违约责任：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AD1FF73">
      <w:pPr>
        <w:spacing w:line="380" w:lineRule="exact"/>
        <w:ind w:firstLine="482"/>
        <w:outlineLvl w:val="0"/>
        <w:rPr>
          <w:rFonts w:hint="eastAsia" w:ascii="宋体" w:hAnsi="宋体"/>
          <w:color w:val="auto"/>
          <w:sz w:val="24"/>
          <w:szCs w:val="24"/>
          <w:highlight w:val="none"/>
        </w:rPr>
      </w:pPr>
      <w:bookmarkStart w:id="543" w:name="_Toc22863"/>
      <w:bookmarkStart w:id="544" w:name="_Toc14870"/>
      <w:bookmarkStart w:id="545" w:name="_Toc21921"/>
      <w:bookmarkStart w:id="546" w:name="_Toc24446"/>
      <w:bookmarkStart w:id="547" w:name="_Toc22963"/>
      <w:bookmarkStart w:id="548" w:name="_Toc1533"/>
      <w:bookmarkStart w:id="549" w:name="_Toc31071"/>
      <w:bookmarkStart w:id="550" w:name="_Toc1341"/>
      <w:r>
        <w:rPr>
          <w:rFonts w:hint="eastAsia" w:ascii="宋体" w:hAnsi="宋体"/>
          <w:color w:val="auto"/>
          <w:sz w:val="24"/>
          <w:szCs w:val="24"/>
          <w:highlight w:val="none"/>
        </w:rPr>
        <w:t>3.2.4 承包人无正当理由拒绝更换项目经理的违约责任：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bookmarkEnd w:id="543"/>
      <w:bookmarkEnd w:id="544"/>
      <w:bookmarkEnd w:id="545"/>
      <w:bookmarkEnd w:id="546"/>
      <w:bookmarkEnd w:id="547"/>
      <w:bookmarkEnd w:id="548"/>
      <w:bookmarkEnd w:id="549"/>
      <w:bookmarkEnd w:id="550"/>
    </w:p>
    <w:p w14:paraId="32CAA3E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 承包人人员</w:t>
      </w:r>
    </w:p>
    <w:p w14:paraId="11D9A63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3.3.1 承包人提交项目管理机构及施工现场管理人员安排报告的期限：</w:t>
      </w:r>
      <w:r>
        <w:rPr>
          <w:rFonts w:hint="eastAsia" w:ascii="宋体" w:hAnsi="宋体"/>
          <w:color w:val="auto"/>
          <w:sz w:val="24"/>
          <w:szCs w:val="24"/>
          <w:highlight w:val="none"/>
          <w:u w:val="single"/>
        </w:rPr>
        <w:t xml:space="preserve">  </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B257F1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3.3.3 承包人无正当理由拒绝撤换主要施工管理人员的违约责任：</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5B9F1B49">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3.3.4 承包人主要施工管理人员离开施工现场的批准要求：</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37D8DB5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3.3.5承包人擅自更换主要施工管理人员的违约责任：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10EA69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承包人主要施工管理人员擅自离开施工现场的违约责任：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E8CB96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w:t>
      </w:r>
      <w:bookmarkStart w:id="551" w:name="_Toc312677988"/>
      <w:bookmarkStart w:id="552" w:name="_Toc296503159"/>
      <w:bookmarkStart w:id="553" w:name="_Toc297216151"/>
      <w:bookmarkStart w:id="554" w:name="_Toc296347158"/>
      <w:bookmarkStart w:id="555" w:name="_Toc292559869"/>
      <w:bookmarkStart w:id="556" w:name="_Toc296944498"/>
      <w:bookmarkStart w:id="557" w:name="_Toc292559364"/>
      <w:bookmarkStart w:id="558" w:name="_Toc296346660"/>
      <w:bookmarkStart w:id="559" w:name="_Toc296891199"/>
      <w:bookmarkStart w:id="560" w:name="_Toc296890987"/>
      <w:bookmarkStart w:id="561" w:name="_Toc300934945"/>
      <w:bookmarkStart w:id="562" w:name="_Toc297123492"/>
      <w:bookmarkStart w:id="563" w:name="_Toc297048345"/>
      <w:bookmarkStart w:id="564" w:name="_Toc303539102"/>
      <w:bookmarkStart w:id="565" w:name="_Toc297120459"/>
      <w:bookmarkStart w:id="566" w:name="_Toc304295523"/>
      <w:r>
        <w:rPr>
          <w:rFonts w:hint="eastAsia" w:ascii="宋体" w:hAnsi="宋体"/>
          <w:color w:val="auto"/>
          <w:sz w:val="24"/>
          <w:szCs w:val="24"/>
          <w:highlight w:val="none"/>
        </w:rPr>
        <w:t>.5 分包</w:t>
      </w:r>
    </w:p>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14:paraId="2902C6D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w:t>
      </w:r>
      <w:bookmarkStart w:id="567" w:name="_Toc296503160"/>
      <w:bookmarkStart w:id="568" w:name="_Toc296347159"/>
      <w:bookmarkStart w:id="569" w:name="_Toc297048346"/>
      <w:bookmarkStart w:id="570" w:name="_Toc296944499"/>
      <w:bookmarkStart w:id="571" w:name="_Toc297120460"/>
      <w:bookmarkStart w:id="572" w:name="_Toc296891200"/>
      <w:bookmarkStart w:id="573" w:name="_Toc300934946"/>
      <w:bookmarkStart w:id="574" w:name="_Toc304295524"/>
      <w:bookmarkStart w:id="575" w:name="_Toc296346661"/>
      <w:bookmarkStart w:id="576" w:name="_Toc292559365"/>
      <w:bookmarkStart w:id="577" w:name="_Toc297123493"/>
      <w:bookmarkStart w:id="578" w:name="_Toc296890988"/>
      <w:bookmarkStart w:id="579" w:name="_Toc292559870"/>
      <w:bookmarkStart w:id="580" w:name="_Toc297216152"/>
      <w:bookmarkStart w:id="581" w:name="_Toc303539103"/>
      <w:bookmarkStart w:id="582" w:name="_Toc312677989"/>
      <w:bookmarkStart w:id="583" w:name="_Toc318581158"/>
      <w:r>
        <w:rPr>
          <w:rFonts w:hint="eastAsia" w:ascii="宋体" w:hAnsi="宋体"/>
          <w:color w:val="auto"/>
          <w:sz w:val="24"/>
          <w:szCs w:val="24"/>
          <w:highlight w:val="none"/>
        </w:rPr>
        <w:t>.5.1 分包的一般约定</w:t>
      </w:r>
    </w:p>
    <w:p w14:paraId="48B1C91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禁止分包的工程包括：</w:t>
      </w:r>
      <w:r>
        <w:rPr>
          <w:rFonts w:hint="eastAsia" w:ascii="宋体" w:hAnsi="宋体"/>
          <w:color w:val="auto"/>
          <w:sz w:val="24"/>
          <w:szCs w:val="24"/>
          <w:highlight w:val="none"/>
          <w:u w:val="single"/>
          <w:lang w:val="zh-TW" w:eastAsia="zh-TW"/>
        </w:rPr>
        <w:t>除发包人同意分包的工程外，承包人不得再分包</w:t>
      </w:r>
      <w:r>
        <w:rPr>
          <w:rFonts w:hint="eastAsia" w:ascii="宋体" w:hAnsi="宋体"/>
          <w:color w:val="auto"/>
          <w:sz w:val="24"/>
          <w:szCs w:val="24"/>
          <w:highlight w:val="none"/>
        </w:rPr>
        <w:t>。</w:t>
      </w:r>
    </w:p>
    <w:p w14:paraId="3573BED1">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主体结构、关键性工作的范围：</w:t>
      </w:r>
      <w:r>
        <w:rPr>
          <w:rFonts w:hint="eastAsia" w:ascii="宋体" w:hAnsi="宋体"/>
          <w:color w:val="auto"/>
          <w:sz w:val="24"/>
          <w:szCs w:val="24"/>
          <w:highlight w:val="none"/>
          <w:u w:val="single"/>
          <w:lang w:val="zh-TW" w:eastAsia="zh-TW"/>
        </w:rPr>
        <w:t>执行合同通用条款</w:t>
      </w:r>
      <w:r>
        <w:rPr>
          <w:rFonts w:hint="eastAsia" w:ascii="宋体" w:hAnsi="宋体"/>
          <w:color w:val="auto"/>
          <w:sz w:val="24"/>
          <w:szCs w:val="24"/>
          <w:highlight w:val="none"/>
        </w:rPr>
        <w: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Start w:id="584" w:name="_Toc303539104"/>
      <w:bookmarkStart w:id="585" w:name="_Toc296891201"/>
      <w:bookmarkStart w:id="586" w:name="_Toc296944500"/>
      <w:bookmarkStart w:id="587" w:name="_Toc304295525"/>
      <w:bookmarkStart w:id="588" w:name="_Toc296347160"/>
      <w:bookmarkStart w:id="589" w:name="_Toc297216153"/>
      <w:bookmarkStart w:id="590" w:name="_Toc296890989"/>
      <w:bookmarkStart w:id="591" w:name="_Toc296346662"/>
      <w:bookmarkStart w:id="592" w:name="_Toc300934947"/>
      <w:bookmarkStart w:id="593" w:name="_Toc297123494"/>
      <w:bookmarkStart w:id="594" w:name="_Toc296503161"/>
      <w:bookmarkStart w:id="595" w:name="_Toc297048347"/>
      <w:bookmarkStart w:id="596" w:name="_Toc297120461"/>
    </w:p>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14:paraId="6228857E">
      <w:pPr>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 xml:space="preserve"> 3</w:t>
      </w:r>
      <w:bookmarkStart w:id="597" w:name="_Toc312677990"/>
      <w:bookmarkStart w:id="598" w:name="_Toc318581159"/>
      <w:r>
        <w:rPr>
          <w:rFonts w:hint="eastAsia" w:ascii="宋体" w:hAnsi="宋体"/>
          <w:color w:val="auto"/>
          <w:sz w:val="24"/>
          <w:szCs w:val="24"/>
          <w:highlight w:val="none"/>
        </w:rPr>
        <w:t>.5.2分包的确定</w:t>
      </w:r>
    </w:p>
    <w:p w14:paraId="7272ED62">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允许分包的专业工程包括：</w:t>
      </w:r>
      <w:r>
        <w:rPr>
          <w:rFonts w:hint="eastAsia" w:ascii="宋体" w:hAnsi="宋体"/>
          <w:color w:val="auto"/>
          <w:sz w:val="24"/>
          <w:szCs w:val="24"/>
          <w:highlight w:val="none"/>
          <w:u w:val="single"/>
          <w:lang w:val="en-US" w:eastAsia="zh-CN"/>
        </w:rPr>
        <w:t>严禁任何形式的分包</w:t>
      </w:r>
      <w:r>
        <w:rPr>
          <w:rFonts w:hint="eastAsia" w:ascii="宋体" w:hAnsi="宋体"/>
          <w:color w:val="auto"/>
          <w:sz w:val="24"/>
          <w:szCs w:val="24"/>
          <w:highlight w:val="none"/>
        </w:rPr>
        <w:t>。</w:t>
      </w:r>
    </w:p>
    <w:p w14:paraId="317B0BA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其他关于分包的约定：</w:t>
      </w:r>
      <w:r>
        <w:rPr>
          <w:rFonts w:hint="eastAsia" w:ascii="宋体" w:hAnsi="宋体"/>
          <w:color w:val="auto"/>
          <w:sz w:val="24"/>
          <w:szCs w:val="24"/>
          <w:highlight w:val="none"/>
          <w:u w:val="single"/>
          <w:lang w:val="zh-TW" w:eastAsia="zh-TW"/>
        </w:rPr>
        <w:t>承包人在选择专业分包单位时，发包人参与前期考察、招标及确认，发包人具有否决权</w:t>
      </w:r>
      <w:r>
        <w:rPr>
          <w:rFonts w:hint="eastAsia" w:ascii="宋体" w:hAnsi="宋体"/>
          <w:color w:val="auto"/>
          <w:sz w:val="24"/>
          <w:szCs w:val="24"/>
          <w:highlight w:val="none"/>
        </w:rPr>
        <w:t>。</w:t>
      </w:r>
    </w:p>
    <w:p w14:paraId="79E2827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3.5.4 分包合同价款</w:t>
      </w:r>
    </w:p>
    <w:p w14:paraId="74BC1D5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关于分包合同价款支付的约定：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bookmarkEnd w:id="597"/>
    <w:bookmarkEnd w:id="598"/>
    <w:p w14:paraId="62661DC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3.6 工程照管与成品、半成品保护</w:t>
      </w:r>
    </w:p>
    <w:p w14:paraId="10F921C2">
      <w:pPr>
        <w:spacing w:line="380" w:lineRule="exact"/>
        <w:ind w:firstLine="480" w:firstLineChars="200"/>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承包人负责照管工程及工程相关的材料、工程设备的起始时间：</w:t>
      </w:r>
      <w:r>
        <w:rPr>
          <w:rFonts w:hint="eastAsia" w:ascii="宋体" w:hAnsi="宋体"/>
          <w:color w:val="auto"/>
          <w:sz w:val="24"/>
          <w:szCs w:val="24"/>
          <w:highlight w:val="none"/>
          <w:u w:val="single"/>
          <w:lang w:val="zh-TW" w:eastAsia="zh-TW"/>
        </w:rPr>
        <w:t>自发包人向承包人移交施工现场之日起，承包人应负责照管工程及工程相关的材料、工程设备，到竣工验收合格止，竣工验收合格后全部由发包人照管</w:t>
      </w:r>
      <w:r>
        <w:rPr>
          <w:rFonts w:hint="eastAsia" w:ascii="宋体" w:hAnsi="宋体"/>
          <w:color w:val="auto"/>
          <w:kern w:val="0"/>
          <w:sz w:val="24"/>
          <w:szCs w:val="24"/>
          <w:highlight w:val="none"/>
        </w:rPr>
        <w:t>。</w:t>
      </w:r>
    </w:p>
    <w:p w14:paraId="7D36748E">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3.7 履约担保</w:t>
      </w:r>
    </w:p>
    <w:p w14:paraId="59739828">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承包人是否提供履约担保：</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C494A72">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承包人提供履约担保的形式、金额及期限的：</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A78C4FF">
      <w:pPr>
        <w:keepNext/>
        <w:keepLines/>
        <w:spacing w:line="380" w:lineRule="exact"/>
        <w:ind w:firstLine="482"/>
        <w:outlineLvl w:val="3"/>
        <w:rPr>
          <w:rFonts w:hint="eastAsia" w:ascii="宋体" w:hAnsi="宋体"/>
          <w:bCs/>
          <w:color w:val="auto"/>
          <w:sz w:val="24"/>
          <w:szCs w:val="24"/>
          <w:highlight w:val="none"/>
        </w:rPr>
      </w:pPr>
      <w:bookmarkStart w:id="599" w:name="_Toc351203636"/>
      <w:r>
        <w:rPr>
          <w:rFonts w:hint="eastAsia" w:ascii="宋体" w:hAnsi="宋体"/>
          <w:bCs/>
          <w:color w:val="auto"/>
          <w:sz w:val="24"/>
          <w:szCs w:val="24"/>
          <w:highlight w:val="none"/>
        </w:rPr>
        <w:t>4</w:t>
      </w:r>
      <w:bookmarkStart w:id="600" w:name="_Toc297120462"/>
      <w:bookmarkStart w:id="601" w:name="_Toc296891202"/>
      <w:bookmarkStart w:id="602" w:name="_Toc267251413"/>
      <w:bookmarkStart w:id="603" w:name="_Toc296890990"/>
      <w:bookmarkStart w:id="604" w:name="_Toc297048348"/>
      <w:bookmarkStart w:id="605" w:name="_Toc292559366"/>
      <w:bookmarkStart w:id="606" w:name="_Toc296503162"/>
      <w:bookmarkStart w:id="607" w:name="_Toc296347161"/>
      <w:bookmarkStart w:id="608" w:name="_Toc296346663"/>
      <w:bookmarkStart w:id="609" w:name="_Toc292559871"/>
      <w:bookmarkStart w:id="610" w:name="_Toc296944501"/>
      <w:r>
        <w:rPr>
          <w:rFonts w:hint="eastAsia" w:ascii="宋体" w:hAnsi="宋体"/>
          <w:bCs/>
          <w:color w:val="auto"/>
          <w:sz w:val="24"/>
          <w:szCs w:val="24"/>
          <w:highlight w:val="none"/>
        </w:rPr>
        <w:t>. 监</w:t>
      </w:r>
      <w:bookmarkEnd w:id="600"/>
      <w:bookmarkEnd w:id="601"/>
      <w:bookmarkEnd w:id="602"/>
      <w:bookmarkEnd w:id="603"/>
      <w:bookmarkEnd w:id="604"/>
      <w:bookmarkEnd w:id="605"/>
      <w:bookmarkEnd w:id="606"/>
      <w:bookmarkEnd w:id="607"/>
      <w:bookmarkEnd w:id="608"/>
      <w:bookmarkEnd w:id="609"/>
      <w:bookmarkEnd w:id="610"/>
      <w:r>
        <w:rPr>
          <w:rFonts w:hint="eastAsia" w:ascii="宋体" w:hAnsi="宋体"/>
          <w:bCs/>
          <w:color w:val="auto"/>
          <w:sz w:val="24"/>
          <w:szCs w:val="24"/>
          <w:highlight w:val="none"/>
        </w:rPr>
        <w:t>理人</w:t>
      </w:r>
      <w:bookmarkEnd w:id="599"/>
    </w:p>
    <w:p w14:paraId="1E2DE506">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4.1监理人的一般规定</w:t>
      </w:r>
    </w:p>
    <w:p w14:paraId="3CA6BD88">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关于监理人的监理内容：</w:t>
      </w:r>
      <w:r>
        <w:rPr>
          <w:rFonts w:hint="eastAsia" w:ascii="宋体" w:hAnsi="宋体"/>
          <w:color w:val="auto"/>
          <w:sz w:val="24"/>
          <w:szCs w:val="24"/>
          <w:highlight w:val="none"/>
          <w:u w:val="single"/>
          <w:lang w:val="zh-TW" w:eastAsia="zh-TW"/>
        </w:rPr>
        <w:t>详见工程监理委托合同</w:t>
      </w:r>
      <w:r>
        <w:rPr>
          <w:rFonts w:hint="eastAsia" w:ascii="宋体" w:hAnsi="宋体"/>
          <w:color w:val="auto"/>
          <w:sz w:val="24"/>
          <w:szCs w:val="24"/>
          <w:highlight w:val="none"/>
        </w:rPr>
        <w:t>。</w:t>
      </w:r>
    </w:p>
    <w:p w14:paraId="7781B1E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关于监理人的监理权限：</w:t>
      </w:r>
      <w:r>
        <w:rPr>
          <w:rFonts w:hint="eastAsia" w:ascii="宋体" w:hAnsi="宋体"/>
          <w:color w:val="auto"/>
          <w:sz w:val="24"/>
          <w:szCs w:val="24"/>
          <w:highlight w:val="none"/>
          <w:u w:val="single"/>
          <w:lang w:val="zh-TW" w:eastAsia="zh-TW"/>
        </w:rPr>
        <w:t>详见工程监理委托合同</w:t>
      </w:r>
      <w:r>
        <w:rPr>
          <w:rFonts w:hint="eastAsia" w:ascii="宋体" w:hAnsi="宋体"/>
          <w:color w:val="auto"/>
          <w:sz w:val="24"/>
          <w:szCs w:val="24"/>
          <w:highlight w:val="none"/>
        </w:rPr>
        <w:t xml:space="preserve">。 </w:t>
      </w:r>
    </w:p>
    <w:p w14:paraId="1AFD64F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关于监理人在施工现场的办公场所、生活场所的提供和费用承担的约定：</w:t>
      </w:r>
      <w:r>
        <w:rPr>
          <w:rFonts w:hint="eastAsia" w:ascii="宋体" w:hAnsi="宋体"/>
          <w:color w:val="auto"/>
          <w:sz w:val="24"/>
          <w:szCs w:val="24"/>
          <w:highlight w:val="none"/>
          <w:u w:val="single"/>
          <w:lang w:val="zh-TW" w:eastAsia="zh-TW"/>
        </w:rPr>
        <w:t>同通用条款</w:t>
      </w:r>
      <w:r>
        <w:rPr>
          <w:rFonts w:hint="eastAsia" w:ascii="宋体" w:hAnsi="宋体"/>
          <w:color w:val="auto"/>
          <w:sz w:val="24"/>
          <w:szCs w:val="24"/>
          <w:highlight w:val="none"/>
        </w:rPr>
        <w:t>。</w:t>
      </w:r>
    </w:p>
    <w:p w14:paraId="0F9CF21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4.2 监理人员</w:t>
      </w:r>
    </w:p>
    <w:p w14:paraId="1147D14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总监理工程师：</w:t>
      </w:r>
    </w:p>
    <w:p w14:paraId="58C5A299">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E00E0A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职    务：</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88D1526">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监理工程师执业资格证书号：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B6B7E3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262968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89FD91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A5242C7">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关于监理人的其他约定：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9987A1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4.4 商定或确定</w:t>
      </w:r>
    </w:p>
    <w:p w14:paraId="1147F4ED">
      <w:pPr>
        <w:spacing w:line="380" w:lineRule="exact"/>
        <w:ind w:firstLine="480" w:firstLineChars="200"/>
        <w:rPr>
          <w:rFonts w:hint="eastAsia" w:ascii="宋体" w:hAnsi="宋体"/>
          <w:color w:val="auto"/>
          <w:sz w:val="24"/>
          <w:szCs w:val="24"/>
          <w:highlight w:val="none"/>
        </w:rPr>
      </w:pPr>
      <w:bookmarkStart w:id="611" w:name="_Toc267251418"/>
      <w:r>
        <w:rPr>
          <w:rFonts w:hint="eastAsia" w:ascii="宋体" w:hAnsi="宋体"/>
          <w:color w:val="auto"/>
          <w:sz w:val="24"/>
          <w:szCs w:val="24"/>
          <w:highlight w:val="none"/>
        </w:rPr>
        <w:t>在发包人和承包人不能通过协商达成一致意见时，发包人授权监理人对以下事项进行确定：</w:t>
      </w:r>
    </w:p>
    <w:p w14:paraId="01C4E7E8">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w:t>
      </w:r>
      <w:r>
        <w:rPr>
          <w:rFonts w:hint="eastAsia" w:ascii="宋体" w:hAnsi="宋体"/>
          <w:color w:val="auto"/>
          <w:sz w:val="24"/>
          <w:szCs w:val="24"/>
          <w:highlight w:val="none"/>
        </w:rPr>
        <w:t>；</w:t>
      </w:r>
    </w:p>
    <w:p w14:paraId="4E51D364">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w:t>
      </w:r>
      <w:r>
        <w:rPr>
          <w:rFonts w:hint="eastAsia" w:ascii="宋体" w:hAnsi="宋体"/>
          <w:color w:val="auto"/>
          <w:sz w:val="24"/>
          <w:szCs w:val="24"/>
          <w:highlight w:val="none"/>
        </w:rPr>
        <w:t>；</w:t>
      </w:r>
    </w:p>
    <w:p w14:paraId="20425A6B">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w:t>
      </w:r>
      <w:r>
        <w:rPr>
          <w:rFonts w:hint="eastAsia" w:ascii="宋体" w:hAnsi="宋体"/>
          <w:color w:val="auto"/>
          <w:sz w:val="24"/>
          <w:szCs w:val="24"/>
          <w:highlight w:val="none"/>
        </w:rPr>
        <w:t>。</w:t>
      </w:r>
    </w:p>
    <w:p w14:paraId="0FFF7F12">
      <w:pPr>
        <w:keepNext/>
        <w:keepLines/>
        <w:spacing w:line="380" w:lineRule="exact"/>
        <w:ind w:firstLine="482"/>
        <w:outlineLvl w:val="3"/>
        <w:rPr>
          <w:rFonts w:hint="eastAsia" w:ascii="宋体" w:hAnsi="宋体"/>
          <w:bCs/>
          <w:color w:val="auto"/>
          <w:sz w:val="24"/>
          <w:szCs w:val="24"/>
          <w:highlight w:val="none"/>
        </w:rPr>
      </w:pPr>
      <w:bookmarkStart w:id="612" w:name="_Toc351203637"/>
      <w:r>
        <w:rPr>
          <w:rFonts w:hint="eastAsia" w:ascii="宋体" w:hAnsi="宋体"/>
          <w:bCs/>
          <w:color w:val="auto"/>
          <w:sz w:val="24"/>
          <w:szCs w:val="24"/>
          <w:highlight w:val="none"/>
        </w:rPr>
        <w:t>5</w:t>
      </w:r>
      <w:bookmarkEnd w:id="611"/>
      <w:bookmarkStart w:id="613" w:name="_Toc296503163"/>
      <w:bookmarkStart w:id="614" w:name="_Toc296890991"/>
      <w:bookmarkStart w:id="615" w:name="_Toc296891203"/>
      <w:bookmarkStart w:id="616" w:name="_Toc297048349"/>
      <w:bookmarkStart w:id="617" w:name="_Toc296347162"/>
      <w:bookmarkStart w:id="618" w:name="_Toc292559872"/>
      <w:bookmarkStart w:id="619" w:name="_Toc292559367"/>
      <w:bookmarkStart w:id="620" w:name="_Toc296944502"/>
      <w:bookmarkStart w:id="621" w:name="_Toc297120463"/>
      <w:bookmarkStart w:id="622" w:name="_Toc296346664"/>
      <w:r>
        <w:rPr>
          <w:rFonts w:hint="eastAsia" w:ascii="宋体" w:hAnsi="宋体"/>
          <w:bCs/>
          <w:color w:val="auto"/>
          <w:sz w:val="24"/>
          <w:szCs w:val="24"/>
          <w:highlight w:val="none"/>
        </w:rPr>
        <w:t>. 工程质量</w:t>
      </w:r>
      <w:bookmarkEnd w:id="612"/>
    </w:p>
    <w:p w14:paraId="70F0A345">
      <w:pPr>
        <w:spacing w:line="380" w:lineRule="exact"/>
        <w:ind w:firstLine="480" w:firstLineChars="200"/>
        <w:outlineLvl w:val="0"/>
        <w:rPr>
          <w:rFonts w:hint="eastAsia" w:ascii="宋体" w:hAnsi="宋体"/>
          <w:color w:val="auto"/>
          <w:sz w:val="24"/>
          <w:szCs w:val="24"/>
          <w:highlight w:val="none"/>
        </w:rPr>
      </w:pPr>
      <w:bookmarkStart w:id="623" w:name="_Toc873"/>
      <w:bookmarkStart w:id="624" w:name="_Toc10939"/>
      <w:bookmarkStart w:id="625" w:name="_Toc28173"/>
      <w:bookmarkStart w:id="626" w:name="_Toc27026"/>
      <w:bookmarkStart w:id="627" w:name="_Toc32326"/>
      <w:bookmarkStart w:id="628" w:name="_Toc25254"/>
      <w:bookmarkStart w:id="629" w:name="_Toc30512"/>
      <w:bookmarkStart w:id="630" w:name="_Toc8293"/>
      <w:r>
        <w:rPr>
          <w:rFonts w:hint="eastAsia" w:ascii="宋体" w:hAnsi="宋体"/>
          <w:color w:val="auto"/>
          <w:sz w:val="24"/>
          <w:szCs w:val="24"/>
          <w:highlight w:val="none"/>
        </w:rPr>
        <w:t>5.1 质量要求</w:t>
      </w:r>
      <w:bookmarkEnd w:id="623"/>
      <w:bookmarkEnd w:id="624"/>
      <w:bookmarkEnd w:id="625"/>
      <w:bookmarkEnd w:id="626"/>
      <w:bookmarkEnd w:id="627"/>
      <w:bookmarkEnd w:id="628"/>
      <w:bookmarkEnd w:id="629"/>
      <w:bookmarkEnd w:id="630"/>
    </w:p>
    <w:p w14:paraId="2BDEC0B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w:t>
      </w:r>
      <w:bookmarkStart w:id="631" w:name="_Toc303539106"/>
      <w:bookmarkStart w:id="632" w:name="_Toc312677997"/>
      <w:bookmarkStart w:id="633" w:name="_Toc304295527"/>
      <w:bookmarkStart w:id="634" w:name="_Toc318581164"/>
      <w:bookmarkStart w:id="635" w:name="_Toc300934949"/>
      <w:bookmarkStart w:id="636" w:name="_Toc297123496"/>
      <w:bookmarkStart w:id="637" w:name="_Toc297216155"/>
      <w:r>
        <w:rPr>
          <w:rFonts w:hint="eastAsia" w:ascii="宋体" w:hAnsi="宋体"/>
          <w:color w:val="auto"/>
          <w:sz w:val="24"/>
          <w:szCs w:val="24"/>
          <w:highlight w:val="none"/>
        </w:rPr>
        <w:t>.1.1 特殊质量标准和要求：</w:t>
      </w:r>
      <w:r>
        <w:rPr>
          <w:rFonts w:hint="eastAsia" w:ascii="宋体" w:hAnsi="宋体"/>
          <w:color w:val="auto"/>
          <w:sz w:val="24"/>
          <w:szCs w:val="24"/>
          <w:highlight w:val="none"/>
          <w:u w:val="single"/>
          <w:lang w:val="zh-TW" w:eastAsia="zh-TW"/>
        </w:rPr>
        <w:t>符合（工程施工质量验收规范）合格标准</w:t>
      </w:r>
      <w:r>
        <w:rPr>
          <w:rFonts w:hint="eastAsia" w:ascii="宋体" w:hAnsi="宋体"/>
          <w:color w:val="auto"/>
          <w:sz w:val="24"/>
          <w:szCs w:val="24"/>
          <w:highlight w:val="none"/>
        </w:rPr>
        <w:t>。</w:t>
      </w:r>
    </w:p>
    <w:p w14:paraId="76BD5F60">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关于工程奖项的约定：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2881C4A">
      <w:pPr>
        <w:spacing w:line="380" w:lineRule="exact"/>
        <w:ind w:firstLine="480" w:firstLineChars="200"/>
        <w:outlineLvl w:val="0"/>
        <w:rPr>
          <w:rFonts w:hint="eastAsia" w:ascii="宋体" w:hAnsi="宋体"/>
          <w:color w:val="auto"/>
          <w:sz w:val="24"/>
          <w:szCs w:val="24"/>
          <w:highlight w:val="none"/>
        </w:rPr>
      </w:pPr>
      <w:bookmarkStart w:id="638" w:name="_Toc2699"/>
      <w:bookmarkStart w:id="639" w:name="_Toc2925"/>
      <w:bookmarkStart w:id="640" w:name="_Toc16502"/>
      <w:bookmarkStart w:id="641" w:name="_Toc11534"/>
      <w:bookmarkStart w:id="642" w:name="_Toc25610"/>
      <w:bookmarkStart w:id="643" w:name="_Toc16100"/>
      <w:bookmarkStart w:id="644" w:name="_Toc23760"/>
      <w:bookmarkStart w:id="645" w:name="_Toc27779"/>
      <w:r>
        <w:rPr>
          <w:rFonts w:hint="eastAsia" w:ascii="宋体" w:hAnsi="宋体"/>
          <w:color w:val="auto"/>
          <w:sz w:val="24"/>
          <w:szCs w:val="24"/>
          <w:highlight w:val="none"/>
        </w:rPr>
        <w:t>5.3 隐蔽工程检查</w:t>
      </w:r>
      <w:bookmarkEnd w:id="638"/>
      <w:bookmarkEnd w:id="639"/>
      <w:bookmarkEnd w:id="640"/>
      <w:bookmarkEnd w:id="641"/>
      <w:bookmarkEnd w:id="642"/>
      <w:bookmarkEnd w:id="643"/>
      <w:bookmarkEnd w:id="644"/>
      <w:bookmarkEnd w:id="645"/>
    </w:p>
    <w:p w14:paraId="5752D9D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5.3.2承包人提前通知监理人隐蔽工程检查的期限的约定：</w:t>
      </w:r>
      <w:r>
        <w:rPr>
          <w:rFonts w:hint="eastAsia" w:ascii="宋体" w:hAnsi="宋体"/>
          <w:color w:val="auto"/>
          <w:sz w:val="24"/>
          <w:szCs w:val="24"/>
          <w:highlight w:val="none"/>
          <w:u w:val="single"/>
        </w:rPr>
        <w:t>48小时</w:t>
      </w:r>
      <w:r>
        <w:rPr>
          <w:rFonts w:hint="eastAsia" w:ascii="宋体" w:hAnsi="宋体"/>
          <w:color w:val="auto"/>
          <w:sz w:val="24"/>
          <w:szCs w:val="24"/>
          <w:highlight w:val="none"/>
        </w:rPr>
        <w:t>。</w:t>
      </w:r>
    </w:p>
    <w:p w14:paraId="10185393">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监理人不能按时进行检查时，应提前</w:t>
      </w:r>
      <w:r>
        <w:rPr>
          <w:rFonts w:hint="eastAsia" w:ascii="宋体" w:hAnsi="宋体"/>
          <w:color w:val="auto"/>
          <w:sz w:val="24"/>
          <w:szCs w:val="24"/>
          <w:highlight w:val="none"/>
          <w:u w:val="single"/>
        </w:rPr>
        <w:t>12</w:t>
      </w:r>
      <w:r>
        <w:rPr>
          <w:rFonts w:hint="eastAsia" w:ascii="宋体" w:hAnsi="宋体"/>
          <w:color w:val="auto"/>
          <w:sz w:val="24"/>
          <w:szCs w:val="24"/>
          <w:highlight w:val="none"/>
        </w:rPr>
        <w:t>小时提交书面延期要求。</w:t>
      </w:r>
    </w:p>
    <w:p w14:paraId="0327D58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关于延期最长不得超过：</w:t>
      </w:r>
      <w:r>
        <w:rPr>
          <w:rFonts w:hint="eastAsia" w:ascii="宋体" w:hAnsi="宋体"/>
          <w:color w:val="auto"/>
          <w:sz w:val="24"/>
          <w:szCs w:val="24"/>
          <w:highlight w:val="none"/>
          <w:u w:val="single"/>
        </w:rPr>
        <w:t>24</w:t>
      </w:r>
      <w:r>
        <w:rPr>
          <w:rFonts w:hint="eastAsia" w:ascii="宋体" w:hAnsi="宋体"/>
          <w:color w:val="auto"/>
          <w:sz w:val="24"/>
          <w:szCs w:val="24"/>
          <w:highlight w:val="none"/>
        </w:rPr>
        <w:t>小时。</w:t>
      </w:r>
    </w:p>
    <w:p w14:paraId="067AEC19">
      <w:pPr>
        <w:keepNext/>
        <w:keepLines/>
        <w:spacing w:line="380" w:lineRule="exact"/>
        <w:ind w:firstLine="482"/>
        <w:outlineLvl w:val="3"/>
        <w:rPr>
          <w:rFonts w:hint="eastAsia" w:ascii="宋体" w:hAnsi="宋体"/>
          <w:bCs/>
          <w:color w:val="auto"/>
          <w:sz w:val="24"/>
          <w:szCs w:val="24"/>
          <w:highlight w:val="none"/>
        </w:rPr>
      </w:pPr>
      <w:bookmarkStart w:id="646" w:name="_Toc351203638"/>
      <w:r>
        <w:rPr>
          <w:rFonts w:hint="eastAsia" w:ascii="宋体" w:hAnsi="宋体"/>
          <w:bCs/>
          <w:color w:val="auto"/>
          <w:sz w:val="24"/>
          <w:szCs w:val="24"/>
          <w:highlight w:val="none"/>
        </w:rPr>
        <w:t>6. 安全文明施工与环境保护</w:t>
      </w:r>
      <w:bookmarkEnd w:id="646"/>
    </w:p>
    <w:p w14:paraId="2C568B19">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6.1安全文明施工</w:t>
      </w:r>
    </w:p>
    <w:p w14:paraId="7B36B3FB">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6.1.1 项目安全生产的达标目标及相应事项的约定：</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52CC9254">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6.1.4 关于治安保卫的特别约定：</w:t>
      </w:r>
      <w:r>
        <w:rPr>
          <w:rFonts w:hint="eastAsia" w:ascii="宋体" w:hAnsi="宋体" w:cs="Noto Serif CJK SC"/>
          <w:color w:val="auto"/>
          <w:kern w:val="0"/>
          <w:sz w:val="24"/>
          <w:szCs w:val="24"/>
          <w:highlight w:val="none"/>
          <w:u w:val="single"/>
        </w:rPr>
        <w:t>由承包人负责并承担相应的费用</w:t>
      </w:r>
      <w:r>
        <w:rPr>
          <w:rFonts w:hint="eastAsia" w:ascii="宋体" w:hAnsi="宋体"/>
          <w:color w:val="auto"/>
          <w:sz w:val="24"/>
          <w:szCs w:val="24"/>
          <w:highlight w:val="none"/>
        </w:rPr>
        <w:t>。</w:t>
      </w:r>
    </w:p>
    <w:p w14:paraId="6B72F873">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关于编制施工场地治安管理计划的约定：</w:t>
      </w:r>
      <w:r>
        <w:rPr>
          <w:rFonts w:hint="eastAsia" w:ascii="宋体" w:hAnsi="宋体"/>
          <w:color w:val="auto"/>
          <w:sz w:val="24"/>
          <w:szCs w:val="24"/>
          <w:highlight w:val="none"/>
          <w:u w:val="single"/>
          <w:lang w:val="zh-TW" w:eastAsia="zh-TW"/>
        </w:rPr>
        <w:t>开工</w:t>
      </w:r>
      <w:r>
        <w:rPr>
          <w:rFonts w:hint="eastAsia" w:ascii="宋体" w:hAnsi="宋体"/>
          <w:color w:val="auto"/>
          <w:sz w:val="24"/>
          <w:szCs w:val="24"/>
          <w:highlight w:val="none"/>
          <w:u w:val="single"/>
        </w:rPr>
        <w:t>7</w:t>
      </w:r>
      <w:r>
        <w:rPr>
          <w:rFonts w:hint="eastAsia" w:ascii="宋体" w:hAnsi="宋体"/>
          <w:color w:val="auto"/>
          <w:sz w:val="24"/>
          <w:szCs w:val="24"/>
          <w:highlight w:val="none"/>
          <w:u w:val="single"/>
          <w:lang w:val="zh-TW" w:eastAsia="zh-TW"/>
        </w:rPr>
        <w:t>日前承包人提供施工场地治安管理计划</w:t>
      </w:r>
      <w:r>
        <w:rPr>
          <w:rFonts w:hint="eastAsia" w:ascii="宋体" w:hAnsi="宋体"/>
          <w:color w:val="auto"/>
          <w:sz w:val="24"/>
          <w:szCs w:val="24"/>
          <w:highlight w:val="none"/>
        </w:rPr>
        <w:t>。</w:t>
      </w:r>
    </w:p>
    <w:p w14:paraId="2A6239F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6.1.5 文明施工</w:t>
      </w:r>
    </w:p>
    <w:p w14:paraId="62230CF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合同当事人对文明施工的要求：</w:t>
      </w:r>
      <w:r>
        <w:rPr>
          <w:rFonts w:hint="eastAsia" w:ascii="宋体" w:hAnsi="宋体" w:cs="宋体"/>
          <w:color w:val="auto"/>
          <w:sz w:val="24"/>
          <w:szCs w:val="24"/>
          <w:highlight w:val="none"/>
          <w:u w:val="single"/>
          <w:lang w:bidi="ar"/>
        </w:rPr>
        <w:t>达到《建筑施工现场环境与卫生标准》</w:t>
      </w:r>
      <w:r>
        <w:rPr>
          <w:rFonts w:hint="eastAsia" w:ascii="宋体" w:hAnsi="宋体" w:cs="宋体"/>
          <w:color w:val="auto"/>
          <w:sz w:val="24"/>
          <w:szCs w:val="24"/>
          <w:highlight w:val="none"/>
          <w:u w:val="single"/>
          <w:lang w:val="en-US" w:eastAsia="zh-CN" w:bidi="ar"/>
        </w:rPr>
        <w:t>JGJ146-2013</w:t>
      </w:r>
      <w:r>
        <w:rPr>
          <w:rFonts w:hint="eastAsia" w:ascii="宋体" w:hAnsi="宋体" w:cs="宋体"/>
          <w:color w:val="auto"/>
          <w:sz w:val="24"/>
          <w:szCs w:val="24"/>
          <w:highlight w:val="none"/>
          <w:u w:val="single"/>
          <w:lang w:bidi="ar"/>
        </w:rPr>
        <w:t>、《三门峡市建筑工地安全文明施工标准化基本要求》及附件十《安全文明施工项目明细表》的要求并且符合三环委【2016】1号及三公办【2016】58号要求</w:t>
      </w:r>
      <w:r>
        <w:rPr>
          <w:rFonts w:hint="eastAsia" w:ascii="宋体" w:hAnsi="宋体"/>
          <w:color w:val="auto"/>
          <w:sz w:val="24"/>
          <w:szCs w:val="24"/>
          <w:highlight w:val="none"/>
        </w:rPr>
        <w:t>。</w:t>
      </w:r>
    </w:p>
    <w:p w14:paraId="3BBA9748">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6.1.6 关于安全文明施工费支付比例和支付期限的约定：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bookmarkEnd w:id="631"/>
    <w:bookmarkEnd w:id="632"/>
    <w:bookmarkEnd w:id="633"/>
    <w:bookmarkEnd w:id="634"/>
    <w:bookmarkEnd w:id="635"/>
    <w:bookmarkEnd w:id="636"/>
    <w:bookmarkEnd w:id="637"/>
    <w:p w14:paraId="56DC6ED6">
      <w:pPr>
        <w:keepNext/>
        <w:keepLines/>
        <w:spacing w:line="380" w:lineRule="exact"/>
        <w:ind w:firstLine="482"/>
        <w:outlineLvl w:val="3"/>
        <w:rPr>
          <w:rFonts w:hint="eastAsia" w:ascii="宋体" w:hAnsi="宋体"/>
          <w:bCs/>
          <w:color w:val="auto"/>
          <w:sz w:val="24"/>
          <w:szCs w:val="24"/>
          <w:highlight w:val="none"/>
        </w:rPr>
      </w:pPr>
      <w:bookmarkStart w:id="647" w:name="_Toc351203639"/>
      <w:r>
        <w:rPr>
          <w:rFonts w:hint="eastAsia" w:ascii="宋体" w:hAnsi="宋体"/>
          <w:bCs/>
          <w:color w:val="auto"/>
          <w:sz w:val="24"/>
          <w:szCs w:val="24"/>
          <w:highlight w:val="none"/>
        </w:rPr>
        <w:t>7. 工期和进度</w:t>
      </w:r>
      <w:bookmarkEnd w:id="647"/>
    </w:p>
    <w:p w14:paraId="628C93DB">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7.1 施工组织设计</w:t>
      </w:r>
    </w:p>
    <w:p w14:paraId="6CB34AA3">
      <w:pPr>
        <w:autoSpaceDE w:val="0"/>
        <w:autoSpaceDN w:val="0"/>
        <w:adjustRightInd w:val="0"/>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7.1.1 合</w:t>
      </w:r>
      <w:r>
        <w:rPr>
          <w:rFonts w:hint="eastAsia" w:ascii="宋体" w:hAnsi="宋体"/>
          <w:color w:val="auto"/>
          <w:kern w:val="0"/>
          <w:sz w:val="24"/>
          <w:szCs w:val="24"/>
          <w:highlight w:val="none"/>
        </w:rPr>
        <w:t>同当事人约定的施工组织设计应包括的其他内容：</w:t>
      </w:r>
      <w:r>
        <w:rPr>
          <w:rFonts w:hint="eastAsia" w:ascii="宋体" w:hAnsi="宋体"/>
          <w:color w:val="auto"/>
          <w:sz w:val="24"/>
          <w:szCs w:val="24"/>
          <w:highlight w:val="none"/>
          <w:u w:val="single"/>
          <w:lang w:val="zh-TW" w:eastAsia="zh-TW"/>
        </w:rPr>
        <w:t>同通用条款</w:t>
      </w:r>
      <w:r>
        <w:rPr>
          <w:rFonts w:hint="eastAsia" w:ascii="宋体" w:hAnsi="宋体"/>
          <w:color w:val="auto"/>
          <w:sz w:val="24"/>
          <w:szCs w:val="24"/>
          <w:highlight w:val="none"/>
        </w:rPr>
        <w:t>。</w:t>
      </w:r>
    </w:p>
    <w:p w14:paraId="2E43AADB">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 xml:space="preserve">7.1.2 </w:t>
      </w:r>
      <w:r>
        <w:rPr>
          <w:rFonts w:hint="eastAsia" w:ascii="宋体" w:hAnsi="宋体"/>
          <w:color w:val="auto"/>
          <w:kern w:val="0"/>
          <w:sz w:val="24"/>
          <w:szCs w:val="24"/>
          <w:highlight w:val="none"/>
        </w:rPr>
        <w:t>施工组织设计的提交和修改</w:t>
      </w:r>
    </w:p>
    <w:p w14:paraId="324B552F">
      <w:pPr>
        <w:autoSpaceDE w:val="0"/>
        <w:autoSpaceDN w:val="0"/>
        <w:adjustRightInd w:val="0"/>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承包人提交详细施工组织设计的期限的约定：</w:t>
      </w:r>
      <w:r>
        <w:rPr>
          <w:rFonts w:hint="eastAsia" w:ascii="宋体" w:hAnsi="宋体" w:cs="宋体"/>
          <w:color w:val="auto"/>
          <w:sz w:val="24"/>
          <w:szCs w:val="24"/>
          <w:highlight w:val="none"/>
          <w:u w:val="single"/>
          <w:lang w:bidi="ar"/>
        </w:rPr>
        <w:t>在工程开工7天前</w:t>
      </w:r>
      <w:r>
        <w:rPr>
          <w:rFonts w:hint="eastAsia" w:ascii="宋体" w:hAnsi="宋体"/>
          <w:color w:val="auto"/>
          <w:sz w:val="24"/>
          <w:szCs w:val="24"/>
          <w:highlight w:val="none"/>
        </w:rPr>
        <w:t>。</w:t>
      </w:r>
    </w:p>
    <w:p w14:paraId="2AC3463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发包人和监理人在收到详细的施工组织设计后确认或提出修改意见的期限：</w:t>
      </w:r>
      <w:r>
        <w:rPr>
          <w:rFonts w:hint="eastAsia" w:ascii="宋体" w:hAnsi="宋体" w:cs="宋体"/>
          <w:color w:val="auto"/>
          <w:sz w:val="24"/>
          <w:szCs w:val="24"/>
          <w:highlight w:val="none"/>
          <w:u w:val="single"/>
          <w:lang w:bidi="ar"/>
        </w:rPr>
        <w:t>监理人应按协议条款约定的时间（7天内）予以批准或提出修改意见，逾期不批复，可视为该施工组织设计和进度计划已经批准</w:t>
      </w:r>
      <w:r>
        <w:rPr>
          <w:rFonts w:hint="eastAsia" w:ascii="宋体" w:hAnsi="宋体"/>
          <w:color w:val="auto"/>
          <w:sz w:val="24"/>
          <w:szCs w:val="24"/>
          <w:highlight w:val="none"/>
        </w:rPr>
        <w:t>。</w:t>
      </w:r>
    </w:p>
    <w:p w14:paraId="26D7726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648" w:name="_Toc312678005"/>
      <w:bookmarkStart w:id="649" w:name="_Toc304295541"/>
      <w:bookmarkStart w:id="650" w:name="_Toc297123514"/>
      <w:bookmarkStart w:id="651" w:name="_Toc303539123"/>
      <w:bookmarkStart w:id="652" w:name="_Toc300934966"/>
      <w:bookmarkStart w:id="653" w:name="_Toc312677479"/>
      <w:bookmarkStart w:id="654" w:name="_Toc297216173"/>
      <w:r>
        <w:rPr>
          <w:rFonts w:hint="eastAsia" w:ascii="宋体" w:hAnsi="宋体"/>
          <w:color w:val="auto"/>
          <w:sz w:val="24"/>
          <w:szCs w:val="24"/>
          <w:highlight w:val="none"/>
        </w:rPr>
        <w:t>.2 施工进度计划</w:t>
      </w:r>
    </w:p>
    <w:p w14:paraId="3ABE6847">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7.2.2 施工进度计划的修订</w:t>
      </w:r>
    </w:p>
    <w:p w14:paraId="220576B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发包人和监理人在收到修订的施工进度计划后确认或提出修改意见的期限：</w:t>
      </w:r>
      <w:r>
        <w:rPr>
          <w:rFonts w:hint="eastAsia" w:ascii="宋体" w:hAnsi="宋体"/>
          <w:color w:val="auto"/>
          <w:sz w:val="24"/>
          <w:szCs w:val="24"/>
          <w:highlight w:val="none"/>
          <w:u w:val="single"/>
        </w:rPr>
        <w:t xml:space="preserve">3天内             </w:t>
      </w:r>
      <w:r>
        <w:rPr>
          <w:rFonts w:hint="eastAsia" w:ascii="宋体" w:hAnsi="宋体"/>
          <w:color w:val="auto"/>
          <w:sz w:val="24"/>
          <w:szCs w:val="24"/>
          <w:highlight w:val="none"/>
        </w:rPr>
        <w:t>。</w:t>
      </w:r>
    </w:p>
    <w:p w14:paraId="5103CCEC">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7.3 开工</w:t>
      </w:r>
    </w:p>
    <w:p w14:paraId="177539B4">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7.3.1 开工准备</w:t>
      </w:r>
    </w:p>
    <w:p w14:paraId="56A095B5">
      <w:pPr>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关于承包人提交</w:t>
      </w:r>
      <w:r>
        <w:rPr>
          <w:rFonts w:hint="eastAsia" w:ascii="宋体" w:hAnsi="宋体"/>
          <w:color w:val="auto"/>
          <w:kern w:val="0"/>
          <w:sz w:val="24"/>
          <w:szCs w:val="24"/>
          <w:highlight w:val="none"/>
        </w:rPr>
        <w:t>工程开工报审表的期限：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1207F6E5">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关于发包人应完成的其他开工准备工作及期限：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23FA522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关于承包人应完成的其他开工准备工作及期限：</w:t>
      </w:r>
      <w:r>
        <w:rPr>
          <w:rFonts w:hint="eastAsia" w:ascii="宋体" w:hAnsi="宋体" w:cs="宋体"/>
          <w:color w:val="auto"/>
          <w:sz w:val="24"/>
          <w:szCs w:val="24"/>
          <w:highlight w:val="none"/>
          <w:u w:val="single"/>
          <w:lang w:bidi="ar"/>
        </w:rPr>
        <w:t>以监理人的通知为准</w:t>
      </w:r>
      <w:r>
        <w:rPr>
          <w:rFonts w:hint="eastAsia" w:ascii="宋体" w:hAnsi="宋体"/>
          <w:color w:val="auto"/>
          <w:sz w:val="24"/>
          <w:szCs w:val="24"/>
          <w:highlight w:val="none"/>
        </w:rPr>
        <w:t>。</w:t>
      </w:r>
    </w:p>
    <w:p w14:paraId="5126B1BB">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7.3.2开工通知</w:t>
      </w:r>
    </w:p>
    <w:p w14:paraId="630E1BB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因发包人原因造成监理人未能在计划开工日期之日起</w:t>
      </w:r>
      <w:r>
        <w:rPr>
          <w:rFonts w:hint="eastAsia" w:ascii="宋体" w:hAnsi="宋体"/>
          <w:color w:val="auto"/>
          <w:sz w:val="24"/>
          <w:szCs w:val="24"/>
          <w:highlight w:val="none"/>
          <w:u w:val="single"/>
        </w:rPr>
        <w:t>90</w:t>
      </w:r>
      <w:r>
        <w:rPr>
          <w:rFonts w:hint="eastAsia" w:ascii="宋体" w:hAnsi="宋体"/>
          <w:color w:val="auto"/>
          <w:sz w:val="24"/>
          <w:szCs w:val="24"/>
          <w:highlight w:val="none"/>
        </w:rPr>
        <w:t>内发出开工通知的，承包人有权提出价格调整要求，或者解除合同。</w:t>
      </w:r>
    </w:p>
    <w:bookmarkEnd w:id="648"/>
    <w:bookmarkEnd w:id="649"/>
    <w:bookmarkEnd w:id="650"/>
    <w:bookmarkEnd w:id="651"/>
    <w:bookmarkEnd w:id="652"/>
    <w:bookmarkEnd w:id="653"/>
    <w:bookmarkEnd w:id="654"/>
    <w:p w14:paraId="788CC742">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7.4 测量放线</w:t>
      </w:r>
    </w:p>
    <w:p w14:paraId="73630706">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7.4.1发包人通过监理人向承包人提供测量基准点、基准线和水准点及其书面资料的期限：</w:t>
      </w:r>
      <w:r>
        <w:rPr>
          <w:rFonts w:hint="eastAsia" w:ascii="宋体" w:hAnsi="宋体"/>
          <w:color w:val="auto"/>
          <w:sz w:val="24"/>
          <w:szCs w:val="24"/>
          <w:highlight w:val="none"/>
          <w:u w:val="single"/>
        </w:rPr>
        <w:t xml:space="preserve">     开工前7天           </w:t>
      </w:r>
      <w:r>
        <w:rPr>
          <w:rFonts w:hint="eastAsia" w:ascii="宋体" w:hAnsi="宋体"/>
          <w:color w:val="auto"/>
          <w:sz w:val="24"/>
          <w:szCs w:val="24"/>
          <w:highlight w:val="none"/>
        </w:rPr>
        <w:t>。</w:t>
      </w:r>
    </w:p>
    <w:p w14:paraId="511CE0C5">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655" w:name="_Toc297216175"/>
      <w:bookmarkStart w:id="656" w:name="_Toc303539125"/>
      <w:bookmarkStart w:id="657" w:name="_Toc297123516"/>
      <w:bookmarkStart w:id="658" w:name="_Toc312678010"/>
      <w:bookmarkStart w:id="659" w:name="_Toc300934968"/>
      <w:bookmarkStart w:id="660" w:name="_Toc312677484"/>
      <w:bookmarkStart w:id="661" w:name="_Toc304295546"/>
      <w:r>
        <w:rPr>
          <w:rFonts w:hint="eastAsia" w:ascii="宋体" w:hAnsi="宋体"/>
          <w:color w:val="auto"/>
          <w:sz w:val="24"/>
          <w:szCs w:val="24"/>
          <w:highlight w:val="none"/>
        </w:rPr>
        <w:t>.5 工期延误</w:t>
      </w:r>
    </w:p>
    <w:bookmarkEnd w:id="655"/>
    <w:bookmarkEnd w:id="656"/>
    <w:bookmarkEnd w:id="657"/>
    <w:bookmarkEnd w:id="658"/>
    <w:bookmarkEnd w:id="659"/>
    <w:bookmarkEnd w:id="660"/>
    <w:bookmarkEnd w:id="661"/>
    <w:p w14:paraId="1B86FC6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7.5.1 因发包人原因导致工期延误</w:t>
      </w:r>
    </w:p>
    <w:p w14:paraId="309644F8">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（7）因发包人原因导致工期延误的其他情形：</w:t>
      </w:r>
      <w:r>
        <w:rPr>
          <w:rFonts w:hint="eastAsia" w:ascii="宋体" w:hAnsi="宋体"/>
          <w:color w:val="auto"/>
          <w:sz w:val="24"/>
          <w:szCs w:val="24"/>
          <w:highlight w:val="none"/>
          <w:u w:val="single"/>
          <w:lang w:val="zh-TW" w:eastAsia="zh-TW"/>
        </w:rPr>
        <w:t>（</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）由于国家政策停建或者缓建，致使施工无法正常进行以及由于政府及相关规定造成的工期延误。（</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）经双方书面确认的工期延误。（</w:t>
      </w:r>
      <w:r>
        <w:rPr>
          <w:rFonts w:hint="eastAsia" w:ascii="宋体" w:hAnsi="宋体"/>
          <w:color w:val="auto"/>
          <w:sz w:val="24"/>
          <w:szCs w:val="24"/>
          <w:highlight w:val="none"/>
          <w:u w:val="single"/>
        </w:rPr>
        <w:t>3</w:t>
      </w:r>
      <w:r>
        <w:rPr>
          <w:rFonts w:hint="eastAsia" w:ascii="宋体" w:hAnsi="宋体"/>
          <w:color w:val="auto"/>
          <w:sz w:val="24"/>
          <w:szCs w:val="24"/>
          <w:highlight w:val="none"/>
          <w:u w:val="single"/>
          <w:lang w:val="zh-TW" w:eastAsia="zh-TW"/>
        </w:rPr>
        <w:t>）由于不可抗力原因而影响工程施工；（</w:t>
      </w:r>
      <w:r>
        <w:rPr>
          <w:rFonts w:hint="eastAsia" w:ascii="宋体" w:hAnsi="宋体"/>
          <w:color w:val="auto"/>
          <w:sz w:val="24"/>
          <w:szCs w:val="24"/>
          <w:highlight w:val="none"/>
          <w:u w:val="single"/>
        </w:rPr>
        <w:t>4</w:t>
      </w:r>
      <w:r>
        <w:rPr>
          <w:rFonts w:hint="eastAsia" w:ascii="宋体" w:hAnsi="宋体"/>
          <w:color w:val="auto"/>
          <w:sz w:val="24"/>
          <w:szCs w:val="24"/>
          <w:highlight w:val="none"/>
          <w:u w:val="single"/>
          <w:lang w:val="zh-TW" w:eastAsia="zh-TW"/>
        </w:rPr>
        <w:t>）非承包人原因导致工期延误的其他情形</w:t>
      </w:r>
      <w:r>
        <w:rPr>
          <w:rFonts w:hint="eastAsia" w:ascii="宋体" w:hAnsi="宋体"/>
          <w:color w:val="auto"/>
          <w:sz w:val="24"/>
          <w:szCs w:val="24"/>
          <w:highlight w:val="none"/>
        </w:rPr>
        <w:t>。</w:t>
      </w:r>
    </w:p>
    <w:p w14:paraId="02C312F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w:t>
      </w:r>
      <w:bookmarkStart w:id="662" w:name="_Toc312677486"/>
      <w:bookmarkStart w:id="663" w:name="_Toc318581169"/>
      <w:bookmarkStart w:id="664" w:name="_Toc312678012"/>
      <w:bookmarkStart w:id="665" w:name="_Toc303539127"/>
      <w:bookmarkStart w:id="666" w:name="_Toc304295548"/>
      <w:bookmarkStart w:id="667" w:name="_Toc297216177"/>
      <w:bookmarkStart w:id="668" w:name="_Toc297123518"/>
      <w:bookmarkStart w:id="669" w:name="_Toc300934970"/>
      <w:r>
        <w:rPr>
          <w:rFonts w:hint="eastAsia" w:ascii="宋体" w:hAnsi="宋体"/>
          <w:color w:val="auto"/>
          <w:sz w:val="24"/>
          <w:szCs w:val="24"/>
          <w:highlight w:val="none"/>
        </w:rPr>
        <w:t>.5.2 因承包人原因导致工期延误</w:t>
      </w:r>
    </w:p>
    <w:bookmarkEnd w:id="662"/>
    <w:bookmarkEnd w:id="663"/>
    <w:bookmarkEnd w:id="664"/>
    <w:p w14:paraId="2D880B0F">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因</w:t>
      </w:r>
      <w:bookmarkStart w:id="670" w:name="_Toc312677487"/>
      <w:bookmarkStart w:id="671" w:name="_Toc312678013"/>
      <w:bookmarkStart w:id="672" w:name="_Toc318581170"/>
      <w:r>
        <w:rPr>
          <w:rFonts w:hint="eastAsia" w:ascii="宋体" w:hAnsi="宋体"/>
          <w:color w:val="auto"/>
          <w:sz w:val="24"/>
          <w:szCs w:val="24"/>
          <w:highlight w:val="none"/>
        </w:rPr>
        <w:t>承包人原因造成工期延误，逾期竣工违约金的计算方法为：</w:t>
      </w:r>
    </w:p>
    <w:p w14:paraId="62C4F08E">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u w:val="single"/>
          <w:lang w:val="zh-TW" w:eastAsia="zh-TW"/>
        </w:rPr>
        <w:t>工期顺延按合同总价的万分之五/天</w:t>
      </w:r>
      <w:r>
        <w:rPr>
          <w:rFonts w:hint="eastAsia" w:ascii="宋体" w:hAnsi="宋体"/>
          <w:color w:val="auto"/>
          <w:sz w:val="24"/>
          <w:szCs w:val="24"/>
          <w:highlight w:val="none"/>
        </w:rPr>
        <w:t>。</w:t>
      </w:r>
      <w:bookmarkEnd w:id="665"/>
      <w:bookmarkEnd w:id="666"/>
      <w:bookmarkEnd w:id="667"/>
      <w:bookmarkEnd w:id="668"/>
      <w:bookmarkEnd w:id="669"/>
      <w:bookmarkEnd w:id="670"/>
      <w:bookmarkEnd w:id="671"/>
    </w:p>
    <w:bookmarkEnd w:id="672"/>
    <w:p w14:paraId="370690F4">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因承包人原因造成工期延误，逾</w:t>
      </w:r>
      <w:bookmarkStart w:id="673" w:name="_Toc318581171"/>
      <w:bookmarkStart w:id="674" w:name="_Toc312678014"/>
      <w:r>
        <w:rPr>
          <w:rFonts w:hint="eastAsia" w:ascii="宋体" w:hAnsi="宋体"/>
          <w:color w:val="auto"/>
          <w:sz w:val="24"/>
          <w:szCs w:val="24"/>
          <w:highlight w:val="none"/>
        </w:rPr>
        <w:t>期竣工违约金的上限：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673"/>
    <w:bookmarkEnd w:id="674"/>
    <w:p w14:paraId="3301101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675" w:name="_Toc312678015"/>
      <w:bookmarkStart w:id="676" w:name="_Toc304295549"/>
      <w:bookmarkStart w:id="677" w:name="_Toc303539128"/>
      <w:bookmarkStart w:id="678" w:name="_Toc297216178"/>
      <w:bookmarkStart w:id="679" w:name="_Toc297123519"/>
      <w:bookmarkStart w:id="680" w:name="_Toc300934971"/>
      <w:r>
        <w:rPr>
          <w:rFonts w:hint="eastAsia" w:ascii="宋体" w:hAnsi="宋体"/>
          <w:color w:val="auto"/>
          <w:sz w:val="24"/>
          <w:szCs w:val="24"/>
          <w:highlight w:val="none"/>
        </w:rPr>
        <w:t>.6 不</w:t>
      </w:r>
      <w:bookmarkEnd w:id="675"/>
      <w:bookmarkEnd w:id="676"/>
      <w:bookmarkEnd w:id="677"/>
      <w:bookmarkEnd w:id="678"/>
      <w:bookmarkEnd w:id="679"/>
      <w:bookmarkEnd w:id="680"/>
      <w:r>
        <w:rPr>
          <w:rFonts w:hint="eastAsia" w:ascii="宋体" w:hAnsi="宋体"/>
          <w:color w:val="auto"/>
          <w:sz w:val="24"/>
          <w:szCs w:val="24"/>
          <w:highlight w:val="none"/>
        </w:rPr>
        <w:t>利物质条件</w:t>
      </w:r>
    </w:p>
    <w:p w14:paraId="7B2981A3">
      <w:pPr>
        <w:spacing w:line="380" w:lineRule="exact"/>
        <w:ind w:firstLine="482"/>
        <w:jc w:val="left"/>
        <w:rPr>
          <w:rFonts w:hint="eastAsia" w:ascii="宋体" w:hAnsi="宋体"/>
          <w:color w:val="auto"/>
          <w:sz w:val="24"/>
          <w:szCs w:val="24"/>
          <w:highlight w:val="none"/>
        </w:rPr>
      </w:pPr>
      <w:bookmarkStart w:id="681" w:name="_Toc300934972"/>
      <w:bookmarkStart w:id="682" w:name="_Toc303539129"/>
      <w:bookmarkStart w:id="683" w:name="_Toc318581172"/>
      <w:bookmarkStart w:id="684" w:name="_Toc312678016"/>
      <w:bookmarkStart w:id="685" w:name="_Toc297123520"/>
      <w:bookmarkStart w:id="686" w:name="_Toc297216179"/>
      <w:bookmarkStart w:id="687" w:name="_Toc304295550"/>
      <w:r>
        <w:rPr>
          <w:rFonts w:hint="eastAsia" w:ascii="宋体" w:hAnsi="宋体"/>
          <w:color w:val="auto"/>
          <w:sz w:val="24"/>
          <w:szCs w:val="24"/>
          <w:highlight w:val="none"/>
        </w:rPr>
        <w:t>不利物质条件的其他情形和有关约定：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681"/>
    <w:bookmarkEnd w:id="682"/>
    <w:bookmarkEnd w:id="683"/>
    <w:bookmarkEnd w:id="684"/>
    <w:bookmarkEnd w:id="685"/>
    <w:bookmarkEnd w:id="686"/>
    <w:bookmarkEnd w:id="687"/>
    <w:p w14:paraId="28D68EE3">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688" w:name="_Toc303539130"/>
      <w:bookmarkStart w:id="689" w:name="_Toc300934973"/>
      <w:bookmarkStart w:id="690" w:name="_Toc297123521"/>
      <w:bookmarkStart w:id="691" w:name="_Toc304295551"/>
      <w:bookmarkStart w:id="692" w:name="_Toc297216180"/>
      <w:bookmarkStart w:id="693" w:name="_Toc312678017"/>
      <w:r>
        <w:rPr>
          <w:rFonts w:hint="eastAsia" w:ascii="宋体" w:hAnsi="宋体"/>
          <w:color w:val="auto"/>
          <w:sz w:val="24"/>
          <w:szCs w:val="24"/>
          <w:highlight w:val="none"/>
        </w:rPr>
        <w:t>.7异常恶劣的气候条件</w:t>
      </w:r>
    </w:p>
    <w:bookmarkEnd w:id="688"/>
    <w:bookmarkEnd w:id="689"/>
    <w:bookmarkEnd w:id="690"/>
    <w:bookmarkEnd w:id="691"/>
    <w:bookmarkEnd w:id="692"/>
    <w:bookmarkEnd w:id="693"/>
    <w:p w14:paraId="7423B19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发包人和承包人同意以下情形视为异常恶劣的气候条件：</w:t>
      </w:r>
    </w:p>
    <w:p w14:paraId="1ADE605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u w:val="single"/>
          <w:lang w:val="zh-TW" w:eastAsia="zh-TW"/>
        </w:rPr>
        <w:t>双方另行确定</w:t>
      </w:r>
    </w:p>
    <w:p w14:paraId="104D87A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w:t>
      </w:r>
    </w:p>
    <w:p w14:paraId="1D88EAE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w:t>
      </w:r>
    </w:p>
    <w:p w14:paraId="752F271A">
      <w:pPr>
        <w:spacing w:line="380" w:lineRule="exact"/>
        <w:ind w:firstLine="480" w:firstLineChars="200"/>
        <w:outlineLvl w:val="0"/>
        <w:rPr>
          <w:rFonts w:hint="eastAsia" w:ascii="宋体" w:hAnsi="宋体"/>
          <w:color w:val="auto"/>
          <w:sz w:val="24"/>
          <w:szCs w:val="24"/>
          <w:highlight w:val="none"/>
        </w:rPr>
      </w:pPr>
      <w:bookmarkStart w:id="694" w:name="_Toc21266"/>
      <w:bookmarkStart w:id="695" w:name="_Toc9468"/>
      <w:bookmarkStart w:id="696" w:name="_Toc27038"/>
      <w:bookmarkStart w:id="697" w:name="_Toc17322"/>
      <w:bookmarkStart w:id="698" w:name="_Toc18677"/>
      <w:bookmarkStart w:id="699" w:name="_Toc7521"/>
      <w:bookmarkStart w:id="700" w:name="_Toc21102"/>
      <w:bookmarkStart w:id="701" w:name="_Toc15734"/>
      <w:r>
        <w:rPr>
          <w:rFonts w:hint="eastAsia" w:ascii="宋体" w:hAnsi="宋体"/>
          <w:color w:val="auto"/>
          <w:sz w:val="24"/>
          <w:szCs w:val="24"/>
          <w:highlight w:val="none"/>
        </w:rPr>
        <w:t>7.9 提前竣工的奖励</w:t>
      </w:r>
      <w:bookmarkEnd w:id="694"/>
      <w:bookmarkEnd w:id="695"/>
      <w:bookmarkEnd w:id="696"/>
      <w:bookmarkEnd w:id="697"/>
      <w:bookmarkEnd w:id="698"/>
      <w:bookmarkEnd w:id="699"/>
      <w:bookmarkEnd w:id="700"/>
      <w:bookmarkEnd w:id="701"/>
    </w:p>
    <w:p w14:paraId="24399A4B">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7.9.2提前竣工的奖励：</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CF45F70">
      <w:pPr>
        <w:keepNext/>
        <w:keepLines/>
        <w:spacing w:line="380" w:lineRule="exact"/>
        <w:ind w:firstLine="482"/>
        <w:outlineLvl w:val="3"/>
        <w:rPr>
          <w:rFonts w:hint="eastAsia" w:ascii="宋体" w:hAnsi="宋体"/>
          <w:bCs/>
          <w:color w:val="auto"/>
          <w:sz w:val="24"/>
          <w:szCs w:val="24"/>
          <w:highlight w:val="none"/>
        </w:rPr>
      </w:pPr>
      <w:bookmarkStart w:id="702" w:name="_Toc351203640"/>
      <w:r>
        <w:rPr>
          <w:rFonts w:hint="eastAsia" w:ascii="宋体" w:hAnsi="宋体"/>
          <w:bCs/>
          <w:color w:val="auto"/>
          <w:sz w:val="24"/>
          <w:szCs w:val="24"/>
          <w:highlight w:val="none"/>
        </w:rPr>
        <w:t>8. 材料与设备</w:t>
      </w:r>
      <w:bookmarkEnd w:id="702"/>
    </w:p>
    <w:bookmarkEnd w:id="613"/>
    <w:bookmarkEnd w:id="614"/>
    <w:bookmarkEnd w:id="615"/>
    <w:bookmarkEnd w:id="616"/>
    <w:bookmarkEnd w:id="617"/>
    <w:bookmarkEnd w:id="618"/>
    <w:bookmarkEnd w:id="619"/>
    <w:bookmarkEnd w:id="620"/>
    <w:bookmarkEnd w:id="621"/>
    <w:bookmarkEnd w:id="622"/>
    <w:p w14:paraId="3008097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8</w:t>
      </w:r>
      <w:bookmarkStart w:id="703" w:name="_Toc300934979"/>
      <w:bookmarkStart w:id="704" w:name="_Toc280868654"/>
      <w:bookmarkStart w:id="705" w:name="_Toc312678019"/>
      <w:bookmarkStart w:id="706" w:name="_Toc296890995"/>
      <w:bookmarkStart w:id="707" w:name="_Toc297048353"/>
      <w:bookmarkStart w:id="708" w:name="_Toc304295556"/>
      <w:bookmarkStart w:id="709" w:name="_Toc296346668"/>
      <w:bookmarkStart w:id="710" w:name="_Toc296503167"/>
      <w:bookmarkStart w:id="711" w:name="_Toc296944506"/>
      <w:bookmarkStart w:id="712" w:name="_Toc303539136"/>
      <w:bookmarkStart w:id="713" w:name="_Toc292559877"/>
      <w:bookmarkStart w:id="714" w:name="_Toc297120467"/>
      <w:bookmarkStart w:id="715" w:name="_Toc296347166"/>
      <w:bookmarkStart w:id="716" w:name="_Toc297216186"/>
      <w:bookmarkStart w:id="717" w:name="_Toc296891207"/>
      <w:bookmarkStart w:id="718" w:name="_Toc292559372"/>
      <w:bookmarkStart w:id="719" w:name="_Toc312677493"/>
      <w:bookmarkStart w:id="720" w:name="_Toc297123527"/>
      <w:bookmarkStart w:id="721" w:name="_Toc267251424"/>
      <w:bookmarkStart w:id="722" w:name="_Toc280868656"/>
      <w:bookmarkStart w:id="723" w:name="_Toc280868655"/>
      <w:r>
        <w:rPr>
          <w:rFonts w:hint="eastAsia" w:ascii="宋体" w:hAnsi="宋体"/>
          <w:color w:val="auto"/>
          <w:sz w:val="24"/>
          <w:szCs w:val="24"/>
          <w:highlight w:val="none"/>
        </w:rPr>
        <w:t>.4材料与工程设备的保管与使用</w:t>
      </w:r>
    </w:p>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14:paraId="21E8F341">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w:t>
      </w:r>
      <w:bookmarkStart w:id="724" w:name="_Toc292559373"/>
      <w:bookmarkStart w:id="725" w:name="_Toc292559878"/>
      <w:bookmarkStart w:id="726" w:name="_Toc297123528"/>
      <w:bookmarkStart w:id="727" w:name="_Toc297048354"/>
      <w:bookmarkStart w:id="728" w:name="_Toc297120468"/>
      <w:bookmarkStart w:id="729" w:name="_Toc296503168"/>
      <w:bookmarkStart w:id="730" w:name="_Toc297216187"/>
      <w:bookmarkStart w:id="731" w:name="_Toc312678020"/>
      <w:bookmarkStart w:id="732" w:name="_Toc300934980"/>
      <w:bookmarkStart w:id="733" w:name="_Toc296944507"/>
      <w:bookmarkStart w:id="734" w:name="_Toc296347167"/>
      <w:bookmarkStart w:id="735" w:name="_Toc312677494"/>
      <w:bookmarkStart w:id="736" w:name="_Toc304295557"/>
      <w:bookmarkStart w:id="737" w:name="_Toc296890996"/>
      <w:bookmarkStart w:id="738" w:name="_Toc296891208"/>
      <w:bookmarkStart w:id="739" w:name="_Toc296346669"/>
      <w:bookmarkStart w:id="740" w:name="_Toc303539137"/>
      <w:bookmarkStart w:id="741" w:name="_Toc318581173"/>
      <w:r>
        <w:rPr>
          <w:rFonts w:hint="eastAsia" w:ascii="宋体" w:hAnsi="宋体"/>
          <w:color w:val="auto"/>
          <w:sz w:val="24"/>
          <w:szCs w:val="24"/>
          <w:highlight w:val="none"/>
        </w:rPr>
        <w:t>.4.1发包人供应的材料设备的保管费用的承担：</w:t>
      </w:r>
      <w:r>
        <w:rPr>
          <w:rFonts w:hint="eastAsia" w:ascii="宋体" w:hAnsi="宋体"/>
          <w:color w:val="auto"/>
          <w:sz w:val="24"/>
          <w:szCs w:val="24"/>
          <w:highlight w:val="none"/>
          <w:u w:val="single"/>
          <w:lang w:val="zh-TW" w:eastAsia="zh-TW"/>
        </w:rPr>
        <w:t>由发包人承担</w:t>
      </w:r>
      <w:r>
        <w:rPr>
          <w:rFonts w:hint="eastAsia" w:ascii="宋体" w:hAnsi="宋体"/>
          <w:color w:val="auto"/>
          <w:sz w:val="24"/>
          <w:szCs w:val="24"/>
          <w:highlight w:val="none"/>
        </w:rPr>
        <w:t>。</w:t>
      </w:r>
      <w:bookmarkEnd w:id="724"/>
      <w:bookmarkEnd w:id="725"/>
    </w:p>
    <w:p w14:paraId="7F6B31BD">
      <w:pPr>
        <w:spacing w:line="380" w:lineRule="exact"/>
        <w:ind w:firstLine="480" w:firstLineChars="200"/>
        <w:outlineLvl w:val="0"/>
        <w:rPr>
          <w:rFonts w:hint="eastAsia" w:ascii="宋体" w:hAnsi="宋体"/>
          <w:color w:val="auto"/>
          <w:sz w:val="24"/>
          <w:szCs w:val="24"/>
          <w:highlight w:val="none"/>
        </w:rPr>
      </w:pPr>
      <w:bookmarkStart w:id="742" w:name="_Toc26487"/>
      <w:bookmarkStart w:id="743" w:name="_Toc10489"/>
      <w:bookmarkStart w:id="744" w:name="_Toc8633"/>
      <w:bookmarkStart w:id="745" w:name="_Toc31142"/>
      <w:bookmarkStart w:id="746" w:name="_Toc29280"/>
      <w:bookmarkStart w:id="747" w:name="_Toc7715"/>
      <w:bookmarkStart w:id="748" w:name="_Toc10139"/>
      <w:bookmarkStart w:id="749" w:name="_Toc31807"/>
      <w:r>
        <w:rPr>
          <w:rFonts w:hint="eastAsia" w:ascii="宋体" w:hAnsi="宋体"/>
          <w:color w:val="auto"/>
          <w:sz w:val="24"/>
          <w:szCs w:val="24"/>
          <w:highlight w:val="none"/>
        </w:rPr>
        <w:t>8.6 样品</w:t>
      </w:r>
      <w:bookmarkEnd w:id="742"/>
      <w:bookmarkEnd w:id="743"/>
      <w:bookmarkEnd w:id="744"/>
      <w:bookmarkEnd w:id="745"/>
      <w:bookmarkEnd w:id="746"/>
      <w:bookmarkEnd w:id="747"/>
      <w:bookmarkEnd w:id="748"/>
      <w:bookmarkEnd w:id="749"/>
    </w:p>
    <w:p w14:paraId="0B99F052">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8.6.1</w:t>
      </w:r>
      <w:r>
        <w:rPr>
          <w:rFonts w:hint="eastAsia" w:ascii="宋体" w:hAnsi="宋体"/>
          <w:color w:val="auto"/>
          <w:kern w:val="0"/>
          <w:sz w:val="24"/>
          <w:szCs w:val="24"/>
          <w:highlight w:val="none"/>
        </w:rPr>
        <w:tab/>
      </w:r>
      <w:r>
        <w:rPr>
          <w:rFonts w:hint="eastAsia" w:ascii="宋体" w:hAnsi="宋体"/>
          <w:color w:val="auto"/>
          <w:kern w:val="0"/>
          <w:sz w:val="24"/>
          <w:szCs w:val="24"/>
          <w:highlight w:val="none"/>
        </w:rPr>
        <w:t>样品的报送与封存</w:t>
      </w:r>
    </w:p>
    <w:p w14:paraId="609E4665">
      <w:pPr>
        <w:autoSpaceDE w:val="0"/>
        <w:autoSpaceDN w:val="0"/>
        <w:adjustRightInd w:val="0"/>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需要承包人报送样品的材料或工程设备，样品的种类、名称、规格、数量要求：</w:t>
      </w:r>
      <w:r>
        <w:rPr>
          <w:rFonts w:hint="eastAsia" w:ascii="宋体" w:hAnsi="宋体"/>
          <w:color w:val="auto"/>
          <w:sz w:val="24"/>
          <w:szCs w:val="24"/>
          <w:highlight w:val="none"/>
        </w:rPr>
        <w:t>。</w:t>
      </w:r>
    </w:p>
    <w:p w14:paraId="1D6D1E36">
      <w:pPr>
        <w:spacing w:line="380" w:lineRule="exact"/>
        <w:ind w:firstLine="480" w:firstLineChars="200"/>
        <w:outlineLvl w:val="0"/>
        <w:rPr>
          <w:rFonts w:hint="eastAsia" w:ascii="宋体" w:hAnsi="宋体"/>
          <w:color w:val="auto"/>
          <w:sz w:val="24"/>
          <w:szCs w:val="24"/>
          <w:highlight w:val="none"/>
        </w:rPr>
      </w:pPr>
      <w:bookmarkStart w:id="750" w:name="_Toc23358"/>
      <w:bookmarkStart w:id="751" w:name="_Toc29728"/>
      <w:bookmarkStart w:id="752" w:name="_Toc18512"/>
      <w:bookmarkStart w:id="753" w:name="_Toc25508"/>
      <w:bookmarkStart w:id="754" w:name="_Toc31183"/>
      <w:bookmarkStart w:id="755" w:name="_Toc823"/>
      <w:bookmarkStart w:id="756" w:name="_Toc21446"/>
      <w:bookmarkStart w:id="757" w:name="_Toc5065"/>
      <w:r>
        <w:rPr>
          <w:rFonts w:hint="eastAsia" w:ascii="宋体" w:hAnsi="宋体"/>
          <w:color w:val="auto"/>
          <w:sz w:val="24"/>
          <w:szCs w:val="24"/>
          <w:highlight w:val="none"/>
        </w:rPr>
        <w:t>8.8 施工设备和临时设施</w:t>
      </w:r>
      <w:bookmarkEnd w:id="750"/>
      <w:bookmarkEnd w:id="751"/>
      <w:bookmarkEnd w:id="752"/>
      <w:bookmarkEnd w:id="753"/>
      <w:bookmarkEnd w:id="754"/>
      <w:bookmarkEnd w:id="755"/>
      <w:bookmarkEnd w:id="756"/>
      <w:bookmarkEnd w:id="757"/>
    </w:p>
    <w:p w14:paraId="1987F24F">
      <w:pPr>
        <w:autoSpaceDE w:val="0"/>
        <w:autoSpaceDN w:val="0"/>
        <w:adjustRightInd w:val="0"/>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8.8.1 承包人提供的施工设备和临时设施</w:t>
      </w:r>
    </w:p>
    <w:p w14:paraId="0E332D24">
      <w:pPr>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关于修建临时设施费用承担的约定：</w:t>
      </w:r>
    </w:p>
    <w:p w14:paraId="2CDB0F72">
      <w:pPr>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1.承包人应按设计和有关标准要求采购工程所需材料，并提供材料、产品合格证明，报发包人代表和监理工程师签字验收认可后方可进场，不合格的材料、设备不得进场。</w:t>
      </w:r>
    </w:p>
    <w:p w14:paraId="71708589">
      <w:pPr>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2.承包人采购的材料、设备在使用前，应按要求进行检验或试验，检验合格且报发包人和监理工程师签字验收认可后方可使用，不合格的材料不得使用，检验、试验费由承包人承担。</w:t>
      </w:r>
    </w:p>
    <w:p w14:paraId="42B261C1">
      <w:pPr>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3.发包人和监理人发现在施工中有以次充好的、没有产品合格证的、经抽查检验或实验不合规格的材料或设备，承包人必须立即无条件地将这些材料或设备清理出场，并向发包人支付材料或设备价200%的经济补偿赔偿金，赔偿对发包人造成的损失。抽检中涉及的检验、试验费由承包人承担。</w:t>
      </w:r>
    </w:p>
    <w:p w14:paraId="4F1FD3BB">
      <w:pPr>
        <w:spacing w:line="380" w:lineRule="exact"/>
        <w:ind w:firstLine="480" w:firstLineChars="200"/>
        <w:jc w:val="left"/>
        <w:rPr>
          <w:rFonts w:hint="eastAsia" w:ascii="宋体" w:hAnsi="宋体"/>
          <w:color w:val="auto"/>
          <w:sz w:val="24"/>
          <w:szCs w:val="24"/>
          <w:highlight w:val="none"/>
        </w:rPr>
      </w:pPr>
      <w:r>
        <w:rPr>
          <w:rFonts w:hint="eastAsia" w:ascii="宋体" w:hAnsi="宋体" w:cs="宋体"/>
          <w:color w:val="auto"/>
          <w:sz w:val="24"/>
          <w:szCs w:val="24"/>
          <w:highlight w:val="none"/>
          <w:u w:val="single"/>
          <w:lang w:bidi="ar"/>
        </w:rPr>
        <w:t>4.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w:t>
      </w:r>
      <w:r>
        <w:rPr>
          <w:rFonts w:hint="eastAsia" w:ascii="宋体" w:hAnsi="宋体"/>
          <w:color w:val="auto"/>
          <w:sz w:val="24"/>
          <w:szCs w:val="24"/>
          <w:highlight w:val="none"/>
        </w:rPr>
        <w:t>。</w:t>
      </w:r>
    </w:p>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14:paraId="697B1F17">
      <w:pPr>
        <w:keepNext/>
        <w:keepLines/>
        <w:spacing w:line="380" w:lineRule="exact"/>
        <w:ind w:firstLine="482"/>
        <w:outlineLvl w:val="3"/>
        <w:rPr>
          <w:rFonts w:hint="eastAsia" w:ascii="宋体" w:hAnsi="宋体"/>
          <w:bCs/>
          <w:color w:val="auto"/>
          <w:sz w:val="24"/>
          <w:szCs w:val="24"/>
          <w:highlight w:val="none"/>
        </w:rPr>
      </w:pPr>
      <w:bookmarkStart w:id="758" w:name="_Toc351203641"/>
      <w:r>
        <w:rPr>
          <w:rFonts w:hint="eastAsia" w:ascii="宋体" w:hAnsi="宋体"/>
          <w:bCs/>
          <w:color w:val="auto"/>
          <w:sz w:val="24"/>
          <w:szCs w:val="24"/>
          <w:highlight w:val="none"/>
        </w:rPr>
        <w:t>9</w:t>
      </w:r>
      <w:bookmarkEnd w:id="721"/>
      <w:bookmarkEnd w:id="722"/>
      <w:bookmarkEnd w:id="723"/>
      <w:bookmarkStart w:id="759" w:name="_Toc312677495"/>
      <w:bookmarkStart w:id="760" w:name="_Toc312678021"/>
      <w:bookmarkStart w:id="761" w:name="_Toc297216192"/>
      <w:bookmarkStart w:id="762" w:name="_Toc300934982"/>
      <w:bookmarkStart w:id="763" w:name="_Toc303539139"/>
      <w:bookmarkStart w:id="764" w:name="_Toc297123533"/>
      <w:bookmarkStart w:id="765" w:name="_Toc304295559"/>
      <w:bookmarkStart w:id="766" w:name="_Toc296503173"/>
      <w:bookmarkStart w:id="767" w:name="_Toc297048359"/>
      <w:bookmarkStart w:id="768" w:name="_Toc297120473"/>
      <w:bookmarkStart w:id="769" w:name="_Toc296346674"/>
      <w:bookmarkStart w:id="770" w:name="_Toc296891213"/>
      <w:bookmarkStart w:id="771" w:name="_Toc296347172"/>
      <w:bookmarkStart w:id="772" w:name="_Toc267251428"/>
      <w:bookmarkStart w:id="773" w:name="_Toc267251427"/>
      <w:bookmarkStart w:id="774" w:name="_Toc292559883"/>
      <w:bookmarkStart w:id="775" w:name="_Toc296944512"/>
      <w:bookmarkStart w:id="776" w:name="_Toc296891001"/>
      <w:bookmarkStart w:id="777" w:name="_Toc292559378"/>
      <w:r>
        <w:rPr>
          <w:rFonts w:hint="eastAsia" w:ascii="宋体" w:hAnsi="宋体"/>
          <w:bCs/>
          <w:color w:val="auto"/>
          <w:sz w:val="24"/>
          <w:szCs w:val="24"/>
          <w:highlight w:val="none"/>
        </w:rPr>
        <w:t>. 试验与检验</w:t>
      </w:r>
      <w:bookmarkEnd w:id="758"/>
    </w:p>
    <w:bookmarkEnd w:id="759"/>
    <w:bookmarkEnd w:id="760"/>
    <w:bookmarkEnd w:id="761"/>
    <w:bookmarkEnd w:id="762"/>
    <w:bookmarkEnd w:id="763"/>
    <w:bookmarkEnd w:id="764"/>
    <w:bookmarkEnd w:id="765"/>
    <w:p w14:paraId="753D2CB8">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9</w:t>
      </w:r>
      <w:bookmarkStart w:id="778" w:name="_Toc297216193"/>
      <w:bookmarkStart w:id="779" w:name="_Toc303539140"/>
      <w:bookmarkStart w:id="780" w:name="_Toc300934983"/>
      <w:bookmarkStart w:id="781" w:name="_Toc297123534"/>
      <w:bookmarkStart w:id="782" w:name="_Toc312677496"/>
      <w:bookmarkStart w:id="783" w:name="_Toc304295560"/>
      <w:bookmarkStart w:id="784" w:name="_Toc312678022"/>
      <w:r>
        <w:rPr>
          <w:rFonts w:hint="eastAsia" w:ascii="宋体" w:hAnsi="宋体"/>
          <w:color w:val="auto"/>
          <w:sz w:val="24"/>
          <w:szCs w:val="24"/>
          <w:highlight w:val="none"/>
        </w:rPr>
        <w:t>.1试验设备与试验人员</w:t>
      </w:r>
    </w:p>
    <w:bookmarkEnd w:id="778"/>
    <w:bookmarkEnd w:id="779"/>
    <w:bookmarkEnd w:id="780"/>
    <w:bookmarkEnd w:id="781"/>
    <w:bookmarkEnd w:id="782"/>
    <w:bookmarkEnd w:id="783"/>
    <w:bookmarkEnd w:id="784"/>
    <w:p w14:paraId="573525C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w:t>
      </w:r>
      <w:bookmarkStart w:id="785" w:name="_Toc304295561"/>
      <w:bookmarkStart w:id="786" w:name="_Toc303539141"/>
      <w:bookmarkStart w:id="787" w:name="_Toc297123535"/>
      <w:bookmarkStart w:id="788" w:name="_Toc312678023"/>
      <w:bookmarkStart w:id="789" w:name="_Toc300934984"/>
      <w:bookmarkStart w:id="790" w:name="_Toc312677497"/>
      <w:bookmarkStart w:id="791" w:name="_Toc297216194"/>
      <w:bookmarkStart w:id="792" w:name="_Toc318581174"/>
      <w:r>
        <w:rPr>
          <w:rFonts w:hint="eastAsia" w:ascii="宋体" w:hAnsi="宋体"/>
          <w:color w:val="auto"/>
          <w:sz w:val="24"/>
          <w:szCs w:val="24"/>
          <w:highlight w:val="none"/>
        </w:rPr>
        <w:t>.1.2 试验设备</w:t>
      </w:r>
    </w:p>
    <w:p w14:paraId="6E0FFA4F">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施工现场需要配置的试验场所：</w:t>
      </w:r>
      <w:bookmarkEnd w:id="785"/>
      <w:bookmarkEnd w:id="786"/>
      <w:bookmarkEnd w:id="787"/>
      <w:bookmarkEnd w:id="788"/>
      <w:bookmarkEnd w:id="789"/>
      <w:bookmarkEnd w:id="790"/>
      <w:bookmarkEnd w:id="791"/>
      <w:bookmarkStart w:id="793" w:name="_Toc304295562"/>
      <w:bookmarkStart w:id="794" w:name="_Toc297216195"/>
      <w:bookmarkStart w:id="795" w:name="_Toc312678024"/>
      <w:bookmarkStart w:id="796" w:name="_Toc297123536"/>
      <w:bookmarkStart w:id="797" w:name="_Toc300934985"/>
      <w:bookmarkStart w:id="798" w:name="_Toc312677498"/>
      <w:bookmarkStart w:id="799" w:name="_Toc303539142"/>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56EAF429">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施工现场需要配备的试验设备：</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03D9988F">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施工现场需要具备的其他试验条件：</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35FFB278">
      <w:pPr>
        <w:spacing w:line="380" w:lineRule="exact"/>
        <w:ind w:firstLine="480" w:firstLineChars="200"/>
        <w:outlineLvl w:val="0"/>
        <w:rPr>
          <w:rFonts w:hint="eastAsia" w:ascii="宋体" w:hAnsi="宋体"/>
          <w:color w:val="auto"/>
          <w:sz w:val="24"/>
          <w:szCs w:val="24"/>
          <w:highlight w:val="none"/>
        </w:rPr>
      </w:pPr>
      <w:bookmarkStart w:id="800" w:name="_Toc2724"/>
      <w:bookmarkStart w:id="801" w:name="_Toc21575"/>
      <w:bookmarkStart w:id="802" w:name="_Toc24363"/>
      <w:bookmarkStart w:id="803" w:name="_Toc32105"/>
      <w:bookmarkStart w:id="804" w:name="_Toc17353"/>
      <w:bookmarkStart w:id="805" w:name="_Toc20931"/>
      <w:bookmarkStart w:id="806" w:name="_Toc10194"/>
      <w:bookmarkStart w:id="807" w:name="_Toc3544"/>
      <w:r>
        <w:rPr>
          <w:rFonts w:hint="eastAsia" w:ascii="宋体" w:hAnsi="宋体"/>
          <w:color w:val="auto"/>
          <w:sz w:val="24"/>
          <w:szCs w:val="24"/>
          <w:highlight w:val="none"/>
        </w:rPr>
        <w:t>9.4 现场工艺试验</w:t>
      </w:r>
      <w:bookmarkEnd w:id="800"/>
      <w:bookmarkEnd w:id="801"/>
      <w:bookmarkEnd w:id="802"/>
      <w:bookmarkEnd w:id="803"/>
      <w:bookmarkEnd w:id="804"/>
      <w:bookmarkEnd w:id="805"/>
      <w:bookmarkEnd w:id="806"/>
      <w:bookmarkEnd w:id="807"/>
    </w:p>
    <w:p w14:paraId="531186A5">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现场工艺试验的有关约定：</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bookmarkEnd w:id="792"/>
    <w:bookmarkEnd w:id="793"/>
    <w:bookmarkEnd w:id="794"/>
    <w:bookmarkEnd w:id="795"/>
    <w:bookmarkEnd w:id="796"/>
    <w:bookmarkEnd w:id="797"/>
    <w:bookmarkEnd w:id="798"/>
    <w:bookmarkEnd w:id="799"/>
    <w:p w14:paraId="38FDB328">
      <w:pPr>
        <w:keepNext/>
        <w:keepLines/>
        <w:spacing w:line="380" w:lineRule="exact"/>
        <w:ind w:firstLine="482"/>
        <w:outlineLvl w:val="3"/>
        <w:rPr>
          <w:rFonts w:hint="eastAsia" w:ascii="宋体" w:hAnsi="宋体"/>
          <w:bCs/>
          <w:color w:val="auto"/>
          <w:sz w:val="24"/>
          <w:szCs w:val="24"/>
          <w:highlight w:val="none"/>
        </w:rPr>
      </w:pPr>
      <w:bookmarkStart w:id="808" w:name="_Toc351203642"/>
      <w:r>
        <w:rPr>
          <w:rFonts w:hint="eastAsia" w:ascii="宋体" w:hAnsi="宋体"/>
          <w:bCs/>
          <w:color w:val="auto"/>
          <w:sz w:val="24"/>
          <w:szCs w:val="24"/>
          <w:highlight w:val="none"/>
        </w:rPr>
        <w:t>1</w:t>
      </w:r>
      <w:bookmarkEnd w:id="766"/>
      <w:bookmarkEnd w:id="767"/>
      <w:bookmarkEnd w:id="768"/>
      <w:bookmarkEnd w:id="769"/>
      <w:bookmarkEnd w:id="770"/>
      <w:bookmarkEnd w:id="771"/>
      <w:bookmarkEnd w:id="772"/>
      <w:bookmarkEnd w:id="773"/>
      <w:bookmarkEnd w:id="774"/>
      <w:bookmarkEnd w:id="775"/>
      <w:bookmarkEnd w:id="776"/>
      <w:bookmarkEnd w:id="777"/>
      <w:bookmarkStart w:id="809" w:name="_Toc296891021"/>
      <w:bookmarkStart w:id="810" w:name="_Toc292559903"/>
      <w:bookmarkStart w:id="811" w:name="_Toc304295566"/>
      <w:bookmarkStart w:id="812" w:name="_Toc297216199"/>
      <w:bookmarkStart w:id="813" w:name="_Toc300934989"/>
      <w:bookmarkStart w:id="814" w:name="_Toc296347192"/>
      <w:bookmarkStart w:id="815" w:name="_Toc297123540"/>
      <w:bookmarkStart w:id="816" w:name="_Toc292559398"/>
      <w:bookmarkStart w:id="817" w:name="_Toc297120493"/>
      <w:bookmarkStart w:id="818" w:name="_Toc296944532"/>
      <w:bookmarkStart w:id="819" w:name="_Toc303539146"/>
      <w:bookmarkStart w:id="820" w:name="_Toc296891233"/>
      <w:bookmarkStart w:id="821" w:name="_Toc296346694"/>
      <w:bookmarkStart w:id="822" w:name="_Toc297048379"/>
      <w:bookmarkStart w:id="823" w:name="_Toc296503193"/>
      <w:bookmarkStart w:id="824" w:name="_Toc312677499"/>
      <w:bookmarkStart w:id="825" w:name="_Toc312678025"/>
      <w:bookmarkStart w:id="826" w:name="_Toc267251435"/>
      <w:bookmarkStart w:id="827" w:name="_Toc267251433"/>
      <w:bookmarkStart w:id="828" w:name="_Toc267251440"/>
      <w:bookmarkStart w:id="829" w:name="_Toc267251439"/>
      <w:bookmarkStart w:id="830" w:name="_Toc267251437"/>
      <w:bookmarkStart w:id="831" w:name="_Toc267251441"/>
      <w:bookmarkStart w:id="832" w:name="_Toc267251442"/>
      <w:r>
        <w:rPr>
          <w:rFonts w:hint="eastAsia" w:ascii="宋体" w:hAnsi="宋体"/>
          <w:bCs/>
          <w:color w:val="auto"/>
          <w:sz w:val="24"/>
          <w:szCs w:val="24"/>
          <w:highlight w:val="none"/>
        </w:rPr>
        <w:t>0. 变更</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bookmarkEnd w:id="824"/>
    <w:bookmarkEnd w:id="825"/>
    <w:p w14:paraId="1E56978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bookmarkStart w:id="833" w:name="_Toc296891022"/>
      <w:bookmarkStart w:id="834" w:name="_Toc296891234"/>
      <w:bookmarkStart w:id="835" w:name="_Toc292559399"/>
      <w:bookmarkStart w:id="836" w:name="_Toc297216200"/>
      <w:bookmarkStart w:id="837" w:name="_Toc296503194"/>
      <w:bookmarkStart w:id="838" w:name="_Toc300934990"/>
      <w:bookmarkStart w:id="839" w:name="_Toc312677500"/>
      <w:bookmarkStart w:id="840" w:name="_Toc304295567"/>
      <w:bookmarkStart w:id="841" w:name="_Toc296347193"/>
      <w:bookmarkStart w:id="842" w:name="_Toc296944533"/>
      <w:bookmarkStart w:id="843" w:name="_Toc297120494"/>
      <w:bookmarkStart w:id="844" w:name="_Toc312678026"/>
      <w:bookmarkStart w:id="845" w:name="_Toc297123541"/>
      <w:bookmarkStart w:id="846" w:name="_Toc292559904"/>
      <w:bookmarkStart w:id="847" w:name="_Toc303539147"/>
      <w:bookmarkStart w:id="848" w:name="_Toc296346695"/>
      <w:bookmarkStart w:id="849" w:name="_Toc297048380"/>
      <w:r>
        <w:rPr>
          <w:rFonts w:hint="eastAsia" w:ascii="宋体" w:hAnsi="宋体"/>
          <w:color w:val="auto"/>
          <w:sz w:val="24"/>
          <w:szCs w:val="24"/>
          <w:highlight w:val="none"/>
        </w:rPr>
        <w:t>0.1变更的范围</w:t>
      </w:r>
    </w:p>
    <w:p w14:paraId="2143D215">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关于变更的范围的约定：</w:t>
      </w:r>
      <w:r>
        <w:rPr>
          <w:rFonts w:hint="eastAsia" w:ascii="宋体" w:hAnsi="宋体" w:cs="宋体"/>
          <w:color w:val="auto"/>
          <w:sz w:val="24"/>
          <w:szCs w:val="24"/>
          <w:highlight w:val="none"/>
          <w:u w:val="single"/>
          <w:lang w:bidi="ar"/>
        </w:rPr>
        <w:t>增加或减少合同中任何工作，或追加额外的工作；改变合同中任何工作的质量标准或其他特性</w:t>
      </w:r>
      <w:r>
        <w:rPr>
          <w:rFonts w:hint="eastAsia" w:ascii="宋体" w:hAnsi="宋体"/>
          <w:color w:val="auto"/>
          <w:sz w:val="24"/>
          <w:szCs w:val="24"/>
          <w:highlight w:val="none"/>
        </w:rPr>
        <w:t>。</w:t>
      </w:r>
    </w:p>
    <w:p w14:paraId="22C201D8">
      <w:pPr>
        <w:spacing w:line="380" w:lineRule="exact"/>
        <w:ind w:firstLine="480" w:firstLineChars="200"/>
        <w:outlineLvl w:val="0"/>
        <w:rPr>
          <w:rFonts w:hint="eastAsia" w:ascii="宋体" w:hAnsi="宋体"/>
          <w:color w:val="auto"/>
          <w:sz w:val="24"/>
          <w:szCs w:val="24"/>
          <w:highlight w:val="none"/>
        </w:rPr>
      </w:pPr>
      <w:bookmarkStart w:id="850" w:name="_Toc19051"/>
      <w:bookmarkStart w:id="851" w:name="_Toc22985"/>
      <w:bookmarkStart w:id="852" w:name="_Toc172"/>
      <w:bookmarkStart w:id="853" w:name="_Toc21233"/>
      <w:bookmarkStart w:id="854" w:name="_Toc16420"/>
      <w:bookmarkStart w:id="855" w:name="_Toc14085"/>
      <w:bookmarkStart w:id="856" w:name="_Toc30468"/>
      <w:bookmarkStart w:id="857" w:name="_Toc3593"/>
      <w:r>
        <w:rPr>
          <w:rFonts w:hint="eastAsia" w:ascii="宋体" w:hAnsi="宋体"/>
          <w:color w:val="auto"/>
          <w:sz w:val="24"/>
          <w:szCs w:val="24"/>
          <w:highlight w:val="none"/>
        </w:rPr>
        <w:t>10.4 变更估价</w:t>
      </w:r>
      <w:bookmarkEnd w:id="850"/>
      <w:bookmarkEnd w:id="851"/>
      <w:bookmarkEnd w:id="852"/>
      <w:bookmarkEnd w:id="853"/>
      <w:bookmarkEnd w:id="854"/>
      <w:bookmarkEnd w:id="855"/>
      <w:bookmarkEnd w:id="856"/>
      <w:bookmarkEnd w:id="857"/>
    </w:p>
    <w:p w14:paraId="752233C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10.4.1 变更估价原则</w:t>
      </w:r>
    </w:p>
    <w:p w14:paraId="146213BF">
      <w:pPr>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 xml:space="preserve">关于变更估价的约定: </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602282F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Start w:id="858" w:name="_Toc297216203"/>
      <w:bookmarkStart w:id="859" w:name="_Toc300934993"/>
      <w:bookmarkStart w:id="860" w:name="_Toc297048383"/>
      <w:bookmarkStart w:id="861" w:name="_Toc296891237"/>
      <w:bookmarkStart w:id="862" w:name="_Toc296346698"/>
      <w:bookmarkStart w:id="863" w:name="_Toc297123544"/>
      <w:bookmarkStart w:id="864" w:name="_Toc296347196"/>
      <w:bookmarkStart w:id="865" w:name="_Toc303539150"/>
      <w:bookmarkStart w:id="866" w:name="_Toc296944536"/>
      <w:bookmarkStart w:id="867" w:name="_Toc296503197"/>
      <w:bookmarkStart w:id="868" w:name="_Toc292559907"/>
      <w:bookmarkStart w:id="869" w:name="_Toc296891025"/>
      <w:bookmarkStart w:id="870" w:name="_Toc297120497"/>
      <w:bookmarkStart w:id="871" w:name="_Toc292559402"/>
      <w:bookmarkStart w:id="872" w:name="_Toc312677503"/>
      <w:bookmarkStart w:id="873" w:name="_Toc312678029"/>
      <w:bookmarkStart w:id="874" w:name="_Toc304295570"/>
      <w:r>
        <w:rPr>
          <w:rFonts w:hint="eastAsia" w:ascii="宋体" w:hAnsi="宋体"/>
          <w:color w:val="auto"/>
          <w:sz w:val="24"/>
          <w:szCs w:val="24"/>
          <w:highlight w:val="none"/>
        </w:rPr>
        <w:t>0.5承</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Start w:id="875" w:name="_Toc296891031"/>
      <w:bookmarkStart w:id="876" w:name="_Toc292559408"/>
      <w:bookmarkStart w:id="877" w:name="_Toc296347202"/>
      <w:bookmarkStart w:id="878" w:name="_Toc297216204"/>
      <w:bookmarkStart w:id="879" w:name="_Toc296346704"/>
      <w:bookmarkStart w:id="880" w:name="_Toc297120503"/>
      <w:bookmarkStart w:id="881" w:name="_Toc296944542"/>
      <w:bookmarkStart w:id="882" w:name="_Toc296503203"/>
      <w:bookmarkStart w:id="883" w:name="_Toc297048389"/>
      <w:bookmarkStart w:id="884" w:name="_Toc297123545"/>
      <w:bookmarkStart w:id="885" w:name="_Toc292559913"/>
      <w:bookmarkStart w:id="886" w:name="_Toc296891243"/>
      <w:bookmarkStart w:id="887" w:name="_Toc303539151"/>
      <w:bookmarkStart w:id="888" w:name="_Toc300934994"/>
      <w:r>
        <w:rPr>
          <w:rFonts w:hint="eastAsia" w:ascii="宋体" w:hAnsi="宋体"/>
          <w:color w:val="auto"/>
          <w:sz w:val="24"/>
          <w:szCs w:val="24"/>
          <w:highlight w:val="none"/>
        </w:rPr>
        <w:t>包人的合理化建议</w:t>
      </w:r>
    </w:p>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14:paraId="01FC310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监理人审查承包人合理化建议的期限：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p w14:paraId="7E6BF1A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发包人审批承包人合理化建议的期限：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p w14:paraId="52235147">
      <w:pPr>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承</w:t>
      </w:r>
      <w:bookmarkStart w:id="889" w:name="_Toc304295571"/>
      <w:bookmarkStart w:id="890" w:name="_Toc296503204"/>
      <w:bookmarkStart w:id="891" w:name="_Toc303539152"/>
      <w:bookmarkStart w:id="892" w:name="_Toc297216205"/>
      <w:bookmarkStart w:id="893" w:name="_Toc300934995"/>
      <w:bookmarkStart w:id="894" w:name="_Toc312677504"/>
      <w:bookmarkStart w:id="895" w:name="_Toc296347203"/>
      <w:bookmarkStart w:id="896" w:name="_Toc297120504"/>
      <w:bookmarkStart w:id="897" w:name="_Toc296891032"/>
      <w:bookmarkStart w:id="898" w:name="_Toc312678030"/>
      <w:bookmarkStart w:id="899" w:name="_Toc296891244"/>
      <w:bookmarkStart w:id="900" w:name="_Toc318581175"/>
      <w:bookmarkStart w:id="901" w:name="_Toc296944543"/>
      <w:bookmarkStart w:id="902" w:name="_Toc297048390"/>
      <w:bookmarkStart w:id="903" w:name="_Toc292559409"/>
      <w:bookmarkStart w:id="904" w:name="_Toc296346705"/>
      <w:bookmarkStart w:id="905" w:name="_Toc292559914"/>
      <w:bookmarkStart w:id="906" w:name="_Toc297123546"/>
      <w:r>
        <w:rPr>
          <w:rFonts w:hint="eastAsia" w:ascii="宋体" w:hAnsi="宋体"/>
          <w:color w:val="auto"/>
          <w:sz w:val="24"/>
          <w:szCs w:val="24"/>
          <w:highlight w:val="none"/>
        </w:rPr>
        <w:t>包人提出的合理化建议降低了合同价格或者提高了工程经济效益的奖励的方法和金额为：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14:paraId="325E02D3">
      <w:pPr>
        <w:spacing w:line="380" w:lineRule="exact"/>
        <w:ind w:firstLine="480" w:firstLineChars="200"/>
        <w:outlineLvl w:val="0"/>
        <w:rPr>
          <w:rFonts w:hint="eastAsia" w:ascii="宋体" w:hAnsi="宋体"/>
          <w:color w:val="auto"/>
          <w:sz w:val="24"/>
          <w:szCs w:val="24"/>
          <w:highlight w:val="none"/>
        </w:rPr>
      </w:pPr>
      <w:bookmarkStart w:id="907" w:name="_Toc3697"/>
      <w:bookmarkStart w:id="908" w:name="_Toc24799"/>
      <w:bookmarkStart w:id="909" w:name="_Toc3640"/>
      <w:bookmarkStart w:id="910" w:name="_Toc11106"/>
      <w:bookmarkStart w:id="911" w:name="_Toc9265"/>
      <w:bookmarkStart w:id="912" w:name="_Toc887"/>
      <w:bookmarkStart w:id="913" w:name="_Toc23449"/>
      <w:bookmarkStart w:id="914" w:name="_Toc24439"/>
      <w:r>
        <w:rPr>
          <w:rFonts w:hint="eastAsia" w:ascii="宋体" w:hAnsi="宋体"/>
          <w:color w:val="auto"/>
          <w:sz w:val="24"/>
          <w:szCs w:val="24"/>
          <w:highlight w:val="none"/>
        </w:rPr>
        <w:t>1</w:t>
      </w:r>
      <w:bookmarkStart w:id="915" w:name="_Toc297123548"/>
      <w:bookmarkStart w:id="916" w:name="_Toc292559404"/>
      <w:bookmarkStart w:id="917" w:name="_Toc296944538"/>
      <w:bookmarkStart w:id="918" w:name="_Toc296346700"/>
      <w:bookmarkStart w:id="919" w:name="_Toc296347198"/>
      <w:bookmarkStart w:id="920" w:name="_Toc300934997"/>
      <w:bookmarkStart w:id="921" w:name="_Toc297216207"/>
      <w:bookmarkStart w:id="922" w:name="_Toc297120499"/>
      <w:bookmarkStart w:id="923" w:name="_Toc312678033"/>
      <w:bookmarkStart w:id="924" w:name="_Toc296891239"/>
      <w:bookmarkStart w:id="925" w:name="_Toc296891027"/>
      <w:bookmarkStart w:id="926" w:name="_Toc296503199"/>
      <w:bookmarkStart w:id="927" w:name="_Toc304295574"/>
      <w:bookmarkStart w:id="928" w:name="_Toc312677507"/>
      <w:bookmarkStart w:id="929" w:name="_Toc297048385"/>
      <w:bookmarkStart w:id="930" w:name="_Toc303539154"/>
      <w:bookmarkStart w:id="931" w:name="_Toc292559909"/>
      <w:r>
        <w:rPr>
          <w:rFonts w:hint="eastAsia" w:ascii="宋体" w:hAnsi="宋体"/>
          <w:color w:val="auto"/>
          <w:sz w:val="24"/>
          <w:szCs w:val="24"/>
          <w:highlight w:val="none"/>
        </w:rPr>
        <w:t>0.7 暂估价</w:t>
      </w:r>
      <w:bookmarkEnd w:id="907"/>
      <w:bookmarkEnd w:id="908"/>
      <w:bookmarkEnd w:id="909"/>
      <w:bookmarkEnd w:id="910"/>
      <w:bookmarkEnd w:id="911"/>
      <w:bookmarkEnd w:id="912"/>
      <w:bookmarkEnd w:id="913"/>
      <w:bookmarkEnd w:id="914"/>
    </w:p>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14:paraId="7DAF930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暂</w:t>
      </w:r>
      <w:bookmarkStart w:id="932" w:name="_Toc318581176"/>
      <w:bookmarkStart w:id="933" w:name="_Toc312678034"/>
      <w:bookmarkStart w:id="934" w:name="_Toc312677508"/>
      <w:r>
        <w:rPr>
          <w:rFonts w:hint="eastAsia" w:ascii="宋体" w:hAnsi="宋体"/>
          <w:color w:val="auto"/>
          <w:kern w:val="0"/>
          <w:sz w:val="24"/>
          <w:szCs w:val="24"/>
          <w:highlight w:val="none"/>
        </w:rPr>
        <w:t>估价材料和工程设备的明细详见附件11：《</w:t>
      </w:r>
      <w:r>
        <w:rPr>
          <w:rFonts w:hint="eastAsia" w:ascii="宋体" w:hAnsi="宋体"/>
          <w:color w:val="auto"/>
          <w:sz w:val="24"/>
          <w:szCs w:val="24"/>
          <w:highlight w:val="none"/>
        </w:rPr>
        <w:t>暂估价一览表》</w:t>
      </w:r>
      <w:r>
        <w:rPr>
          <w:rFonts w:hint="eastAsia" w:ascii="宋体" w:hAnsi="宋体"/>
          <w:color w:val="auto"/>
          <w:kern w:val="0"/>
          <w:sz w:val="24"/>
          <w:szCs w:val="24"/>
          <w:highlight w:val="none"/>
        </w:rPr>
        <w:t>。</w:t>
      </w:r>
    </w:p>
    <w:bookmarkEnd w:id="932"/>
    <w:bookmarkEnd w:id="933"/>
    <w:bookmarkEnd w:id="934"/>
    <w:p w14:paraId="2DF5FAD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bookmarkStart w:id="935" w:name="_Toc312677509"/>
      <w:bookmarkStart w:id="936" w:name="_Toc318581177"/>
      <w:bookmarkStart w:id="937" w:name="_Toc312678035"/>
      <w:r>
        <w:rPr>
          <w:rFonts w:hint="eastAsia" w:ascii="宋体" w:hAnsi="宋体"/>
          <w:color w:val="auto"/>
          <w:sz w:val="24"/>
          <w:szCs w:val="24"/>
          <w:highlight w:val="none"/>
        </w:rPr>
        <w:t>0.7.1 依法必须招标的暂估价项目</w:t>
      </w:r>
    </w:p>
    <w:bookmarkEnd w:id="935"/>
    <w:bookmarkEnd w:id="936"/>
    <w:bookmarkEnd w:id="937"/>
    <w:p w14:paraId="6EFD4C9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对于依法必须招标的暂估价项目的确认和批准采取第种方式确定。</w:t>
      </w:r>
    </w:p>
    <w:p w14:paraId="64C997B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10.7.2 不属于依法必须招标的暂估价项目</w:t>
      </w:r>
    </w:p>
    <w:p w14:paraId="59E8389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对于不属于依法必须招标的暂估价项目的确认和批准采取第 种方式确定。</w:t>
      </w:r>
    </w:p>
    <w:p w14:paraId="02E00EFF">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第3种方式：</w:t>
      </w:r>
      <w:r>
        <w:rPr>
          <w:rFonts w:hint="eastAsia" w:ascii="宋体" w:hAnsi="宋体"/>
          <w:color w:val="auto"/>
          <w:kern w:val="0"/>
          <w:sz w:val="24"/>
          <w:szCs w:val="24"/>
          <w:highlight w:val="none"/>
        </w:rPr>
        <w:t>承包人直接实施的暂估价项目</w:t>
      </w:r>
    </w:p>
    <w:p w14:paraId="1C7A5C4D">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承包人直接实施的暂估价项目的约定：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6E4E6AF">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10.8 暂列金额</w:t>
      </w:r>
    </w:p>
    <w:p w14:paraId="62DDA1FB">
      <w:pPr>
        <w:autoSpaceDE w:val="0"/>
        <w:autoSpaceDN w:val="0"/>
        <w:adjustRightInd w:val="0"/>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合同当事人关于暂列金额使用的约定：</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w:t>
      </w:r>
    </w:p>
    <w:p w14:paraId="051A9B34">
      <w:pPr>
        <w:keepNext/>
        <w:keepLines/>
        <w:spacing w:line="380" w:lineRule="exact"/>
        <w:ind w:firstLine="482"/>
        <w:outlineLvl w:val="3"/>
        <w:rPr>
          <w:rFonts w:hint="eastAsia" w:ascii="宋体" w:hAnsi="宋体"/>
          <w:bCs/>
          <w:color w:val="auto"/>
          <w:sz w:val="24"/>
          <w:szCs w:val="24"/>
          <w:highlight w:val="none"/>
        </w:rPr>
      </w:pPr>
      <w:bookmarkStart w:id="938" w:name="_Toc351203643"/>
      <w:r>
        <w:rPr>
          <w:rFonts w:hint="eastAsia" w:ascii="宋体" w:hAnsi="宋体"/>
          <w:bCs/>
          <w:color w:val="auto"/>
          <w:sz w:val="24"/>
          <w:szCs w:val="24"/>
          <w:highlight w:val="none"/>
        </w:rPr>
        <w:t>11. 价格调整</w:t>
      </w:r>
      <w:bookmarkEnd w:id="938"/>
    </w:p>
    <w:p w14:paraId="0657C257">
      <w:pPr>
        <w:spacing w:line="380" w:lineRule="exact"/>
        <w:ind w:firstLine="480" w:firstLineChars="200"/>
        <w:rPr>
          <w:rFonts w:hint="eastAsia" w:ascii="宋体" w:hAnsi="宋体"/>
          <w:color w:val="auto"/>
          <w:sz w:val="24"/>
          <w:szCs w:val="24"/>
          <w:highlight w:val="none"/>
        </w:rPr>
      </w:pPr>
      <w:bookmarkStart w:id="939" w:name="_Toc296503201"/>
      <w:bookmarkStart w:id="940" w:name="_Toc297216209"/>
      <w:bookmarkStart w:id="941" w:name="_Toc292559911"/>
      <w:bookmarkStart w:id="942" w:name="_Toc297048387"/>
      <w:bookmarkStart w:id="943" w:name="_Toc292559406"/>
      <w:bookmarkStart w:id="944" w:name="_Toc296346702"/>
      <w:bookmarkStart w:id="945" w:name="_Toc303539157"/>
      <w:bookmarkStart w:id="946" w:name="_Toc304295577"/>
      <w:bookmarkStart w:id="947" w:name="_Toc312678039"/>
      <w:bookmarkStart w:id="948" w:name="_Toc300935000"/>
      <w:bookmarkStart w:id="949" w:name="_Toc296347200"/>
      <w:bookmarkStart w:id="950" w:name="_Toc296891029"/>
      <w:bookmarkStart w:id="951" w:name="_Toc296891241"/>
      <w:bookmarkStart w:id="952" w:name="_Toc296944540"/>
      <w:bookmarkStart w:id="953" w:name="_Toc297123550"/>
      <w:bookmarkStart w:id="954" w:name="_Toc297120501"/>
      <w:r>
        <w:rPr>
          <w:rFonts w:hint="eastAsia" w:ascii="宋体" w:hAnsi="宋体"/>
          <w:color w:val="auto"/>
          <w:sz w:val="24"/>
          <w:szCs w:val="24"/>
          <w:highlight w:val="none"/>
        </w:rPr>
        <w:t>11.1 市场价格波动引起的调整</w:t>
      </w:r>
    </w:p>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14:paraId="49A8D73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市场价格波动是否调整合同价格的约定：</w:t>
      </w:r>
      <w:r>
        <w:rPr>
          <w:rFonts w:hint="eastAsia" w:ascii="宋体" w:hAnsi="宋体"/>
          <w:color w:val="auto"/>
          <w:sz w:val="24"/>
          <w:szCs w:val="24"/>
          <w:highlight w:val="none"/>
        </w:rPr>
        <w:t>。</w:t>
      </w:r>
    </w:p>
    <w:p w14:paraId="46DA43A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因市场价格波动调整合同价格，采用以下第</w:t>
      </w:r>
      <w:r>
        <w:rPr>
          <w:rFonts w:hint="eastAsia" w:ascii="宋体" w:hAnsi="宋体"/>
          <w:color w:val="auto"/>
          <w:sz w:val="24"/>
          <w:szCs w:val="24"/>
          <w:highlight w:val="none"/>
          <w:u w:val="single"/>
        </w:rPr>
        <w:t>2</w:t>
      </w:r>
      <w:r>
        <w:rPr>
          <w:rFonts w:hint="eastAsia" w:ascii="宋体" w:hAnsi="宋体"/>
          <w:color w:val="auto"/>
          <w:sz w:val="24"/>
          <w:szCs w:val="24"/>
          <w:highlight w:val="none"/>
        </w:rPr>
        <w:t>种方式对合同价格进行调整：</w:t>
      </w:r>
    </w:p>
    <w:p w14:paraId="78E668A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第1种方式：采用价格指数进行价格调整。</w:t>
      </w:r>
    </w:p>
    <w:p w14:paraId="5671DA81">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关于各可调因子、定值和变值权重，以及基本价格指数及其来源的约定：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 xml:space="preserve">；  </w:t>
      </w:r>
    </w:p>
    <w:p w14:paraId="54C233E7">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第2种方式：采用造价信息进行价格调整。</w:t>
      </w:r>
    </w:p>
    <w:p w14:paraId="5081514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（2）关于基准价格的约定：</w:t>
      </w:r>
      <w:r>
        <w:rPr>
          <w:rFonts w:hint="eastAsia" w:ascii="宋体" w:hAnsi="宋体" w:cs="宋体"/>
          <w:color w:val="auto"/>
          <w:sz w:val="24"/>
          <w:szCs w:val="24"/>
          <w:highlight w:val="none"/>
          <w:u w:val="single"/>
          <w:lang w:bidi="ar"/>
        </w:rPr>
        <w:t>以投标当月当地建设工程价格信息为基准价格</w:t>
      </w:r>
      <w:r>
        <w:rPr>
          <w:rFonts w:hint="eastAsia" w:ascii="宋体" w:hAnsi="宋体"/>
          <w:color w:val="auto"/>
          <w:sz w:val="24"/>
          <w:szCs w:val="24"/>
          <w:highlight w:val="none"/>
        </w:rPr>
        <w:t>。</w:t>
      </w:r>
    </w:p>
    <w:p w14:paraId="17F4C3D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专用合同草案</w:t>
      </w:r>
      <w:r>
        <w:rPr>
          <w:rFonts w:hint="eastAsia" w:ascii="宋体" w:hAnsi="宋体" w:cs="宋体"/>
          <w:color w:val="auto"/>
          <w:sz w:val="24"/>
          <w:szCs w:val="24"/>
          <w:highlight w:val="none"/>
        </w:rPr>
        <w:t>①</w:t>
      </w:r>
      <w:r>
        <w:rPr>
          <w:rFonts w:hint="eastAsia" w:ascii="宋体" w:hAnsi="宋体"/>
          <w:color w:val="auto"/>
          <w:sz w:val="24"/>
          <w:szCs w:val="24"/>
          <w:highlight w:val="none"/>
        </w:rPr>
        <w:t>承包人在已标价工程量清单或预算书中载明的材料单价低于基准价格的：专用合同草案合同履行期间材料单价涨幅以基准价格为基础超过10%时，或材料单价跌幅以已标价工程量清单或预算书中载明材料单价为基础超过10%时，其超过部分据实调整。</w:t>
      </w:r>
    </w:p>
    <w:p w14:paraId="2A25C0CF">
      <w:pPr>
        <w:spacing w:line="380" w:lineRule="exact"/>
        <w:ind w:firstLine="480" w:firstLineChars="200"/>
        <w:jc w:val="left"/>
        <w:rPr>
          <w:rFonts w:hint="eastAsia" w:ascii="宋体" w:hAnsi="宋体"/>
          <w:color w:val="auto"/>
          <w:sz w:val="24"/>
          <w:szCs w:val="24"/>
          <w:highlight w:val="none"/>
        </w:rPr>
      </w:pPr>
      <w:r>
        <w:rPr>
          <w:rFonts w:hint="eastAsia" w:ascii="宋体" w:hAnsi="宋体" w:cs="宋体"/>
          <w:color w:val="auto"/>
          <w:sz w:val="24"/>
          <w:szCs w:val="24"/>
          <w:highlight w:val="none"/>
        </w:rPr>
        <w:t>②</w:t>
      </w:r>
      <w:r>
        <w:rPr>
          <w:rFonts w:hint="eastAsia" w:ascii="宋体" w:hAnsi="宋体"/>
          <w:color w:val="auto"/>
          <w:sz w:val="24"/>
          <w:szCs w:val="24"/>
          <w:highlight w:val="none"/>
        </w:rPr>
        <w:t>承包人在已标价工程量清单或预算书中载明的材料单价高于基准价格的：专用合同草案合同履行期间材料单价跌幅以基准价格为基础超过10%时，材料单价涨幅以已标价工程量清单或预算书中载明材料单价为基础超过10%时，其超过部分据实调整。</w:t>
      </w:r>
    </w:p>
    <w:p w14:paraId="4D878181">
      <w:pPr>
        <w:spacing w:line="380" w:lineRule="exact"/>
        <w:ind w:firstLine="482"/>
        <w:jc w:val="left"/>
        <w:rPr>
          <w:rFonts w:hint="eastAsia" w:ascii="宋体" w:hAnsi="宋体"/>
          <w:color w:val="auto"/>
          <w:sz w:val="24"/>
          <w:szCs w:val="24"/>
          <w:highlight w:val="none"/>
        </w:rPr>
      </w:pPr>
      <w:r>
        <w:rPr>
          <w:rFonts w:hint="eastAsia" w:ascii="宋体" w:hAnsi="宋体" w:cs="宋体"/>
          <w:color w:val="auto"/>
          <w:sz w:val="24"/>
          <w:szCs w:val="24"/>
          <w:highlight w:val="none"/>
        </w:rPr>
        <w:t>③</w:t>
      </w:r>
      <w:r>
        <w:rPr>
          <w:rFonts w:hint="eastAsia" w:ascii="宋体" w:hAnsi="宋体"/>
          <w:color w:val="auto"/>
          <w:sz w:val="24"/>
          <w:szCs w:val="24"/>
          <w:highlight w:val="none"/>
        </w:rPr>
        <w:t>承包人在已标价工程量清单或预算书中载明的材料单价等于基准单价的：专用合同草案合同履行期间材料单价涨跌幅以基准单价为基础超过±</w:t>
      </w:r>
      <w:r>
        <w:rPr>
          <w:rFonts w:hint="eastAsia" w:ascii="宋体" w:hAnsi="宋体"/>
          <w:color w:val="auto"/>
          <w:sz w:val="24"/>
          <w:szCs w:val="24"/>
          <w:highlight w:val="none"/>
          <w:u w:val="single"/>
        </w:rPr>
        <w:t>10</w:t>
      </w:r>
      <w:r>
        <w:rPr>
          <w:rFonts w:hint="eastAsia" w:ascii="宋体" w:hAnsi="宋体"/>
          <w:color w:val="auto"/>
          <w:sz w:val="24"/>
          <w:szCs w:val="24"/>
          <w:highlight w:val="none"/>
        </w:rPr>
        <w:t>%时，其超过部分据实调整。</w:t>
      </w:r>
    </w:p>
    <w:p w14:paraId="39C920FD">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第3种方式：其他价格调整方式：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826"/>
    <w:bookmarkEnd w:id="827"/>
    <w:bookmarkEnd w:id="828"/>
    <w:bookmarkEnd w:id="829"/>
    <w:bookmarkEnd w:id="830"/>
    <w:bookmarkEnd w:id="831"/>
    <w:p w14:paraId="021481B0">
      <w:pPr>
        <w:keepNext/>
        <w:keepLines/>
        <w:spacing w:line="380" w:lineRule="exact"/>
        <w:ind w:firstLine="482"/>
        <w:outlineLvl w:val="3"/>
        <w:rPr>
          <w:rFonts w:hint="eastAsia" w:ascii="宋体" w:hAnsi="宋体"/>
          <w:bCs/>
          <w:color w:val="auto"/>
          <w:sz w:val="24"/>
          <w:szCs w:val="24"/>
          <w:highlight w:val="none"/>
        </w:rPr>
      </w:pPr>
      <w:bookmarkStart w:id="955" w:name="_Toc292559410"/>
      <w:bookmarkStart w:id="956" w:name="_Toc296944544"/>
      <w:bookmarkStart w:id="957" w:name="_Toc297048391"/>
      <w:bookmarkStart w:id="958" w:name="_Toc296891033"/>
      <w:bookmarkStart w:id="959" w:name="_Toc296347204"/>
      <w:bookmarkStart w:id="960" w:name="_Toc296346706"/>
      <w:bookmarkStart w:id="961" w:name="_Toc297120505"/>
      <w:bookmarkStart w:id="962" w:name="_Toc292559915"/>
      <w:bookmarkStart w:id="963" w:name="_Toc296503205"/>
      <w:bookmarkStart w:id="964" w:name="_Toc296891245"/>
      <w:bookmarkStart w:id="965" w:name="_Toc351203644"/>
      <w:bookmarkStart w:id="966" w:name="_Toc297216211"/>
      <w:bookmarkStart w:id="967" w:name="_Toc312678040"/>
      <w:bookmarkStart w:id="968" w:name="_Toc297123552"/>
      <w:bookmarkStart w:id="969" w:name="_Toc304295579"/>
      <w:bookmarkStart w:id="970" w:name="_Toc300935002"/>
      <w:bookmarkStart w:id="971" w:name="_Toc303539159"/>
      <w:r>
        <w:rPr>
          <w:rFonts w:hint="eastAsia" w:ascii="宋体" w:hAnsi="宋体"/>
          <w:bCs/>
          <w:color w:val="auto"/>
          <w:sz w:val="24"/>
          <w:szCs w:val="24"/>
          <w:highlight w:val="none"/>
        </w:rPr>
        <w:t xml:space="preserve">12. </w:t>
      </w:r>
      <w:bookmarkEnd w:id="955"/>
      <w:bookmarkEnd w:id="956"/>
      <w:bookmarkEnd w:id="957"/>
      <w:bookmarkEnd w:id="958"/>
      <w:bookmarkEnd w:id="959"/>
      <w:bookmarkEnd w:id="960"/>
      <w:bookmarkEnd w:id="961"/>
      <w:bookmarkEnd w:id="962"/>
      <w:bookmarkEnd w:id="963"/>
      <w:bookmarkEnd w:id="964"/>
      <w:r>
        <w:rPr>
          <w:rFonts w:hint="eastAsia" w:ascii="宋体" w:hAnsi="宋体"/>
          <w:bCs/>
          <w:color w:val="auto"/>
          <w:sz w:val="24"/>
          <w:szCs w:val="24"/>
          <w:highlight w:val="none"/>
        </w:rPr>
        <w:t>合同价格、计量与支付</w:t>
      </w:r>
      <w:bookmarkEnd w:id="965"/>
    </w:p>
    <w:bookmarkEnd w:id="966"/>
    <w:bookmarkEnd w:id="967"/>
    <w:bookmarkEnd w:id="968"/>
    <w:bookmarkEnd w:id="969"/>
    <w:bookmarkEnd w:id="970"/>
    <w:bookmarkEnd w:id="971"/>
    <w:p w14:paraId="76C86DE5">
      <w:pPr>
        <w:spacing w:line="380" w:lineRule="exact"/>
        <w:ind w:firstLine="480" w:firstLineChars="200"/>
        <w:rPr>
          <w:rFonts w:hint="eastAsia" w:ascii="宋体" w:hAnsi="宋体"/>
          <w:color w:val="auto"/>
          <w:sz w:val="24"/>
          <w:szCs w:val="24"/>
          <w:highlight w:val="none"/>
        </w:rPr>
      </w:pPr>
      <w:bookmarkStart w:id="972" w:name="_Toc292559916"/>
      <w:bookmarkStart w:id="973" w:name="_Toc267251461"/>
      <w:bookmarkStart w:id="974" w:name="_Toc292559411"/>
      <w:bookmarkStart w:id="975" w:name="_Toc296891034"/>
      <w:bookmarkStart w:id="976" w:name="_Toc296503206"/>
      <w:bookmarkStart w:id="977" w:name="_Toc297048392"/>
      <w:bookmarkStart w:id="978" w:name="_Toc296347205"/>
      <w:bookmarkStart w:id="979" w:name="_Toc297120506"/>
      <w:bookmarkStart w:id="980" w:name="_Toc296944545"/>
      <w:bookmarkStart w:id="981" w:name="_Toc296346707"/>
      <w:bookmarkStart w:id="982" w:name="_Toc296891246"/>
      <w:bookmarkStart w:id="983" w:name="_Toc297123553"/>
      <w:bookmarkStart w:id="984" w:name="_Toc300935003"/>
      <w:bookmarkStart w:id="985" w:name="_Toc304295580"/>
      <w:bookmarkStart w:id="986" w:name="_Toc297216212"/>
      <w:bookmarkStart w:id="987" w:name="_Toc312678041"/>
      <w:bookmarkStart w:id="988" w:name="_Toc303539160"/>
      <w:r>
        <w:rPr>
          <w:rFonts w:hint="eastAsia" w:ascii="宋体" w:hAnsi="宋体"/>
          <w:color w:val="auto"/>
          <w:sz w:val="24"/>
          <w:szCs w:val="24"/>
          <w:highlight w:val="none"/>
        </w:rPr>
        <w:t>12.1 合</w:t>
      </w:r>
      <w:bookmarkEnd w:id="972"/>
      <w:bookmarkEnd w:id="973"/>
      <w:bookmarkEnd w:id="974"/>
      <w:r>
        <w:rPr>
          <w:rFonts w:hint="eastAsia" w:ascii="宋体" w:hAnsi="宋体"/>
          <w:color w:val="auto"/>
          <w:sz w:val="24"/>
          <w:szCs w:val="24"/>
          <w:highlight w:val="none"/>
        </w:rPr>
        <w:t>同价</w:t>
      </w:r>
      <w:bookmarkEnd w:id="975"/>
      <w:bookmarkEnd w:id="976"/>
      <w:bookmarkEnd w:id="977"/>
      <w:bookmarkEnd w:id="978"/>
      <w:bookmarkEnd w:id="979"/>
      <w:bookmarkEnd w:id="980"/>
      <w:bookmarkEnd w:id="981"/>
      <w:bookmarkEnd w:id="982"/>
      <w:r>
        <w:rPr>
          <w:rFonts w:hint="eastAsia" w:ascii="宋体" w:hAnsi="宋体"/>
          <w:color w:val="auto"/>
          <w:sz w:val="24"/>
          <w:szCs w:val="24"/>
          <w:highlight w:val="none"/>
        </w:rPr>
        <w:t>格形式</w:t>
      </w:r>
    </w:p>
    <w:bookmarkEnd w:id="983"/>
    <w:bookmarkEnd w:id="984"/>
    <w:bookmarkEnd w:id="985"/>
    <w:bookmarkEnd w:id="986"/>
    <w:bookmarkEnd w:id="987"/>
    <w:bookmarkEnd w:id="988"/>
    <w:p w14:paraId="7E74756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1、单价合同。</w:t>
      </w:r>
    </w:p>
    <w:p w14:paraId="15D77609">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综合单价包含的风险范围：</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932317A">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风险费用的计算方法：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B768D8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风险范围以外合同价格的调整方法：</w:t>
      </w:r>
      <w:r>
        <w:rPr>
          <w:rFonts w:hint="eastAsia" w:ascii="宋体" w:hAnsi="宋体"/>
          <w:color w:val="auto"/>
          <w:sz w:val="24"/>
          <w:szCs w:val="24"/>
          <w:highlight w:val="none"/>
          <w:u w:val="single"/>
          <w:lang w:val="zh-TW" w:eastAsia="zh-TW"/>
        </w:rPr>
        <w:t>设计变更，工程签证，具实调整</w:t>
      </w:r>
      <w:r>
        <w:rPr>
          <w:rFonts w:hint="eastAsia" w:ascii="宋体" w:hAnsi="宋体"/>
          <w:color w:val="auto"/>
          <w:sz w:val="24"/>
          <w:szCs w:val="24"/>
          <w:highlight w:val="none"/>
        </w:rPr>
        <w:t>。</w:t>
      </w:r>
    </w:p>
    <w:p w14:paraId="06D534A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2、总价合同。</w:t>
      </w:r>
    </w:p>
    <w:p w14:paraId="11616D62">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总价包含的风险范围：</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EDBD564">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风险费用的计算方法：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9E5C8D4">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风险范围以外合同价格的调整方法：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E94AF39">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3、其他价格方式：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AF6D0E8">
      <w:pPr>
        <w:spacing w:line="380" w:lineRule="exact"/>
        <w:ind w:firstLine="480" w:firstLineChars="200"/>
        <w:rPr>
          <w:rFonts w:hint="eastAsia" w:ascii="宋体" w:hAnsi="宋体"/>
          <w:color w:val="auto"/>
          <w:sz w:val="24"/>
          <w:szCs w:val="24"/>
          <w:highlight w:val="none"/>
        </w:rPr>
      </w:pPr>
      <w:bookmarkStart w:id="989" w:name="_Toc297216213"/>
      <w:bookmarkStart w:id="990" w:name="_Toc312678042"/>
      <w:bookmarkStart w:id="991" w:name="_Toc300935004"/>
      <w:bookmarkStart w:id="992" w:name="_Toc303539161"/>
      <w:bookmarkStart w:id="993" w:name="_Toc304295581"/>
      <w:bookmarkStart w:id="994" w:name="_Toc297123554"/>
      <w:bookmarkStart w:id="995" w:name="_Toc297048393"/>
      <w:bookmarkStart w:id="996" w:name="_Toc296944546"/>
      <w:bookmarkStart w:id="997" w:name="_Toc296503207"/>
      <w:bookmarkStart w:id="998" w:name="_Toc292559412"/>
      <w:bookmarkStart w:id="999" w:name="_Toc296347206"/>
      <w:bookmarkStart w:id="1000" w:name="_Toc296346708"/>
      <w:bookmarkStart w:id="1001" w:name="_Toc292559917"/>
      <w:bookmarkStart w:id="1002" w:name="_Toc296891247"/>
      <w:bookmarkStart w:id="1003" w:name="_Toc296891035"/>
      <w:bookmarkStart w:id="1004" w:name="_Toc297120507"/>
      <w:r>
        <w:rPr>
          <w:rFonts w:hint="eastAsia" w:ascii="宋体" w:hAnsi="宋体"/>
          <w:color w:val="auto"/>
          <w:sz w:val="24"/>
          <w:szCs w:val="24"/>
          <w:highlight w:val="none"/>
        </w:rPr>
        <w:t>12.2 预付款</w:t>
      </w:r>
    </w:p>
    <w:bookmarkEnd w:id="989"/>
    <w:bookmarkEnd w:id="990"/>
    <w:bookmarkEnd w:id="991"/>
    <w:bookmarkEnd w:id="992"/>
    <w:bookmarkEnd w:id="993"/>
    <w:bookmarkEnd w:id="994"/>
    <w:p w14:paraId="55D9914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12.2.1 预付款的支付</w:t>
      </w:r>
    </w:p>
    <w:p w14:paraId="4D20028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预付款支付比例或金额：</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34C5F10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预付款支付期限：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E687467">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预付款扣回的方式：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4BCB57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12.2.2 预付款担保</w:t>
      </w:r>
    </w:p>
    <w:p w14:paraId="2FEEF00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承包人提交预付款担保的期限：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B46EB4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预付款担保的形式为：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995"/>
    <w:bookmarkEnd w:id="996"/>
    <w:bookmarkEnd w:id="997"/>
    <w:bookmarkEnd w:id="998"/>
    <w:bookmarkEnd w:id="999"/>
    <w:bookmarkEnd w:id="1000"/>
    <w:bookmarkEnd w:id="1001"/>
    <w:bookmarkEnd w:id="1002"/>
    <w:bookmarkEnd w:id="1003"/>
    <w:bookmarkEnd w:id="1004"/>
    <w:p w14:paraId="26F67E79">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12.3 计量</w:t>
      </w:r>
    </w:p>
    <w:p w14:paraId="7614594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12.3.1 计量原则</w:t>
      </w:r>
    </w:p>
    <w:p w14:paraId="6A70A306">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工程量计算规则：</w:t>
      </w:r>
      <w:r>
        <w:rPr>
          <w:rFonts w:hint="eastAsia" w:ascii="宋体" w:hAnsi="宋体"/>
          <w:color w:val="auto"/>
          <w:sz w:val="24"/>
          <w:szCs w:val="24"/>
          <w:highlight w:val="none"/>
          <w:u w:val="single"/>
          <w:lang w:val="zh-TW" w:eastAsia="zh-TW"/>
        </w:rPr>
        <w:t>按</w:t>
      </w:r>
      <w:r>
        <w:rPr>
          <w:rFonts w:hint="eastAsia" w:ascii="宋体" w:hAnsi="宋体"/>
          <w:color w:val="auto"/>
          <w:sz w:val="24"/>
          <w:szCs w:val="24"/>
          <w:highlight w:val="none"/>
          <w:u w:val="single"/>
          <w:lang w:val="zh-TW" w:eastAsia="zh-CN"/>
        </w:rPr>
        <w:t>《建设工程工程量清单计价标准》</w:t>
      </w:r>
      <w:r>
        <w:rPr>
          <w:rFonts w:hint="eastAsia" w:ascii="宋体" w:hAnsi="宋体"/>
          <w:color w:val="auto"/>
          <w:sz w:val="24"/>
          <w:szCs w:val="24"/>
          <w:highlight w:val="none"/>
          <w:u w:val="single"/>
          <w:lang w:val="zh-TW" w:eastAsia="zh-TW"/>
        </w:rPr>
        <w:t>（</w:t>
      </w:r>
      <w:r>
        <w:rPr>
          <w:rFonts w:hint="eastAsia" w:ascii="宋体" w:hAnsi="宋体"/>
          <w:color w:val="auto"/>
          <w:sz w:val="24"/>
          <w:szCs w:val="24"/>
          <w:highlight w:val="none"/>
          <w:u w:val="single"/>
          <w:lang w:eastAsia="zh-CN"/>
        </w:rPr>
        <w:t>GB/T50500-2024</w:t>
      </w:r>
      <w:r>
        <w:rPr>
          <w:rFonts w:hint="eastAsia" w:ascii="宋体" w:hAnsi="宋体"/>
          <w:color w:val="auto"/>
          <w:sz w:val="24"/>
          <w:szCs w:val="24"/>
          <w:highlight w:val="none"/>
          <w:u w:val="single"/>
          <w:lang w:val="zh-TW" w:eastAsia="zh-TW"/>
        </w:rPr>
        <w:t>）及配套计量规范计算</w:t>
      </w:r>
      <w:r>
        <w:rPr>
          <w:rFonts w:hint="eastAsia" w:ascii="宋体" w:hAnsi="宋体"/>
          <w:color w:val="auto"/>
          <w:sz w:val="24"/>
          <w:szCs w:val="24"/>
          <w:highlight w:val="none"/>
        </w:rPr>
        <w:t>。</w:t>
      </w:r>
    </w:p>
    <w:p w14:paraId="0D89B21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12.3.2 计量周期</w:t>
      </w:r>
    </w:p>
    <w:p w14:paraId="03088FD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关于计量周期的约定：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4A8531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12.3.3 单价合同的计量</w:t>
      </w:r>
    </w:p>
    <w:p w14:paraId="6A31C6E4">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关于单价合同计量的约定：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46EC7E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12.3.4 总价合同的计量</w:t>
      </w:r>
    </w:p>
    <w:p w14:paraId="0C46A04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关于总价合同计量的约定：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F43C51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12.3.5总价合同采用支付分解表计量支付的，是否适用第</w:t>
      </w:r>
      <w:r>
        <w:rPr>
          <w:rFonts w:hint="eastAsia" w:ascii="宋体" w:hAnsi="宋体"/>
          <w:color w:val="auto"/>
          <w:kern w:val="0"/>
          <w:sz w:val="24"/>
          <w:szCs w:val="24"/>
          <w:highlight w:val="none"/>
        </w:rPr>
        <w:t xml:space="preserve">12.3.4 </w:t>
      </w:r>
      <w:r>
        <w:rPr>
          <w:rFonts w:hint="eastAsia" w:ascii="宋体" w:hAnsi="宋体"/>
          <w:color w:val="auto"/>
          <w:sz w:val="24"/>
          <w:szCs w:val="24"/>
          <w:highlight w:val="none"/>
        </w:rPr>
        <w:t>项</w:t>
      </w:r>
      <w:r>
        <w:rPr>
          <w:rFonts w:hint="eastAsia" w:ascii="宋体" w:hAnsi="宋体"/>
          <w:color w:val="auto"/>
          <w:kern w:val="0"/>
          <w:sz w:val="24"/>
          <w:szCs w:val="24"/>
          <w:highlight w:val="none"/>
        </w:rPr>
        <w:t>〔总价合同的计量〕</w:t>
      </w:r>
      <w:r>
        <w:rPr>
          <w:rFonts w:hint="eastAsia" w:ascii="宋体" w:hAnsi="宋体"/>
          <w:color w:val="auto"/>
          <w:sz w:val="24"/>
          <w:szCs w:val="24"/>
          <w:highlight w:val="none"/>
        </w:rPr>
        <w:t>约定进行计量：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43792E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12.3.6 其他价格形式合同的计量</w:t>
      </w:r>
    </w:p>
    <w:p w14:paraId="50024A28">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其他价格形式的计量方式和程序：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E59B2C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12.4 工程进度款支付</w:t>
      </w:r>
    </w:p>
    <w:p w14:paraId="47AB4CBB">
      <w:pPr>
        <w:spacing w:line="380" w:lineRule="exact"/>
        <w:ind w:firstLine="480" w:firstLineChars="200"/>
        <w:jc w:val="left"/>
        <w:rPr>
          <w:rFonts w:hint="eastAsia" w:ascii="宋体" w:hAnsi="宋体"/>
          <w:color w:val="auto"/>
          <w:sz w:val="24"/>
          <w:szCs w:val="24"/>
          <w:highlight w:val="none"/>
        </w:rPr>
      </w:pPr>
      <w:bookmarkStart w:id="1005" w:name="_Toc297048397"/>
      <w:bookmarkStart w:id="1006" w:name="_Toc292559921"/>
      <w:bookmarkStart w:id="1007" w:name="_Toc297120511"/>
      <w:bookmarkStart w:id="1008" w:name="_Toc300935006"/>
      <w:bookmarkStart w:id="1009" w:name="_Toc296891251"/>
      <w:bookmarkStart w:id="1010" w:name="_Toc296891039"/>
      <w:bookmarkStart w:id="1011" w:name="_Toc296944550"/>
      <w:bookmarkStart w:id="1012" w:name="_Toc292559416"/>
      <w:bookmarkStart w:id="1013" w:name="_Toc297123556"/>
      <w:bookmarkStart w:id="1014" w:name="_Toc296347210"/>
      <w:bookmarkStart w:id="1015" w:name="_Toc303539163"/>
      <w:bookmarkStart w:id="1016" w:name="_Toc296346712"/>
      <w:bookmarkStart w:id="1017" w:name="_Toc297216215"/>
      <w:bookmarkStart w:id="1018" w:name="_Toc296503211"/>
      <w:r>
        <w:rPr>
          <w:rFonts w:hint="eastAsia" w:ascii="宋体" w:hAnsi="宋体"/>
          <w:color w:val="auto"/>
          <w:sz w:val="24"/>
          <w:szCs w:val="24"/>
          <w:highlight w:val="none"/>
        </w:rPr>
        <w:t>12.4.1 付款周期</w:t>
      </w:r>
    </w:p>
    <w:p w14:paraId="6AB1D125">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关于付款办法的约定：</w:t>
      </w:r>
      <w:r>
        <w:rPr>
          <w:rFonts w:hint="eastAsia" w:ascii="宋体" w:hAnsi="宋体"/>
          <w:color w:val="auto"/>
          <w:sz w:val="24"/>
          <w:szCs w:val="24"/>
          <w:highlight w:val="none"/>
          <w:u w:val="single"/>
        </w:rPr>
        <w:t>双方另行协商</w:t>
      </w:r>
    </w:p>
    <w:p w14:paraId="59335B5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12.4.2 进度付款申请单的编制</w:t>
      </w:r>
    </w:p>
    <w:p w14:paraId="1C3CB05C">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关于进度付款申请单编制的约定：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D56B3D1">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Fonts w:hint="eastAsia" w:ascii="宋体" w:hAnsi="宋体"/>
          <w:color w:val="auto"/>
          <w:sz w:val="24"/>
          <w:szCs w:val="24"/>
          <w:highlight w:val="none"/>
        </w:rPr>
        <w:t>2.4.3 进度付款申请单的提交</w:t>
      </w:r>
    </w:p>
    <w:p w14:paraId="51A2216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（1）单价合同进度付款申请单提交的约定：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01A536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（2）总价合同进度付款申请单提交的约定：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BBBB9F7">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（3）其他价格形式合同进度付款申请单提交的约定：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BCA55B8">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12.4.4 进度款审核和支付</w:t>
      </w:r>
    </w:p>
    <w:p w14:paraId="6F8DFC40">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（1）监理人审查并报送发包人的期限：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0060B69">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发包人完成审批并签发进度款支付证书的期限：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AA8C65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（2）发包人支付进度款的期限：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2953AF8">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发包人逾期支付进度款的违约金的计算方式：</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4069315">
      <w:pPr>
        <w:spacing w:line="380" w:lineRule="exact"/>
        <w:ind w:firstLine="600" w:firstLineChars="250"/>
        <w:jc w:val="left"/>
        <w:rPr>
          <w:rFonts w:hint="eastAsia" w:ascii="宋体" w:hAnsi="宋体"/>
          <w:color w:val="auto"/>
          <w:sz w:val="24"/>
          <w:szCs w:val="24"/>
          <w:highlight w:val="none"/>
        </w:rPr>
      </w:pPr>
      <w:r>
        <w:rPr>
          <w:rFonts w:hint="eastAsia" w:ascii="宋体" w:hAnsi="宋体"/>
          <w:color w:val="auto"/>
          <w:sz w:val="24"/>
          <w:szCs w:val="24"/>
          <w:highlight w:val="none"/>
        </w:rPr>
        <w:t>12.4.6 支付分解表的编制</w:t>
      </w:r>
    </w:p>
    <w:p w14:paraId="2EB768DC">
      <w:pPr>
        <w:spacing w:line="380" w:lineRule="exact"/>
        <w:ind w:left="4800" w:hanging="4800" w:hangingChars="2000"/>
        <w:jc w:val="left"/>
        <w:rPr>
          <w:rFonts w:hint="eastAsia" w:ascii="宋体" w:hAnsi="宋体"/>
          <w:color w:val="auto"/>
          <w:sz w:val="24"/>
          <w:szCs w:val="24"/>
          <w:highlight w:val="none"/>
        </w:rPr>
      </w:pPr>
      <w:r>
        <w:rPr>
          <w:rFonts w:hint="eastAsia" w:ascii="宋体" w:hAnsi="宋体"/>
          <w:color w:val="auto"/>
          <w:sz w:val="24"/>
          <w:szCs w:val="24"/>
          <w:highlight w:val="none"/>
        </w:rPr>
        <w:t>2、总价合同支付分解表的编制与审批：</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AC9D69D">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3、单价合同的总价项目支付分解表的编制与审批：</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832"/>
    <w:p w14:paraId="1410606B">
      <w:pPr>
        <w:keepNext/>
        <w:keepLines/>
        <w:spacing w:line="380" w:lineRule="exact"/>
        <w:ind w:firstLine="482"/>
        <w:outlineLvl w:val="3"/>
        <w:rPr>
          <w:rFonts w:hint="eastAsia" w:ascii="宋体" w:hAnsi="宋体"/>
          <w:bCs/>
          <w:color w:val="auto"/>
          <w:sz w:val="24"/>
          <w:szCs w:val="24"/>
          <w:highlight w:val="none"/>
        </w:rPr>
      </w:pPr>
      <w:bookmarkStart w:id="1019" w:name="_Toc351203645"/>
      <w:bookmarkStart w:id="1020" w:name="_Toc296347218"/>
      <w:bookmarkStart w:id="1021" w:name="_Toc296346720"/>
      <w:bookmarkStart w:id="1022" w:name="_Toc292559424"/>
      <w:bookmarkStart w:id="1023" w:name="_Toc297216223"/>
      <w:bookmarkStart w:id="1024" w:name="_Toc297048405"/>
      <w:bookmarkStart w:id="1025" w:name="_Toc312678053"/>
      <w:bookmarkStart w:id="1026" w:name="_Toc297123564"/>
      <w:bookmarkStart w:id="1027" w:name="_Toc296503219"/>
      <w:bookmarkStart w:id="1028" w:name="_Toc300935015"/>
      <w:bookmarkStart w:id="1029" w:name="_Toc303539172"/>
      <w:bookmarkStart w:id="1030" w:name="_Toc296944558"/>
      <w:bookmarkStart w:id="1031" w:name="_Toc297120519"/>
      <w:bookmarkStart w:id="1032" w:name="_Toc296891259"/>
      <w:bookmarkStart w:id="1033" w:name="_Toc296891047"/>
      <w:bookmarkStart w:id="1034" w:name="_Toc304295593"/>
      <w:bookmarkStart w:id="1035" w:name="_Toc292559929"/>
      <w:r>
        <w:rPr>
          <w:rFonts w:hint="eastAsia" w:ascii="宋体" w:hAnsi="宋体"/>
          <w:bCs/>
          <w:color w:val="auto"/>
          <w:sz w:val="24"/>
          <w:szCs w:val="24"/>
          <w:highlight w:val="none"/>
        </w:rPr>
        <w:t>13.验收和工程试车</w:t>
      </w:r>
      <w:bookmarkEnd w:id="1019"/>
    </w:p>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14:paraId="7FC495FD">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13.1 分部分项工程验收</w:t>
      </w:r>
    </w:p>
    <w:p w14:paraId="775B511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13.1.2监理人不能按时进行验收时，应提前</w:t>
      </w:r>
      <w:r>
        <w:rPr>
          <w:rFonts w:hint="eastAsia" w:ascii="宋体" w:hAnsi="宋体"/>
          <w:color w:val="auto"/>
          <w:sz w:val="24"/>
          <w:szCs w:val="24"/>
          <w:highlight w:val="none"/>
          <w:u w:val="single"/>
        </w:rPr>
        <w:t>24</w:t>
      </w:r>
      <w:r>
        <w:rPr>
          <w:rFonts w:hint="eastAsia" w:ascii="宋体" w:hAnsi="宋体"/>
          <w:color w:val="auto"/>
          <w:sz w:val="24"/>
          <w:szCs w:val="24"/>
          <w:highlight w:val="none"/>
        </w:rPr>
        <w:t>小时提交书面延期要求。</w:t>
      </w:r>
    </w:p>
    <w:p w14:paraId="0DD1EB12">
      <w:pPr>
        <w:spacing w:line="380" w:lineRule="exact"/>
        <w:ind w:firstLine="480" w:firstLineChars="200"/>
        <w:jc w:val="left"/>
        <w:rPr>
          <w:rFonts w:hint="eastAsia" w:ascii="宋体" w:hAnsi="宋体"/>
          <w:b/>
          <w:color w:val="auto"/>
          <w:sz w:val="24"/>
          <w:szCs w:val="24"/>
          <w:highlight w:val="none"/>
        </w:rPr>
      </w:pPr>
      <w:r>
        <w:rPr>
          <w:rFonts w:hint="eastAsia" w:ascii="宋体" w:hAnsi="宋体"/>
          <w:color w:val="auto"/>
          <w:sz w:val="24"/>
          <w:szCs w:val="24"/>
          <w:highlight w:val="none"/>
        </w:rPr>
        <w:t>关于延期最长不得超过：</w:t>
      </w:r>
      <w:r>
        <w:rPr>
          <w:rFonts w:hint="eastAsia" w:ascii="宋体" w:hAnsi="宋体"/>
          <w:color w:val="auto"/>
          <w:sz w:val="24"/>
          <w:szCs w:val="24"/>
          <w:highlight w:val="none"/>
          <w:u w:val="single"/>
        </w:rPr>
        <w:t>48</w:t>
      </w:r>
      <w:r>
        <w:rPr>
          <w:rFonts w:hint="eastAsia" w:ascii="宋体" w:hAnsi="宋体"/>
          <w:color w:val="auto"/>
          <w:sz w:val="24"/>
          <w:szCs w:val="24"/>
          <w:highlight w:val="none"/>
        </w:rPr>
        <w:t>小时。</w:t>
      </w:r>
    </w:p>
    <w:p w14:paraId="3CDBC7EC">
      <w:pPr>
        <w:spacing w:line="380" w:lineRule="exact"/>
        <w:ind w:firstLine="480" w:firstLineChars="200"/>
        <w:rPr>
          <w:rFonts w:hint="eastAsia" w:ascii="宋体" w:hAnsi="宋体"/>
          <w:color w:val="auto"/>
          <w:sz w:val="24"/>
          <w:szCs w:val="24"/>
          <w:highlight w:val="none"/>
        </w:rPr>
      </w:pPr>
      <w:bookmarkStart w:id="1036" w:name="_Toc304295596"/>
      <w:bookmarkStart w:id="1037" w:name="_Toc297048409"/>
      <w:bookmarkStart w:id="1038" w:name="_Toc296944562"/>
      <w:bookmarkStart w:id="1039" w:name="_Toc297123565"/>
      <w:bookmarkStart w:id="1040" w:name="_Toc296891051"/>
      <w:bookmarkStart w:id="1041" w:name="_Toc300935016"/>
      <w:bookmarkStart w:id="1042" w:name="_Toc296503223"/>
      <w:bookmarkStart w:id="1043" w:name="_Toc292559428"/>
      <w:bookmarkStart w:id="1044" w:name="_Toc303539173"/>
      <w:bookmarkStart w:id="1045" w:name="_Toc296347222"/>
      <w:bookmarkStart w:id="1046" w:name="_Toc292559933"/>
      <w:bookmarkStart w:id="1047" w:name="_Toc312678056"/>
      <w:bookmarkStart w:id="1048" w:name="_Toc296346724"/>
      <w:bookmarkStart w:id="1049" w:name="_Toc297120523"/>
      <w:bookmarkStart w:id="1050" w:name="_Toc297216224"/>
      <w:bookmarkStart w:id="1051" w:name="_Toc296891263"/>
      <w:bookmarkStart w:id="1052" w:name="_Toc267251476"/>
      <w:bookmarkStart w:id="1053" w:name="_Toc267251473"/>
      <w:bookmarkStart w:id="1054" w:name="_Toc267251470"/>
      <w:bookmarkStart w:id="1055" w:name="_Toc267251471"/>
      <w:bookmarkStart w:id="1056" w:name="_Toc267251475"/>
      <w:bookmarkStart w:id="1057" w:name="_Toc267251474"/>
      <w:bookmarkStart w:id="1058" w:name="_Toc267251472"/>
      <w:r>
        <w:rPr>
          <w:rFonts w:hint="eastAsia" w:ascii="宋体" w:hAnsi="宋体"/>
          <w:color w:val="auto"/>
          <w:sz w:val="24"/>
          <w:szCs w:val="24"/>
          <w:highlight w:val="none"/>
        </w:rPr>
        <w:t>13.2 竣工验收</w:t>
      </w:r>
    </w:p>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14:paraId="2DB265E7">
      <w:pPr>
        <w:spacing w:line="380" w:lineRule="exact"/>
        <w:ind w:firstLine="480" w:firstLineChars="200"/>
        <w:jc w:val="left"/>
        <w:rPr>
          <w:rFonts w:hint="eastAsia" w:ascii="宋体" w:hAnsi="宋体"/>
          <w:color w:val="auto"/>
          <w:sz w:val="24"/>
          <w:szCs w:val="24"/>
          <w:highlight w:val="none"/>
        </w:rPr>
      </w:pPr>
      <w:bookmarkStart w:id="1059" w:name="_Toc280868704"/>
      <w:bookmarkStart w:id="1060" w:name="_Toc280868705"/>
      <w:bookmarkStart w:id="1061" w:name="_Toc280868706"/>
      <w:bookmarkStart w:id="1062" w:name="_Toc280868707"/>
      <w:bookmarkStart w:id="1063" w:name="_Toc280868708"/>
      <w:bookmarkStart w:id="1064" w:name="_Toc280868709"/>
      <w:r>
        <w:rPr>
          <w:rFonts w:hint="eastAsia" w:ascii="宋体" w:hAnsi="宋体"/>
          <w:color w:val="auto"/>
          <w:sz w:val="24"/>
          <w:szCs w:val="24"/>
          <w:highlight w:val="none"/>
        </w:rPr>
        <w:t>13.2.2竣工验收程序</w:t>
      </w:r>
    </w:p>
    <w:bookmarkEnd w:id="1059"/>
    <w:p w14:paraId="31F32698">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关于竣工验收程序的约定：</w:t>
      </w:r>
      <w:r>
        <w:rPr>
          <w:rFonts w:hint="eastAsia" w:ascii="宋体" w:hAnsi="宋体" w:cs="宋体"/>
          <w:color w:val="auto"/>
          <w:sz w:val="24"/>
          <w:szCs w:val="24"/>
          <w:highlight w:val="none"/>
          <w:u w:val="single"/>
          <w:lang w:bidi="ar"/>
        </w:rPr>
        <w:t>按照现行</w:t>
      </w:r>
      <w:r>
        <w:rPr>
          <w:rFonts w:hint="eastAsia" w:ascii="宋体" w:hAnsi="宋体" w:cs="宋体"/>
          <w:color w:val="auto"/>
          <w:sz w:val="24"/>
          <w:szCs w:val="24"/>
          <w:highlight w:val="none"/>
          <w:u w:val="single"/>
          <w:lang w:eastAsia="zh-CN" w:bidi="ar"/>
        </w:rPr>
        <w:t>建筑工程</w:t>
      </w:r>
      <w:r>
        <w:rPr>
          <w:rFonts w:hint="eastAsia" w:ascii="宋体" w:hAnsi="宋体" w:cs="宋体"/>
          <w:color w:val="auto"/>
          <w:sz w:val="24"/>
          <w:szCs w:val="24"/>
          <w:highlight w:val="none"/>
          <w:u w:val="single"/>
          <w:lang w:bidi="ar"/>
        </w:rPr>
        <w:t>监理规范和地方质量监督部门的要求执行</w:t>
      </w:r>
      <w:r>
        <w:rPr>
          <w:rFonts w:hint="eastAsia" w:ascii="宋体" w:hAnsi="宋体"/>
          <w:color w:val="auto"/>
          <w:sz w:val="24"/>
          <w:szCs w:val="24"/>
          <w:highlight w:val="none"/>
        </w:rPr>
        <w:t>。</w:t>
      </w:r>
    </w:p>
    <w:p w14:paraId="715BD69A">
      <w:pPr>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发包人不按照本项约定组织竣工验收、颁发工程接收证书的违约金的计算方法：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060"/>
    <w:p w14:paraId="14E3257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13.2.5移交、接收全部与部分工程</w:t>
      </w:r>
    </w:p>
    <w:bookmarkEnd w:id="1061"/>
    <w:p w14:paraId="3031F4BF">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承包人向发包人移交工程的期限：</w:t>
      </w:r>
      <w:r>
        <w:rPr>
          <w:rFonts w:hint="eastAsia" w:ascii="宋体" w:hAnsi="宋体" w:cs="宋体"/>
          <w:color w:val="auto"/>
          <w:sz w:val="24"/>
          <w:szCs w:val="24"/>
          <w:highlight w:val="none"/>
          <w:u w:val="single"/>
          <w:lang w:bidi="ar"/>
        </w:rPr>
        <w:t>在颁发工程接收证书后7天内完成工程的移交</w:t>
      </w:r>
      <w:r>
        <w:rPr>
          <w:rFonts w:hint="eastAsia" w:ascii="宋体" w:hAnsi="宋体"/>
          <w:color w:val="auto"/>
          <w:sz w:val="24"/>
          <w:szCs w:val="24"/>
          <w:highlight w:val="none"/>
        </w:rPr>
        <w:t>。</w:t>
      </w:r>
    </w:p>
    <w:p w14:paraId="67AD996A">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kern w:val="0"/>
          <w:sz w:val="24"/>
          <w:szCs w:val="24"/>
          <w:highlight w:val="none"/>
        </w:rPr>
        <w:t>发包人未按本合同约定接收全部或部分工程的，违约金的计算方法为：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062"/>
    <w:p w14:paraId="66CCBF3F">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承包人未按时移交工程的，违约金的计算方法为：</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2A62AE8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13.3 工程试车</w:t>
      </w:r>
    </w:p>
    <w:bookmarkEnd w:id="1063"/>
    <w:p w14:paraId="352B2C01">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13.3.1 试车程序</w:t>
      </w:r>
    </w:p>
    <w:p w14:paraId="35BCFA04">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工程试车内容：</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143E0FC4">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（1）单机无负荷试车费用由</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承担；</w:t>
      </w:r>
    </w:p>
    <w:p w14:paraId="36AC07F1">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（2）无负荷联动试车费用由</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承担。</w:t>
      </w:r>
    </w:p>
    <w:p w14:paraId="7A257B9E">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13.3.3 投料试车</w:t>
      </w:r>
    </w:p>
    <w:p w14:paraId="4F61DF9A">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关于投料试车相关事项的约定：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5A3B7066">
      <w:pPr>
        <w:spacing w:line="380" w:lineRule="exact"/>
        <w:ind w:firstLine="480" w:firstLineChars="200"/>
        <w:outlineLvl w:val="0"/>
        <w:rPr>
          <w:rFonts w:hint="eastAsia" w:ascii="宋体" w:hAnsi="宋体"/>
          <w:color w:val="auto"/>
          <w:sz w:val="24"/>
          <w:szCs w:val="24"/>
          <w:highlight w:val="none"/>
        </w:rPr>
      </w:pPr>
      <w:bookmarkStart w:id="1065" w:name="_Toc30445"/>
      <w:bookmarkStart w:id="1066" w:name="_Toc10273"/>
      <w:bookmarkStart w:id="1067" w:name="_Toc27034"/>
      <w:bookmarkStart w:id="1068" w:name="_Toc2300"/>
      <w:bookmarkStart w:id="1069" w:name="_Toc28494"/>
      <w:bookmarkStart w:id="1070" w:name="_Toc13191"/>
      <w:bookmarkStart w:id="1071" w:name="_Toc26696"/>
      <w:bookmarkStart w:id="1072" w:name="_Toc31517"/>
      <w:r>
        <w:rPr>
          <w:rFonts w:hint="eastAsia" w:ascii="宋体" w:hAnsi="宋体"/>
          <w:color w:val="auto"/>
          <w:sz w:val="24"/>
          <w:szCs w:val="24"/>
          <w:highlight w:val="none"/>
        </w:rPr>
        <w:t>13.6 竣工退场</w:t>
      </w:r>
      <w:bookmarkEnd w:id="1065"/>
      <w:bookmarkEnd w:id="1066"/>
      <w:bookmarkEnd w:id="1067"/>
      <w:bookmarkEnd w:id="1068"/>
      <w:bookmarkEnd w:id="1069"/>
      <w:bookmarkEnd w:id="1070"/>
      <w:bookmarkEnd w:id="1071"/>
      <w:bookmarkEnd w:id="1072"/>
    </w:p>
    <w:p w14:paraId="4ED95C6F">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13.6.1 竣工退场</w:t>
      </w:r>
    </w:p>
    <w:p w14:paraId="4E376747">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承包人完成竣工退场的期限：</w:t>
      </w:r>
      <w:r>
        <w:rPr>
          <w:rFonts w:hint="eastAsia" w:ascii="宋体" w:hAnsi="宋体" w:cs="宋体"/>
          <w:color w:val="auto"/>
          <w:sz w:val="24"/>
          <w:szCs w:val="24"/>
          <w:highlight w:val="none"/>
          <w:u w:val="single"/>
          <w:lang w:bidi="ar"/>
        </w:rPr>
        <w:t>执行通用条款</w:t>
      </w:r>
      <w:r>
        <w:rPr>
          <w:rFonts w:hint="eastAsia" w:ascii="宋体" w:hAnsi="宋体"/>
          <w:color w:val="auto"/>
          <w:kern w:val="0"/>
          <w:sz w:val="24"/>
          <w:szCs w:val="24"/>
          <w:highlight w:val="none"/>
        </w:rPr>
        <w:t>。</w:t>
      </w:r>
    </w:p>
    <w:p w14:paraId="4AEBECA7">
      <w:pPr>
        <w:keepNext/>
        <w:keepLines/>
        <w:spacing w:line="380" w:lineRule="exact"/>
        <w:ind w:firstLine="482"/>
        <w:outlineLvl w:val="3"/>
        <w:rPr>
          <w:rFonts w:hint="eastAsia" w:ascii="宋体" w:hAnsi="宋体"/>
          <w:bCs/>
          <w:color w:val="auto"/>
          <w:sz w:val="24"/>
          <w:szCs w:val="24"/>
          <w:highlight w:val="none"/>
        </w:rPr>
      </w:pPr>
      <w:bookmarkStart w:id="1073" w:name="_Toc351203646"/>
      <w:r>
        <w:rPr>
          <w:rFonts w:hint="eastAsia" w:ascii="宋体" w:hAnsi="宋体"/>
          <w:bCs/>
          <w:color w:val="auto"/>
          <w:sz w:val="24"/>
          <w:szCs w:val="24"/>
          <w:highlight w:val="none"/>
        </w:rPr>
        <w:t>14. 竣工结算</w:t>
      </w:r>
      <w:bookmarkEnd w:id="1073"/>
    </w:p>
    <w:p w14:paraId="0FC6DC69">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14.1 竣工结算申请</w:t>
      </w:r>
    </w:p>
    <w:p w14:paraId="2329F1A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承包人提交竣工结算申请单的期限：</w:t>
      </w:r>
      <w:r>
        <w:rPr>
          <w:rFonts w:hint="eastAsia" w:ascii="宋体" w:hAnsi="宋体" w:cs="宋体"/>
          <w:color w:val="auto"/>
          <w:sz w:val="24"/>
          <w:szCs w:val="24"/>
          <w:highlight w:val="none"/>
          <w:u w:val="single"/>
          <w:lang w:bidi="ar"/>
        </w:rPr>
        <w:t>竣工验收合格后28天内</w:t>
      </w:r>
      <w:r>
        <w:rPr>
          <w:rFonts w:hint="eastAsia" w:ascii="宋体" w:hAnsi="宋体"/>
          <w:color w:val="auto"/>
          <w:sz w:val="24"/>
          <w:szCs w:val="24"/>
          <w:highlight w:val="none"/>
        </w:rPr>
        <w:t>。</w:t>
      </w:r>
    </w:p>
    <w:p w14:paraId="3A2F459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竣工结算申请单应包括的内容：</w:t>
      </w:r>
      <w:r>
        <w:rPr>
          <w:rFonts w:hint="eastAsia" w:ascii="宋体" w:hAnsi="宋体" w:cs="宋体"/>
          <w:color w:val="auto"/>
          <w:sz w:val="24"/>
          <w:szCs w:val="24"/>
          <w:highlight w:val="none"/>
          <w:u w:val="single"/>
          <w:lang w:bidi="ar"/>
        </w:rPr>
        <w:t>（1）竣工结算报送价格；（2）发包人已支付承包人的款项；（3）发包人应支付承包人的合同价款</w:t>
      </w:r>
      <w:r>
        <w:rPr>
          <w:rFonts w:hint="eastAsia" w:ascii="宋体" w:hAnsi="宋体"/>
          <w:color w:val="auto"/>
          <w:sz w:val="24"/>
          <w:szCs w:val="24"/>
          <w:highlight w:val="none"/>
        </w:rPr>
        <w:t>。</w:t>
      </w:r>
    </w:p>
    <w:p w14:paraId="58419E30">
      <w:pPr>
        <w:spacing w:line="380" w:lineRule="exact"/>
        <w:ind w:firstLine="480" w:firstLineChars="200"/>
        <w:outlineLvl w:val="0"/>
        <w:rPr>
          <w:rFonts w:hint="eastAsia" w:ascii="宋体" w:hAnsi="宋体"/>
          <w:color w:val="auto"/>
          <w:sz w:val="24"/>
          <w:szCs w:val="24"/>
          <w:highlight w:val="none"/>
        </w:rPr>
      </w:pPr>
      <w:bookmarkStart w:id="1074" w:name="_Toc24612"/>
      <w:bookmarkStart w:id="1075" w:name="_Toc31660"/>
      <w:bookmarkStart w:id="1076" w:name="_Toc6269"/>
      <w:bookmarkStart w:id="1077" w:name="_Toc29886"/>
      <w:bookmarkStart w:id="1078" w:name="_Toc22215"/>
      <w:bookmarkStart w:id="1079" w:name="_Toc3374"/>
      <w:bookmarkStart w:id="1080" w:name="_Toc19211"/>
      <w:bookmarkStart w:id="1081" w:name="_Toc3259"/>
      <w:r>
        <w:rPr>
          <w:rFonts w:hint="eastAsia" w:ascii="宋体" w:hAnsi="宋体"/>
          <w:color w:val="auto"/>
          <w:sz w:val="24"/>
          <w:szCs w:val="24"/>
          <w:highlight w:val="none"/>
        </w:rPr>
        <w:t>14.2 竣工结算审核</w:t>
      </w:r>
      <w:bookmarkEnd w:id="1074"/>
      <w:bookmarkEnd w:id="1075"/>
      <w:bookmarkEnd w:id="1076"/>
      <w:bookmarkEnd w:id="1077"/>
      <w:bookmarkEnd w:id="1078"/>
      <w:bookmarkEnd w:id="1079"/>
      <w:bookmarkEnd w:id="1080"/>
      <w:bookmarkEnd w:id="1081"/>
    </w:p>
    <w:p w14:paraId="54DCF615">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发包人审批竣工付款申请单的期限：</w:t>
      </w:r>
      <w:r>
        <w:rPr>
          <w:rFonts w:hint="eastAsia" w:ascii="宋体" w:hAnsi="宋体" w:cs="宋体"/>
          <w:color w:val="auto"/>
          <w:sz w:val="24"/>
          <w:szCs w:val="24"/>
          <w:highlight w:val="none"/>
          <w:u w:val="single"/>
          <w:lang w:bidi="ar"/>
        </w:rPr>
        <w:t>30天内</w:t>
      </w:r>
      <w:r>
        <w:rPr>
          <w:rFonts w:hint="eastAsia" w:ascii="宋体" w:hAnsi="宋体"/>
          <w:color w:val="auto"/>
          <w:sz w:val="24"/>
          <w:szCs w:val="24"/>
          <w:highlight w:val="none"/>
        </w:rPr>
        <w:t>。</w:t>
      </w:r>
    </w:p>
    <w:p w14:paraId="7397FCA1">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发包人完成竣工付款的期限：</w:t>
      </w:r>
      <w:r>
        <w:rPr>
          <w:rFonts w:hint="eastAsia" w:ascii="宋体" w:hAnsi="宋体" w:cs="宋体"/>
          <w:color w:val="auto"/>
          <w:sz w:val="24"/>
          <w:szCs w:val="24"/>
          <w:highlight w:val="none"/>
          <w:u w:val="single"/>
          <w:lang w:bidi="ar"/>
        </w:rPr>
        <w:t>三方确认的审计结果出具后30天内</w:t>
      </w:r>
      <w:r>
        <w:rPr>
          <w:rFonts w:hint="eastAsia" w:ascii="宋体" w:hAnsi="宋体"/>
          <w:color w:val="auto"/>
          <w:sz w:val="24"/>
          <w:szCs w:val="24"/>
          <w:highlight w:val="none"/>
        </w:rPr>
        <w:t>。</w:t>
      </w:r>
    </w:p>
    <w:p w14:paraId="675FB42F">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关于竣工付款证书异议部分复核的方式和程序：</w:t>
      </w:r>
      <w:r>
        <w:rPr>
          <w:rFonts w:hint="eastAsia" w:ascii="宋体" w:hAnsi="宋体" w:cs="宋体"/>
          <w:color w:val="auto"/>
          <w:sz w:val="24"/>
          <w:szCs w:val="24"/>
          <w:highlight w:val="none"/>
          <w:u w:val="single"/>
          <w:lang w:bidi="ar"/>
        </w:rPr>
        <w:t>执行通用条款</w:t>
      </w:r>
      <w:r>
        <w:rPr>
          <w:rFonts w:hint="eastAsia" w:ascii="宋体" w:hAnsi="宋体"/>
          <w:color w:val="auto"/>
          <w:sz w:val="24"/>
          <w:szCs w:val="24"/>
          <w:highlight w:val="none"/>
        </w:rPr>
        <w:t>。</w:t>
      </w:r>
    </w:p>
    <w:p w14:paraId="542A928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14.4 最终结清</w:t>
      </w:r>
    </w:p>
    <w:p w14:paraId="731F0A75">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14.4.1 最终结清申请单</w:t>
      </w:r>
    </w:p>
    <w:p w14:paraId="70E58952">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承包人提交最终结清申请单的份数：</w:t>
      </w:r>
      <w:r>
        <w:rPr>
          <w:rFonts w:hint="eastAsia" w:ascii="宋体" w:hAnsi="宋体" w:cs="宋体"/>
          <w:color w:val="auto"/>
          <w:sz w:val="24"/>
          <w:szCs w:val="24"/>
          <w:highlight w:val="none"/>
          <w:u w:val="single"/>
          <w:lang w:bidi="ar"/>
        </w:rPr>
        <w:t>伍份</w:t>
      </w:r>
      <w:r>
        <w:rPr>
          <w:rFonts w:hint="eastAsia" w:ascii="宋体" w:hAnsi="宋体"/>
          <w:color w:val="auto"/>
          <w:sz w:val="24"/>
          <w:szCs w:val="24"/>
          <w:highlight w:val="none"/>
        </w:rPr>
        <w:t>。</w:t>
      </w:r>
    </w:p>
    <w:p w14:paraId="596AF3F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承包人提交最终结算申请单的期限：</w:t>
      </w:r>
      <w:r>
        <w:rPr>
          <w:rFonts w:hint="eastAsia" w:ascii="宋体" w:hAnsi="宋体" w:cs="宋体"/>
          <w:color w:val="auto"/>
          <w:sz w:val="24"/>
          <w:szCs w:val="24"/>
          <w:highlight w:val="none"/>
          <w:u w:val="single"/>
          <w:lang w:bidi="ar"/>
        </w:rPr>
        <w:t>缺陷责任期终止后7天内</w:t>
      </w:r>
      <w:r>
        <w:rPr>
          <w:rFonts w:hint="eastAsia" w:ascii="宋体" w:hAnsi="宋体"/>
          <w:color w:val="auto"/>
          <w:sz w:val="24"/>
          <w:szCs w:val="24"/>
          <w:highlight w:val="none"/>
        </w:rPr>
        <w:t xml:space="preserve">。 </w:t>
      </w:r>
    </w:p>
    <w:p w14:paraId="59525B5A">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14.4.2 最终结清证书和支付</w:t>
      </w:r>
    </w:p>
    <w:p w14:paraId="7125D927">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（1）发包人完成最终结清申请单的审批并颁发最终结清证书的期限：</w:t>
      </w:r>
      <w:r>
        <w:rPr>
          <w:rFonts w:hint="eastAsia" w:ascii="宋体" w:hAnsi="宋体" w:cs="宋体"/>
          <w:color w:val="auto"/>
          <w:sz w:val="24"/>
          <w:szCs w:val="24"/>
          <w:highlight w:val="none"/>
          <w:u w:val="single"/>
          <w:lang w:bidi="ar"/>
        </w:rPr>
        <w:t>收到承包人提交的最终结清证书7天内</w:t>
      </w:r>
      <w:r>
        <w:rPr>
          <w:rFonts w:hint="eastAsia" w:ascii="宋体" w:hAnsi="宋体"/>
          <w:color w:val="auto"/>
          <w:sz w:val="24"/>
          <w:szCs w:val="24"/>
          <w:highlight w:val="none"/>
        </w:rPr>
        <w:t>。</w:t>
      </w:r>
    </w:p>
    <w:p w14:paraId="2C06BD34">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（2）发包人完成支付的期限：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bookmarkEnd w:id="1052"/>
    <w:bookmarkEnd w:id="1053"/>
    <w:bookmarkEnd w:id="1054"/>
    <w:bookmarkEnd w:id="1055"/>
    <w:bookmarkEnd w:id="1056"/>
    <w:bookmarkEnd w:id="1057"/>
    <w:bookmarkEnd w:id="1058"/>
    <w:bookmarkEnd w:id="1064"/>
    <w:p w14:paraId="64C8A31F">
      <w:pPr>
        <w:keepNext/>
        <w:keepLines/>
        <w:spacing w:line="380" w:lineRule="exact"/>
        <w:ind w:firstLine="482"/>
        <w:outlineLvl w:val="3"/>
        <w:rPr>
          <w:rFonts w:hint="eastAsia" w:ascii="宋体" w:hAnsi="宋体"/>
          <w:bCs/>
          <w:color w:val="auto"/>
          <w:sz w:val="24"/>
          <w:szCs w:val="24"/>
          <w:highlight w:val="none"/>
        </w:rPr>
      </w:pPr>
      <w:bookmarkStart w:id="1082" w:name="_Toc351203647"/>
      <w:bookmarkStart w:id="1083" w:name="_Toc267251483"/>
      <w:bookmarkStart w:id="1084" w:name="_Toc267251482"/>
      <w:bookmarkStart w:id="1085" w:name="_Toc267251484"/>
      <w:bookmarkStart w:id="1086" w:name="_Toc267251485"/>
      <w:bookmarkStart w:id="1087" w:name="_Toc267251489"/>
      <w:bookmarkStart w:id="1088" w:name="_Toc267251488"/>
      <w:bookmarkStart w:id="1089" w:name="_Toc267251486"/>
      <w:bookmarkStart w:id="1090" w:name="_Toc267251490"/>
      <w:bookmarkStart w:id="1091" w:name="_Toc267251502"/>
      <w:bookmarkStart w:id="1092" w:name="_Toc267251501"/>
      <w:bookmarkStart w:id="1093" w:name="_Toc267251499"/>
      <w:bookmarkStart w:id="1094" w:name="_Toc267251496"/>
      <w:bookmarkStart w:id="1095" w:name="_Toc267251493"/>
      <w:bookmarkStart w:id="1096" w:name="_Toc267251495"/>
      <w:bookmarkStart w:id="1097" w:name="_Toc267251498"/>
      <w:bookmarkStart w:id="1098" w:name="_Toc267251503"/>
      <w:bookmarkStart w:id="1099" w:name="_Toc267251491"/>
      <w:bookmarkStart w:id="1100" w:name="_Toc267251497"/>
      <w:bookmarkStart w:id="1101" w:name="_Toc267251492"/>
      <w:bookmarkStart w:id="1102" w:name="_Toc267251494"/>
      <w:bookmarkStart w:id="1103" w:name="_Toc267251506"/>
      <w:bookmarkStart w:id="1104" w:name="_Toc267251504"/>
      <w:bookmarkStart w:id="1105" w:name="_Toc267251507"/>
      <w:bookmarkStart w:id="1106" w:name="_Toc267251508"/>
      <w:bookmarkStart w:id="1107" w:name="_Toc267251509"/>
      <w:bookmarkStart w:id="1108" w:name="_Toc267251510"/>
      <w:bookmarkStart w:id="1109" w:name="_Toc267251515"/>
      <w:bookmarkStart w:id="1110" w:name="_Toc267251513"/>
      <w:bookmarkStart w:id="1111" w:name="_Toc267251514"/>
      <w:bookmarkStart w:id="1112" w:name="_Toc267251511"/>
      <w:r>
        <w:rPr>
          <w:rFonts w:hint="eastAsia" w:ascii="宋体" w:hAnsi="宋体"/>
          <w:bCs/>
          <w:color w:val="auto"/>
          <w:sz w:val="24"/>
          <w:szCs w:val="24"/>
          <w:highlight w:val="none"/>
        </w:rPr>
        <w:t>15. 缺陷责任期与保修</w:t>
      </w:r>
      <w:bookmarkEnd w:id="1082"/>
    </w:p>
    <w:p w14:paraId="01BAC77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15.2缺陷责任期</w:t>
      </w:r>
      <w:bookmarkEnd w:id="1083"/>
    </w:p>
    <w:p w14:paraId="116FC6E0">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缺陷责任期的具体期限：</w:t>
      </w:r>
      <w:r>
        <w:rPr>
          <w:rFonts w:hint="eastAsia" w:ascii="宋体" w:hAnsi="宋体"/>
          <w:color w:val="auto"/>
          <w:sz w:val="24"/>
          <w:szCs w:val="24"/>
          <w:highlight w:val="none"/>
          <w:u w:val="single"/>
          <w:lang w:val="zh-TW" w:eastAsia="zh-TW"/>
        </w:rPr>
        <w:t>按附件《工程质量保修书》执行</w:t>
      </w:r>
      <w:r>
        <w:rPr>
          <w:rFonts w:hint="eastAsia" w:ascii="宋体" w:hAnsi="宋体"/>
          <w:color w:val="auto"/>
          <w:sz w:val="24"/>
          <w:szCs w:val="24"/>
          <w:highlight w:val="none"/>
        </w:rPr>
        <w:t>。</w:t>
      </w:r>
    </w:p>
    <w:p w14:paraId="6AACAF45">
      <w:pPr>
        <w:spacing w:line="380" w:lineRule="exact"/>
        <w:ind w:firstLine="480" w:firstLineChars="200"/>
        <w:outlineLvl w:val="0"/>
        <w:rPr>
          <w:rFonts w:hint="eastAsia" w:ascii="宋体" w:hAnsi="宋体"/>
          <w:color w:val="auto"/>
          <w:sz w:val="24"/>
          <w:szCs w:val="24"/>
          <w:highlight w:val="none"/>
        </w:rPr>
      </w:pPr>
      <w:bookmarkStart w:id="1113" w:name="_Toc31755"/>
      <w:bookmarkStart w:id="1114" w:name="_Toc2594"/>
      <w:bookmarkStart w:id="1115" w:name="_Toc14625"/>
      <w:bookmarkStart w:id="1116" w:name="_Toc1466"/>
      <w:bookmarkStart w:id="1117" w:name="_Toc30258"/>
      <w:bookmarkStart w:id="1118" w:name="_Toc11271"/>
      <w:bookmarkStart w:id="1119" w:name="_Toc20177"/>
      <w:bookmarkStart w:id="1120" w:name="_Toc13030"/>
      <w:r>
        <w:rPr>
          <w:rFonts w:hint="eastAsia" w:ascii="宋体" w:hAnsi="宋体"/>
          <w:color w:val="auto"/>
          <w:sz w:val="24"/>
          <w:szCs w:val="24"/>
          <w:highlight w:val="none"/>
        </w:rPr>
        <w:t>15.3 质量保证金</w:t>
      </w:r>
      <w:bookmarkEnd w:id="1113"/>
      <w:bookmarkEnd w:id="1114"/>
      <w:bookmarkEnd w:id="1115"/>
      <w:bookmarkEnd w:id="1116"/>
      <w:bookmarkEnd w:id="1117"/>
      <w:bookmarkEnd w:id="1118"/>
      <w:bookmarkEnd w:id="1119"/>
      <w:bookmarkEnd w:id="1120"/>
    </w:p>
    <w:p w14:paraId="61FA487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关于是否扣留质量保证金的约定：</w:t>
      </w:r>
      <w:r>
        <w:rPr>
          <w:rFonts w:hint="eastAsia" w:ascii="宋体" w:hAnsi="宋体" w:cs="宋体"/>
          <w:color w:val="auto"/>
          <w:sz w:val="24"/>
          <w:szCs w:val="24"/>
          <w:highlight w:val="none"/>
          <w:u w:val="single"/>
          <w:lang w:bidi="ar"/>
        </w:rPr>
        <w:t>扣留最终审计结果的3%</w:t>
      </w:r>
      <w:r>
        <w:rPr>
          <w:rFonts w:hint="eastAsia" w:ascii="宋体" w:hAnsi="宋体"/>
          <w:color w:val="auto"/>
          <w:sz w:val="24"/>
          <w:szCs w:val="24"/>
          <w:highlight w:val="none"/>
        </w:rPr>
        <w:t>。在工程项目竣工前，承包人按专用合同草案第3.7条提供履约担保的，发包人不得同时预留工程质量保证金。</w:t>
      </w:r>
    </w:p>
    <w:p w14:paraId="69C2562B">
      <w:pPr>
        <w:spacing w:line="380" w:lineRule="exact"/>
        <w:ind w:firstLine="480" w:firstLineChars="200"/>
        <w:jc w:val="left"/>
        <w:outlineLvl w:val="0"/>
        <w:rPr>
          <w:rFonts w:hint="eastAsia" w:ascii="宋体" w:hAnsi="宋体"/>
          <w:color w:val="auto"/>
          <w:sz w:val="24"/>
          <w:szCs w:val="24"/>
          <w:highlight w:val="none"/>
        </w:rPr>
      </w:pPr>
      <w:bookmarkStart w:id="1121" w:name="_Toc11209"/>
      <w:bookmarkStart w:id="1122" w:name="_Toc29769"/>
      <w:bookmarkStart w:id="1123" w:name="_Toc10745"/>
      <w:bookmarkStart w:id="1124" w:name="_Toc17088"/>
      <w:bookmarkStart w:id="1125" w:name="_Toc3933"/>
      <w:bookmarkStart w:id="1126" w:name="_Toc31429"/>
      <w:bookmarkStart w:id="1127" w:name="_Toc28723"/>
      <w:bookmarkStart w:id="1128" w:name="_Toc21830"/>
      <w:r>
        <w:rPr>
          <w:rFonts w:hint="eastAsia" w:ascii="宋体" w:hAnsi="宋体"/>
          <w:color w:val="auto"/>
          <w:sz w:val="24"/>
          <w:szCs w:val="24"/>
          <w:highlight w:val="none"/>
        </w:rPr>
        <w:t>15.3.1 承包人提供质量保证金的方式</w:t>
      </w:r>
      <w:bookmarkEnd w:id="1121"/>
      <w:bookmarkEnd w:id="1122"/>
      <w:bookmarkEnd w:id="1123"/>
      <w:bookmarkEnd w:id="1124"/>
      <w:bookmarkEnd w:id="1125"/>
      <w:bookmarkEnd w:id="1126"/>
      <w:bookmarkEnd w:id="1127"/>
      <w:bookmarkEnd w:id="1128"/>
    </w:p>
    <w:p w14:paraId="57802C93">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质量保证金采用以下第</w:t>
      </w:r>
      <w:r>
        <w:rPr>
          <w:rFonts w:hint="eastAsia" w:ascii="宋体" w:hAnsi="宋体"/>
          <w:color w:val="auto"/>
          <w:sz w:val="24"/>
          <w:szCs w:val="24"/>
          <w:highlight w:val="none"/>
          <w:u w:val="single"/>
        </w:rPr>
        <w:t xml:space="preserve"> 2</w:t>
      </w:r>
      <w:r>
        <w:rPr>
          <w:rFonts w:hint="eastAsia" w:ascii="宋体" w:hAnsi="宋体"/>
          <w:color w:val="auto"/>
          <w:sz w:val="24"/>
          <w:szCs w:val="24"/>
          <w:highlight w:val="none"/>
        </w:rPr>
        <w:t>种方式：</w:t>
      </w:r>
    </w:p>
    <w:p w14:paraId="386E385C">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（1）质量保证金保函，保证金额为：</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 xml:space="preserve">； </w:t>
      </w:r>
    </w:p>
    <w:p w14:paraId="3B477BB5">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w:t>
      </w:r>
      <w:r>
        <w:rPr>
          <w:rFonts w:hint="eastAsia" w:ascii="宋体" w:hAnsi="宋体"/>
          <w:color w:val="auto"/>
          <w:kern w:val="0"/>
          <w:sz w:val="24"/>
          <w:szCs w:val="24"/>
          <w:highlight w:val="none"/>
          <w:u w:val="single"/>
        </w:rPr>
        <w:t>3</w:t>
      </w:r>
      <w:r>
        <w:rPr>
          <w:rFonts w:hint="eastAsia" w:ascii="宋体" w:hAnsi="宋体"/>
          <w:color w:val="auto"/>
          <w:kern w:val="0"/>
          <w:sz w:val="24"/>
          <w:szCs w:val="24"/>
          <w:highlight w:val="none"/>
        </w:rPr>
        <w:t>%的工程款；</w:t>
      </w:r>
    </w:p>
    <w:p w14:paraId="4B82FD44">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（3）其他方式:</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40A2DB21">
      <w:pPr>
        <w:spacing w:line="380" w:lineRule="exact"/>
        <w:ind w:firstLine="480" w:firstLineChars="200"/>
        <w:jc w:val="left"/>
        <w:outlineLvl w:val="0"/>
        <w:rPr>
          <w:rFonts w:hint="eastAsia" w:ascii="宋体" w:hAnsi="宋体"/>
          <w:color w:val="auto"/>
          <w:sz w:val="24"/>
          <w:szCs w:val="24"/>
          <w:highlight w:val="none"/>
        </w:rPr>
      </w:pPr>
      <w:bookmarkStart w:id="1129" w:name="_Toc18925"/>
      <w:bookmarkStart w:id="1130" w:name="_Toc12502"/>
      <w:bookmarkStart w:id="1131" w:name="_Toc29035"/>
      <w:bookmarkStart w:id="1132" w:name="_Toc28913"/>
      <w:bookmarkStart w:id="1133" w:name="_Toc16478"/>
      <w:bookmarkStart w:id="1134" w:name="_Toc13201"/>
      <w:bookmarkStart w:id="1135" w:name="_Toc3271"/>
      <w:bookmarkStart w:id="1136" w:name="_Toc25079"/>
      <w:r>
        <w:rPr>
          <w:rFonts w:hint="eastAsia" w:ascii="宋体" w:hAnsi="宋体"/>
          <w:color w:val="auto"/>
          <w:sz w:val="24"/>
          <w:szCs w:val="24"/>
          <w:highlight w:val="none"/>
        </w:rPr>
        <w:t>15.3.2 质量保证金的扣留</w:t>
      </w:r>
      <w:bookmarkEnd w:id="1129"/>
      <w:bookmarkEnd w:id="1130"/>
      <w:bookmarkEnd w:id="1131"/>
      <w:bookmarkEnd w:id="1132"/>
      <w:bookmarkEnd w:id="1133"/>
      <w:bookmarkEnd w:id="1134"/>
      <w:bookmarkEnd w:id="1135"/>
      <w:bookmarkEnd w:id="1136"/>
    </w:p>
    <w:p w14:paraId="2DACA62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质量保证金的扣留采取以下第</w:t>
      </w:r>
      <w:r>
        <w:rPr>
          <w:rFonts w:hint="eastAsia" w:ascii="宋体" w:hAnsi="宋体"/>
          <w:color w:val="auto"/>
          <w:sz w:val="24"/>
          <w:szCs w:val="24"/>
          <w:highlight w:val="none"/>
          <w:u w:val="single"/>
        </w:rPr>
        <w:t xml:space="preserve"> 2</w:t>
      </w:r>
      <w:r>
        <w:rPr>
          <w:rFonts w:hint="eastAsia" w:ascii="宋体" w:hAnsi="宋体"/>
          <w:color w:val="auto"/>
          <w:sz w:val="24"/>
          <w:szCs w:val="24"/>
          <w:highlight w:val="none"/>
        </w:rPr>
        <w:t>种方式：</w:t>
      </w:r>
    </w:p>
    <w:p w14:paraId="72639020">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（1）在支付工程进度款时逐次扣留，在此情形下，质量保证金的计算基数不包括预付款的支付、扣回以及价格调整的金额；</w:t>
      </w:r>
    </w:p>
    <w:p w14:paraId="7E732849">
      <w:pPr>
        <w:autoSpaceDE w:val="0"/>
        <w:autoSpaceDN w:val="0"/>
        <w:adjustRightInd w:val="0"/>
        <w:spacing w:line="380" w:lineRule="exact"/>
        <w:ind w:firstLine="480" w:firstLineChars="200"/>
        <w:jc w:val="left"/>
        <w:outlineLvl w:val="0"/>
        <w:rPr>
          <w:rFonts w:hint="eastAsia" w:ascii="宋体" w:hAnsi="宋体"/>
          <w:color w:val="auto"/>
          <w:kern w:val="0"/>
          <w:sz w:val="24"/>
          <w:szCs w:val="24"/>
          <w:highlight w:val="none"/>
        </w:rPr>
      </w:pPr>
      <w:bookmarkStart w:id="1137" w:name="_Toc4414"/>
      <w:bookmarkStart w:id="1138" w:name="_Toc23485"/>
      <w:bookmarkStart w:id="1139" w:name="_Toc11904"/>
      <w:bookmarkStart w:id="1140" w:name="_Toc23803"/>
      <w:bookmarkStart w:id="1141" w:name="_Toc15791"/>
      <w:bookmarkStart w:id="1142" w:name="_Toc5068"/>
      <w:bookmarkStart w:id="1143" w:name="_Toc4854"/>
      <w:bookmarkStart w:id="1144" w:name="_Toc1627"/>
      <w:r>
        <w:rPr>
          <w:rFonts w:hint="eastAsia" w:ascii="宋体" w:hAnsi="宋体"/>
          <w:color w:val="auto"/>
          <w:kern w:val="0"/>
          <w:sz w:val="24"/>
          <w:szCs w:val="24"/>
          <w:highlight w:val="none"/>
        </w:rPr>
        <w:t>（2）工程竣工结算时一次性扣留质量保证金；</w:t>
      </w:r>
      <w:bookmarkEnd w:id="1137"/>
      <w:bookmarkEnd w:id="1138"/>
      <w:bookmarkEnd w:id="1139"/>
      <w:bookmarkEnd w:id="1140"/>
      <w:bookmarkEnd w:id="1141"/>
      <w:bookmarkEnd w:id="1142"/>
      <w:bookmarkEnd w:id="1143"/>
      <w:bookmarkEnd w:id="1144"/>
    </w:p>
    <w:p w14:paraId="764987F9">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（3）其他扣留方式:</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p w14:paraId="428560D0">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关于质量保证金的补充约定：</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bookmarkEnd w:id="1084"/>
    <w:bookmarkEnd w:id="1085"/>
    <w:p w14:paraId="43F71C7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15.4保修</w:t>
      </w:r>
    </w:p>
    <w:bookmarkEnd w:id="1086"/>
    <w:p w14:paraId="6DD76D12">
      <w:pPr>
        <w:spacing w:line="380" w:lineRule="exact"/>
        <w:ind w:firstLine="468" w:firstLineChars="195"/>
        <w:jc w:val="left"/>
        <w:rPr>
          <w:rFonts w:hint="eastAsia" w:ascii="宋体" w:hAnsi="宋体"/>
          <w:color w:val="auto"/>
          <w:sz w:val="24"/>
          <w:szCs w:val="24"/>
          <w:highlight w:val="none"/>
        </w:rPr>
      </w:pPr>
      <w:r>
        <w:rPr>
          <w:rFonts w:hint="eastAsia" w:ascii="宋体" w:hAnsi="宋体"/>
          <w:color w:val="auto"/>
          <w:sz w:val="24"/>
          <w:szCs w:val="24"/>
          <w:highlight w:val="none"/>
        </w:rPr>
        <w:t>15.4.1 保修责任</w:t>
      </w:r>
    </w:p>
    <w:p w14:paraId="665E9293">
      <w:pPr>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工程保修期为：</w:t>
      </w:r>
      <w:r>
        <w:rPr>
          <w:rFonts w:hint="eastAsia" w:ascii="宋体" w:hAnsi="宋体" w:cs="宋体"/>
          <w:color w:val="auto"/>
          <w:kern w:val="0"/>
          <w:sz w:val="24"/>
          <w:szCs w:val="24"/>
          <w:highlight w:val="none"/>
          <w:u w:val="single"/>
          <w:lang w:bidi="ar"/>
        </w:rPr>
        <w:t>见《工程质量保修书》</w:t>
      </w:r>
      <w:r>
        <w:rPr>
          <w:rFonts w:hint="eastAsia" w:ascii="宋体" w:hAnsi="宋体"/>
          <w:color w:val="auto"/>
          <w:kern w:val="0"/>
          <w:sz w:val="24"/>
          <w:szCs w:val="24"/>
          <w:highlight w:val="none"/>
        </w:rPr>
        <w:t>。</w:t>
      </w:r>
    </w:p>
    <w:p w14:paraId="60A9350F">
      <w:pPr>
        <w:spacing w:line="380" w:lineRule="exact"/>
        <w:ind w:firstLine="468" w:firstLineChars="195"/>
        <w:jc w:val="left"/>
        <w:rPr>
          <w:rFonts w:hint="eastAsia" w:ascii="宋体" w:hAnsi="宋体"/>
          <w:color w:val="auto"/>
          <w:sz w:val="24"/>
          <w:szCs w:val="24"/>
          <w:highlight w:val="none"/>
        </w:rPr>
      </w:pPr>
      <w:r>
        <w:rPr>
          <w:rFonts w:hint="eastAsia" w:ascii="宋体" w:hAnsi="宋体"/>
          <w:color w:val="auto"/>
          <w:sz w:val="24"/>
          <w:szCs w:val="24"/>
          <w:highlight w:val="none"/>
        </w:rPr>
        <w:t>15.4.3 修复通知</w:t>
      </w:r>
    </w:p>
    <w:p w14:paraId="77BE6682">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承包人收到保修通知并到达工程现场的合理时间：</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bookmarkEnd w:id="1087"/>
    <w:bookmarkEnd w:id="1088"/>
    <w:bookmarkEnd w:id="1089"/>
    <w:bookmarkEnd w:id="1090"/>
    <w:p w14:paraId="6A3AC2FC">
      <w:pPr>
        <w:keepNext/>
        <w:keepLines/>
        <w:spacing w:line="380" w:lineRule="exact"/>
        <w:ind w:firstLine="482"/>
        <w:outlineLvl w:val="3"/>
        <w:rPr>
          <w:rFonts w:hint="eastAsia" w:ascii="宋体" w:hAnsi="宋体"/>
          <w:bCs/>
          <w:color w:val="auto"/>
          <w:sz w:val="24"/>
          <w:szCs w:val="24"/>
          <w:highlight w:val="none"/>
        </w:rPr>
      </w:pPr>
      <w:bookmarkStart w:id="1145" w:name="_Toc351203648"/>
      <w:bookmarkStart w:id="1146" w:name="_Toc280868717"/>
      <w:bookmarkStart w:id="1147" w:name="_Toc280868718"/>
      <w:r>
        <w:rPr>
          <w:rFonts w:hint="eastAsia" w:ascii="宋体" w:hAnsi="宋体"/>
          <w:bCs/>
          <w:color w:val="auto"/>
          <w:sz w:val="24"/>
          <w:szCs w:val="24"/>
          <w:highlight w:val="none"/>
        </w:rPr>
        <w:t>16. 违约</w:t>
      </w:r>
      <w:bookmarkEnd w:id="1145"/>
    </w:p>
    <w:p w14:paraId="76A79430">
      <w:pPr>
        <w:spacing w:line="380" w:lineRule="exact"/>
        <w:ind w:firstLine="480" w:firstLineChars="200"/>
        <w:outlineLvl w:val="0"/>
        <w:rPr>
          <w:rFonts w:hint="eastAsia" w:ascii="宋体" w:hAnsi="宋体"/>
          <w:color w:val="auto"/>
          <w:sz w:val="24"/>
          <w:szCs w:val="24"/>
          <w:highlight w:val="none"/>
        </w:rPr>
      </w:pPr>
      <w:bookmarkStart w:id="1148" w:name="_Toc9051"/>
      <w:bookmarkStart w:id="1149" w:name="_Toc31188"/>
      <w:bookmarkStart w:id="1150" w:name="_Toc21104"/>
      <w:bookmarkStart w:id="1151" w:name="_Toc5760"/>
      <w:bookmarkStart w:id="1152" w:name="_Toc19168"/>
      <w:bookmarkStart w:id="1153" w:name="_Toc8408"/>
      <w:bookmarkStart w:id="1154" w:name="_Toc18879"/>
      <w:bookmarkStart w:id="1155" w:name="_Toc16401"/>
      <w:r>
        <w:rPr>
          <w:rFonts w:hint="eastAsia" w:ascii="宋体" w:hAnsi="宋体"/>
          <w:color w:val="auto"/>
          <w:sz w:val="24"/>
          <w:szCs w:val="24"/>
          <w:highlight w:val="none"/>
        </w:rPr>
        <w:t>16.1 发包人违约</w:t>
      </w:r>
      <w:bookmarkEnd w:id="1148"/>
      <w:bookmarkEnd w:id="1149"/>
      <w:bookmarkEnd w:id="1150"/>
      <w:bookmarkEnd w:id="1151"/>
      <w:bookmarkEnd w:id="1152"/>
      <w:bookmarkEnd w:id="1153"/>
      <w:bookmarkEnd w:id="1154"/>
      <w:bookmarkEnd w:id="1155"/>
    </w:p>
    <w:p w14:paraId="67EF0E3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16.1.1发包人违约的情形</w:t>
      </w:r>
    </w:p>
    <w:p w14:paraId="149435DF">
      <w:pPr>
        <w:spacing w:line="380" w:lineRule="exact"/>
        <w:ind w:left="1200" w:hanging="1200" w:hangingChars="5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发包人违约的其他情形：</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116BA007">
      <w:pPr>
        <w:spacing w:line="380" w:lineRule="exact"/>
        <w:ind w:left="1200" w:hanging="1200" w:hangingChars="5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 xml:space="preserve">    16.1.2 发包人违约的责任</w:t>
      </w:r>
    </w:p>
    <w:p w14:paraId="1F035259">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发包人违约责任的承担方式和计算方法：</w:t>
      </w:r>
    </w:p>
    <w:p w14:paraId="0905ADBA">
      <w:pPr>
        <w:spacing w:line="380" w:lineRule="exact"/>
        <w:ind w:firstLine="480" w:firstLineChars="200"/>
        <w:jc w:val="left"/>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（1）因发包人原因未能在计划开工日期前7天内下达开工通知的违约责任：</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45AE8997">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（2）因发包人原因未能按合同约定支付合同价款的违约责任：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5946C3BC">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（3）发包人违反第10.1款〔变更的范围〕第（2）项约定，自行实施被取消的工作或转由他人实施的违约责任：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6F5A9FD8">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p w14:paraId="5DB7A4CD">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（5）因发包人违反合同约定造成暂停施工的违约责任：</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095E2342">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（6）发包人无正当理由没有在约定期限内发出复工指示，导致承包人无法复工的违约责任：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1159DD54">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（7）其他：</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52B89870">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16.1.3 因发包人违约解除合同</w:t>
      </w:r>
    </w:p>
    <w:p w14:paraId="4B0F0085">
      <w:pPr>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承包人按16.1.1项〔发包人违约的情形〕约定暂停施工满</w:t>
      </w:r>
      <w:r>
        <w:rPr>
          <w:rFonts w:hint="eastAsia" w:ascii="宋体" w:hAnsi="宋体"/>
          <w:color w:val="auto"/>
          <w:kern w:val="0"/>
          <w:sz w:val="24"/>
          <w:szCs w:val="24"/>
          <w:highlight w:val="none"/>
          <w:u w:val="single"/>
        </w:rPr>
        <w:t>28</w:t>
      </w:r>
      <w:r>
        <w:rPr>
          <w:rFonts w:hint="eastAsia" w:ascii="宋体" w:hAnsi="宋体"/>
          <w:color w:val="auto"/>
          <w:kern w:val="0"/>
          <w:sz w:val="24"/>
          <w:szCs w:val="24"/>
          <w:highlight w:val="none"/>
        </w:rPr>
        <w:t>天后发包人仍不纠正其违约行为并致使合同目的不能实现的，承包人有权解除合同。</w:t>
      </w:r>
    </w:p>
    <w:p w14:paraId="430C3702">
      <w:pPr>
        <w:spacing w:line="380" w:lineRule="exact"/>
        <w:ind w:firstLine="480" w:firstLineChars="200"/>
        <w:outlineLvl w:val="0"/>
        <w:rPr>
          <w:rFonts w:hint="eastAsia" w:ascii="宋体" w:hAnsi="宋体"/>
          <w:color w:val="auto"/>
          <w:sz w:val="24"/>
          <w:szCs w:val="24"/>
          <w:highlight w:val="none"/>
        </w:rPr>
      </w:pPr>
      <w:bookmarkStart w:id="1156" w:name="_Toc7668"/>
      <w:bookmarkStart w:id="1157" w:name="_Toc14528"/>
      <w:bookmarkStart w:id="1158" w:name="_Toc28855"/>
      <w:bookmarkStart w:id="1159" w:name="_Toc5351"/>
      <w:bookmarkStart w:id="1160" w:name="_Toc27941"/>
      <w:bookmarkStart w:id="1161" w:name="_Toc29950"/>
      <w:bookmarkStart w:id="1162" w:name="_Toc2877"/>
      <w:bookmarkStart w:id="1163" w:name="_Toc7468"/>
      <w:r>
        <w:rPr>
          <w:rFonts w:hint="eastAsia" w:ascii="宋体" w:hAnsi="宋体"/>
          <w:color w:val="auto"/>
          <w:sz w:val="24"/>
          <w:szCs w:val="24"/>
          <w:highlight w:val="none"/>
        </w:rPr>
        <w:t>16.2 承包人违约</w:t>
      </w:r>
      <w:bookmarkEnd w:id="1156"/>
      <w:bookmarkEnd w:id="1157"/>
      <w:bookmarkEnd w:id="1158"/>
      <w:bookmarkEnd w:id="1159"/>
      <w:bookmarkEnd w:id="1160"/>
      <w:bookmarkEnd w:id="1161"/>
      <w:bookmarkEnd w:id="1162"/>
      <w:bookmarkEnd w:id="1163"/>
    </w:p>
    <w:p w14:paraId="623AA655">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16.2.1 承包人违约的情形</w:t>
      </w:r>
    </w:p>
    <w:p w14:paraId="057C01FD">
      <w:pPr>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承包人违约的其他情形：</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274AFB9D">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16.2.2承包人违约的责任</w:t>
      </w:r>
    </w:p>
    <w:p w14:paraId="5E5B14C2">
      <w:pPr>
        <w:spacing w:line="380" w:lineRule="exact"/>
        <w:ind w:left="1200" w:hanging="1200" w:hangingChars="500"/>
        <w:jc w:val="left"/>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承包人违约责任的承担方式和计算方法：</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78E51BB1">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16.2.3 因承包人违约解除合同</w:t>
      </w:r>
    </w:p>
    <w:p w14:paraId="54554C13">
      <w:pPr>
        <w:spacing w:line="380" w:lineRule="exact"/>
        <w:ind w:firstLine="482"/>
        <w:rPr>
          <w:rFonts w:hint="eastAsia" w:ascii="宋体" w:hAnsi="宋体"/>
          <w:color w:val="auto"/>
          <w:kern w:val="0"/>
          <w:sz w:val="24"/>
          <w:szCs w:val="24"/>
          <w:highlight w:val="none"/>
        </w:rPr>
      </w:pPr>
      <w:r>
        <w:rPr>
          <w:rFonts w:hint="eastAsia" w:ascii="宋体" w:hAnsi="宋体"/>
          <w:color w:val="auto"/>
          <w:kern w:val="0"/>
          <w:sz w:val="24"/>
          <w:szCs w:val="24"/>
          <w:highlight w:val="none"/>
        </w:rPr>
        <w:t>关于承包人违约解除合同的特别约定：</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56CBFE68">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发包人继续使用承包人在施工现场的材料、设备、临时工程、承包人文件和由承包人或以其名义编制的其他文件的费用承担方式：</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3BDB3779">
      <w:pPr>
        <w:keepNext/>
        <w:keepLines/>
        <w:spacing w:line="380" w:lineRule="exact"/>
        <w:ind w:firstLine="482"/>
        <w:outlineLvl w:val="3"/>
        <w:rPr>
          <w:rFonts w:hint="eastAsia" w:ascii="宋体" w:hAnsi="宋体"/>
          <w:bCs/>
          <w:color w:val="auto"/>
          <w:sz w:val="24"/>
          <w:szCs w:val="24"/>
          <w:highlight w:val="none"/>
        </w:rPr>
      </w:pPr>
      <w:bookmarkStart w:id="1164" w:name="_Toc351203649"/>
      <w:r>
        <w:rPr>
          <w:rFonts w:hint="eastAsia" w:ascii="宋体" w:hAnsi="宋体"/>
          <w:bCs/>
          <w:color w:val="auto"/>
          <w:sz w:val="24"/>
          <w:szCs w:val="24"/>
          <w:highlight w:val="none"/>
        </w:rPr>
        <w:t>17. 不可抗力</w:t>
      </w:r>
      <w:bookmarkEnd w:id="1146"/>
      <w:bookmarkEnd w:id="1164"/>
    </w:p>
    <w:p w14:paraId="7763A9E1">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17.1 不可抗力的确认</w:t>
      </w:r>
    </w:p>
    <w:p w14:paraId="733BAEF6">
      <w:pPr>
        <w:spacing w:line="380" w:lineRule="exact"/>
        <w:ind w:firstLine="480" w:firstLineChars="200"/>
        <w:jc w:val="left"/>
        <w:rPr>
          <w:rFonts w:hint="eastAsia" w:ascii="宋体" w:hAnsi="宋体"/>
          <w:color w:val="auto"/>
          <w:kern w:val="0"/>
          <w:sz w:val="24"/>
          <w:szCs w:val="24"/>
          <w:highlight w:val="none"/>
          <w:u w:val="single"/>
        </w:rPr>
      </w:pPr>
      <w:r>
        <w:rPr>
          <w:rFonts w:hint="eastAsia" w:ascii="宋体" w:hAnsi="宋体"/>
          <w:color w:val="auto"/>
          <w:sz w:val="24"/>
          <w:szCs w:val="24"/>
          <w:highlight w:val="none"/>
        </w:rPr>
        <w:t xml:space="preserve">除通用合同草案约定的不可抗力事件之外，视为不可抗力的其他情形： </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103F5A5E">
      <w:pPr>
        <w:spacing w:line="380" w:lineRule="exact"/>
        <w:ind w:firstLine="480" w:firstLineChars="200"/>
        <w:outlineLvl w:val="0"/>
        <w:rPr>
          <w:rFonts w:hint="eastAsia" w:ascii="宋体" w:hAnsi="宋体"/>
          <w:color w:val="auto"/>
          <w:sz w:val="24"/>
          <w:szCs w:val="24"/>
          <w:highlight w:val="none"/>
        </w:rPr>
      </w:pPr>
      <w:bookmarkStart w:id="1165" w:name="_Toc17361"/>
      <w:bookmarkStart w:id="1166" w:name="_Toc5649"/>
      <w:bookmarkStart w:id="1167" w:name="_Toc977"/>
      <w:bookmarkStart w:id="1168" w:name="_Toc29722"/>
      <w:bookmarkStart w:id="1169" w:name="_Toc12511"/>
      <w:bookmarkStart w:id="1170" w:name="_Toc13103"/>
      <w:bookmarkStart w:id="1171" w:name="_Toc6858"/>
      <w:bookmarkStart w:id="1172" w:name="_Toc288"/>
      <w:r>
        <w:rPr>
          <w:rFonts w:hint="eastAsia" w:ascii="宋体" w:hAnsi="宋体"/>
          <w:color w:val="auto"/>
          <w:sz w:val="24"/>
          <w:szCs w:val="24"/>
          <w:highlight w:val="none"/>
        </w:rPr>
        <w:t>17.4 因不可抗力解除合同</w:t>
      </w:r>
      <w:bookmarkEnd w:id="1165"/>
      <w:bookmarkEnd w:id="1166"/>
      <w:bookmarkEnd w:id="1167"/>
      <w:bookmarkEnd w:id="1168"/>
      <w:bookmarkEnd w:id="1169"/>
      <w:bookmarkEnd w:id="1170"/>
      <w:bookmarkEnd w:id="1171"/>
      <w:bookmarkEnd w:id="1172"/>
    </w:p>
    <w:p w14:paraId="2BFDDB19">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合同解除后，发包人应在商定或确定发包人应支付款项后</w:t>
      </w:r>
      <w:r>
        <w:rPr>
          <w:rFonts w:hint="eastAsia" w:ascii="宋体" w:hAnsi="宋体"/>
          <w:color w:val="auto"/>
          <w:sz w:val="24"/>
          <w:szCs w:val="24"/>
          <w:highlight w:val="none"/>
          <w:u w:val="single"/>
        </w:rPr>
        <w:t>28</w:t>
      </w:r>
      <w:r>
        <w:rPr>
          <w:rFonts w:hint="eastAsia" w:ascii="宋体" w:hAnsi="宋体"/>
          <w:color w:val="auto"/>
          <w:sz w:val="24"/>
          <w:szCs w:val="24"/>
          <w:highlight w:val="none"/>
        </w:rPr>
        <w:t>天内完成款项的支付。</w:t>
      </w:r>
    </w:p>
    <w:p w14:paraId="5104124A">
      <w:pPr>
        <w:keepNext/>
        <w:keepLines/>
        <w:spacing w:line="380" w:lineRule="exact"/>
        <w:ind w:firstLine="482"/>
        <w:outlineLvl w:val="3"/>
        <w:rPr>
          <w:rFonts w:hint="eastAsia" w:ascii="宋体" w:hAnsi="宋体"/>
          <w:bCs/>
          <w:color w:val="auto"/>
          <w:sz w:val="24"/>
          <w:szCs w:val="24"/>
          <w:highlight w:val="none"/>
        </w:rPr>
      </w:pPr>
      <w:bookmarkStart w:id="1173" w:name="_Toc351203650"/>
      <w:r>
        <w:rPr>
          <w:rFonts w:hint="eastAsia" w:ascii="宋体" w:hAnsi="宋体"/>
          <w:bCs/>
          <w:color w:val="auto"/>
          <w:sz w:val="24"/>
          <w:szCs w:val="24"/>
          <w:highlight w:val="none"/>
        </w:rPr>
        <w:t>18. 保险</w:t>
      </w:r>
      <w:bookmarkEnd w:id="1173"/>
    </w:p>
    <w:bookmarkEnd w:id="1147"/>
    <w:p w14:paraId="1F3A8890">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18.1 工程保险</w:t>
      </w:r>
    </w:p>
    <w:p w14:paraId="3389F5BE">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关于工程保险的特别约定：</w:t>
      </w:r>
      <w:r>
        <w:rPr>
          <w:rFonts w:hint="eastAsia" w:ascii="宋体" w:hAnsi="宋体"/>
          <w:color w:val="auto"/>
          <w:sz w:val="24"/>
          <w:szCs w:val="24"/>
          <w:highlight w:val="none"/>
          <w:u w:val="single"/>
          <w:lang w:val="zh-TW" w:eastAsia="zh-TW"/>
        </w:rPr>
        <w:t>承包人投保，保险费及其他费用已包含在投标报价中</w:t>
      </w:r>
      <w:r>
        <w:rPr>
          <w:rFonts w:hint="eastAsia" w:ascii="宋体" w:hAnsi="宋体"/>
          <w:color w:val="auto"/>
          <w:kern w:val="0"/>
          <w:sz w:val="24"/>
          <w:szCs w:val="24"/>
          <w:highlight w:val="none"/>
        </w:rPr>
        <w:t>。</w:t>
      </w:r>
    </w:p>
    <w:p w14:paraId="2D8B25B9">
      <w:pPr>
        <w:spacing w:line="380" w:lineRule="exact"/>
        <w:ind w:firstLine="480" w:firstLineChars="200"/>
        <w:outlineLvl w:val="0"/>
        <w:rPr>
          <w:rFonts w:hint="eastAsia" w:ascii="宋体" w:hAnsi="宋体"/>
          <w:color w:val="auto"/>
          <w:sz w:val="24"/>
          <w:szCs w:val="24"/>
          <w:highlight w:val="none"/>
        </w:rPr>
      </w:pPr>
      <w:bookmarkStart w:id="1174" w:name="_Toc18019"/>
      <w:bookmarkStart w:id="1175" w:name="_Toc22289"/>
      <w:bookmarkStart w:id="1176" w:name="_Toc15738"/>
      <w:bookmarkStart w:id="1177" w:name="_Toc2890"/>
      <w:bookmarkStart w:id="1178" w:name="_Toc15675"/>
      <w:bookmarkStart w:id="1179" w:name="_Toc2094"/>
      <w:bookmarkStart w:id="1180" w:name="_Toc12707"/>
      <w:bookmarkStart w:id="1181" w:name="_Toc20721"/>
      <w:r>
        <w:rPr>
          <w:rFonts w:hint="eastAsia" w:ascii="宋体" w:hAnsi="宋体"/>
          <w:color w:val="auto"/>
          <w:sz w:val="24"/>
          <w:szCs w:val="24"/>
          <w:highlight w:val="none"/>
        </w:rPr>
        <w:t>18.3 其他保险</w:t>
      </w:r>
      <w:bookmarkEnd w:id="1174"/>
      <w:bookmarkEnd w:id="1175"/>
      <w:bookmarkEnd w:id="1176"/>
      <w:bookmarkEnd w:id="1177"/>
      <w:bookmarkEnd w:id="1178"/>
      <w:bookmarkEnd w:id="1179"/>
      <w:bookmarkEnd w:id="1180"/>
      <w:bookmarkEnd w:id="1181"/>
    </w:p>
    <w:p w14:paraId="4475BE29">
      <w:pPr>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关于其他保险的约定：</w:t>
      </w:r>
      <w:r>
        <w:rPr>
          <w:rFonts w:hint="eastAsia" w:ascii="宋体" w:hAnsi="宋体"/>
          <w:color w:val="auto"/>
          <w:sz w:val="24"/>
          <w:szCs w:val="24"/>
          <w:highlight w:val="none"/>
          <w:u w:val="single"/>
          <w:lang w:val="zh-TW" w:eastAsia="zh-TW"/>
        </w:rPr>
        <w:t>承包人负责其员工及为履行合同聘请的第三方的人员办理意外伤害保险并支付费用</w:t>
      </w:r>
      <w:r>
        <w:rPr>
          <w:rFonts w:hint="eastAsia" w:ascii="宋体" w:hAnsi="宋体"/>
          <w:color w:val="auto"/>
          <w:kern w:val="0"/>
          <w:sz w:val="24"/>
          <w:szCs w:val="24"/>
          <w:highlight w:val="none"/>
        </w:rPr>
        <w:t>。</w:t>
      </w:r>
    </w:p>
    <w:p w14:paraId="09FFAB28">
      <w:pPr>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承包人是否应为其施工设备等办理财产保险：</w:t>
      </w:r>
      <w:r>
        <w:rPr>
          <w:rFonts w:hint="eastAsia" w:ascii="宋体" w:hAnsi="宋体"/>
          <w:color w:val="auto"/>
          <w:sz w:val="24"/>
          <w:szCs w:val="24"/>
          <w:highlight w:val="none"/>
          <w:u w:val="single"/>
          <w:lang w:val="zh-TW" w:eastAsia="zh-TW"/>
        </w:rPr>
        <w:t>是</w:t>
      </w:r>
      <w:r>
        <w:rPr>
          <w:rFonts w:hint="eastAsia" w:ascii="宋体" w:hAnsi="宋体"/>
          <w:color w:val="auto"/>
          <w:sz w:val="24"/>
          <w:szCs w:val="24"/>
          <w:highlight w:val="none"/>
        </w:rPr>
        <w:t>。</w:t>
      </w:r>
    </w:p>
    <w:p w14:paraId="1EFAC5EA">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18.7 通知义务</w:t>
      </w:r>
    </w:p>
    <w:p w14:paraId="796B51C1">
      <w:pPr>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关于变更保险合同时的通知义务的约定：</w:t>
      </w:r>
      <w:r>
        <w:rPr>
          <w:rFonts w:hint="eastAsia" w:ascii="宋体" w:hAnsi="宋体"/>
          <w:color w:val="auto"/>
          <w:sz w:val="24"/>
          <w:szCs w:val="24"/>
          <w:highlight w:val="none"/>
          <w:u w:val="single"/>
          <w:lang w:val="zh-TW" w:eastAsia="zh-TW"/>
        </w:rPr>
        <w:t>按通用条款执行</w:t>
      </w:r>
      <w:r>
        <w:rPr>
          <w:rFonts w:hint="eastAsia" w:ascii="宋体" w:hAnsi="宋体"/>
          <w:color w:val="auto"/>
          <w:sz w:val="24"/>
          <w:szCs w:val="24"/>
          <w:highlight w:val="none"/>
        </w:rPr>
        <w:t>。</w:t>
      </w:r>
    </w:p>
    <w:bookmarkEnd w:id="1091"/>
    <w:bookmarkEnd w:id="1092"/>
    <w:bookmarkEnd w:id="1093"/>
    <w:bookmarkEnd w:id="1094"/>
    <w:bookmarkEnd w:id="1095"/>
    <w:bookmarkEnd w:id="1096"/>
    <w:bookmarkEnd w:id="1097"/>
    <w:bookmarkEnd w:id="1098"/>
    <w:bookmarkEnd w:id="1099"/>
    <w:bookmarkEnd w:id="1100"/>
    <w:bookmarkEnd w:id="1101"/>
    <w:bookmarkEnd w:id="1102"/>
    <w:p w14:paraId="605D84F3">
      <w:pPr>
        <w:keepNext/>
        <w:keepLines/>
        <w:spacing w:line="380" w:lineRule="exact"/>
        <w:ind w:firstLine="482"/>
        <w:outlineLvl w:val="3"/>
        <w:rPr>
          <w:rFonts w:hint="eastAsia" w:ascii="宋体" w:hAnsi="宋体"/>
          <w:bCs/>
          <w:color w:val="auto"/>
          <w:sz w:val="24"/>
          <w:szCs w:val="24"/>
          <w:highlight w:val="none"/>
        </w:rPr>
      </w:pPr>
      <w:bookmarkStart w:id="1182" w:name="_Toc351203651"/>
      <w:r>
        <w:rPr>
          <w:rFonts w:hint="eastAsia" w:ascii="宋体" w:hAnsi="宋体"/>
          <w:bCs/>
          <w:color w:val="auto"/>
          <w:sz w:val="24"/>
          <w:szCs w:val="24"/>
          <w:highlight w:val="none"/>
        </w:rPr>
        <w:t>20. 争议解决</w:t>
      </w:r>
      <w:bookmarkEnd w:id="1182"/>
    </w:p>
    <w:bookmarkEnd w:id="1103"/>
    <w:bookmarkEnd w:id="1104"/>
    <w:p w14:paraId="58CBBD45">
      <w:pPr>
        <w:spacing w:line="380" w:lineRule="exact"/>
        <w:ind w:firstLine="480" w:firstLineChars="200"/>
        <w:outlineLvl w:val="0"/>
        <w:rPr>
          <w:rFonts w:hint="eastAsia" w:ascii="宋体" w:hAnsi="宋体"/>
          <w:color w:val="auto"/>
          <w:sz w:val="24"/>
          <w:szCs w:val="24"/>
          <w:highlight w:val="none"/>
        </w:rPr>
      </w:pPr>
      <w:bookmarkStart w:id="1183" w:name="_Toc27273"/>
      <w:bookmarkStart w:id="1184" w:name="_Toc10322"/>
      <w:bookmarkStart w:id="1185" w:name="_Toc2528"/>
      <w:bookmarkStart w:id="1186" w:name="_Toc30132"/>
      <w:bookmarkStart w:id="1187" w:name="_Toc12806"/>
      <w:bookmarkStart w:id="1188" w:name="_Toc11284"/>
      <w:bookmarkStart w:id="1189" w:name="_Toc26064"/>
      <w:bookmarkStart w:id="1190" w:name="_Toc734"/>
      <w:r>
        <w:rPr>
          <w:rFonts w:hint="eastAsia" w:ascii="宋体" w:hAnsi="宋体"/>
          <w:color w:val="auto"/>
          <w:sz w:val="24"/>
          <w:szCs w:val="24"/>
          <w:highlight w:val="none"/>
        </w:rPr>
        <w:t>20.3 争</w:t>
      </w:r>
      <w:bookmarkEnd w:id="1105"/>
      <w:r>
        <w:rPr>
          <w:rFonts w:hint="eastAsia" w:ascii="宋体" w:hAnsi="宋体"/>
          <w:color w:val="auto"/>
          <w:sz w:val="24"/>
          <w:szCs w:val="24"/>
          <w:highlight w:val="none"/>
        </w:rPr>
        <w:t>议评审</w:t>
      </w:r>
      <w:bookmarkEnd w:id="1183"/>
      <w:bookmarkEnd w:id="1184"/>
      <w:bookmarkEnd w:id="1185"/>
      <w:bookmarkEnd w:id="1186"/>
      <w:bookmarkEnd w:id="1187"/>
      <w:bookmarkEnd w:id="1188"/>
      <w:bookmarkEnd w:id="1189"/>
      <w:bookmarkEnd w:id="1190"/>
    </w:p>
    <w:p w14:paraId="4B53A6E9">
      <w:pPr>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合同当事人是否同意将工程争议提交争议评审小组决定：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 xml:space="preserve">。  </w:t>
      </w:r>
    </w:p>
    <w:p w14:paraId="1564B8D5">
      <w:pPr>
        <w:spacing w:line="380" w:lineRule="exact"/>
        <w:ind w:firstLine="480" w:firstLineChars="200"/>
        <w:jc w:val="left"/>
        <w:outlineLvl w:val="0"/>
        <w:rPr>
          <w:rFonts w:hint="eastAsia" w:ascii="宋体" w:hAnsi="宋体"/>
          <w:color w:val="auto"/>
          <w:sz w:val="24"/>
          <w:szCs w:val="24"/>
          <w:highlight w:val="none"/>
        </w:rPr>
      </w:pPr>
      <w:bookmarkStart w:id="1191" w:name="_Toc14604"/>
      <w:bookmarkStart w:id="1192" w:name="_Toc28980"/>
      <w:bookmarkStart w:id="1193" w:name="_Toc24250"/>
      <w:bookmarkStart w:id="1194" w:name="_Toc4797"/>
      <w:bookmarkStart w:id="1195" w:name="_Toc3412"/>
      <w:bookmarkStart w:id="1196" w:name="_Toc21197"/>
      <w:bookmarkStart w:id="1197" w:name="_Toc30551"/>
      <w:bookmarkStart w:id="1198" w:name="_Toc5873"/>
      <w:r>
        <w:rPr>
          <w:rFonts w:hint="eastAsia" w:ascii="宋体" w:hAnsi="宋体"/>
          <w:color w:val="auto"/>
          <w:sz w:val="24"/>
          <w:szCs w:val="24"/>
          <w:highlight w:val="none"/>
        </w:rPr>
        <w:t>20.3.1 争议评审小组的确定</w:t>
      </w:r>
      <w:bookmarkEnd w:id="1191"/>
      <w:bookmarkEnd w:id="1192"/>
      <w:bookmarkEnd w:id="1193"/>
      <w:bookmarkEnd w:id="1194"/>
      <w:bookmarkEnd w:id="1195"/>
      <w:bookmarkEnd w:id="1196"/>
      <w:bookmarkEnd w:id="1197"/>
      <w:bookmarkEnd w:id="1198"/>
    </w:p>
    <w:p w14:paraId="05DF9E87">
      <w:pPr>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争议评审小组成员的确定：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65B9292">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选定争议评审员的期限：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1389E5D">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争议评审小组成员的报酬承担方式：</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13108CC">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其他事项的约定：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7CEE922">
      <w:pPr>
        <w:autoSpaceDE w:val="0"/>
        <w:autoSpaceDN w:val="0"/>
        <w:adjustRightInd w:val="0"/>
        <w:spacing w:line="380" w:lineRule="exact"/>
        <w:ind w:firstLine="480" w:firstLineChars="200"/>
        <w:jc w:val="left"/>
        <w:outlineLvl w:val="0"/>
        <w:rPr>
          <w:rFonts w:hint="eastAsia" w:ascii="宋体" w:hAnsi="宋体"/>
          <w:color w:val="auto"/>
          <w:kern w:val="0"/>
          <w:sz w:val="24"/>
          <w:szCs w:val="24"/>
          <w:highlight w:val="none"/>
        </w:rPr>
      </w:pPr>
      <w:bookmarkStart w:id="1199" w:name="_Toc14038"/>
      <w:bookmarkStart w:id="1200" w:name="_Toc27411"/>
      <w:bookmarkStart w:id="1201" w:name="_Toc24941"/>
      <w:bookmarkStart w:id="1202" w:name="_Toc7152"/>
      <w:bookmarkStart w:id="1203" w:name="_Toc31498"/>
      <w:bookmarkStart w:id="1204" w:name="_Toc17117"/>
      <w:bookmarkStart w:id="1205" w:name="_Toc13982"/>
      <w:bookmarkStart w:id="1206" w:name="_Toc14020"/>
      <w:r>
        <w:rPr>
          <w:rFonts w:hint="eastAsia" w:ascii="宋体" w:hAnsi="宋体"/>
          <w:color w:val="auto"/>
          <w:kern w:val="0"/>
          <w:sz w:val="24"/>
          <w:szCs w:val="24"/>
          <w:highlight w:val="none"/>
        </w:rPr>
        <w:t>20.3.2 争议评审小组的决定</w:t>
      </w:r>
      <w:bookmarkEnd w:id="1199"/>
      <w:bookmarkEnd w:id="1200"/>
      <w:bookmarkEnd w:id="1201"/>
      <w:bookmarkEnd w:id="1202"/>
      <w:bookmarkEnd w:id="1203"/>
      <w:bookmarkEnd w:id="1204"/>
      <w:bookmarkEnd w:id="1205"/>
      <w:bookmarkEnd w:id="1206"/>
    </w:p>
    <w:p w14:paraId="0CF3DBC5">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合同当事人关于本项的约定：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C1E8CF4">
      <w:pPr>
        <w:spacing w:line="380" w:lineRule="exact"/>
        <w:ind w:firstLine="480" w:firstLineChars="200"/>
        <w:outlineLvl w:val="0"/>
        <w:rPr>
          <w:rFonts w:hint="eastAsia" w:ascii="宋体" w:hAnsi="宋体"/>
          <w:color w:val="auto"/>
          <w:sz w:val="24"/>
          <w:szCs w:val="24"/>
          <w:highlight w:val="none"/>
        </w:rPr>
      </w:pPr>
      <w:bookmarkStart w:id="1207" w:name="_Toc19006"/>
      <w:bookmarkStart w:id="1208" w:name="_Toc31587"/>
      <w:bookmarkStart w:id="1209" w:name="_Toc11441"/>
      <w:bookmarkStart w:id="1210" w:name="_Toc20728"/>
      <w:bookmarkStart w:id="1211" w:name="_Toc16335"/>
      <w:bookmarkStart w:id="1212" w:name="_Toc13460"/>
      <w:bookmarkStart w:id="1213" w:name="_Toc5500"/>
      <w:bookmarkStart w:id="1214" w:name="_Toc15108"/>
      <w:r>
        <w:rPr>
          <w:rFonts w:hint="eastAsia" w:ascii="宋体" w:hAnsi="宋体"/>
          <w:color w:val="auto"/>
          <w:sz w:val="24"/>
          <w:szCs w:val="24"/>
          <w:highlight w:val="none"/>
        </w:rPr>
        <w:t>20.4仲裁或诉讼</w:t>
      </w:r>
      <w:bookmarkEnd w:id="1106"/>
      <w:bookmarkEnd w:id="1207"/>
      <w:bookmarkEnd w:id="1208"/>
      <w:bookmarkEnd w:id="1209"/>
      <w:bookmarkEnd w:id="1210"/>
      <w:bookmarkEnd w:id="1211"/>
      <w:bookmarkEnd w:id="1212"/>
      <w:bookmarkEnd w:id="1213"/>
      <w:bookmarkEnd w:id="1214"/>
    </w:p>
    <w:p w14:paraId="576EE3F4">
      <w:pPr>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因合同及合同有关事项发生的争议，按下列第</w:t>
      </w:r>
      <w:r>
        <w:rPr>
          <w:rFonts w:hint="eastAsia" w:ascii="宋体" w:hAnsi="宋体"/>
          <w:color w:val="auto"/>
          <w:sz w:val="24"/>
          <w:szCs w:val="24"/>
          <w:highlight w:val="none"/>
          <w:u w:val="single"/>
        </w:rPr>
        <w:t>2</w:t>
      </w:r>
      <w:r>
        <w:rPr>
          <w:rFonts w:hint="eastAsia" w:ascii="宋体" w:hAnsi="宋体"/>
          <w:color w:val="auto"/>
          <w:sz w:val="24"/>
          <w:szCs w:val="24"/>
          <w:highlight w:val="none"/>
        </w:rPr>
        <w:t>种方式解决：</w:t>
      </w:r>
    </w:p>
    <w:p w14:paraId="782BA1B7">
      <w:pPr>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（1）向</w:t>
      </w:r>
      <w:r>
        <w:rPr>
          <w:rFonts w:hint="eastAsia" w:ascii="宋体" w:hAnsi="宋体"/>
          <w:color w:val="auto"/>
          <w:sz w:val="24"/>
          <w:szCs w:val="24"/>
          <w:highlight w:val="none"/>
          <w:u w:val="single"/>
        </w:rPr>
        <w:t>三门峡</w:t>
      </w:r>
      <w:r>
        <w:rPr>
          <w:rFonts w:hint="eastAsia" w:ascii="宋体" w:hAnsi="宋体"/>
          <w:color w:val="auto"/>
          <w:sz w:val="24"/>
          <w:szCs w:val="24"/>
          <w:highlight w:val="none"/>
        </w:rPr>
        <w:t>仲裁委员会申请仲裁；</w:t>
      </w:r>
    </w:p>
    <w:p w14:paraId="6B1B6F33">
      <w:pPr>
        <w:spacing w:line="380" w:lineRule="exact"/>
        <w:ind w:firstLine="480" w:firstLineChars="200"/>
        <w:rPr>
          <w:rFonts w:hint="eastAsia" w:ascii="宋体" w:hAnsi="宋体" w:cs="宋体"/>
          <w:bCs/>
          <w:color w:val="auto"/>
          <w:sz w:val="24"/>
          <w:szCs w:val="24"/>
          <w:highlight w:val="none"/>
        </w:rPr>
      </w:pPr>
      <w:r>
        <w:rPr>
          <w:rFonts w:hint="eastAsia" w:ascii="宋体" w:hAnsi="宋体"/>
          <w:color w:val="auto"/>
          <w:sz w:val="24"/>
          <w:szCs w:val="24"/>
          <w:highlight w:val="none"/>
        </w:rPr>
        <w:t>（2）向</w:t>
      </w:r>
      <w:r>
        <w:rPr>
          <w:rFonts w:hint="eastAsia" w:ascii="宋体" w:hAnsi="宋体"/>
          <w:color w:val="auto"/>
          <w:sz w:val="24"/>
          <w:szCs w:val="24"/>
          <w:highlight w:val="none"/>
          <w:u w:val="single"/>
        </w:rPr>
        <w:t xml:space="preserve">项目所在地       </w:t>
      </w:r>
      <w:r>
        <w:rPr>
          <w:rFonts w:hint="eastAsia" w:ascii="宋体" w:hAnsi="宋体"/>
          <w:color w:val="auto"/>
          <w:sz w:val="24"/>
          <w:szCs w:val="24"/>
          <w:highlight w:val="none"/>
        </w:rPr>
        <w:t>人民法院起诉。</w:t>
      </w:r>
      <w:bookmarkEnd w:id="1107"/>
      <w:bookmarkEnd w:id="1108"/>
      <w:bookmarkEnd w:id="1109"/>
      <w:bookmarkEnd w:id="1110"/>
      <w:bookmarkEnd w:id="1111"/>
      <w:bookmarkEnd w:id="1112"/>
    </w:p>
    <w:p w14:paraId="6481AA49">
      <w:pPr>
        <w:keepNext/>
        <w:keepLines/>
        <w:spacing w:beforeLines="50" w:afterLines="50" w:line="400" w:lineRule="exact"/>
        <w:jc w:val="center"/>
        <w:rPr>
          <w:rFonts w:ascii="宋体" w:hAnsi="宋体" w:eastAsia="宋体" w:cs="Times New Roman"/>
          <w:b/>
          <w:bCs/>
          <w:kern w:val="44"/>
          <w:sz w:val="24"/>
          <w:szCs w:val="24"/>
          <w:highlight w:val="none"/>
          <w:lang w:eastAsia="en-US"/>
        </w:rPr>
      </w:pPr>
      <w:r>
        <w:rPr>
          <w:rFonts w:hint="eastAsia" w:ascii="宋体" w:hAnsi="宋体" w:cs="宋体"/>
          <w:b/>
          <w:bCs/>
          <w:color w:val="auto"/>
          <w:sz w:val="32"/>
          <w:szCs w:val="32"/>
          <w:highlight w:val="none"/>
        </w:rPr>
        <w:br w:type="page"/>
      </w:r>
    </w:p>
    <w:p w14:paraId="08C53E65">
      <w:pPr>
        <w:widowControl/>
        <w:adjustRightInd w:val="0"/>
        <w:snapToGrid w:val="0"/>
        <w:spacing w:after="200" w:line="360" w:lineRule="auto"/>
        <w:jc w:val="center"/>
        <w:rPr>
          <w:rFonts w:hint="eastAsia" w:hAnsi="宋体" w:cs="宋体"/>
          <w:b/>
          <w:sz w:val="24"/>
          <w:szCs w:val="24"/>
        </w:rPr>
      </w:pPr>
      <w:bookmarkStart w:id="1215" w:name="_Toc8491"/>
    </w:p>
    <w:p w14:paraId="7BA50F9B">
      <w:pPr>
        <w:widowControl/>
        <w:adjustRightInd w:val="0"/>
        <w:snapToGrid w:val="0"/>
        <w:spacing w:after="200" w:line="360" w:lineRule="auto"/>
        <w:jc w:val="center"/>
        <w:rPr>
          <w:rFonts w:ascii="宋体" w:hAnsi="宋体" w:cs="宋体"/>
          <w:bCs/>
          <w:color w:val="000000"/>
          <w:kern w:val="0"/>
          <w:sz w:val="24"/>
          <w:szCs w:val="24"/>
        </w:rPr>
      </w:pPr>
      <w:bookmarkStart w:id="1216" w:name="_Toc22736"/>
      <w:r>
        <w:rPr>
          <w:rStyle w:val="35"/>
          <w:rFonts w:hint="eastAsia"/>
        </w:rPr>
        <w:t>第六章  磋商响应文件格式</w:t>
      </w:r>
      <w:bookmarkEnd w:id="1215"/>
      <w:r>
        <w:rPr>
          <w:rStyle w:val="35"/>
          <w:rFonts w:hint="eastAsia"/>
        </w:rPr>
        <w:t xml:space="preserve"> </w:t>
      </w:r>
      <w:bookmarkEnd w:id="1216"/>
      <w:r>
        <w:rPr>
          <w:rFonts w:hint="eastAsia" w:hAnsi="宋体" w:cs="宋体"/>
          <w:b/>
          <w:sz w:val="24"/>
          <w:szCs w:val="24"/>
        </w:rPr>
        <w:t xml:space="preserve"> </w:t>
      </w:r>
      <w:r>
        <w:rPr>
          <w:rFonts w:hint="eastAsia" w:ascii="宋体" w:hAnsi="宋体" w:cs="宋体"/>
          <w:bCs/>
          <w:color w:val="000000"/>
          <w:kern w:val="0"/>
          <w:sz w:val="24"/>
          <w:szCs w:val="24"/>
        </w:rPr>
        <w:t xml:space="preserve"> </w:t>
      </w:r>
    </w:p>
    <w:p w14:paraId="0816BAD2">
      <w:pPr>
        <w:pStyle w:val="7"/>
        <w:ind w:left="63" w:right="63" w:firstLine="211"/>
      </w:pPr>
    </w:p>
    <w:p w14:paraId="6E0FAF9D">
      <w:pPr>
        <w:widowControl/>
        <w:spacing w:after="200" w:line="220" w:lineRule="atLeast"/>
        <w:jc w:val="center"/>
        <w:rPr>
          <w:rFonts w:ascii="宋体" w:hAnsi="宋体" w:cs="宋体"/>
          <w:bCs/>
          <w:color w:val="000000"/>
          <w:kern w:val="0"/>
          <w:sz w:val="44"/>
          <w:szCs w:val="44"/>
        </w:rPr>
      </w:pPr>
      <w:r>
        <w:rPr>
          <w:rFonts w:hint="eastAsia" w:ascii="宋体" w:hAnsi="宋体" w:cs="宋体"/>
          <w:bCs/>
          <w:color w:val="000000"/>
          <w:kern w:val="0"/>
          <w:sz w:val="44"/>
          <w:szCs w:val="44"/>
          <w:u w:val="single"/>
        </w:rPr>
        <w:t xml:space="preserve">                       </w:t>
      </w:r>
      <w:r>
        <w:rPr>
          <w:rFonts w:hint="eastAsia" w:ascii="宋体" w:hAnsi="宋体" w:cs="宋体"/>
          <w:bCs/>
          <w:color w:val="000000"/>
          <w:kern w:val="0"/>
          <w:sz w:val="44"/>
          <w:szCs w:val="44"/>
        </w:rPr>
        <w:t>（项目名称）</w:t>
      </w:r>
      <w:r>
        <w:rPr>
          <w:rFonts w:hint="eastAsia" w:ascii="宋体" w:hAnsi="宋体" w:cs="宋体"/>
          <w:b/>
          <w:spacing w:val="-12"/>
          <w:kern w:val="1"/>
          <w:sz w:val="36"/>
          <w:szCs w:val="36"/>
          <w:u w:val="single"/>
          <w:lang w:val="en-US" w:eastAsia="zh-CN"/>
        </w:rPr>
        <w:t xml:space="preserve">    </w:t>
      </w:r>
      <w:r>
        <w:rPr>
          <w:rFonts w:hint="eastAsia" w:ascii="宋体" w:hAnsi="宋体" w:cs="宋体"/>
          <w:b/>
          <w:spacing w:val="-12"/>
          <w:kern w:val="1"/>
          <w:sz w:val="36"/>
          <w:szCs w:val="36"/>
          <w:lang w:val="en-US" w:eastAsia="zh-CN"/>
        </w:rPr>
        <w:t>包</w:t>
      </w:r>
    </w:p>
    <w:p w14:paraId="54D22299">
      <w:pPr>
        <w:widowControl/>
        <w:adjustRightInd w:val="0"/>
        <w:snapToGrid w:val="0"/>
        <w:spacing w:after="200" w:line="360" w:lineRule="auto"/>
        <w:jc w:val="center"/>
        <w:rPr>
          <w:rFonts w:ascii="宋体" w:hAnsi="宋体" w:cs="宋体"/>
          <w:bCs/>
          <w:color w:val="000000"/>
          <w:kern w:val="0"/>
          <w:sz w:val="32"/>
          <w:szCs w:val="32"/>
        </w:rPr>
      </w:pPr>
    </w:p>
    <w:p w14:paraId="4548461F">
      <w:pPr>
        <w:widowControl/>
        <w:adjustRightInd w:val="0"/>
        <w:snapToGrid w:val="0"/>
        <w:spacing w:after="200" w:line="360" w:lineRule="auto"/>
        <w:jc w:val="center"/>
        <w:rPr>
          <w:rFonts w:ascii="宋体" w:hAnsi="宋体" w:cs="宋体"/>
          <w:bCs/>
          <w:color w:val="000000"/>
          <w:kern w:val="0"/>
          <w:sz w:val="32"/>
          <w:szCs w:val="32"/>
        </w:rPr>
      </w:pPr>
    </w:p>
    <w:p w14:paraId="20CFFC24">
      <w:pPr>
        <w:rPr>
          <w:rFonts w:hAnsi="宋体" w:cs="宋体"/>
          <w:bCs/>
          <w:color w:val="000000"/>
          <w:sz w:val="32"/>
          <w:szCs w:val="32"/>
        </w:rPr>
      </w:pPr>
    </w:p>
    <w:p w14:paraId="5DBC0113"/>
    <w:p w14:paraId="745147A3">
      <w:pPr>
        <w:widowControl/>
        <w:adjustRightInd w:val="0"/>
        <w:snapToGrid w:val="0"/>
        <w:spacing w:after="200" w:line="360" w:lineRule="auto"/>
        <w:jc w:val="center"/>
        <w:rPr>
          <w:rFonts w:ascii="宋体" w:hAnsi="宋体" w:cs="宋体"/>
          <w:bCs/>
          <w:color w:val="000000"/>
          <w:kern w:val="0"/>
          <w:sz w:val="72"/>
          <w:szCs w:val="72"/>
        </w:rPr>
      </w:pPr>
      <w:r>
        <w:rPr>
          <w:rFonts w:hint="eastAsia" w:ascii="宋体" w:hAnsi="宋体" w:cs="宋体"/>
          <w:bCs/>
          <w:color w:val="000000"/>
          <w:kern w:val="0"/>
          <w:sz w:val="72"/>
          <w:szCs w:val="72"/>
        </w:rPr>
        <w:t>响应文件</w:t>
      </w:r>
    </w:p>
    <w:p w14:paraId="7EB05AEC">
      <w:pPr>
        <w:widowControl/>
        <w:adjustRightInd w:val="0"/>
        <w:snapToGrid w:val="0"/>
        <w:spacing w:after="20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项目编号：</w:t>
      </w:r>
    </w:p>
    <w:p w14:paraId="5FDCC07E">
      <w:pPr>
        <w:widowControl/>
        <w:adjustRightInd w:val="0"/>
        <w:snapToGrid w:val="0"/>
        <w:spacing w:after="200" w:line="360" w:lineRule="auto"/>
        <w:jc w:val="left"/>
        <w:rPr>
          <w:rFonts w:ascii="宋体" w:hAnsi="宋体" w:cs="宋体"/>
          <w:bCs/>
          <w:color w:val="000000"/>
          <w:kern w:val="0"/>
          <w:sz w:val="32"/>
          <w:szCs w:val="32"/>
        </w:rPr>
      </w:pPr>
    </w:p>
    <w:p w14:paraId="32D8A680">
      <w:pPr>
        <w:widowControl/>
        <w:adjustRightInd w:val="0"/>
        <w:snapToGrid w:val="0"/>
        <w:spacing w:after="200" w:line="360" w:lineRule="auto"/>
        <w:jc w:val="left"/>
        <w:rPr>
          <w:rFonts w:ascii="宋体" w:hAnsi="宋体" w:cs="宋体"/>
          <w:bCs/>
          <w:color w:val="000000"/>
          <w:kern w:val="0"/>
          <w:sz w:val="32"/>
          <w:szCs w:val="32"/>
        </w:rPr>
      </w:pPr>
    </w:p>
    <w:p w14:paraId="30233C68">
      <w:pPr>
        <w:widowControl/>
        <w:adjustRightInd w:val="0"/>
        <w:snapToGrid w:val="0"/>
        <w:spacing w:after="200" w:line="360" w:lineRule="auto"/>
        <w:jc w:val="left"/>
        <w:rPr>
          <w:rFonts w:ascii="宋体" w:hAnsi="宋体" w:cs="宋体"/>
          <w:bCs/>
          <w:color w:val="000000"/>
          <w:kern w:val="0"/>
          <w:sz w:val="32"/>
          <w:szCs w:val="32"/>
        </w:rPr>
      </w:pPr>
    </w:p>
    <w:p w14:paraId="7B346D68">
      <w:pPr>
        <w:ind w:firstLine="1680" w:firstLineChars="525"/>
        <w:rPr>
          <w:rFonts w:hint="eastAsia" w:ascii="宋体" w:hAnsi="宋体" w:cs="宋体"/>
          <w:sz w:val="32"/>
          <w:szCs w:val="32"/>
        </w:rPr>
      </w:pPr>
    </w:p>
    <w:p w14:paraId="3EE0A688">
      <w:pPr>
        <w:ind w:firstLine="1680" w:firstLineChars="525"/>
        <w:rPr>
          <w:rFonts w:ascii="宋体" w:hAnsi="宋体" w:cs="宋体"/>
          <w:sz w:val="32"/>
          <w:szCs w:val="32"/>
          <w:u w:val="single"/>
        </w:rPr>
      </w:pPr>
      <w:r>
        <w:rPr>
          <w:rFonts w:hint="eastAsia" w:ascii="宋体" w:hAnsi="宋体" w:cs="宋体"/>
          <w:sz w:val="32"/>
          <w:szCs w:val="32"/>
        </w:rPr>
        <w:t>供应商名称：</w:t>
      </w:r>
      <w:r>
        <w:rPr>
          <w:rFonts w:hint="eastAsia" w:ascii="宋体" w:hAnsi="宋体" w:cs="宋体"/>
          <w:sz w:val="32"/>
          <w:szCs w:val="32"/>
          <w:u w:val="single"/>
        </w:rPr>
        <w:t xml:space="preserve">             </w:t>
      </w:r>
      <w:r>
        <w:rPr>
          <w:rFonts w:hint="eastAsia" w:ascii="宋体" w:hAnsi="宋体" w:cs="宋体"/>
          <w:sz w:val="32"/>
          <w:szCs w:val="32"/>
        </w:rPr>
        <w:t>（盖单位章）</w:t>
      </w:r>
    </w:p>
    <w:p w14:paraId="3CDA297F">
      <w:pPr>
        <w:ind w:firstLine="1680" w:firstLineChars="525"/>
        <w:jc w:val="center"/>
        <w:rPr>
          <w:rFonts w:ascii="宋体" w:hAnsi="宋体" w:cs="宋体"/>
          <w:sz w:val="32"/>
          <w:szCs w:val="32"/>
        </w:rPr>
      </w:pPr>
    </w:p>
    <w:p w14:paraId="2898AED6">
      <w:pPr>
        <w:ind w:firstLine="1680" w:firstLineChars="525"/>
        <w:rPr>
          <w:rFonts w:ascii="宋体" w:hAnsi="宋体" w:cs="宋体"/>
          <w:sz w:val="32"/>
          <w:szCs w:val="32"/>
          <w:u w:val="single"/>
        </w:rPr>
      </w:pPr>
      <w:r>
        <w:rPr>
          <w:rFonts w:hint="eastAsia" w:ascii="宋体" w:hAnsi="宋体" w:cs="宋体"/>
          <w:sz w:val="32"/>
          <w:szCs w:val="32"/>
        </w:rPr>
        <w:t>法定代表人：</w:t>
      </w:r>
      <w:r>
        <w:rPr>
          <w:rFonts w:hint="eastAsia" w:ascii="宋体" w:hAnsi="宋体" w:cs="宋体"/>
          <w:sz w:val="32"/>
          <w:szCs w:val="32"/>
          <w:u w:val="single"/>
        </w:rPr>
        <w:t xml:space="preserve">            </w:t>
      </w:r>
      <w:r>
        <w:rPr>
          <w:rFonts w:hint="eastAsia" w:ascii="宋体" w:hAnsi="宋体" w:cs="宋体"/>
          <w:sz w:val="32"/>
          <w:szCs w:val="32"/>
        </w:rPr>
        <w:t>（电子签章）</w:t>
      </w:r>
    </w:p>
    <w:p w14:paraId="3000D53B">
      <w:pPr>
        <w:jc w:val="center"/>
        <w:rPr>
          <w:rFonts w:ascii="宋体" w:hAnsi="宋体" w:cs="宋体"/>
          <w:sz w:val="32"/>
          <w:szCs w:val="32"/>
        </w:rPr>
      </w:pPr>
    </w:p>
    <w:p w14:paraId="26BE5617">
      <w:pPr>
        <w:jc w:val="center"/>
        <w:rPr>
          <w:rFonts w:ascii="宋体" w:hAnsi="宋体" w:cs="宋体"/>
          <w:sz w:val="32"/>
          <w:szCs w:val="32"/>
        </w:rPr>
      </w:pPr>
      <w:r>
        <w:rPr>
          <w:rFonts w:hint="eastAsia" w:ascii="宋体" w:hAnsi="宋体" w:cs="宋体"/>
          <w:sz w:val="32"/>
          <w:szCs w:val="32"/>
        </w:rPr>
        <w:t>年     月     日</w:t>
      </w:r>
    </w:p>
    <w:p w14:paraId="4E4140AC">
      <w:pPr>
        <w:widowControl/>
        <w:adjustRightInd w:val="0"/>
        <w:snapToGrid w:val="0"/>
        <w:spacing w:after="200" w:line="360" w:lineRule="auto"/>
        <w:jc w:val="center"/>
        <w:rPr>
          <w:rFonts w:ascii="宋体" w:hAnsi="宋体" w:cs="宋体"/>
          <w:b/>
          <w:bCs/>
          <w:color w:val="000000"/>
          <w:kern w:val="0"/>
          <w:sz w:val="32"/>
          <w:szCs w:val="32"/>
        </w:rPr>
      </w:pPr>
    </w:p>
    <w:p w14:paraId="75359860">
      <w:pPr>
        <w:widowControl/>
        <w:adjustRightInd w:val="0"/>
        <w:snapToGrid w:val="0"/>
        <w:spacing w:after="200"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rPr>
        <w:t>目  录</w:t>
      </w:r>
    </w:p>
    <w:p w14:paraId="06097BB9">
      <w:pPr>
        <w:widowControl/>
        <w:adjustRightInd w:val="0"/>
        <w:snapToGrid w:val="0"/>
        <w:spacing w:after="200" w:line="360" w:lineRule="auto"/>
        <w:jc w:val="center"/>
        <w:rPr>
          <w:rFonts w:ascii="宋体" w:hAnsi="宋体" w:cs="宋体"/>
          <w:color w:val="000000"/>
          <w:kern w:val="0"/>
          <w:sz w:val="32"/>
          <w:szCs w:val="32"/>
        </w:rPr>
      </w:pPr>
    </w:p>
    <w:p w14:paraId="4053A651">
      <w:pPr>
        <w:widowControl/>
        <w:adjustRightInd w:val="0"/>
        <w:snapToGrid w:val="0"/>
        <w:spacing w:after="200" w:line="360" w:lineRule="auto"/>
        <w:jc w:val="center"/>
        <w:rPr>
          <w:rFonts w:ascii="宋体" w:hAnsi="宋体" w:cs="宋体"/>
          <w:color w:val="000000"/>
          <w:kern w:val="0"/>
          <w:sz w:val="24"/>
        </w:rPr>
      </w:pPr>
      <w:r>
        <w:rPr>
          <w:rFonts w:hint="eastAsia" w:ascii="宋体" w:hAnsi="宋体" w:cs="宋体"/>
          <w:color w:val="000000"/>
          <w:kern w:val="0"/>
          <w:sz w:val="32"/>
          <w:szCs w:val="32"/>
        </w:rPr>
        <w:t>（自拟）</w:t>
      </w:r>
    </w:p>
    <w:p w14:paraId="0AC21A4E">
      <w:pPr>
        <w:widowControl/>
        <w:adjustRightInd w:val="0"/>
        <w:snapToGrid w:val="0"/>
        <w:spacing w:after="200" w:line="360" w:lineRule="auto"/>
        <w:jc w:val="center"/>
        <w:rPr>
          <w:rFonts w:ascii="宋体" w:hAnsi="宋体" w:cs="宋体"/>
          <w:b/>
          <w:bCs/>
          <w:color w:val="000000"/>
          <w:kern w:val="0"/>
          <w:sz w:val="24"/>
          <w:szCs w:val="24"/>
        </w:rPr>
      </w:pPr>
      <w:r>
        <w:rPr>
          <w:rFonts w:hint="eastAsia" w:ascii="宋体" w:hAnsi="宋体" w:cs="宋体"/>
          <w:b/>
          <w:bCs/>
          <w:color w:val="000000"/>
          <w:kern w:val="0"/>
          <w:sz w:val="28"/>
          <w:szCs w:val="28"/>
        </w:rPr>
        <w:br w:type="page"/>
      </w:r>
      <w:bookmarkStart w:id="1217" w:name="_Toc24785"/>
      <w:r>
        <w:rPr>
          <w:rFonts w:hint="eastAsia" w:ascii="宋体" w:hAnsi="宋体" w:eastAsia="宋体" w:cs="宋体"/>
          <w:b/>
          <w:sz w:val="24"/>
          <w:szCs w:val="24"/>
        </w:rPr>
        <w:t>一、磋商函及磋商函附表</w:t>
      </w:r>
      <w:bookmarkEnd w:id="1217"/>
    </w:p>
    <w:p w14:paraId="7A711CE3">
      <w:pPr>
        <w:widowControl/>
        <w:adjustRightInd w:val="0"/>
        <w:snapToGrid w:val="0"/>
        <w:spacing w:after="200" w:line="360" w:lineRule="auto"/>
        <w:jc w:val="center"/>
        <w:rPr>
          <w:rFonts w:ascii="宋体" w:hAnsi="宋体" w:eastAsia="宋体" w:cs="宋体"/>
          <w:sz w:val="24"/>
          <w:szCs w:val="24"/>
        </w:rPr>
      </w:pPr>
      <w:r>
        <w:rPr>
          <w:rFonts w:hint="eastAsia" w:ascii="宋体" w:hAnsi="宋体" w:eastAsia="宋体" w:cs="宋体"/>
          <w:sz w:val="24"/>
          <w:szCs w:val="24"/>
        </w:rPr>
        <w:t>（一）磋商函</w:t>
      </w:r>
    </w:p>
    <w:p w14:paraId="5A490E61">
      <w:pPr>
        <w:spacing w:line="400" w:lineRule="exact"/>
        <w:ind w:firstLine="420" w:firstLineChars="175"/>
        <w:rPr>
          <w:rFonts w:ascii="宋体" w:hAnsi="宋体" w:cs="楷体_GB2312"/>
          <w:sz w:val="24"/>
        </w:rPr>
      </w:pPr>
      <w:r>
        <w:rPr>
          <w:rFonts w:hint="eastAsia" w:ascii="宋体" w:hAnsi="宋体" w:cs="楷体_GB2312"/>
          <w:sz w:val="24"/>
        </w:rPr>
        <w:t>致 ：</w:t>
      </w:r>
      <w:r>
        <w:rPr>
          <w:rFonts w:hint="eastAsia" w:ascii="宋体" w:hAnsi="宋体" w:cs="楷体_GB2312"/>
          <w:sz w:val="24"/>
          <w:u w:val="single"/>
        </w:rPr>
        <w:t xml:space="preserve">（采购人） </w:t>
      </w:r>
    </w:p>
    <w:p w14:paraId="2D6FC602">
      <w:pPr>
        <w:spacing w:line="400" w:lineRule="exact"/>
        <w:ind w:firstLine="420" w:firstLineChars="175"/>
        <w:jc w:val="left"/>
        <w:rPr>
          <w:rFonts w:ascii="宋体" w:hAnsi="宋体" w:cs="楷体_GB2312"/>
          <w:sz w:val="24"/>
          <w:u w:val="single"/>
        </w:rPr>
      </w:pPr>
      <w:r>
        <w:rPr>
          <w:rFonts w:hint="eastAsia" w:ascii="宋体" w:hAnsi="宋体" w:cs="楷体_GB2312"/>
          <w:sz w:val="24"/>
        </w:rPr>
        <w:t>1．根据已收到的</w:t>
      </w:r>
      <w:r>
        <w:rPr>
          <w:rFonts w:hint="eastAsia" w:ascii="宋体" w:hAnsi="宋体" w:cs="楷体_GB2312"/>
          <w:sz w:val="24"/>
          <w:u w:val="single"/>
        </w:rPr>
        <w:t xml:space="preserve">           （项目名称）       </w:t>
      </w:r>
      <w:r>
        <w:rPr>
          <w:rFonts w:hint="eastAsia" w:ascii="宋体" w:hAnsi="宋体" w:cs="宋体"/>
          <w:spacing w:val="20"/>
          <w:sz w:val="24"/>
          <w:szCs w:val="24"/>
          <w:u w:val="single"/>
          <w:lang w:val="en-US" w:eastAsia="zh-CN"/>
        </w:rPr>
        <w:t xml:space="preserve">（ ）包 </w:t>
      </w:r>
      <w:r>
        <w:rPr>
          <w:rFonts w:hint="eastAsia" w:ascii="宋体" w:hAnsi="宋体" w:cs="楷体_GB2312"/>
          <w:sz w:val="24"/>
          <w:u w:val="single"/>
        </w:rPr>
        <w:t xml:space="preserve">  </w:t>
      </w:r>
      <w:r>
        <w:rPr>
          <w:rFonts w:hint="eastAsia" w:ascii="宋体" w:hAnsi="宋体" w:cs="楷体_GB2312"/>
          <w:sz w:val="24"/>
        </w:rPr>
        <w:t>的竞争性磋商文件，遵照《中华人民共和国政府采购法》等有关规定，经考察和认真研究本项目竞争性磋商文件及其它有关文件后，我方愿意遵守竞争性磋商文件中的各项规定，严格按照“技术标准和要求”进行施工，完成合同全部工程，报价为：</w:t>
      </w:r>
      <w:r>
        <w:rPr>
          <w:rFonts w:hint="eastAsia" w:ascii="宋体" w:hAnsi="宋体" w:cs="楷体_GB2312"/>
          <w:sz w:val="24"/>
          <w:u w:val="single"/>
        </w:rPr>
        <w:t xml:space="preserve">      （大写金额）            </w:t>
      </w:r>
      <w:r>
        <w:rPr>
          <w:rFonts w:hint="eastAsia" w:ascii="宋体" w:hAnsi="宋体" w:cs="楷体_GB2312"/>
          <w:sz w:val="24"/>
        </w:rPr>
        <w:t>，￥：</w:t>
      </w:r>
      <w:r>
        <w:rPr>
          <w:rFonts w:hint="eastAsia" w:ascii="宋体" w:hAnsi="宋体" w:cs="楷体_GB2312"/>
          <w:sz w:val="24"/>
          <w:u w:val="single"/>
        </w:rPr>
        <w:t xml:space="preserve">   （小写金额）   </w:t>
      </w:r>
      <w:r>
        <w:rPr>
          <w:rFonts w:hint="eastAsia" w:ascii="宋体" w:hAnsi="宋体" w:cs="楷体_GB2312"/>
          <w:sz w:val="24"/>
        </w:rPr>
        <w:t>元；工期：</w:t>
      </w:r>
      <w:r>
        <w:rPr>
          <w:rFonts w:hint="eastAsia" w:ascii="宋体" w:hAnsi="宋体" w:cs="楷体_GB2312"/>
          <w:sz w:val="24"/>
          <w:u w:val="single"/>
        </w:rPr>
        <w:t xml:space="preserve">       </w:t>
      </w:r>
      <w:r>
        <w:rPr>
          <w:rFonts w:hint="eastAsia" w:ascii="宋体" w:hAnsi="宋体" w:cs="楷体_GB2312"/>
          <w:sz w:val="24"/>
        </w:rPr>
        <w:t>日历天，质量要求：</w:t>
      </w:r>
      <w:r>
        <w:rPr>
          <w:rFonts w:hint="eastAsia" w:ascii="宋体" w:hAnsi="宋体" w:cs="楷体_GB2312"/>
          <w:sz w:val="24"/>
          <w:u w:val="single"/>
        </w:rPr>
        <w:t xml:space="preserve">           </w:t>
      </w:r>
      <w:r>
        <w:rPr>
          <w:rFonts w:hint="eastAsia" w:ascii="宋体" w:hAnsi="宋体" w:cs="楷体_GB2312"/>
          <w:sz w:val="24"/>
        </w:rPr>
        <w:t>，并承担其任何质量缺陷等问题所造成的全部损失。</w:t>
      </w:r>
    </w:p>
    <w:p w14:paraId="0F0A0995">
      <w:pPr>
        <w:spacing w:line="400" w:lineRule="exact"/>
        <w:ind w:firstLine="420" w:firstLineChars="175"/>
        <w:rPr>
          <w:rFonts w:ascii="宋体" w:hAnsi="宋体" w:cs="楷体_GB2312"/>
          <w:sz w:val="24"/>
        </w:rPr>
      </w:pPr>
      <w:r>
        <w:rPr>
          <w:rFonts w:hint="eastAsia" w:ascii="宋体" w:hAnsi="宋体" w:cs="楷体_GB2312"/>
          <w:sz w:val="24"/>
        </w:rPr>
        <w:t>2．我方已详细检查全部竞争性磋商文件包括澄清文件、补充通知（如有的话）及有关附件，并完全理解我方必须放弃提出含糊不清或误解的权力。</w:t>
      </w:r>
    </w:p>
    <w:p w14:paraId="2A7E334A">
      <w:pPr>
        <w:spacing w:line="400" w:lineRule="exact"/>
        <w:ind w:firstLine="420" w:firstLineChars="175"/>
        <w:rPr>
          <w:rFonts w:ascii="宋体" w:hAnsi="宋体" w:cs="楷体_GB2312"/>
          <w:sz w:val="24"/>
        </w:rPr>
      </w:pPr>
      <w:r>
        <w:rPr>
          <w:rFonts w:hint="eastAsia" w:ascii="宋体" w:hAnsi="宋体" w:cs="楷体_GB2312"/>
          <w:sz w:val="24"/>
        </w:rPr>
        <w:t>3．我方在此承诺，我方若能成交，保证在我方投报工期内，全面履行竞争性磋商文件中规定的职责和义务。</w:t>
      </w:r>
    </w:p>
    <w:p w14:paraId="53C41387">
      <w:pPr>
        <w:spacing w:line="400" w:lineRule="exact"/>
        <w:ind w:firstLine="420" w:firstLineChars="175"/>
        <w:rPr>
          <w:rFonts w:ascii="宋体" w:hAnsi="宋体" w:cs="楷体_GB2312"/>
          <w:sz w:val="24"/>
        </w:rPr>
      </w:pPr>
      <w:r>
        <w:rPr>
          <w:rFonts w:hint="eastAsia" w:ascii="宋体" w:hAnsi="宋体" w:cs="楷体_GB2312"/>
          <w:sz w:val="24"/>
        </w:rPr>
        <w:t>4．如果我方中标，我方保证按合同条款中规定的内容执行；我方保证质量</w:t>
      </w:r>
      <w:r>
        <w:rPr>
          <w:rFonts w:hint="eastAsia" w:ascii="宋体" w:hAnsi="宋体" w:cs="楷体_GB2312"/>
          <w:sz w:val="24"/>
          <w:lang w:eastAsia="zh-CN"/>
        </w:rPr>
        <w:t>达到国家现行工程施工质量验收规范合格标准</w:t>
      </w:r>
      <w:r>
        <w:rPr>
          <w:rFonts w:hint="eastAsia" w:ascii="宋体" w:hAnsi="宋体" w:cs="楷体_GB2312"/>
          <w:sz w:val="24"/>
        </w:rPr>
        <w:t>，并按竞争性磋商文件和有关规定提交一切资料。</w:t>
      </w:r>
    </w:p>
    <w:p w14:paraId="47E8AB9B">
      <w:pPr>
        <w:spacing w:line="400" w:lineRule="exact"/>
        <w:ind w:firstLine="420" w:firstLineChars="175"/>
        <w:rPr>
          <w:rFonts w:ascii="宋体" w:hAnsi="宋体" w:cs="楷体_GB2312"/>
          <w:sz w:val="24"/>
        </w:rPr>
      </w:pPr>
      <w:r>
        <w:rPr>
          <w:rFonts w:hint="eastAsia" w:ascii="宋体" w:hAnsi="宋体" w:cs="楷体_GB2312"/>
          <w:sz w:val="24"/>
        </w:rPr>
        <w:t>5．我方同意从</w:t>
      </w:r>
      <w:r>
        <w:rPr>
          <w:rFonts w:hint="eastAsia" w:ascii="宋体" w:hAnsi="宋体" w:cs="宋体"/>
          <w:sz w:val="24"/>
        </w:rPr>
        <w:t>磋商响应文件递交截止日后60日历天</w:t>
      </w:r>
      <w:r>
        <w:rPr>
          <w:rFonts w:hint="eastAsia" w:ascii="宋体" w:hAnsi="宋体" w:cs="楷体_GB2312"/>
          <w:sz w:val="24"/>
        </w:rPr>
        <w:t>的磋商有效期内，我方将严格遵守磋商响应文件的承诺，本磋商响应文件对我方具有约束力，并可随时被接受中标。</w:t>
      </w:r>
    </w:p>
    <w:p w14:paraId="0622D7BB">
      <w:pPr>
        <w:spacing w:line="400" w:lineRule="exact"/>
        <w:ind w:firstLine="420" w:firstLineChars="175"/>
        <w:rPr>
          <w:rFonts w:ascii="宋体" w:hAnsi="宋体" w:cs="楷体_GB2312"/>
          <w:sz w:val="24"/>
        </w:rPr>
      </w:pPr>
      <w:r>
        <w:rPr>
          <w:rFonts w:hint="eastAsia" w:ascii="宋体" w:hAnsi="宋体" w:cs="楷体_GB2312"/>
          <w:sz w:val="24"/>
        </w:rPr>
        <w:t>6．除磋商响应文件所提交的资料外，我方同意随时接受贵方的检查、询问，并根据评标需要补充贵方要求提交的资料。</w:t>
      </w:r>
    </w:p>
    <w:p w14:paraId="1E9564B2">
      <w:pPr>
        <w:spacing w:line="400" w:lineRule="exact"/>
        <w:ind w:firstLine="420" w:firstLineChars="175"/>
        <w:rPr>
          <w:rFonts w:ascii="宋体" w:hAnsi="宋体" w:cs="楷体_GB2312"/>
          <w:sz w:val="24"/>
        </w:rPr>
      </w:pPr>
      <w:r>
        <w:rPr>
          <w:rFonts w:hint="eastAsia" w:ascii="宋体" w:hAnsi="宋体" w:cs="楷体_GB2312"/>
          <w:sz w:val="24"/>
        </w:rPr>
        <w:t>7．如果我方成交后，我方没有任何正当理由而拒签合同，同时我方愿意补偿该项工作因我方延误所造成的经济损失。</w:t>
      </w:r>
    </w:p>
    <w:p w14:paraId="7F1EC425">
      <w:pPr>
        <w:spacing w:line="400" w:lineRule="exact"/>
        <w:ind w:firstLine="420" w:firstLineChars="175"/>
        <w:rPr>
          <w:rFonts w:ascii="宋体" w:hAnsi="宋体" w:cs="楷体_GB2312"/>
          <w:sz w:val="24"/>
        </w:rPr>
      </w:pPr>
      <w:r>
        <w:rPr>
          <w:rFonts w:hint="eastAsia" w:ascii="宋体" w:hAnsi="宋体" w:cs="楷体_GB2312"/>
          <w:sz w:val="24"/>
        </w:rPr>
        <w:t>8．我方愿接受合同条款中规定的合同价款计算和调整方式。</w:t>
      </w:r>
    </w:p>
    <w:p w14:paraId="10974395">
      <w:pPr>
        <w:spacing w:line="400" w:lineRule="exact"/>
        <w:ind w:firstLine="420" w:firstLineChars="175"/>
        <w:rPr>
          <w:rFonts w:ascii="宋体" w:hAnsi="宋体" w:cs="楷体_GB2312"/>
          <w:sz w:val="24"/>
        </w:rPr>
      </w:pPr>
      <w:r>
        <w:rPr>
          <w:rFonts w:hint="eastAsia" w:ascii="宋体" w:hAnsi="宋体" w:cs="楷体_GB2312"/>
          <w:sz w:val="24"/>
        </w:rPr>
        <w:t>9．除非另外达成协议并生效，贵方的成交通知书和本磋商响应文件将成为约束我方的合同文件组成部分。</w:t>
      </w:r>
    </w:p>
    <w:p w14:paraId="4EF4E457">
      <w:pPr>
        <w:spacing w:line="400" w:lineRule="exact"/>
        <w:ind w:firstLine="420" w:firstLineChars="175"/>
        <w:jc w:val="right"/>
        <w:rPr>
          <w:rFonts w:ascii="宋体" w:hAnsi="宋体" w:cs="楷体_GB2312"/>
          <w:sz w:val="24"/>
        </w:rPr>
      </w:pPr>
    </w:p>
    <w:p w14:paraId="2A981C1E">
      <w:pPr>
        <w:wordWrap w:val="0"/>
        <w:spacing w:line="400" w:lineRule="exact"/>
        <w:ind w:firstLine="420" w:firstLineChars="175"/>
        <w:jc w:val="right"/>
        <w:rPr>
          <w:rFonts w:ascii="宋体" w:hAnsi="宋体" w:cs="楷体_GB2312"/>
          <w:sz w:val="24"/>
        </w:rPr>
      </w:pPr>
      <w:r>
        <w:rPr>
          <w:rFonts w:hint="eastAsia" w:ascii="宋体" w:hAnsi="宋体" w:cs="楷体_GB2312"/>
          <w:sz w:val="24"/>
        </w:rPr>
        <w:t>供应商名称：</w:t>
      </w:r>
      <w:r>
        <w:rPr>
          <w:rFonts w:hint="eastAsia" w:ascii="宋体" w:hAnsi="宋体" w:cs="楷体_GB2312"/>
          <w:sz w:val="24"/>
          <w:u w:val="single"/>
        </w:rPr>
        <w:t xml:space="preserve">           </w:t>
      </w:r>
      <w:r>
        <w:rPr>
          <w:rFonts w:hint="eastAsia" w:ascii="宋体" w:hAnsi="宋体" w:cs="楷体_GB2312"/>
          <w:sz w:val="24"/>
        </w:rPr>
        <w:t>（盖单位章）</w:t>
      </w:r>
    </w:p>
    <w:p w14:paraId="4C1D1AE1">
      <w:pPr>
        <w:wordWrap w:val="0"/>
        <w:spacing w:line="400" w:lineRule="exact"/>
        <w:ind w:firstLine="420" w:firstLineChars="175"/>
        <w:jc w:val="right"/>
        <w:rPr>
          <w:rFonts w:ascii="宋体" w:hAnsi="宋体" w:cs="楷体_GB2312"/>
          <w:sz w:val="24"/>
          <w:u w:val="single"/>
        </w:rPr>
      </w:pPr>
      <w:r>
        <w:rPr>
          <w:rFonts w:hint="eastAsia" w:ascii="宋体" w:hAnsi="宋体" w:cs="楷体_GB2312"/>
          <w:sz w:val="24"/>
        </w:rPr>
        <w:t>法定代表人：</w:t>
      </w:r>
      <w:r>
        <w:rPr>
          <w:rFonts w:hint="eastAsia" w:ascii="宋体" w:hAnsi="宋体" w:cs="楷体_GB2312"/>
          <w:sz w:val="24"/>
          <w:u w:val="single"/>
        </w:rPr>
        <w:t xml:space="preserve">                   </w:t>
      </w:r>
      <w:r>
        <w:rPr>
          <w:rFonts w:hint="eastAsia" w:ascii="宋体" w:hAnsi="宋体" w:cs="楷体_GB2312"/>
          <w:sz w:val="24"/>
        </w:rPr>
        <w:t>（电子签章）</w:t>
      </w:r>
    </w:p>
    <w:p w14:paraId="67F18D39">
      <w:pPr>
        <w:widowControl/>
        <w:wordWrap w:val="0"/>
        <w:adjustRightInd w:val="0"/>
        <w:snapToGrid w:val="0"/>
        <w:spacing w:line="360" w:lineRule="auto"/>
        <w:ind w:firstLine="420" w:firstLineChars="175"/>
        <w:jc w:val="right"/>
        <w:rPr>
          <w:rFonts w:ascii="宋体" w:hAnsi="宋体" w:cs="楷体_GB2312"/>
          <w:sz w:val="24"/>
        </w:rPr>
      </w:pPr>
      <w:r>
        <w:rPr>
          <w:rFonts w:hint="eastAsia" w:ascii="宋体" w:hAnsi="宋体" w:cs="楷体_GB2312"/>
          <w:sz w:val="24"/>
        </w:rPr>
        <w:t>日期：</w:t>
      </w:r>
      <w:r>
        <w:rPr>
          <w:rFonts w:hint="eastAsia" w:ascii="宋体" w:hAnsi="宋体" w:cs="楷体_GB2312"/>
          <w:sz w:val="24"/>
          <w:u w:val="single"/>
        </w:rPr>
        <w:t xml:space="preserve">     </w:t>
      </w:r>
      <w:r>
        <w:rPr>
          <w:rFonts w:hint="eastAsia" w:ascii="宋体" w:hAnsi="宋体" w:cs="楷体_GB2312"/>
          <w:sz w:val="24"/>
        </w:rPr>
        <w:t>年</w:t>
      </w:r>
      <w:r>
        <w:rPr>
          <w:rFonts w:hint="eastAsia" w:ascii="宋体" w:hAnsi="宋体" w:cs="楷体_GB2312"/>
          <w:sz w:val="24"/>
          <w:u w:val="single"/>
        </w:rPr>
        <w:t xml:space="preserve">    </w:t>
      </w:r>
      <w:r>
        <w:rPr>
          <w:rFonts w:hint="eastAsia" w:ascii="宋体" w:hAnsi="宋体" w:cs="楷体_GB2312"/>
          <w:sz w:val="24"/>
        </w:rPr>
        <w:t>月</w:t>
      </w:r>
      <w:r>
        <w:rPr>
          <w:rFonts w:hint="eastAsia" w:ascii="宋体" w:hAnsi="宋体" w:cs="楷体_GB2312"/>
          <w:sz w:val="24"/>
          <w:u w:val="single"/>
        </w:rPr>
        <w:t xml:space="preserve">    </w:t>
      </w:r>
      <w:r>
        <w:rPr>
          <w:rFonts w:hint="eastAsia" w:ascii="宋体" w:hAnsi="宋体" w:cs="楷体_GB2312"/>
          <w:sz w:val="24"/>
        </w:rPr>
        <w:t xml:space="preserve">日      </w:t>
      </w:r>
    </w:p>
    <w:p w14:paraId="1BE0F687">
      <w:pPr>
        <w:ind w:firstLine="480"/>
        <w:rPr>
          <w:rFonts w:hAnsi="宋体" w:cs="楷体_GB2312"/>
        </w:rPr>
      </w:pPr>
    </w:p>
    <w:p w14:paraId="6825DCF9"/>
    <w:p w14:paraId="3A538A69">
      <w:pPr>
        <w:widowControl/>
        <w:adjustRightInd w:val="0"/>
        <w:snapToGrid w:val="0"/>
        <w:spacing w:line="360" w:lineRule="auto"/>
        <w:jc w:val="left"/>
        <w:rPr>
          <w:rFonts w:ascii="宋体" w:hAnsi="宋体" w:cs="宋体"/>
          <w:b/>
          <w:bCs/>
          <w:color w:val="000000"/>
          <w:kern w:val="0"/>
          <w:sz w:val="24"/>
          <w:szCs w:val="24"/>
        </w:rPr>
      </w:pPr>
      <w:r>
        <w:rPr>
          <w:rFonts w:hint="eastAsia" w:ascii="宋体" w:hAnsi="宋体" w:cs="宋体"/>
          <w:b/>
          <w:bCs/>
          <w:color w:val="000000"/>
          <w:kern w:val="0"/>
          <w:sz w:val="24"/>
          <w:szCs w:val="24"/>
        </w:rPr>
        <w:t>注：对本磋商函的任何修改将被视为非实质性响应磋商，从而导致该磋商被拒绝。</w:t>
      </w:r>
    </w:p>
    <w:p w14:paraId="119A52B1">
      <w:pPr>
        <w:widowControl/>
        <w:spacing w:after="200" w:line="220" w:lineRule="atLeast"/>
        <w:jc w:val="center"/>
        <w:rPr>
          <w:rFonts w:ascii="宋体" w:hAnsi="宋体" w:cs="宋体"/>
          <w:b/>
          <w:bCs/>
          <w:color w:val="000000"/>
          <w:kern w:val="0"/>
          <w:sz w:val="24"/>
          <w:szCs w:val="24"/>
          <w:lang w:bidi="en-US"/>
        </w:rPr>
      </w:pPr>
      <w:r>
        <w:rPr>
          <w:rFonts w:hint="eastAsia" w:ascii="宋体" w:hAnsi="宋体" w:cs="宋体"/>
          <w:b/>
          <w:bCs/>
          <w:color w:val="000000"/>
          <w:kern w:val="0"/>
          <w:sz w:val="28"/>
          <w:szCs w:val="28"/>
        </w:rPr>
        <w:br w:type="page"/>
      </w:r>
      <w:bookmarkStart w:id="1218" w:name="_Toc246997101"/>
      <w:bookmarkStart w:id="1219" w:name="_Toc246996358"/>
      <w:bookmarkStart w:id="1220" w:name="_Toc179632810"/>
      <w:bookmarkStart w:id="1221" w:name="_Toc152042579"/>
      <w:bookmarkStart w:id="1222" w:name="_Toc247085876"/>
      <w:bookmarkStart w:id="1223" w:name="_Toc27200"/>
      <w:bookmarkStart w:id="1224" w:name="_Toc394651923"/>
      <w:bookmarkStart w:id="1225" w:name="_Toc152045790"/>
      <w:bookmarkStart w:id="1226" w:name="_Toc144974859"/>
      <w:r>
        <w:rPr>
          <w:rFonts w:hint="eastAsia" w:ascii="宋体" w:hAnsi="宋体" w:cs="宋体"/>
          <w:b/>
          <w:bCs/>
          <w:color w:val="000000"/>
          <w:kern w:val="0"/>
          <w:sz w:val="24"/>
          <w:szCs w:val="24"/>
          <w:lang w:bidi="en-US"/>
        </w:rPr>
        <w:t>（二）</w:t>
      </w:r>
      <w:bookmarkEnd w:id="1218"/>
      <w:bookmarkEnd w:id="1219"/>
      <w:bookmarkEnd w:id="1220"/>
      <w:bookmarkEnd w:id="1221"/>
      <w:bookmarkEnd w:id="1222"/>
      <w:bookmarkEnd w:id="1223"/>
      <w:bookmarkEnd w:id="1224"/>
      <w:bookmarkEnd w:id="1225"/>
      <w:bookmarkEnd w:id="1226"/>
      <w:r>
        <w:rPr>
          <w:rFonts w:hint="eastAsia" w:ascii="宋体" w:hAnsi="宋体" w:cs="宋体"/>
          <w:b/>
          <w:bCs/>
          <w:color w:val="000000"/>
          <w:kern w:val="0"/>
          <w:sz w:val="24"/>
          <w:szCs w:val="24"/>
          <w:lang w:bidi="en-US"/>
        </w:rPr>
        <w:t>磋商函附表</w:t>
      </w:r>
    </w:p>
    <w:tbl>
      <w:tblPr>
        <w:tblStyle w:val="1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966"/>
        <w:gridCol w:w="1072"/>
        <w:gridCol w:w="346"/>
        <w:gridCol w:w="992"/>
        <w:gridCol w:w="167"/>
        <w:gridCol w:w="1249"/>
        <w:gridCol w:w="2360"/>
      </w:tblGrid>
      <w:tr w14:paraId="7028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857" w:type="pct"/>
            <w:vAlign w:val="center"/>
          </w:tcPr>
          <w:p w14:paraId="6ADC4379">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eastAsiaTheme="minorEastAsia"/>
                <w:color w:val="000000"/>
                <w:kern w:val="1"/>
                <w:sz w:val="24"/>
                <w:szCs w:val="24"/>
                <w:lang w:val="en-US" w:eastAsia="zh-CN"/>
              </w:rPr>
            </w:pPr>
            <w:r>
              <w:rPr>
                <w:rFonts w:hint="eastAsia" w:ascii="宋体" w:hAnsi="宋体" w:cs="宋体"/>
                <w:color w:val="000000"/>
                <w:kern w:val="1"/>
                <w:sz w:val="24"/>
                <w:szCs w:val="24"/>
              </w:rPr>
              <w:t>项目名称</w:t>
            </w:r>
            <w:r>
              <w:rPr>
                <w:rFonts w:hint="eastAsia" w:ascii="宋体" w:hAnsi="宋体" w:cs="宋体"/>
                <w:color w:val="000000"/>
                <w:kern w:val="1"/>
                <w:sz w:val="24"/>
                <w:szCs w:val="24"/>
                <w:lang w:val="en-US" w:eastAsia="zh-CN"/>
              </w:rPr>
              <w:t>及包号</w:t>
            </w:r>
          </w:p>
        </w:tc>
        <w:tc>
          <w:tcPr>
            <w:tcW w:w="4143" w:type="pct"/>
            <w:gridSpan w:val="7"/>
            <w:vAlign w:val="center"/>
          </w:tcPr>
          <w:p w14:paraId="01ABC60C">
            <w:pPr>
              <w:keepNext w:val="0"/>
              <w:keepLines w:val="0"/>
              <w:widowControl/>
              <w:suppressLineNumbers w:val="0"/>
              <w:spacing w:before="0" w:beforeAutospacing="0" w:after="200" w:afterAutospacing="0" w:line="220" w:lineRule="atLeast"/>
              <w:ind w:left="0" w:right="0"/>
              <w:jc w:val="center"/>
              <w:rPr>
                <w:rFonts w:hint="default" w:ascii="宋体" w:hAnsi="宋体" w:cs="宋体"/>
                <w:b/>
                <w:color w:val="000000"/>
                <w:kern w:val="1"/>
                <w:sz w:val="24"/>
                <w:szCs w:val="24"/>
              </w:rPr>
            </w:pPr>
          </w:p>
        </w:tc>
      </w:tr>
      <w:tr w14:paraId="5BE6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5DD40018">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供应商名称</w:t>
            </w:r>
          </w:p>
        </w:tc>
        <w:tc>
          <w:tcPr>
            <w:tcW w:w="4143" w:type="pct"/>
            <w:gridSpan w:val="7"/>
            <w:vAlign w:val="center"/>
          </w:tcPr>
          <w:p w14:paraId="7571D29F">
            <w:pPr>
              <w:keepNext w:val="0"/>
              <w:keepLines w:val="0"/>
              <w:widowControl/>
              <w:suppressLineNumbers w:val="0"/>
              <w:spacing w:before="0" w:beforeAutospacing="0" w:after="200" w:afterAutospacing="0" w:line="220" w:lineRule="atLeast"/>
              <w:ind w:left="0" w:right="0"/>
              <w:jc w:val="center"/>
              <w:rPr>
                <w:rFonts w:hint="default" w:ascii="宋体" w:hAnsi="宋体" w:cs="宋体"/>
                <w:b/>
                <w:color w:val="000000"/>
                <w:kern w:val="1"/>
                <w:sz w:val="24"/>
                <w:szCs w:val="24"/>
              </w:rPr>
            </w:pPr>
          </w:p>
        </w:tc>
      </w:tr>
      <w:tr w14:paraId="37A6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2E9B8713">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项目经理</w:t>
            </w:r>
          </w:p>
        </w:tc>
        <w:tc>
          <w:tcPr>
            <w:tcW w:w="999" w:type="pct"/>
            <w:vAlign w:val="center"/>
          </w:tcPr>
          <w:p w14:paraId="61B7FDC6">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p>
        </w:tc>
        <w:tc>
          <w:tcPr>
            <w:tcW w:w="721" w:type="pct"/>
            <w:gridSpan w:val="2"/>
            <w:vAlign w:val="center"/>
          </w:tcPr>
          <w:p w14:paraId="24C0845B">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级别</w:t>
            </w:r>
          </w:p>
        </w:tc>
        <w:tc>
          <w:tcPr>
            <w:tcW w:w="504" w:type="pct"/>
            <w:vAlign w:val="center"/>
          </w:tcPr>
          <w:p w14:paraId="2F47531E">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p>
        </w:tc>
        <w:tc>
          <w:tcPr>
            <w:tcW w:w="720" w:type="pct"/>
            <w:gridSpan w:val="2"/>
            <w:vAlign w:val="center"/>
          </w:tcPr>
          <w:p w14:paraId="22B3DB97">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证书编号</w:t>
            </w:r>
          </w:p>
        </w:tc>
        <w:tc>
          <w:tcPr>
            <w:tcW w:w="1199" w:type="pct"/>
            <w:vAlign w:val="center"/>
          </w:tcPr>
          <w:p w14:paraId="3063D23A">
            <w:pPr>
              <w:keepNext w:val="0"/>
              <w:keepLines w:val="0"/>
              <w:widowControl/>
              <w:suppressLineNumbers w:val="0"/>
              <w:spacing w:before="0" w:beforeAutospacing="0" w:after="200" w:afterAutospacing="0" w:line="220" w:lineRule="atLeast"/>
              <w:ind w:left="0" w:right="0"/>
              <w:jc w:val="center"/>
              <w:rPr>
                <w:rFonts w:hint="default" w:ascii="宋体" w:hAnsi="宋体" w:cs="宋体"/>
                <w:b/>
                <w:color w:val="000000"/>
                <w:kern w:val="1"/>
                <w:sz w:val="24"/>
                <w:szCs w:val="24"/>
              </w:rPr>
            </w:pPr>
          </w:p>
        </w:tc>
      </w:tr>
      <w:tr w14:paraId="674D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794DE9D1">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项目联系人</w:t>
            </w:r>
          </w:p>
        </w:tc>
        <w:tc>
          <w:tcPr>
            <w:tcW w:w="1544" w:type="pct"/>
            <w:gridSpan w:val="2"/>
            <w:vAlign w:val="center"/>
          </w:tcPr>
          <w:p w14:paraId="3B627056">
            <w:pPr>
              <w:keepNext w:val="0"/>
              <w:keepLines w:val="0"/>
              <w:widowControl/>
              <w:suppressLineNumbers w:val="0"/>
              <w:spacing w:before="0" w:beforeAutospacing="0" w:after="200" w:afterAutospacing="0" w:line="220" w:lineRule="atLeast"/>
              <w:ind w:left="0" w:right="0"/>
              <w:jc w:val="center"/>
              <w:rPr>
                <w:rFonts w:hint="default" w:ascii="宋体" w:hAnsi="宋体" w:cs="宋体"/>
                <w:b/>
                <w:color w:val="000000"/>
                <w:kern w:val="1"/>
                <w:sz w:val="24"/>
                <w:szCs w:val="24"/>
              </w:rPr>
            </w:pPr>
          </w:p>
        </w:tc>
        <w:tc>
          <w:tcPr>
            <w:tcW w:w="765" w:type="pct"/>
            <w:gridSpan w:val="3"/>
            <w:vAlign w:val="center"/>
          </w:tcPr>
          <w:p w14:paraId="0934E1C5">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联系电话</w:t>
            </w:r>
          </w:p>
        </w:tc>
        <w:tc>
          <w:tcPr>
            <w:tcW w:w="1834" w:type="pct"/>
            <w:gridSpan w:val="2"/>
            <w:vAlign w:val="center"/>
          </w:tcPr>
          <w:p w14:paraId="5F8AB55A">
            <w:pPr>
              <w:keepNext w:val="0"/>
              <w:keepLines w:val="0"/>
              <w:widowControl/>
              <w:suppressLineNumbers w:val="0"/>
              <w:spacing w:before="0" w:beforeAutospacing="0" w:after="200" w:afterAutospacing="0" w:line="220" w:lineRule="atLeast"/>
              <w:ind w:left="0" w:right="0"/>
              <w:jc w:val="center"/>
              <w:rPr>
                <w:rFonts w:hint="default" w:ascii="宋体" w:hAnsi="宋体" w:cs="宋体"/>
                <w:b/>
                <w:color w:val="000000"/>
                <w:kern w:val="1"/>
                <w:sz w:val="24"/>
                <w:szCs w:val="24"/>
              </w:rPr>
            </w:pPr>
          </w:p>
        </w:tc>
      </w:tr>
      <w:tr w14:paraId="4FA3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21599C40">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磋商总报价</w:t>
            </w:r>
          </w:p>
        </w:tc>
        <w:tc>
          <w:tcPr>
            <w:tcW w:w="4143" w:type="pct"/>
            <w:gridSpan w:val="7"/>
            <w:vAlign w:val="center"/>
          </w:tcPr>
          <w:p w14:paraId="310802FF">
            <w:pPr>
              <w:keepNext w:val="0"/>
              <w:keepLines w:val="0"/>
              <w:suppressLineNumbers w:val="0"/>
              <w:suppressAutoHyphens/>
              <w:spacing w:before="0" w:beforeAutospacing="0" w:after="0" w:afterAutospacing="0"/>
              <w:ind w:left="0" w:right="0"/>
              <w:jc w:val="left"/>
              <w:rPr>
                <w:rFonts w:hint="default" w:ascii="宋体" w:hAnsi="宋体" w:cs="宋体"/>
                <w:color w:val="000000"/>
                <w:kern w:val="1"/>
                <w:sz w:val="24"/>
                <w:szCs w:val="24"/>
                <w:u w:val="single"/>
              </w:rPr>
            </w:pPr>
            <w:r>
              <w:rPr>
                <w:rFonts w:hint="eastAsia" w:ascii="宋体" w:hAnsi="宋体" w:cs="宋体"/>
                <w:color w:val="000000"/>
                <w:kern w:val="1"/>
                <w:sz w:val="24"/>
                <w:szCs w:val="24"/>
              </w:rPr>
              <w:t>大写：</w:t>
            </w:r>
            <w:r>
              <w:rPr>
                <w:rFonts w:hint="eastAsia" w:ascii="宋体" w:hAnsi="宋体" w:cs="宋体"/>
                <w:color w:val="000000"/>
                <w:kern w:val="1"/>
                <w:sz w:val="24"/>
                <w:szCs w:val="24"/>
                <w:u w:val="single"/>
              </w:rPr>
              <w:t xml:space="preserve">                               </w:t>
            </w:r>
          </w:p>
          <w:p w14:paraId="4460A4DA">
            <w:pPr>
              <w:keepNext w:val="0"/>
              <w:keepLines w:val="0"/>
              <w:suppressLineNumbers w:val="0"/>
              <w:suppressAutoHyphens/>
              <w:spacing w:before="0" w:beforeAutospacing="0" w:after="0" w:afterAutospacing="0"/>
              <w:ind w:left="0" w:right="0"/>
              <w:jc w:val="left"/>
              <w:rPr>
                <w:rFonts w:hint="default" w:ascii="宋体" w:hAnsi="宋体" w:cs="宋体"/>
                <w:color w:val="000000"/>
                <w:kern w:val="1"/>
                <w:sz w:val="24"/>
                <w:szCs w:val="24"/>
              </w:rPr>
            </w:pPr>
            <w:r>
              <w:rPr>
                <w:rFonts w:hint="eastAsia" w:ascii="宋体" w:hAnsi="宋体" w:cs="宋体"/>
                <w:color w:val="000000"/>
                <w:kern w:val="1"/>
                <w:sz w:val="24"/>
                <w:szCs w:val="24"/>
              </w:rPr>
              <w:t>小写¥：</w:t>
            </w:r>
            <w:r>
              <w:rPr>
                <w:rFonts w:hint="eastAsia" w:ascii="宋体" w:hAnsi="宋体" w:cs="宋体"/>
                <w:color w:val="000000"/>
                <w:kern w:val="1"/>
                <w:sz w:val="24"/>
                <w:szCs w:val="24"/>
                <w:u w:val="single"/>
              </w:rPr>
              <w:t xml:space="preserve">          </w:t>
            </w:r>
            <w:r>
              <w:rPr>
                <w:rFonts w:hint="eastAsia" w:ascii="宋体" w:hAnsi="宋体" w:cs="宋体"/>
                <w:color w:val="000000"/>
                <w:kern w:val="1"/>
                <w:sz w:val="24"/>
                <w:szCs w:val="24"/>
              </w:rPr>
              <w:t>元</w:t>
            </w:r>
          </w:p>
        </w:tc>
      </w:tr>
      <w:tr w14:paraId="3ABD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253EA46F">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计划工期</w:t>
            </w:r>
          </w:p>
        </w:tc>
        <w:tc>
          <w:tcPr>
            <w:tcW w:w="4143" w:type="pct"/>
            <w:gridSpan w:val="7"/>
            <w:vAlign w:val="center"/>
          </w:tcPr>
          <w:p w14:paraId="034F285A">
            <w:pPr>
              <w:keepNext w:val="0"/>
              <w:keepLines w:val="0"/>
              <w:suppressLineNumbers w:val="0"/>
              <w:suppressAutoHyphens/>
              <w:spacing w:before="0" w:beforeAutospacing="0" w:after="0" w:afterAutospacing="0"/>
              <w:ind w:left="0" w:right="0"/>
              <w:rPr>
                <w:rFonts w:hint="default" w:ascii="宋体" w:hAnsi="宋体" w:cs="宋体"/>
                <w:color w:val="000000"/>
                <w:kern w:val="1"/>
                <w:sz w:val="24"/>
                <w:szCs w:val="24"/>
              </w:rPr>
            </w:pPr>
          </w:p>
        </w:tc>
      </w:tr>
      <w:tr w14:paraId="00D5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0ACA1AC0">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质量要求</w:t>
            </w:r>
          </w:p>
        </w:tc>
        <w:tc>
          <w:tcPr>
            <w:tcW w:w="4143" w:type="pct"/>
            <w:gridSpan w:val="7"/>
            <w:vAlign w:val="center"/>
          </w:tcPr>
          <w:p w14:paraId="6CD09883">
            <w:pPr>
              <w:keepNext w:val="0"/>
              <w:keepLines w:val="0"/>
              <w:widowControl/>
              <w:suppressLineNumbers w:val="0"/>
              <w:spacing w:before="0" w:beforeAutospacing="0" w:after="200" w:afterAutospacing="0" w:line="220" w:lineRule="atLeast"/>
              <w:ind w:left="0" w:right="0"/>
              <w:jc w:val="left"/>
              <w:rPr>
                <w:rFonts w:hint="default" w:ascii="宋体" w:hAnsi="宋体" w:cs="宋体"/>
                <w:b/>
                <w:color w:val="000000"/>
                <w:kern w:val="1"/>
                <w:sz w:val="24"/>
                <w:szCs w:val="24"/>
              </w:rPr>
            </w:pPr>
          </w:p>
        </w:tc>
      </w:tr>
      <w:tr w14:paraId="5102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2A074F2C">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质保期</w:t>
            </w:r>
          </w:p>
        </w:tc>
        <w:tc>
          <w:tcPr>
            <w:tcW w:w="4143" w:type="pct"/>
            <w:gridSpan w:val="7"/>
            <w:vAlign w:val="center"/>
          </w:tcPr>
          <w:p w14:paraId="67EA11E7">
            <w:pPr>
              <w:keepNext w:val="0"/>
              <w:keepLines w:val="0"/>
              <w:widowControl/>
              <w:suppressLineNumbers w:val="0"/>
              <w:spacing w:before="0" w:beforeAutospacing="0" w:after="200" w:afterAutospacing="0"/>
              <w:ind w:left="0" w:right="0"/>
              <w:rPr>
                <w:rFonts w:hint="default" w:ascii="宋体" w:hAnsi="宋体" w:cs="宋体"/>
                <w:b/>
                <w:color w:val="000000"/>
                <w:kern w:val="1"/>
                <w:sz w:val="24"/>
                <w:szCs w:val="24"/>
              </w:rPr>
            </w:pPr>
          </w:p>
        </w:tc>
      </w:tr>
      <w:tr w14:paraId="50E7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7BE6190E">
            <w:pPr>
              <w:keepNext w:val="0"/>
              <w:keepLines w:val="0"/>
              <w:suppressLineNumbers w:val="0"/>
              <w:suppressAutoHyphens/>
              <w:adjustRightInd w:val="0"/>
              <w:snapToGrid w:val="0"/>
              <w:spacing w:before="0" w:beforeAutospacing="0" w:after="0" w:afterAutospacing="0"/>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磋商有效期</w:t>
            </w:r>
          </w:p>
        </w:tc>
        <w:tc>
          <w:tcPr>
            <w:tcW w:w="4143" w:type="pct"/>
            <w:gridSpan w:val="7"/>
            <w:vAlign w:val="center"/>
          </w:tcPr>
          <w:p w14:paraId="2D7DE777">
            <w:pPr>
              <w:keepNext w:val="0"/>
              <w:keepLines w:val="0"/>
              <w:widowControl/>
              <w:suppressLineNumbers w:val="0"/>
              <w:spacing w:before="0" w:beforeAutospacing="0" w:after="200" w:afterAutospacing="0" w:line="220" w:lineRule="atLeast"/>
              <w:ind w:left="0" w:right="0"/>
              <w:jc w:val="left"/>
              <w:rPr>
                <w:rFonts w:hint="default" w:ascii="宋体" w:hAnsi="宋体" w:cs="宋体"/>
                <w:b/>
                <w:color w:val="000000"/>
                <w:kern w:val="1"/>
                <w:sz w:val="24"/>
                <w:szCs w:val="24"/>
              </w:rPr>
            </w:pPr>
          </w:p>
        </w:tc>
      </w:tr>
      <w:tr w14:paraId="032E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857" w:type="pct"/>
            <w:vAlign w:val="center"/>
          </w:tcPr>
          <w:p w14:paraId="3B584D7F">
            <w:pPr>
              <w:keepNext w:val="0"/>
              <w:keepLines w:val="0"/>
              <w:suppressLineNumbers w:val="0"/>
              <w:spacing w:before="0" w:beforeAutospacing="0" w:after="0" w:afterAutospacing="0" w:line="360" w:lineRule="auto"/>
              <w:ind w:left="0" w:right="0"/>
              <w:jc w:val="center"/>
              <w:rPr>
                <w:rFonts w:hint="default" w:ascii="宋体" w:hAnsi="宋体" w:cs="宋体"/>
                <w:color w:val="000000"/>
                <w:kern w:val="1"/>
                <w:sz w:val="24"/>
                <w:szCs w:val="24"/>
              </w:rPr>
            </w:pPr>
            <w:r>
              <w:rPr>
                <w:rFonts w:hint="eastAsia" w:ascii="宋体" w:hAnsi="宋体" w:cs="宋体"/>
                <w:color w:val="000000"/>
                <w:kern w:val="1"/>
                <w:sz w:val="24"/>
                <w:szCs w:val="24"/>
              </w:rPr>
              <w:t>需需要说明的问题</w:t>
            </w:r>
          </w:p>
        </w:tc>
        <w:tc>
          <w:tcPr>
            <w:tcW w:w="4143" w:type="pct"/>
            <w:gridSpan w:val="7"/>
            <w:vAlign w:val="center"/>
          </w:tcPr>
          <w:p w14:paraId="33C2ACBB">
            <w:pPr>
              <w:keepNext w:val="0"/>
              <w:keepLines w:val="0"/>
              <w:suppressLineNumbers w:val="0"/>
              <w:spacing w:before="0" w:beforeAutospacing="0" w:after="0" w:afterAutospacing="0" w:line="360" w:lineRule="auto"/>
              <w:ind w:left="0" w:right="0"/>
              <w:rPr>
                <w:rFonts w:hint="default" w:ascii="宋体" w:hAnsi="宋体" w:cs="宋体"/>
                <w:b/>
                <w:color w:val="000000"/>
                <w:kern w:val="1"/>
                <w:sz w:val="24"/>
                <w:szCs w:val="24"/>
              </w:rPr>
            </w:pPr>
          </w:p>
        </w:tc>
      </w:tr>
    </w:tbl>
    <w:p w14:paraId="5AF32117">
      <w:pPr>
        <w:widowControl/>
        <w:spacing w:after="200" w:line="276" w:lineRule="auto"/>
        <w:jc w:val="left"/>
        <w:rPr>
          <w:rFonts w:ascii="宋体" w:hAnsi="宋体" w:cs="宋体"/>
          <w:color w:val="000000"/>
          <w:kern w:val="0"/>
          <w:sz w:val="28"/>
          <w:szCs w:val="28"/>
          <w:lang w:bidi="en-US"/>
        </w:rPr>
      </w:pPr>
    </w:p>
    <w:p w14:paraId="6BB382E4">
      <w:pPr>
        <w:spacing w:line="400" w:lineRule="exact"/>
        <w:ind w:firstLine="420" w:firstLineChars="175"/>
        <w:jc w:val="left"/>
        <w:rPr>
          <w:rFonts w:ascii="宋体" w:hAnsi="宋体" w:cs="楷体_GB2312"/>
          <w:sz w:val="24"/>
        </w:rPr>
      </w:pPr>
      <w:r>
        <w:rPr>
          <w:rFonts w:hint="eastAsia" w:ascii="宋体" w:hAnsi="宋体" w:cs="楷体_GB2312"/>
          <w:sz w:val="24"/>
        </w:rPr>
        <w:t>供应商名称：</w:t>
      </w:r>
      <w:r>
        <w:rPr>
          <w:rFonts w:hint="eastAsia" w:ascii="宋体" w:hAnsi="宋体" w:cs="楷体_GB2312"/>
          <w:sz w:val="24"/>
          <w:u w:val="single"/>
        </w:rPr>
        <w:t xml:space="preserve">           </w:t>
      </w:r>
      <w:r>
        <w:rPr>
          <w:rFonts w:hint="eastAsia" w:ascii="宋体" w:hAnsi="宋体" w:cs="楷体_GB2312"/>
          <w:sz w:val="24"/>
        </w:rPr>
        <w:t>（盖单位章）</w:t>
      </w:r>
    </w:p>
    <w:p w14:paraId="44BEF13A">
      <w:pPr>
        <w:wordWrap w:val="0"/>
        <w:spacing w:line="400" w:lineRule="exact"/>
        <w:ind w:firstLine="420" w:firstLineChars="175"/>
        <w:jc w:val="left"/>
        <w:rPr>
          <w:rFonts w:ascii="宋体" w:hAnsi="宋体" w:cs="楷体_GB2312"/>
          <w:sz w:val="24"/>
          <w:u w:val="single"/>
        </w:rPr>
      </w:pPr>
      <w:r>
        <w:rPr>
          <w:rFonts w:hint="eastAsia" w:ascii="宋体" w:hAnsi="宋体" w:cs="楷体_GB2312"/>
          <w:sz w:val="24"/>
        </w:rPr>
        <w:t>法定代表人：</w:t>
      </w:r>
      <w:r>
        <w:rPr>
          <w:rFonts w:hint="eastAsia" w:ascii="宋体" w:hAnsi="宋体" w:cs="楷体_GB2312"/>
          <w:sz w:val="24"/>
          <w:u w:val="single"/>
        </w:rPr>
        <w:t xml:space="preserve">                   </w:t>
      </w:r>
      <w:r>
        <w:rPr>
          <w:rFonts w:hint="eastAsia" w:ascii="宋体" w:hAnsi="宋体" w:cs="楷体_GB2312"/>
          <w:sz w:val="24"/>
        </w:rPr>
        <w:t>（电子签章）</w:t>
      </w:r>
    </w:p>
    <w:p w14:paraId="4EE9B9A2">
      <w:pPr>
        <w:widowControl/>
        <w:wordWrap w:val="0"/>
        <w:adjustRightInd w:val="0"/>
        <w:snapToGrid w:val="0"/>
        <w:spacing w:line="360" w:lineRule="auto"/>
        <w:ind w:firstLine="420" w:firstLineChars="175"/>
        <w:jc w:val="left"/>
        <w:rPr>
          <w:rFonts w:ascii="宋体" w:hAnsi="宋体" w:cs="楷体_GB2312"/>
          <w:sz w:val="24"/>
        </w:rPr>
      </w:pPr>
      <w:r>
        <w:rPr>
          <w:rFonts w:hint="eastAsia" w:ascii="宋体" w:hAnsi="宋体" w:cs="楷体_GB2312"/>
          <w:sz w:val="24"/>
        </w:rPr>
        <w:t>日期：</w:t>
      </w:r>
      <w:r>
        <w:rPr>
          <w:rFonts w:hint="eastAsia" w:ascii="宋体" w:hAnsi="宋体" w:cs="楷体_GB2312"/>
          <w:sz w:val="24"/>
          <w:u w:val="single"/>
        </w:rPr>
        <w:t xml:space="preserve">     </w:t>
      </w:r>
      <w:r>
        <w:rPr>
          <w:rFonts w:hint="eastAsia" w:ascii="宋体" w:hAnsi="宋体" w:cs="楷体_GB2312"/>
          <w:sz w:val="24"/>
        </w:rPr>
        <w:t>年</w:t>
      </w:r>
      <w:r>
        <w:rPr>
          <w:rFonts w:hint="eastAsia" w:ascii="宋体" w:hAnsi="宋体" w:cs="楷体_GB2312"/>
          <w:sz w:val="24"/>
          <w:u w:val="single"/>
        </w:rPr>
        <w:t xml:space="preserve">    </w:t>
      </w:r>
      <w:r>
        <w:rPr>
          <w:rFonts w:hint="eastAsia" w:ascii="宋体" w:hAnsi="宋体" w:cs="楷体_GB2312"/>
          <w:sz w:val="24"/>
        </w:rPr>
        <w:t>月</w:t>
      </w:r>
      <w:r>
        <w:rPr>
          <w:rFonts w:hint="eastAsia" w:ascii="宋体" w:hAnsi="宋体" w:cs="楷体_GB2312"/>
          <w:sz w:val="24"/>
          <w:u w:val="single"/>
        </w:rPr>
        <w:t xml:space="preserve">    </w:t>
      </w:r>
      <w:r>
        <w:rPr>
          <w:rFonts w:hint="eastAsia" w:ascii="宋体" w:hAnsi="宋体" w:cs="楷体_GB2312"/>
          <w:sz w:val="24"/>
        </w:rPr>
        <w:t xml:space="preserve">日      </w:t>
      </w:r>
    </w:p>
    <w:p w14:paraId="64F14792">
      <w:pPr>
        <w:widowControl/>
        <w:spacing w:after="200" w:line="220" w:lineRule="atLeast"/>
        <w:jc w:val="left"/>
        <w:rPr>
          <w:rFonts w:ascii="宋体" w:hAnsi="宋体" w:cs="宋体"/>
          <w:b/>
          <w:bCs/>
          <w:color w:val="000000"/>
          <w:kern w:val="0"/>
          <w:sz w:val="24"/>
          <w:szCs w:val="24"/>
        </w:rPr>
        <w:sectPr>
          <w:pgSz w:w="11906" w:h="16838"/>
          <w:pgMar w:top="1134" w:right="1134" w:bottom="1134" w:left="1134" w:header="720" w:footer="720" w:gutter="0"/>
          <w:pgNumType w:fmt="decimal"/>
          <w:cols w:space="720" w:num="1"/>
          <w:docGrid w:type="lines" w:linePitch="312" w:charSpace="0"/>
        </w:sectPr>
      </w:pPr>
    </w:p>
    <w:p w14:paraId="37E4D683">
      <w:pPr>
        <w:jc w:val="center"/>
        <w:outlineLvl w:val="1"/>
        <w:rPr>
          <w:rFonts w:ascii="宋体" w:hAnsi="宋体" w:eastAsia="宋体" w:cs="宋体"/>
          <w:b/>
          <w:sz w:val="24"/>
          <w:szCs w:val="24"/>
        </w:rPr>
      </w:pPr>
      <w:bookmarkStart w:id="1227" w:name="_Toc476231086"/>
      <w:bookmarkStart w:id="1228" w:name="_Toc470786259"/>
      <w:bookmarkStart w:id="1229" w:name="_Toc30552"/>
      <w:r>
        <w:rPr>
          <w:rFonts w:hint="eastAsia" w:ascii="宋体" w:hAnsi="宋体" w:eastAsia="宋体" w:cs="宋体"/>
          <w:b/>
          <w:sz w:val="24"/>
          <w:szCs w:val="24"/>
        </w:rPr>
        <w:t>二、</w:t>
      </w:r>
      <w:bookmarkEnd w:id="1227"/>
      <w:bookmarkEnd w:id="1228"/>
      <w:r>
        <w:rPr>
          <w:rFonts w:hint="eastAsia" w:ascii="宋体" w:hAnsi="宋体" w:eastAsia="宋体" w:cs="宋体"/>
          <w:b/>
          <w:sz w:val="24"/>
          <w:szCs w:val="24"/>
        </w:rPr>
        <w:t>法定代表人身份证明及授权委托书</w:t>
      </w:r>
      <w:bookmarkEnd w:id="1229"/>
    </w:p>
    <w:p w14:paraId="4780BFB5">
      <w:pPr>
        <w:widowControl/>
        <w:adjustRightInd w:val="0"/>
        <w:snapToGrid w:val="0"/>
        <w:spacing w:after="200"/>
        <w:jc w:val="center"/>
        <w:outlineLvl w:val="0"/>
        <w:rPr>
          <w:rFonts w:ascii="宋体" w:hAnsi="宋体" w:cs="宋体"/>
          <w:color w:val="000000"/>
          <w:kern w:val="0"/>
          <w:sz w:val="24"/>
          <w:szCs w:val="24"/>
        </w:rPr>
      </w:pPr>
      <w:bookmarkStart w:id="1230" w:name="_Toc5843"/>
      <w:bookmarkStart w:id="1231" w:name="_Toc28381"/>
      <w:bookmarkStart w:id="1232" w:name="_Toc5955"/>
    </w:p>
    <w:p w14:paraId="0BB61E97">
      <w:pPr>
        <w:widowControl/>
        <w:adjustRightInd w:val="0"/>
        <w:snapToGrid w:val="0"/>
        <w:spacing w:after="200"/>
        <w:jc w:val="center"/>
        <w:outlineLvl w:val="0"/>
        <w:rPr>
          <w:rFonts w:ascii="宋体" w:hAnsi="宋体" w:cs="宋体"/>
          <w:b/>
          <w:color w:val="000000"/>
          <w:kern w:val="0"/>
          <w:sz w:val="24"/>
          <w:szCs w:val="24"/>
        </w:rPr>
      </w:pPr>
      <w:bookmarkStart w:id="1233" w:name="_Toc28907"/>
      <w:bookmarkStart w:id="1234" w:name="_Toc15634"/>
      <w:bookmarkStart w:id="1235" w:name="_Toc32393"/>
      <w:r>
        <w:rPr>
          <w:rFonts w:hint="eastAsia" w:ascii="宋体" w:hAnsi="宋体" w:cs="宋体"/>
          <w:b/>
          <w:color w:val="000000"/>
          <w:kern w:val="0"/>
          <w:sz w:val="24"/>
          <w:szCs w:val="24"/>
        </w:rPr>
        <w:t>（一）法定代表人身份证明</w:t>
      </w:r>
      <w:bookmarkEnd w:id="1230"/>
      <w:bookmarkEnd w:id="1231"/>
      <w:bookmarkEnd w:id="1232"/>
      <w:bookmarkEnd w:id="1233"/>
      <w:bookmarkEnd w:id="1234"/>
      <w:bookmarkEnd w:id="1235"/>
    </w:p>
    <w:p w14:paraId="01688E29">
      <w:pPr>
        <w:widowControl/>
        <w:adjustRightInd w:val="0"/>
        <w:snapToGrid w:val="0"/>
        <w:spacing w:after="200" w:line="360" w:lineRule="auto"/>
        <w:jc w:val="left"/>
        <w:rPr>
          <w:rFonts w:ascii="宋体" w:hAnsi="宋体" w:cs="宋体"/>
          <w:color w:val="000000"/>
          <w:kern w:val="0"/>
          <w:sz w:val="24"/>
          <w:szCs w:val="24"/>
        </w:rPr>
      </w:pPr>
    </w:p>
    <w:p w14:paraId="5CFFB015">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供应商名称：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p>
    <w:p w14:paraId="734797F3">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单位性质：</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p>
    <w:p w14:paraId="04B568A6">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地址：</w:t>
      </w:r>
      <w:r>
        <w:rPr>
          <w:rFonts w:hint="eastAsia" w:ascii="宋体" w:hAnsi="宋体" w:cs="宋体"/>
          <w:color w:val="000000"/>
          <w:kern w:val="0"/>
          <w:sz w:val="24"/>
          <w:szCs w:val="24"/>
          <w:u w:val="single"/>
        </w:rPr>
        <w:t xml:space="preserve">                                   </w:t>
      </w:r>
    </w:p>
    <w:p w14:paraId="1B977A29">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成立时间：</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日</w:t>
      </w:r>
    </w:p>
    <w:p w14:paraId="14372DC3">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经营期限：</w:t>
      </w:r>
      <w:r>
        <w:rPr>
          <w:rFonts w:hint="eastAsia" w:ascii="宋体" w:hAnsi="宋体" w:cs="宋体"/>
          <w:color w:val="000000"/>
          <w:kern w:val="0"/>
          <w:sz w:val="24"/>
          <w:szCs w:val="24"/>
          <w:u w:val="single"/>
        </w:rPr>
        <w:t xml:space="preserve">                               </w:t>
      </w:r>
    </w:p>
    <w:p w14:paraId="3C4329A7">
      <w:pPr>
        <w:widowControl/>
        <w:adjustRightInd w:val="0"/>
        <w:snapToGrid w:val="0"/>
        <w:spacing w:after="200" w:line="360" w:lineRule="auto"/>
        <w:ind w:firstLine="420" w:firstLineChars="175"/>
        <w:jc w:val="left"/>
        <w:rPr>
          <w:rFonts w:ascii="宋体" w:hAnsi="宋体" w:cs="宋体"/>
          <w:color w:val="000000"/>
          <w:kern w:val="0"/>
          <w:sz w:val="24"/>
          <w:szCs w:val="24"/>
          <w:u w:val="single"/>
        </w:rPr>
      </w:pPr>
      <w:r>
        <w:rPr>
          <w:rFonts w:hint="eastAsia" w:ascii="宋体" w:hAnsi="宋体" w:cs="宋体"/>
          <w:color w:val="000000"/>
          <w:kern w:val="0"/>
          <w:sz w:val="24"/>
          <w:szCs w:val="24"/>
        </w:rPr>
        <w:t>姓名：</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性别：</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年龄：</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职务：</w:t>
      </w:r>
      <w:r>
        <w:rPr>
          <w:rFonts w:hint="eastAsia" w:ascii="宋体" w:hAnsi="宋体" w:cs="宋体"/>
          <w:color w:val="000000"/>
          <w:kern w:val="0"/>
          <w:sz w:val="24"/>
          <w:szCs w:val="24"/>
          <w:u w:val="single"/>
        </w:rPr>
        <w:t xml:space="preserve">          </w:t>
      </w:r>
    </w:p>
    <w:p w14:paraId="368AD1DD">
      <w:pPr>
        <w:widowControl/>
        <w:adjustRightInd w:val="0"/>
        <w:snapToGrid w:val="0"/>
        <w:spacing w:after="200" w:line="36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系</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（供应商名称）的法定代表人。</w:t>
      </w:r>
    </w:p>
    <w:p w14:paraId="2B7F7CAB">
      <w:pPr>
        <w:widowControl/>
        <w:adjustRightInd w:val="0"/>
        <w:snapToGrid w:val="0"/>
        <w:spacing w:after="200" w:line="48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特此证明。</w:t>
      </w:r>
    </w:p>
    <w:p w14:paraId="058B8E1F">
      <w:pPr>
        <w:ind w:firstLine="367" w:firstLineChars="175"/>
      </w:pPr>
    </w:p>
    <w:p w14:paraId="539CDF72">
      <w:pPr>
        <w:widowControl/>
        <w:adjustRightInd w:val="0"/>
        <w:snapToGrid w:val="0"/>
        <w:spacing w:after="200" w:line="480" w:lineRule="auto"/>
        <w:ind w:firstLine="420" w:firstLineChars="175"/>
        <w:jc w:val="left"/>
        <w:rPr>
          <w:rFonts w:ascii="宋体" w:hAnsi="宋体" w:cs="宋体"/>
          <w:color w:val="000000"/>
          <w:kern w:val="0"/>
          <w:sz w:val="24"/>
          <w:szCs w:val="24"/>
        </w:rPr>
      </w:pPr>
      <w:r>
        <w:rPr>
          <w:rFonts w:hint="eastAsia" w:ascii="宋体" w:hAnsi="宋体" w:cs="宋体"/>
          <w:color w:val="000000"/>
          <w:kern w:val="0"/>
          <w:sz w:val="24"/>
          <w:szCs w:val="24"/>
        </w:rPr>
        <w:t xml:space="preserve">附：法定代表人身份证复印件。 </w:t>
      </w:r>
    </w:p>
    <w:p w14:paraId="5F3DE717">
      <w:pPr>
        <w:rPr>
          <w:rFonts w:hAnsi="宋体" w:cs="宋体"/>
          <w:color w:val="000000"/>
          <w:szCs w:val="24"/>
        </w:rPr>
      </w:pPr>
    </w:p>
    <w:p w14:paraId="35FD0DF3"/>
    <w:p w14:paraId="6F4D8EC3">
      <w:pPr>
        <w:widowControl/>
        <w:adjustRightInd w:val="0"/>
        <w:snapToGrid w:val="0"/>
        <w:spacing w:after="200" w:line="480" w:lineRule="auto"/>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供应商名称：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(盖单位章)</w:t>
      </w:r>
    </w:p>
    <w:p w14:paraId="43423610">
      <w:pPr>
        <w:widowControl/>
        <w:adjustRightInd w:val="0"/>
        <w:snapToGrid w:val="0"/>
        <w:spacing w:after="200" w:line="480" w:lineRule="auto"/>
        <w:ind w:firstLine="480" w:firstLineChars="200"/>
        <w:jc w:val="left"/>
        <w:rPr>
          <w:rFonts w:ascii="宋体" w:hAnsi="宋体" w:cs="宋体"/>
          <w:color w:val="000000"/>
          <w:kern w:val="0"/>
          <w:sz w:val="28"/>
          <w:szCs w:val="28"/>
        </w:rPr>
      </w:pPr>
      <w:r>
        <w:rPr>
          <w:rFonts w:hint="eastAsia" w:ascii="宋体" w:hAnsi="宋体" w:cs="宋体"/>
          <w:color w:val="000000"/>
          <w:kern w:val="0"/>
          <w:sz w:val="24"/>
          <w:szCs w:val="24"/>
        </w:rPr>
        <w:t>日  期：______年_____月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日</w:t>
      </w:r>
      <w:r>
        <w:rPr>
          <w:rFonts w:hint="eastAsia" w:ascii="宋体" w:hAnsi="宋体" w:cs="宋体"/>
          <w:color w:val="000000"/>
          <w:kern w:val="0"/>
          <w:sz w:val="28"/>
          <w:szCs w:val="28"/>
        </w:rPr>
        <w:t xml:space="preserve">  </w:t>
      </w:r>
    </w:p>
    <w:p w14:paraId="5BE391C0">
      <w:pPr>
        <w:widowControl/>
        <w:adjustRightInd w:val="0"/>
        <w:snapToGrid w:val="0"/>
        <w:spacing w:after="200" w:line="360" w:lineRule="auto"/>
        <w:ind w:left="4740" w:leftChars="2257"/>
        <w:jc w:val="left"/>
        <w:rPr>
          <w:rFonts w:ascii="宋体" w:hAnsi="宋体" w:cs="宋体"/>
          <w:color w:val="000000"/>
          <w:kern w:val="0"/>
          <w:sz w:val="28"/>
          <w:szCs w:val="28"/>
        </w:rPr>
      </w:pPr>
    </w:p>
    <w:p w14:paraId="3A4139C0">
      <w:pPr>
        <w:widowControl/>
        <w:spacing w:after="200" w:line="220" w:lineRule="atLeast"/>
        <w:jc w:val="center"/>
        <w:rPr>
          <w:rFonts w:ascii="宋体" w:hAnsi="宋体" w:cs="宋体"/>
          <w:b/>
          <w:color w:val="000000"/>
          <w:kern w:val="0"/>
          <w:sz w:val="24"/>
          <w:szCs w:val="24"/>
        </w:rPr>
      </w:pPr>
      <w:bookmarkStart w:id="1236" w:name="_Toc29611"/>
      <w:bookmarkStart w:id="1237" w:name="_Toc12633"/>
      <w:bookmarkStart w:id="1238" w:name="_Toc22161"/>
      <w:r>
        <w:rPr>
          <w:rFonts w:hint="eastAsia" w:ascii="宋体" w:hAnsi="宋体" w:cs="宋体"/>
          <w:b/>
          <w:color w:val="000000"/>
          <w:kern w:val="0"/>
          <w:sz w:val="28"/>
          <w:szCs w:val="28"/>
        </w:rPr>
        <w:br w:type="page"/>
      </w:r>
      <w:r>
        <w:rPr>
          <w:rFonts w:hint="eastAsia" w:ascii="宋体" w:hAnsi="宋体" w:cs="宋体"/>
          <w:b/>
          <w:color w:val="000000"/>
          <w:kern w:val="0"/>
          <w:sz w:val="24"/>
          <w:szCs w:val="24"/>
        </w:rPr>
        <w:t>（二）授权委托书</w:t>
      </w:r>
      <w:bookmarkEnd w:id="1236"/>
      <w:bookmarkEnd w:id="1237"/>
      <w:bookmarkEnd w:id="1238"/>
    </w:p>
    <w:p w14:paraId="687CB53D">
      <w:pPr>
        <w:widowControl/>
        <w:topLinePunct/>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本人</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（姓名）系</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（供应商名称）的法定代表人，现委托</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（姓名）为我方代理人。代理人根据授权，以我方名义签署、澄清、说明、补正、递交、撤回、修改</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（项目名称</w:t>
      </w:r>
      <w:r>
        <w:rPr>
          <w:rFonts w:hint="eastAsia" w:ascii="宋体" w:hAnsi="宋体" w:cs="宋体"/>
          <w:color w:val="000000"/>
          <w:kern w:val="0"/>
          <w:sz w:val="24"/>
          <w:szCs w:val="24"/>
          <w:lang w:val="en-US" w:eastAsia="zh-CN"/>
        </w:rPr>
        <w:t>及包号</w:t>
      </w:r>
      <w:r>
        <w:rPr>
          <w:rFonts w:hint="eastAsia" w:ascii="宋体" w:hAnsi="宋体" w:cs="宋体"/>
          <w:color w:val="000000"/>
          <w:kern w:val="0"/>
          <w:sz w:val="24"/>
          <w:szCs w:val="24"/>
        </w:rPr>
        <w:t>）磋商响应文件、签订合同和处理有关事宜，其法律后果由我方承担。</w:t>
      </w:r>
    </w:p>
    <w:p w14:paraId="66C95EC8">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委托期限：</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w:t>
      </w:r>
    </w:p>
    <w:p w14:paraId="32E5B31C">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代理人无转委托权。</w:t>
      </w:r>
    </w:p>
    <w:p w14:paraId="5E956C88">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附：法定代表人及委托代理人身份证正反面扫描件。</w:t>
      </w:r>
    </w:p>
    <w:p w14:paraId="5C7DC6D7">
      <w:pPr>
        <w:widowControl/>
        <w:adjustRightInd w:val="0"/>
        <w:snapToGrid w:val="0"/>
        <w:spacing w:after="200" w:line="360" w:lineRule="auto"/>
        <w:ind w:firstLine="360" w:firstLineChars="150"/>
        <w:jc w:val="left"/>
        <w:rPr>
          <w:rFonts w:ascii="宋体" w:hAnsi="宋体" w:cs="宋体"/>
          <w:color w:val="000000"/>
          <w:kern w:val="0"/>
          <w:sz w:val="24"/>
          <w:szCs w:val="24"/>
        </w:rPr>
      </w:pPr>
    </w:p>
    <w:p w14:paraId="5BDB43B2">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供应商名称：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（盖单位章）</w:t>
      </w:r>
    </w:p>
    <w:p w14:paraId="5EE16213">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法定代表人：</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（电子签章）</w:t>
      </w:r>
    </w:p>
    <w:p w14:paraId="0ED6EACB">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身份证号码：</w:t>
      </w:r>
      <w:r>
        <w:rPr>
          <w:rFonts w:hint="eastAsia" w:ascii="宋体" w:hAnsi="宋体" w:cs="宋体"/>
          <w:color w:val="000000"/>
          <w:kern w:val="0"/>
          <w:sz w:val="24"/>
          <w:szCs w:val="24"/>
          <w:u w:val="single"/>
        </w:rPr>
        <w:t xml:space="preserve">                 </w:t>
      </w:r>
      <w:r>
        <w:rPr>
          <w:rFonts w:hint="eastAsia" w:ascii="宋体" w:hAnsi="宋体" w:cs="宋体"/>
          <w:color w:val="000000"/>
          <w:sz w:val="24"/>
          <w:szCs w:val="24"/>
          <w:u w:val="single"/>
        </w:rPr>
        <w:t xml:space="preserve">         </w:t>
      </w:r>
    </w:p>
    <w:p w14:paraId="08CA21F5">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kern w:val="0"/>
          <w:sz w:val="24"/>
          <w:szCs w:val="24"/>
        </w:rPr>
        <w:t>委托代理人：</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（法人电子签章）</w:t>
      </w:r>
    </w:p>
    <w:p w14:paraId="76DA5700">
      <w:pPr>
        <w:widowControl/>
        <w:adjustRightInd w:val="0"/>
        <w:snapToGrid w:val="0"/>
        <w:spacing w:after="200" w:line="360" w:lineRule="auto"/>
        <w:ind w:firstLine="360" w:firstLineChars="150"/>
        <w:jc w:val="left"/>
        <w:rPr>
          <w:rFonts w:ascii="宋体" w:hAnsi="宋体" w:cs="宋体"/>
          <w:color w:val="000000"/>
          <w:sz w:val="24"/>
          <w:szCs w:val="24"/>
          <w:u w:val="single"/>
        </w:rPr>
      </w:pPr>
      <w:r>
        <w:rPr>
          <w:rFonts w:hint="eastAsia" w:ascii="宋体" w:hAnsi="宋体" w:cs="宋体"/>
          <w:color w:val="000000"/>
          <w:kern w:val="0"/>
          <w:sz w:val="24"/>
          <w:szCs w:val="24"/>
        </w:rPr>
        <w:t>身份证号码：</w:t>
      </w:r>
      <w:r>
        <w:rPr>
          <w:rFonts w:hint="eastAsia" w:ascii="宋体" w:hAnsi="宋体" w:cs="宋体"/>
          <w:color w:val="000000"/>
          <w:kern w:val="0"/>
          <w:sz w:val="24"/>
          <w:szCs w:val="24"/>
          <w:u w:val="single"/>
        </w:rPr>
        <w:t xml:space="preserve">                 </w:t>
      </w:r>
      <w:r>
        <w:rPr>
          <w:rFonts w:hint="eastAsia" w:ascii="宋体" w:hAnsi="宋体" w:cs="宋体"/>
          <w:color w:val="000000"/>
          <w:sz w:val="24"/>
          <w:szCs w:val="24"/>
          <w:u w:val="single"/>
        </w:rPr>
        <w:t xml:space="preserve">         </w:t>
      </w:r>
    </w:p>
    <w:p w14:paraId="44F4660F">
      <w:pPr>
        <w:widowControl/>
        <w:adjustRightInd w:val="0"/>
        <w:snapToGrid w:val="0"/>
        <w:spacing w:after="200" w:line="360" w:lineRule="auto"/>
        <w:ind w:firstLine="360" w:firstLineChars="150"/>
        <w:jc w:val="left"/>
        <w:rPr>
          <w:rFonts w:hint="default" w:ascii="宋体" w:hAnsi="宋体" w:cs="宋体" w:eastAsiaTheme="minorEastAsia"/>
          <w:color w:val="000000"/>
          <w:sz w:val="24"/>
          <w:szCs w:val="24"/>
          <w:u w:val="single"/>
          <w:lang w:val="en-US" w:eastAsia="zh-CN"/>
        </w:rPr>
      </w:pPr>
      <w:r>
        <w:rPr>
          <w:rFonts w:hint="eastAsia" w:ascii="宋体" w:hAnsi="宋体" w:cs="宋体"/>
          <w:color w:val="000000"/>
          <w:sz w:val="24"/>
          <w:szCs w:val="24"/>
          <w:u w:val="none"/>
          <w:lang w:val="en-US" w:eastAsia="zh-CN"/>
        </w:rPr>
        <w:t>联系电话：</w:t>
      </w:r>
      <w:r>
        <w:rPr>
          <w:rFonts w:hint="eastAsia" w:ascii="宋体" w:hAnsi="宋体" w:cs="宋体"/>
          <w:color w:val="000000"/>
          <w:sz w:val="24"/>
          <w:szCs w:val="24"/>
          <w:u w:val="single"/>
          <w:lang w:val="en-US" w:eastAsia="zh-CN"/>
        </w:rPr>
        <w:t xml:space="preserve">                            </w:t>
      </w:r>
    </w:p>
    <w:p w14:paraId="33EB7F7A">
      <w:pPr>
        <w:widowControl/>
        <w:adjustRightInd w:val="0"/>
        <w:snapToGrid w:val="0"/>
        <w:spacing w:after="200" w:line="360" w:lineRule="auto"/>
        <w:ind w:firstLine="360" w:firstLineChars="150"/>
        <w:jc w:val="left"/>
        <w:rPr>
          <w:rFonts w:ascii="宋体" w:hAnsi="宋体" w:cs="宋体"/>
          <w:color w:val="000000"/>
          <w:kern w:val="0"/>
          <w:sz w:val="24"/>
          <w:szCs w:val="24"/>
        </w:rPr>
      </w:pPr>
      <w:r>
        <w:rPr>
          <w:rFonts w:hint="eastAsia" w:ascii="宋体" w:hAnsi="宋体" w:cs="宋体"/>
          <w:color w:val="000000"/>
          <w:sz w:val="24"/>
          <w:szCs w:val="24"/>
          <w:u w:val="single"/>
        </w:rPr>
        <w:t xml:space="preserve">      </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日</w:t>
      </w:r>
    </w:p>
    <w:p w14:paraId="7B89BBF3">
      <w:pPr>
        <w:ind w:firstLine="420" w:firstLineChars="150"/>
        <w:rPr>
          <w:rFonts w:ascii="宋体" w:hAnsi="宋体" w:cs="宋体"/>
          <w:color w:val="000000"/>
          <w:kern w:val="0"/>
          <w:sz w:val="28"/>
          <w:szCs w:val="28"/>
        </w:rPr>
      </w:pPr>
    </w:p>
    <w:p w14:paraId="5D998DAC">
      <w:pPr>
        <w:ind w:firstLine="315" w:firstLineChars="150"/>
      </w:pPr>
    </w:p>
    <w:p w14:paraId="68FB0D2B">
      <w:pPr>
        <w:widowControl/>
        <w:adjustRightInd w:val="0"/>
        <w:snapToGrid w:val="0"/>
        <w:spacing w:after="200" w:line="480" w:lineRule="exact"/>
        <w:ind w:firstLine="361" w:firstLineChars="150"/>
        <w:jc w:val="left"/>
        <w:rPr>
          <w:rFonts w:ascii="宋体" w:hAnsi="宋体" w:cs="宋体"/>
          <w:color w:val="000000"/>
          <w:kern w:val="0"/>
          <w:sz w:val="28"/>
          <w:szCs w:val="28"/>
        </w:rPr>
      </w:pPr>
      <w:r>
        <w:rPr>
          <w:rFonts w:hint="eastAsia" w:ascii="宋体" w:hAnsi="宋体" w:cs="宋体"/>
          <w:b/>
          <w:bCs/>
          <w:color w:val="000000"/>
          <w:kern w:val="0"/>
          <w:sz w:val="24"/>
        </w:rPr>
        <w:t>注：因磋商响应文件中授权委托书授权代理人无法手写签字，可以以印刷体代替（印刷体为电脑打出的字体）。</w:t>
      </w:r>
    </w:p>
    <w:p w14:paraId="404FE202">
      <w:pPr>
        <w:widowControl/>
        <w:shd w:val="clear" w:color="auto" w:fill="FFFFFF"/>
        <w:jc w:val="center"/>
        <w:rPr>
          <w:rFonts w:ascii="宋体" w:hAnsi="宋体" w:cs="宋体"/>
          <w:b/>
          <w:color w:val="000000"/>
          <w:kern w:val="0"/>
          <w:sz w:val="24"/>
          <w:szCs w:val="24"/>
        </w:rPr>
      </w:pPr>
      <w:r>
        <w:rPr>
          <w:rFonts w:hint="eastAsia" w:ascii="宋体" w:hAnsi="宋体" w:cs="宋体"/>
          <w:color w:val="000000"/>
          <w:kern w:val="0"/>
          <w:sz w:val="28"/>
          <w:szCs w:val="28"/>
        </w:rPr>
        <w:br w:type="page"/>
      </w:r>
      <w:bookmarkStart w:id="1239" w:name="_Toc26393"/>
      <w:r>
        <w:rPr>
          <w:rFonts w:hint="eastAsia" w:ascii="宋体" w:hAnsi="宋体" w:eastAsia="宋体" w:cs="宋体"/>
          <w:b/>
          <w:sz w:val="24"/>
          <w:szCs w:val="24"/>
        </w:rPr>
        <w:t>三、磋商承诺函</w:t>
      </w:r>
      <w:bookmarkEnd w:id="1239"/>
    </w:p>
    <w:p w14:paraId="22EC8F6F">
      <w:pPr>
        <w:widowControl/>
        <w:adjustRightInd w:val="0"/>
        <w:snapToGrid w:val="0"/>
        <w:spacing w:after="200"/>
        <w:jc w:val="center"/>
        <w:rPr>
          <w:rFonts w:ascii="宋体" w:hAnsi="宋体" w:cs="宋体"/>
          <w:bCs/>
          <w:color w:val="000000"/>
          <w:kern w:val="0"/>
          <w:sz w:val="30"/>
          <w:szCs w:val="30"/>
        </w:rPr>
      </w:pPr>
    </w:p>
    <w:p w14:paraId="479779F1">
      <w:pPr>
        <w:widowControl/>
        <w:shd w:val="clear" w:color="auto" w:fill="FFFFFF"/>
        <w:spacing w:line="360" w:lineRule="auto"/>
        <w:rPr>
          <w:rFonts w:ascii="宋体" w:hAnsi="宋体" w:cs="宋体"/>
          <w:color w:val="000000"/>
          <w:spacing w:val="8"/>
          <w:kern w:val="0"/>
          <w:sz w:val="24"/>
          <w:szCs w:val="24"/>
          <w:u w:val="single"/>
        </w:rPr>
      </w:pPr>
      <w:r>
        <w:rPr>
          <w:rFonts w:hint="eastAsia" w:ascii="宋体" w:hAnsi="宋体" w:cs="宋体"/>
          <w:color w:val="000000"/>
          <w:kern w:val="0"/>
          <w:sz w:val="24"/>
          <w:szCs w:val="24"/>
        </w:rPr>
        <w:t>致（采购人）</w:t>
      </w:r>
      <w:r>
        <w:rPr>
          <w:rFonts w:hint="eastAsia" w:ascii="宋体" w:hAnsi="宋体" w:cs="宋体"/>
          <w:color w:val="000000"/>
          <w:spacing w:val="8"/>
          <w:kern w:val="0"/>
          <w:sz w:val="24"/>
          <w:szCs w:val="24"/>
        </w:rPr>
        <w:t>：</w:t>
      </w:r>
      <w:r>
        <w:rPr>
          <w:rFonts w:hint="eastAsia" w:ascii="宋体" w:hAnsi="宋体" w:cs="宋体"/>
          <w:color w:val="000000"/>
          <w:spacing w:val="8"/>
          <w:kern w:val="0"/>
          <w:sz w:val="24"/>
          <w:szCs w:val="24"/>
          <w:u w:val="single"/>
        </w:rPr>
        <w:t xml:space="preserve">                        </w:t>
      </w:r>
    </w:p>
    <w:p w14:paraId="4D97DDC5">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我公司作为本次采购项目的供应商，根据磋商文件要求，现郑重承诺如下：</w:t>
      </w:r>
    </w:p>
    <w:p w14:paraId="7CF0FCD6">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一、具备《中华人民共和国政府采购法》第二十二条第一款和本项目规定的条件：</w:t>
      </w:r>
    </w:p>
    <w:p w14:paraId="6CA0DD3B">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（一）具有独立承担民事责任的能力； 　　</w:t>
      </w:r>
    </w:p>
    <w:p w14:paraId="745426FB">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（二）具有良好的商业信誉和健全的财务会计制度； 　</w:t>
      </w:r>
    </w:p>
    <w:p w14:paraId="2D4A2EC6">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（三）具有履行合同所必需的设备和专业技术能力； 　　</w:t>
      </w:r>
    </w:p>
    <w:p w14:paraId="56D8A7A0">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（四）有依法缴纳税收和社会保障资金的良好记录； 　　</w:t>
      </w:r>
    </w:p>
    <w:p w14:paraId="4BC2A13E">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（五）参加政府采购活动前三年内，在经营活动中没有重大违法记录；</w:t>
      </w:r>
    </w:p>
    <w:p w14:paraId="70460363">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（六）法律、行政法规规定的其他条件；</w:t>
      </w:r>
    </w:p>
    <w:p w14:paraId="3A494BDD">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（七）根据采购项目提出的特殊条件。</w:t>
      </w:r>
    </w:p>
    <w:p w14:paraId="5035F7F2">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二、完全接受和满足本项目磋商文件中规定的实质性要求，如对磋商文件有异议，已经在磋商截止时间届满前依法进行维权救济，不存在对磋商文件有异议的同时又参加投标以求侥幸中标或者为实现其他非法目的的行为。</w:t>
      </w:r>
    </w:p>
    <w:p w14:paraId="3EFE3ABA">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三、参加本次磋商采购活动，不存在与单位负责人为同一人或者存在直接控股、管理关系的其他供应商参与同一合同项下的政府采购活动的行为。</w:t>
      </w:r>
    </w:p>
    <w:p w14:paraId="0C913C82">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四、参加本次磋商采购活动，不存在为采购项目提供整体设计、规范编制或者项目管理、监理、检测等服务的行为。</w:t>
      </w:r>
    </w:p>
    <w:p w14:paraId="29CC0ACE">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五、参加本次磋商采购活动，不存在和其他供应商在同一合同项下的采购项目中，同时委托同一个自然人、同一家庭的人员、同一单位的人员作为代理人的行为。</w:t>
      </w:r>
    </w:p>
    <w:p w14:paraId="1A604589">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六、供应商参加本次政府采购活动要求在近三年内供应商和其法定代表人没有行贿犯罪行为。</w:t>
      </w:r>
    </w:p>
    <w:p w14:paraId="38131454">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七、参加本次磋商采购活动，不存在联合体投标。</w:t>
      </w:r>
    </w:p>
    <w:p w14:paraId="0B2C9EDC">
      <w:pPr>
        <w:widowControl/>
        <w:shd w:val="clear" w:color="auto" w:fill="FFFFFF"/>
        <w:spacing w:line="360" w:lineRule="auto"/>
        <w:ind w:firstLine="512" w:firstLineChars="200"/>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八、磋商响应文件中提供的能够给予我公司带来优惠、好处的任何材料资料和技术、服务、商务等响应承诺情况都是真实的、有效的、合法的。</w:t>
      </w:r>
    </w:p>
    <w:p w14:paraId="614A0D99">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九、供应商认为需要承诺的其他事项：</w:t>
      </w:r>
    </w:p>
    <w:p w14:paraId="6E4E1E26">
      <w:pPr>
        <w:widowControl/>
        <w:shd w:val="clear" w:color="auto" w:fill="FFFFFF"/>
        <w:spacing w:line="360" w:lineRule="auto"/>
        <w:ind w:firstLine="512" w:firstLineChars="200"/>
        <w:rPr>
          <w:rFonts w:ascii="宋体" w:hAnsi="宋体" w:cs="宋体"/>
          <w:color w:val="000000"/>
          <w:spacing w:val="8"/>
          <w:kern w:val="0"/>
          <w:sz w:val="24"/>
          <w:szCs w:val="24"/>
          <w:u w:val="single"/>
        </w:rPr>
      </w:pPr>
      <w:r>
        <w:rPr>
          <w:rFonts w:hint="eastAsia" w:ascii="宋体" w:hAnsi="宋体" w:cs="宋体"/>
          <w:color w:val="000000"/>
          <w:spacing w:val="8"/>
          <w:kern w:val="0"/>
          <w:sz w:val="24"/>
          <w:szCs w:val="24"/>
        </w:rPr>
        <w:t>1、</w:t>
      </w:r>
      <w:r>
        <w:rPr>
          <w:rFonts w:hint="eastAsia" w:ascii="宋体" w:hAnsi="宋体" w:cs="宋体"/>
          <w:color w:val="000000"/>
          <w:spacing w:val="8"/>
          <w:kern w:val="0"/>
          <w:sz w:val="24"/>
          <w:szCs w:val="24"/>
          <w:u w:val="single"/>
        </w:rPr>
        <w:t xml:space="preserve">                 </w:t>
      </w:r>
      <w:r>
        <w:rPr>
          <w:rFonts w:hint="eastAsia" w:ascii="宋体" w:hAnsi="宋体" w:cs="宋体"/>
          <w:color w:val="000000"/>
          <w:spacing w:val="8"/>
          <w:kern w:val="0"/>
          <w:sz w:val="24"/>
          <w:szCs w:val="24"/>
        </w:rPr>
        <w:t>；2、</w:t>
      </w:r>
      <w:r>
        <w:rPr>
          <w:rFonts w:hint="eastAsia" w:ascii="宋体" w:hAnsi="宋体" w:cs="宋体"/>
          <w:color w:val="000000"/>
          <w:spacing w:val="8"/>
          <w:kern w:val="0"/>
          <w:sz w:val="24"/>
          <w:szCs w:val="24"/>
          <w:u w:val="single"/>
        </w:rPr>
        <w:t xml:space="preserve">                </w:t>
      </w:r>
      <w:r>
        <w:rPr>
          <w:rFonts w:hint="eastAsia" w:ascii="宋体" w:hAnsi="宋体" w:cs="宋体"/>
          <w:color w:val="000000"/>
          <w:spacing w:val="8"/>
          <w:kern w:val="0"/>
          <w:sz w:val="24"/>
          <w:szCs w:val="24"/>
        </w:rPr>
        <w:t>；3、</w:t>
      </w:r>
      <w:r>
        <w:rPr>
          <w:rFonts w:hint="eastAsia" w:ascii="宋体" w:hAnsi="宋体" w:cs="宋体"/>
          <w:color w:val="000000"/>
          <w:spacing w:val="8"/>
          <w:kern w:val="0"/>
          <w:sz w:val="24"/>
          <w:szCs w:val="24"/>
          <w:u w:val="single"/>
        </w:rPr>
        <w:t xml:space="preserve">                 </w:t>
      </w:r>
      <w:r>
        <w:rPr>
          <w:rFonts w:hint="eastAsia" w:ascii="宋体" w:hAnsi="宋体" w:cs="宋体"/>
          <w:color w:val="000000"/>
          <w:spacing w:val="8"/>
          <w:kern w:val="0"/>
          <w:sz w:val="24"/>
          <w:szCs w:val="24"/>
        </w:rPr>
        <w:t>。</w:t>
      </w:r>
    </w:p>
    <w:p w14:paraId="6B8F748F">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十、存在以下行为之一的愿意接受相关部门的处理：</w:t>
      </w:r>
    </w:p>
    <w:p w14:paraId="4FA3EC3C">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（一）磋商有效期内撤销磋商响应文件的；</w:t>
      </w:r>
    </w:p>
    <w:p w14:paraId="0BCBA8A2">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（二）在采购人确定中标人以前放弃中标候选资格的；</w:t>
      </w:r>
    </w:p>
    <w:p w14:paraId="24859CE8">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（三）由于中标人的原因未能按照磋商文件的规定与采购人签订合同；</w:t>
      </w:r>
    </w:p>
    <w:p w14:paraId="29733DAE">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（四）在磋商响应文件中提供虚假材料谋取中标；</w:t>
      </w:r>
    </w:p>
    <w:p w14:paraId="5802D6DE">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（五）与采购人、其他供应商或者采购代理机构恶意串通的；</w:t>
      </w:r>
    </w:p>
    <w:p w14:paraId="6E0848C5">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（六）磋商有效期内，供应商在政府采购活动中有违法、违规、违纪行为。</w:t>
      </w:r>
    </w:p>
    <w:p w14:paraId="5FEF4A99">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由此产生的一切法律后果和责任由我公司承担。我公司声明放弃对此提出任何异议和追索的权利。</w:t>
      </w:r>
    </w:p>
    <w:p w14:paraId="18DF34D7">
      <w:pPr>
        <w:widowControl/>
        <w:shd w:val="clear" w:color="auto" w:fill="FFFFFF"/>
        <w:spacing w:line="360" w:lineRule="auto"/>
        <w:ind w:firstLine="512" w:firstLineChars="200"/>
        <w:rPr>
          <w:rFonts w:ascii="宋体" w:hAnsi="宋体" w:cs="宋体"/>
          <w:color w:val="000000"/>
          <w:spacing w:val="8"/>
          <w:kern w:val="0"/>
          <w:sz w:val="24"/>
          <w:szCs w:val="24"/>
        </w:rPr>
      </w:pPr>
      <w:r>
        <w:rPr>
          <w:rFonts w:hint="eastAsia" w:ascii="宋体" w:hAnsi="宋体" w:cs="宋体"/>
          <w:color w:val="000000"/>
          <w:spacing w:val="8"/>
          <w:kern w:val="0"/>
          <w:sz w:val="24"/>
          <w:szCs w:val="24"/>
        </w:rPr>
        <w:t>本公司对上述承诺的内容事项真实性负责。如经查实上述承诺的内容事项存在虚假，我公司愿意接受以提供虚假材料谋取中标追究法律责任。</w:t>
      </w:r>
    </w:p>
    <w:p w14:paraId="5846C28E">
      <w:pPr>
        <w:widowControl/>
        <w:shd w:val="clear" w:color="auto" w:fill="FFFFFF"/>
        <w:spacing w:line="360" w:lineRule="atLeast"/>
        <w:jc w:val="left"/>
        <w:rPr>
          <w:rFonts w:ascii="宋体" w:hAnsi="宋体" w:cs="宋体"/>
          <w:color w:val="000000"/>
          <w:spacing w:val="8"/>
          <w:kern w:val="0"/>
          <w:sz w:val="24"/>
          <w:szCs w:val="24"/>
        </w:rPr>
      </w:pPr>
      <w:r>
        <w:rPr>
          <w:rFonts w:hint="eastAsia" w:ascii="宋体" w:hAnsi="宋体" w:cs="宋体"/>
          <w:color w:val="000000"/>
          <w:spacing w:val="8"/>
          <w:kern w:val="0"/>
          <w:sz w:val="24"/>
          <w:szCs w:val="24"/>
        </w:rPr>
        <w:t>       </w:t>
      </w:r>
    </w:p>
    <w:p w14:paraId="74564A2E">
      <w:pPr>
        <w:spacing w:line="400" w:lineRule="exact"/>
        <w:ind w:firstLine="3828" w:firstLineChars="1595"/>
        <w:rPr>
          <w:rFonts w:ascii="宋体" w:hAnsi="宋体"/>
          <w:color w:val="000000"/>
          <w:sz w:val="24"/>
          <w:szCs w:val="24"/>
        </w:rPr>
      </w:pPr>
    </w:p>
    <w:p w14:paraId="1647F5D6">
      <w:pPr>
        <w:spacing w:line="400" w:lineRule="exact"/>
        <w:ind w:firstLine="3828" w:firstLineChars="1595"/>
        <w:rPr>
          <w:rFonts w:ascii="宋体" w:hAnsi="宋体"/>
          <w:color w:val="000000"/>
          <w:sz w:val="24"/>
          <w:szCs w:val="24"/>
        </w:rPr>
      </w:pPr>
    </w:p>
    <w:p w14:paraId="3439CD3B">
      <w:pPr>
        <w:spacing w:line="360" w:lineRule="auto"/>
        <w:ind w:firstLine="3828" w:firstLineChars="1595"/>
        <w:rPr>
          <w:rFonts w:ascii="宋体" w:hAnsi="宋体"/>
          <w:color w:val="000000"/>
          <w:sz w:val="24"/>
          <w:szCs w:val="24"/>
        </w:rPr>
      </w:pPr>
      <w:r>
        <w:rPr>
          <w:rFonts w:hint="eastAsia" w:ascii="宋体" w:hAnsi="宋体"/>
          <w:color w:val="000000"/>
          <w:sz w:val="24"/>
          <w:szCs w:val="24"/>
        </w:rPr>
        <w:t>供应商：</w:t>
      </w:r>
      <w:r>
        <w:rPr>
          <w:rFonts w:ascii="宋体" w:hAnsi="宋体"/>
          <w:color w:val="000000"/>
          <w:sz w:val="24"/>
          <w:szCs w:val="24"/>
          <w:u w:val="single"/>
        </w:rPr>
        <w:t xml:space="preserve">                      </w:t>
      </w:r>
      <w:r>
        <w:rPr>
          <w:rFonts w:hint="eastAsia" w:ascii="宋体" w:hAnsi="宋体"/>
          <w:color w:val="000000"/>
          <w:sz w:val="24"/>
          <w:szCs w:val="24"/>
        </w:rPr>
        <w:t>（盖单位章）</w:t>
      </w:r>
    </w:p>
    <w:p w14:paraId="5C9DE646">
      <w:pPr>
        <w:spacing w:line="360" w:lineRule="auto"/>
        <w:ind w:firstLine="3828" w:firstLineChars="1595"/>
        <w:rPr>
          <w:rFonts w:ascii="宋体" w:hAnsi="宋体"/>
          <w:color w:val="000000"/>
          <w:sz w:val="24"/>
          <w:szCs w:val="24"/>
        </w:rPr>
      </w:pPr>
      <w:r>
        <w:rPr>
          <w:rFonts w:hint="eastAsia" w:ascii="宋体" w:hAnsi="宋体"/>
          <w:color w:val="000000"/>
          <w:sz w:val="24"/>
          <w:szCs w:val="24"/>
        </w:rPr>
        <w:t>法定代表人或其授权委托人：</w:t>
      </w:r>
      <w:r>
        <w:rPr>
          <w:rFonts w:ascii="宋体" w:hAnsi="宋体"/>
          <w:color w:val="000000"/>
          <w:sz w:val="24"/>
          <w:szCs w:val="24"/>
          <w:u w:val="single"/>
        </w:rPr>
        <w:t xml:space="preserve">          </w:t>
      </w:r>
      <w:r>
        <w:rPr>
          <w:rFonts w:hint="eastAsia" w:ascii="宋体" w:hAnsi="宋体"/>
          <w:color w:val="000000"/>
          <w:sz w:val="24"/>
          <w:szCs w:val="24"/>
        </w:rPr>
        <w:t>（电子签章）</w:t>
      </w:r>
    </w:p>
    <w:p w14:paraId="298696DE">
      <w:pPr>
        <w:widowControl/>
        <w:shd w:val="clear" w:color="auto" w:fill="FFFFFF"/>
        <w:spacing w:line="360" w:lineRule="auto"/>
        <w:ind w:firstLine="3828" w:firstLineChars="1595"/>
        <w:rPr>
          <w:rFonts w:ascii="宋体" w:hAnsi="宋体" w:cs="宋体"/>
          <w:color w:val="000000"/>
          <w:spacing w:val="8"/>
          <w:kern w:val="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年</w:t>
      </w:r>
      <w:r>
        <w:rPr>
          <w:rFonts w:ascii="宋体" w:hAnsi="宋体"/>
          <w:color w:val="000000"/>
          <w:sz w:val="24"/>
          <w:szCs w:val="24"/>
          <w:u w:val="single"/>
        </w:rPr>
        <w:t xml:space="preserve">        </w:t>
      </w:r>
      <w:r>
        <w:rPr>
          <w:rFonts w:hint="eastAsia" w:ascii="宋体" w:hAnsi="宋体"/>
          <w:color w:val="000000"/>
          <w:sz w:val="24"/>
          <w:szCs w:val="24"/>
        </w:rPr>
        <w:t>月</w:t>
      </w:r>
      <w:r>
        <w:rPr>
          <w:rFonts w:ascii="宋体" w:hAnsi="宋体"/>
          <w:color w:val="000000"/>
          <w:sz w:val="24"/>
          <w:szCs w:val="24"/>
          <w:u w:val="single"/>
        </w:rPr>
        <w:t xml:space="preserve">        </w:t>
      </w:r>
      <w:r>
        <w:rPr>
          <w:rFonts w:hint="eastAsia" w:ascii="宋体" w:hAnsi="宋体"/>
          <w:color w:val="000000"/>
          <w:sz w:val="24"/>
          <w:szCs w:val="24"/>
        </w:rPr>
        <w:t>日</w:t>
      </w:r>
      <w:r>
        <w:rPr>
          <w:rFonts w:hint="eastAsia" w:ascii="宋体" w:hAnsi="宋体" w:cs="宋体"/>
          <w:color w:val="000000"/>
          <w:kern w:val="0"/>
          <w:sz w:val="24"/>
          <w:szCs w:val="24"/>
        </w:rPr>
        <w:t> </w:t>
      </w:r>
    </w:p>
    <w:p w14:paraId="7C4EC0D1">
      <w:pPr>
        <w:widowControl/>
        <w:shd w:val="clear" w:color="auto" w:fill="FFFFFF"/>
        <w:spacing w:line="405" w:lineRule="atLeast"/>
        <w:ind w:firstLine="4083" w:firstLineChars="1595"/>
        <w:rPr>
          <w:rFonts w:ascii="宋体" w:hAnsi="宋体" w:cs="宋体"/>
          <w:color w:val="000000"/>
          <w:spacing w:val="8"/>
          <w:kern w:val="0"/>
          <w:sz w:val="24"/>
          <w:szCs w:val="24"/>
        </w:rPr>
      </w:pPr>
      <w:r>
        <w:rPr>
          <w:rFonts w:hint="eastAsia" w:ascii="宋体" w:hAnsi="宋体" w:cs="宋体"/>
          <w:color w:val="000000"/>
          <w:spacing w:val="8"/>
          <w:kern w:val="0"/>
          <w:sz w:val="24"/>
          <w:szCs w:val="24"/>
        </w:rPr>
        <w:t> </w:t>
      </w:r>
    </w:p>
    <w:p w14:paraId="07F4C926">
      <w:pPr>
        <w:rPr>
          <w:rFonts w:hAnsi="宋体" w:cs="宋体"/>
          <w:color w:val="000000"/>
          <w:spacing w:val="8"/>
          <w:szCs w:val="24"/>
        </w:rPr>
      </w:pPr>
    </w:p>
    <w:p w14:paraId="7705E5FE">
      <w:pPr>
        <w:rPr>
          <w:rFonts w:ascii="宋体" w:hAnsi="宋体" w:cs="宋体"/>
          <w:color w:val="000000"/>
          <w:spacing w:val="8"/>
          <w:kern w:val="0"/>
          <w:sz w:val="24"/>
          <w:szCs w:val="24"/>
        </w:rPr>
      </w:pPr>
    </w:p>
    <w:p w14:paraId="067A3709">
      <w:pPr>
        <w:rPr>
          <w:rFonts w:hAnsi="宋体" w:cs="宋体"/>
          <w:color w:val="000000"/>
          <w:spacing w:val="8"/>
          <w:szCs w:val="24"/>
        </w:rPr>
      </w:pPr>
    </w:p>
    <w:p w14:paraId="22ECDB1E">
      <w:pPr>
        <w:rPr>
          <w:rFonts w:ascii="宋体" w:hAnsi="宋体" w:cs="宋体"/>
          <w:color w:val="000000"/>
          <w:spacing w:val="8"/>
          <w:kern w:val="0"/>
          <w:sz w:val="24"/>
          <w:szCs w:val="24"/>
        </w:rPr>
      </w:pPr>
    </w:p>
    <w:p w14:paraId="111158A4">
      <w:pPr>
        <w:rPr>
          <w:rFonts w:hAnsi="宋体" w:cs="宋体"/>
          <w:color w:val="000000"/>
          <w:spacing w:val="8"/>
          <w:szCs w:val="24"/>
        </w:rPr>
      </w:pPr>
    </w:p>
    <w:p w14:paraId="405EAA00">
      <w:pPr>
        <w:rPr>
          <w:rFonts w:ascii="宋体" w:hAnsi="宋体" w:cs="宋体"/>
          <w:color w:val="000000"/>
          <w:spacing w:val="8"/>
          <w:kern w:val="0"/>
          <w:sz w:val="24"/>
          <w:szCs w:val="24"/>
        </w:rPr>
      </w:pPr>
    </w:p>
    <w:p w14:paraId="512D32F2">
      <w:pPr>
        <w:rPr>
          <w:rFonts w:hAnsi="宋体" w:cs="宋体"/>
          <w:color w:val="000000"/>
          <w:spacing w:val="8"/>
          <w:szCs w:val="24"/>
        </w:rPr>
      </w:pPr>
    </w:p>
    <w:p w14:paraId="00E766E2"/>
    <w:p w14:paraId="68A6CE6D">
      <w:pPr>
        <w:pStyle w:val="7"/>
        <w:ind w:left="63" w:right="63" w:firstLine="211"/>
      </w:pPr>
    </w:p>
    <w:p w14:paraId="1CA21BA8">
      <w:pPr>
        <w:ind w:left="420"/>
      </w:pPr>
    </w:p>
    <w:p w14:paraId="1480087F"/>
    <w:p w14:paraId="0735E4A8">
      <w:pPr>
        <w:widowControl/>
        <w:jc w:val="left"/>
        <w:rPr>
          <w:rFonts w:ascii="宋体" w:hAnsi="宋体" w:cs="宋体"/>
          <w:b/>
          <w:color w:val="000000"/>
          <w:kern w:val="1"/>
          <w:sz w:val="32"/>
          <w:szCs w:val="32"/>
        </w:rPr>
      </w:pPr>
    </w:p>
    <w:p w14:paraId="716F4F7B">
      <w:pPr>
        <w:ind w:firstLine="480"/>
      </w:pPr>
    </w:p>
    <w:p w14:paraId="61C8D0EB">
      <w:pPr>
        <w:jc w:val="center"/>
        <w:outlineLvl w:val="1"/>
        <w:rPr>
          <w:rFonts w:ascii="宋体" w:hAnsi="宋体" w:eastAsia="宋体" w:cs="宋体"/>
        </w:rPr>
      </w:pPr>
      <w:bookmarkStart w:id="1240" w:name="_Toc22452"/>
    </w:p>
    <w:p w14:paraId="4BC02546">
      <w:pPr>
        <w:jc w:val="center"/>
        <w:outlineLvl w:val="1"/>
        <w:rPr>
          <w:rFonts w:ascii="宋体" w:hAnsi="宋体" w:eastAsia="宋体" w:cs="宋体"/>
        </w:rPr>
      </w:pPr>
    </w:p>
    <w:p w14:paraId="70E9C673">
      <w:pPr>
        <w:jc w:val="center"/>
        <w:outlineLvl w:val="1"/>
        <w:rPr>
          <w:rFonts w:ascii="宋体" w:hAnsi="宋体" w:eastAsia="宋体" w:cs="宋体"/>
        </w:rPr>
      </w:pPr>
    </w:p>
    <w:p w14:paraId="31775445">
      <w:pPr>
        <w:jc w:val="center"/>
        <w:outlineLvl w:val="1"/>
        <w:rPr>
          <w:rFonts w:ascii="宋体" w:hAnsi="宋体" w:eastAsia="宋体" w:cs="宋体"/>
        </w:rPr>
      </w:pPr>
    </w:p>
    <w:p w14:paraId="03DBCCDD">
      <w:pPr>
        <w:jc w:val="center"/>
        <w:outlineLvl w:val="1"/>
        <w:rPr>
          <w:rFonts w:ascii="宋体" w:hAnsi="宋体" w:eastAsia="宋体" w:cs="宋体"/>
        </w:rPr>
      </w:pPr>
    </w:p>
    <w:p w14:paraId="04CF19A8">
      <w:pPr>
        <w:jc w:val="center"/>
        <w:outlineLvl w:val="1"/>
        <w:rPr>
          <w:rFonts w:ascii="宋体" w:hAnsi="宋体" w:eastAsia="宋体" w:cs="宋体"/>
        </w:rPr>
      </w:pPr>
    </w:p>
    <w:p w14:paraId="77C5E1D3">
      <w:pPr>
        <w:jc w:val="center"/>
        <w:outlineLvl w:val="1"/>
        <w:rPr>
          <w:rFonts w:ascii="宋体" w:hAnsi="宋体" w:eastAsia="宋体" w:cs="宋体"/>
        </w:rPr>
      </w:pPr>
    </w:p>
    <w:p w14:paraId="06468560">
      <w:pPr>
        <w:jc w:val="center"/>
        <w:outlineLvl w:val="1"/>
        <w:rPr>
          <w:rFonts w:ascii="宋体" w:hAnsi="宋体" w:eastAsia="宋体" w:cs="宋体"/>
        </w:rPr>
      </w:pPr>
    </w:p>
    <w:p w14:paraId="4633452A">
      <w:pPr>
        <w:jc w:val="center"/>
        <w:outlineLvl w:val="1"/>
        <w:rPr>
          <w:rFonts w:ascii="宋体" w:hAnsi="宋体" w:eastAsia="宋体" w:cs="宋体"/>
          <w:b/>
          <w:sz w:val="24"/>
          <w:szCs w:val="24"/>
        </w:rPr>
      </w:pPr>
      <w:r>
        <w:rPr>
          <w:rFonts w:hint="eastAsia" w:ascii="宋体" w:hAnsi="宋体" w:eastAsia="宋体" w:cs="宋体"/>
          <w:b/>
          <w:sz w:val="24"/>
          <w:szCs w:val="24"/>
        </w:rPr>
        <w:t>四、已标价的工程量清单</w:t>
      </w:r>
      <w:bookmarkEnd w:id="1240"/>
    </w:p>
    <w:p w14:paraId="17F13BD7">
      <w:pPr>
        <w:suppressAutoHyphens/>
        <w:spacing w:line="360" w:lineRule="auto"/>
        <w:ind w:left="480"/>
        <w:jc w:val="center"/>
        <w:rPr>
          <w:rFonts w:ascii="宋体" w:hAnsi="宋体" w:cs="宋体"/>
          <w:color w:val="000000"/>
          <w:kern w:val="1"/>
          <w:sz w:val="24"/>
          <w:szCs w:val="24"/>
        </w:rPr>
      </w:pPr>
    </w:p>
    <w:p w14:paraId="2B5DDF08">
      <w:pPr>
        <w:widowControl/>
        <w:spacing w:after="200" w:line="220" w:lineRule="atLeast"/>
        <w:jc w:val="center"/>
        <w:rPr>
          <w:rFonts w:ascii="宋体" w:hAnsi="宋体" w:cs="宋体"/>
          <w:b/>
          <w:bCs/>
          <w:color w:val="000000"/>
          <w:kern w:val="0"/>
          <w:sz w:val="30"/>
          <w:szCs w:val="30"/>
        </w:rPr>
      </w:pPr>
    </w:p>
    <w:p w14:paraId="0EA7D127">
      <w:pPr>
        <w:widowControl/>
        <w:spacing w:after="200" w:line="220" w:lineRule="atLeast"/>
        <w:jc w:val="distribute"/>
        <w:rPr>
          <w:rFonts w:ascii="宋体" w:hAnsi="宋体" w:cs="宋体"/>
          <w:b/>
          <w:bCs/>
          <w:color w:val="000000"/>
          <w:kern w:val="0"/>
          <w:sz w:val="28"/>
          <w:szCs w:val="28"/>
        </w:rPr>
      </w:pPr>
    </w:p>
    <w:p w14:paraId="482203A7">
      <w:pPr>
        <w:widowControl/>
        <w:spacing w:after="200" w:line="220" w:lineRule="atLeast"/>
        <w:jc w:val="center"/>
        <w:rPr>
          <w:rFonts w:ascii="宋体" w:hAnsi="宋体" w:cs="宋体"/>
          <w:b/>
          <w:color w:val="000000"/>
          <w:sz w:val="24"/>
          <w:szCs w:val="24"/>
        </w:rPr>
      </w:pPr>
      <w:r>
        <w:rPr>
          <w:rFonts w:hint="eastAsia" w:ascii="宋体" w:hAnsi="宋体" w:cs="宋体"/>
          <w:bCs/>
          <w:color w:val="000000"/>
          <w:kern w:val="0"/>
          <w:sz w:val="30"/>
          <w:szCs w:val="30"/>
        </w:rPr>
        <w:br w:type="page"/>
      </w:r>
      <w:bookmarkStart w:id="1241" w:name="_Toc22768"/>
      <w:r>
        <w:rPr>
          <w:rFonts w:hint="eastAsia" w:ascii="宋体" w:hAnsi="宋体" w:eastAsia="宋体" w:cs="宋体"/>
          <w:b/>
          <w:sz w:val="24"/>
          <w:szCs w:val="24"/>
        </w:rPr>
        <w:t>五、项目管理机构</w:t>
      </w:r>
      <w:bookmarkEnd w:id="1241"/>
    </w:p>
    <w:p w14:paraId="68EB8B74">
      <w:pPr>
        <w:keepNext/>
        <w:keepLines/>
        <w:spacing w:before="260" w:after="260" w:line="400" w:lineRule="exact"/>
        <w:jc w:val="center"/>
        <w:outlineLvl w:val="2"/>
        <w:rPr>
          <w:rFonts w:ascii="宋体" w:hAnsi="宋体" w:cs="宋体"/>
          <w:b/>
          <w:bCs/>
          <w:color w:val="000000"/>
          <w:sz w:val="24"/>
          <w:szCs w:val="24"/>
        </w:rPr>
      </w:pPr>
      <w:bookmarkStart w:id="1242" w:name="_Toc30783"/>
      <w:bookmarkStart w:id="1243" w:name="_Toc9797"/>
      <w:r>
        <w:rPr>
          <w:rFonts w:hint="eastAsia" w:ascii="宋体" w:hAnsi="宋体" w:cs="宋体"/>
          <w:b/>
          <w:bCs/>
          <w:color w:val="000000"/>
          <w:sz w:val="24"/>
          <w:szCs w:val="24"/>
        </w:rPr>
        <w:t>（一）项目管理机构组成表</w:t>
      </w:r>
      <w:bookmarkEnd w:id="1242"/>
      <w:bookmarkEnd w:id="1243"/>
    </w:p>
    <w:p w14:paraId="2CD1B782">
      <w:pPr>
        <w:spacing w:line="440" w:lineRule="exact"/>
        <w:jc w:val="center"/>
        <w:rPr>
          <w:rFonts w:ascii="宋体" w:hAnsi="宋体" w:cs="宋体"/>
          <w:color w:val="000000"/>
          <w:sz w:val="23"/>
          <w:szCs w:val="23"/>
        </w:rPr>
      </w:pP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1372"/>
        <w:gridCol w:w="820"/>
        <w:gridCol w:w="1309"/>
        <w:gridCol w:w="980"/>
        <w:gridCol w:w="818"/>
        <w:gridCol w:w="818"/>
        <w:gridCol w:w="1758"/>
        <w:gridCol w:w="767"/>
      </w:tblGrid>
      <w:tr w14:paraId="53CD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vMerge w:val="restart"/>
            <w:tcBorders>
              <w:top w:val="single" w:color="auto" w:sz="4" w:space="0"/>
              <w:left w:val="single" w:color="auto" w:sz="4" w:space="0"/>
              <w:bottom w:val="single" w:color="auto" w:sz="4" w:space="0"/>
              <w:right w:val="single" w:color="auto" w:sz="4" w:space="0"/>
            </w:tcBorders>
            <w:vAlign w:val="center"/>
          </w:tcPr>
          <w:p w14:paraId="47FAEA8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职务</w:t>
            </w:r>
          </w:p>
        </w:tc>
        <w:tc>
          <w:tcPr>
            <w:tcW w:w="696" w:type="pct"/>
            <w:vMerge w:val="restart"/>
            <w:tcBorders>
              <w:top w:val="single" w:color="auto" w:sz="4" w:space="0"/>
              <w:left w:val="single" w:color="auto" w:sz="4" w:space="0"/>
              <w:bottom w:val="single" w:color="auto" w:sz="4" w:space="0"/>
              <w:right w:val="single" w:color="auto" w:sz="4" w:space="0"/>
            </w:tcBorders>
            <w:vAlign w:val="center"/>
          </w:tcPr>
          <w:p w14:paraId="6C5E31F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姓名</w:t>
            </w:r>
          </w:p>
        </w:tc>
        <w:tc>
          <w:tcPr>
            <w:tcW w:w="416" w:type="pct"/>
            <w:vMerge w:val="restart"/>
            <w:tcBorders>
              <w:top w:val="single" w:color="auto" w:sz="4" w:space="0"/>
              <w:left w:val="single" w:color="auto" w:sz="4" w:space="0"/>
              <w:bottom w:val="single" w:color="auto" w:sz="4" w:space="0"/>
              <w:right w:val="single" w:color="auto" w:sz="4" w:space="0"/>
            </w:tcBorders>
            <w:vAlign w:val="center"/>
          </w:tcPr>
          <w:p w14:paraId="297344E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职称</w:t>
            </w:r>
          </w:p>
        </w:tc>
        <w:tc>
          <w:tcPr>
            <w:tcW w:w="2883" w:type="pct"/>
            <w:gridSpan w:val="5"/>
            <w:tcBorders>
              <w:top w:val="single" w:color="auto" w:sz="4" w:space="0"/>
              <w:left w:val="single" w:color="auto" w:sz="4" w:space="0"/>
              <w:bottom w:val="single" w:color="auto" w:sz="4" w:space="0"/>
              <w:right w:val="single" w:color="auto" w:sz="4" w:space="0"/>
            </w:tcBorders>
            <w:vAlign w:val="center"/>
          </w:tcPr>
          <w:p w14:paraId="4986D13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执业或职业资格证明</w:t>
            </w:r>
          </w:p>
        </w:tc>
        <w:tc>
          <w:tcPr>
            <w:tcW w:w="389" w:type="pct"/>
            <w:vMerge w:val="restart"/>
            <w:tcBorders>
              <w:top w:val="single" w:color="auto" w:sz="4" w:space="0"/>
              <w:left w:val="single" w:color="auto" w:sz="4" w:space="0"/>
              <w:right w:val="single" w:color="auto" w:sz="4" w:space="0"/>
            </w:tcBorders>
            <w:vAlign w:val="center"/>
          </w:tcPr>
          <w:p w14:paraId="7783004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备注</w:t>
            </w:r>
          </w:p>
        </w:tc>
      </w:tr>
      <w:tr w14:paraId="0004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613" w:type="pct"/>
            <w:vMerge w:val="continue"/>
            <w:tcBorders>
              <w:top w:val="single" w:color="auto" w:sz="4" w:space="0"/>
              <w:left w:val="single" w:color="auto" w:sz="4" w:space="0"/>
              <w:bottom w:val="single" w:color="auto" w:sz="4" w:space="0"/>
              <w:right w:val="single" w:color="auto" w:sz="4" w:space="0"/>
            </w:tcBorders>
            <w:vAlign w:val="center"/>
          </w:tcPr>
          <w:p w14:paraId="712FC40E">
            <w:pPr>
              <w:keepNext w:val="0"/>
              <w:keepLines w:val="0"/>
              <w:widowControl/>
              <w:suppressLineNumbers w:val="0"/>
              <w:spacing w:before="0" w:beforeAutospacing="0" w:after="0" w:afterAutospacing="0"/>
              <w:ind w:left="0" w:right="0"/>
              <w:jc w:val="left"/>
              <w:rPr>
                <w:rFonts w:hint="default" w:ascii="宋体" w:hAnsi="宋体" w:cs="宋体"/>
                <w:color w:val="000000"/>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14:paraId="60AFA8E9">
            <w:pPr>
              <w:keepNext w:val="0"/>
              <w:keepLines w:val="0"/>
              <w:widowControl/>
              <w:suppressLineNumbers w:val="0"/>
              <w:spacing w:before="0" w:beforeAutospacing="0" w:after="0" w:afterAutospacing="0"/>
              <w:ind w:left="0" w:right="0"/>
              <w:jc w:val="left"/>
              <w:rPr>
                <w:rFonts w:hint="default" w:ascii="宋体" w:hAnsi="宋体" w:cs="宋体"/>
                <w:color w:val="00000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04E64225">
            <w:pPr>
              <w:keepNext w:val="0"/>
              <w:keepLines w:val="0"/>
              <w:widowControl/>
              <w:suppressLineNumbers w:val="0"/>
              <w:spacing w:before="0" w:beforeAutospacing="0" w:after="0" w:afterAutospacing="0"/>
              <w:ind w:left="0" w:right="0"/>
              <w:jc w:val="left"/>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vAlign w:val="center"/>
          </w:tcPr>
          <w:p w14:paraId="5489DB9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证书名称</w:t>
            </w:r>
          </w:p>
        </w:tc>
        <w:tc>
          <w:tcPr>
            <w:tcW w:w="497" w:type="pct"/>
            <w:tcBorders>
              <w:top w:val="single" w:color="auto" w:sz="4" w:space="0"/>
              <w:left w:val="single" w:color="auto" w:sz="4" w:space="0"/>
              <w:bottom w:val="single" w:color="auto" w:sz="4" w:space="0"/>
              <w:right w:val="single" w:color="auto" w:sz="4" w:space="0"/>
            </w:tcBorders>
            <w:vAlign w:val="center"/>
          </w:tcPr>
          <w:p w14:paraId="2079B0E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级别</w:t>
            </w:r>
          </w:p>
        </w:tc>
        <w:tc>
          <w:tcPr>
            <w:tcW w:w="415" w:type="pct"/>
            <w:tcBorders>
              <w:top w:val="single" w:color="auto" w:sz="4" w:space="0"/>
              <w:left w:val="single" w:color="auto" w:sz="4" w:space="0"/>
              <w:bottom w:val="single" w:color="auto" w:sz="4" w:space="0"/>
              <w:right w:val="single" w:color="auto" w:sz="4" w:space="0"/>
            </w:tcBorders>
            <w:vAlign w:val="center"/>
          </w:tcPr>
          <w:p w14:paraId="1EC67319">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证号</w:t>
            </w:r>
          </w:p>
        </w:tc>
        <w:tc>
          <w:tcPr>
            <w:tcW w:w="415" w:type="pct"/>
            <w:tcBorders>
              <w:top w:val="single" w:color="auto" w:sz="4" w:space="0"/>
              <w:left w:val="single" w:color="auto" w:sz="4" w:space="0"/>
              <w:bottom w:val="single" w:color="auto" w:sz="4" w:space="0"/>
              <w:right w:val="single" w:color="auto" w:sz="4" w:space="0"/>
            </w:tcBorders>
            <w:vAlign w:val="center"/>
          </w:tcPr>
          <w:p w14:paraId="47AE241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专业</w:t>
            </w:r>
          </w:p>
        </w:tc>
        <w:tc>
          <w:tcPr>
            <w:tcW w:w="890" w:type="pct"/>
            <w:tcBorders>
              <w:top w:val="single" w:color="auto" w:sz="4" w:space="0"/>
              <w:left w:val="single" w:color="auto" w:sz="4" w:space="0"/>
              <w:bottom w:val="single" w:color="auto" w:sz="4" w:space="0"/>
              <w:right w:val="single" w:color="auto" w:sz="4" w:space="0"/>
            </w:tcBorders>
            <w:vAlign w:val="center"/>
          </w:tcPr>
          <w:p w14:paraId="3CEB4BD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r>
              <w:rPr>
                <w:rFonts w:hint="eastAsia" w:ascii="宋体" w:hAnsi="宋体" w:cs="宋体"/>
                <w:color w:val="000000"/>
                <w:sz w:val="24"/>
                <w:szCs w:val="24"/>
              </w:rPr>
              <w:t>养老保险</w:t>
            </w:r>
          </w:p>
        </w:tc>
        <w:tc>
          <w:tcPr>
            <w:tcW w:w="389" w:type="pct"/>
            <w:vMerge w:val="continue"/>
            <w:tcBorders>
              <w:left w:val="single" w:color="auto" w:sz="4" w:space="0"/>
              <w:bottom w:val="single" w:color="auto" w:sz="4" w:space="0"/>
              <w:right w:val="single" w:color="auto" w:sz="4" w:space="0"/>
            </w:tcBorders>
            <w:vAlign w:val="center"/>
          </w:tcPr>
          <w:p w14:paraId="014D739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1F99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5B4F850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5B834BB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0E3EDC7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7ECA621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115493B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5421A21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63B7566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33894C4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355E694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62D7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673AB349">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0DC3838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2E763FB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6AD7DB8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04D4F55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0FAC902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70427F8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79879C1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0DF31E9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0B49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6E8B4FC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6B7F7E7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46C5F96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7644DEC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0A038EA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3FAD30D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26D22BD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7DB374A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2941230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5747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33713ED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250091F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4C51BA5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4BD4A12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4B860AF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696F016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54BF27B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1539410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2B69572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21A5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333E1F7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736E1DB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65EDC93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0E170C9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6B4185B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2FF5528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75D8444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1B78A52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26226C9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4461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68F1CA4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3A43491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46CF7149">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4ECDCF3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02FB312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466B879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0376AE1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2566255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5CE1B9C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2D73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5D2FFF9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004A951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74FFD9D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07BBD18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00BC535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4F4A613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0DDB4F2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7871614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5144A14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1E7B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6BE2FB4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5972A92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08C01F9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4F9A678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74D0CF5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171E492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4BDC569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625965A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48D1CF5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0AE2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364F9B1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7431E45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756AEF0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7D2928C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120867B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5E8B820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1569EF2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7261361C">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3E856F5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0B62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41E523B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640C668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7B4F0BF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038583F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7D76A85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7BA6882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19E6191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6DCE7C9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0E13DA09">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45BF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3DA00DF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1AB686F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264F755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1411095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4344975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3B45907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07D478F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26EBFD6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21F93A5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00B7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0466E0C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5B8343B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6255A009">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405DF78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5D10AD9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2BFA0B5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7F4BAAF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1583DC8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16E8B65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051BD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7FD62F4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0FDE245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111393D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59579B2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50C9EA9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24CA3EC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3833FD3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16C39A0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0E0A7A7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63F0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4BED627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4045D89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058475A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3CC78C2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59CBDC6D">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63B9485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2D6FC9B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1742BE7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3FB89B3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5B46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7777668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26B12AEB">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0107D2B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6BA85E0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5508F7B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3DB7CA28">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4A24105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2D05842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66A3EB5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654B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2A3424C7">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61F48F3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5C713A3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3C6C3802">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5D0953FA">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1C236D31">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11EF287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4E757ED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53AE0F5E">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r w14:paraId="6A0E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6FDBA64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96" w:type="pct"/>
            <w:tcBorders>
              <w:top w:val="single" w:color="auto" w:sz="4" w:space="0"/>
              <w:left w:val="single" w:color="auto" w:sz="4" w:space="0"/>
              <w:bottom w:val="single" w:color="auto" w:sz="4" w:space="0"/>
              <w:right w:val="single" w:color="auto" w:sz="4" w:space="0"/>
            </w:tcBorders>
          </w:tcPr>
          <w:p w14:paraId="2B5C56F0">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6" w:type="pct"/>
            <w:tcBorders>
              <w:top w:val="single" w:color="auto" w:sz="4" w:space="0"/>
              <w:left w:val="single" w:color="auto" w:sz="4" w:space="0"/>
              <w:bottom w:val="single" w:color="auto" w:sz="4" w:space="0"/>
              <w:right w:val="single" w:color="auto" w:sz="4" w:space="0"/>
            </w:tcBorders>
          </w:tcPr>
          <w:p w14:paraId="512611D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664" w:type="pct"/>
            <w:tcBorders>
              <w:top w:val="single" w:color="auto" w:sz="4" w:space="0"/>
              <w:left w:val="single" w:color="auto" w:sz="4" w:space="0"/>
              <w:bottom w:val="single" w:color="auto" w:sz="4" w:space="0"/>
              <w:right w:val="single" w:color="auto" w:sz="4" w:space="0"/>
            </w:tcBorders>
          </w:tcPr>
          <w:p w14:paraId="1D0504D4">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97" w:type="pct"/>
            <w:tcBorders>
              <w:top w:val="single" w:color="auto" w:sz="4" w:space="0"/>
              <w:left w:val="single" w:color="auto" w:sz="4" w:space="0"/>
              <w:bottom w:val="single" w:color="auto" w:sz="4" w:space="0"/>
              <w:right w:val="single" w:color="auto" w:sz="4" w:space="0"/>
            </w:tcBorders>
          </w:tcPr>
          <w:p w14:paraId="4AACBE9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33BC9595">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415" w:type="pct"/>
            <w:tcBorders>
              <w:top w:val="single" w:color="auto" w:sz="4" w:space="0"/>
              <w:left w:val="single" w:color="auto" w:sz="4" w:space="0"/>
              <w:bottom w:val="single" w:color="auto" w:sz="4" w:space="0"/>
              <w:right w:val="single" w:color="auto" w:sz="4" w:space="0"/>
            </w:tcBorders>
          </w:tcPr>
          <w:p w14:paraId="00E85C13">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890" w:type="pct"/>
            <w:tcBorders>
              <w:top w:val="single" w:color="auto" w:sz="4" w:space="0"/>
              <w:left w:val="single" w:color="auto" w:sz="4" w:space="0"/>
              <w:bottom w:val="single" w:color="auto" w:sz="4" w:space="0"/>
              <w:right w:val="single" w:color="auto" w:sz="4" w:space="0"/>
            </w:tcBorders>
          </w:tcPr>
          <w:p w14:paraId="594098DF">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c>
          <w:tcPr>
            <w:tcW w:w="389" w:type="pct"/>
            <w:tcBorders>
              <w:top w:val="single" w:color="auto" w:sz="4" w:space="0"/>
              <w:left w:val="single" w:color="auto" w:sz="4" w:space="0"/>
              <w:bottom w:val="single" w:color="auto" w:sz="4" w:space="0"/>
              <w:right w:val="single" w:color="auto" w:sz="4" w:space="0"/>
            </w:tcBorders>
          </w:tcPr>
          <w:p w14:paraId="6EF5BFA6">
            <w:pPr>
              <w:keepNext w:val="0"/>
              <w:keepLines w:val="0"/>
              <w:suppressLineNumbers w:val="0"/>
              <w:adjustRightInd w:val="0"/>
              <w:spacing w:before="0" w:beforeAutospacing="0" w:after="0" w:afterAutospacing="0" w:line="440" w:lineRule="exact"/>
              <w:ind w:left="0" w:right="0"/>
              <w:jc w:val="center"/>
              <w:textAlignment w:val="baseline"/>
              <w:rPr>
                <w:rFonts w:hint="default" w:ascii="宋体" w:hAnsi="宋体" w:cs="宋体"/>
                <w:color w:val="000000"/>
                <w:sz w:val="24"/>
                <w:szCs w:val="24"/>
              </w:rPr>
            </w:pPr>
          </w:p>
        </w:tc>
      </w:tr>
    </w:tbl>
    <w:p w14:paraId="72B31D75">
      <w:pPr>
        <w:jc w:val="left"/>
        <w:rPr>
          <w:rFonts w:ascii="宋体" w:hAnsi="宋体" w:cs="宋体"/>
          <w:b/>
          <w:color w:val="000000"/>
          <w:sz w:val="24"/>
          <w:szCs w:val="24"/>
        </w:rPr>
      </w:pPr>
    </w:p>
    <w:p w14:paraId="683687E8">
      <w:pPr>
        <w:wordWrap w:val="0"/>
        <w:spacing w:line="400" w:lineRule="exact"/>
        <w:ind w:firstLine="420" w:firstLineChars="175"/>
        <w:jc w:val="left"/>
        <w:rPr>
          <w:rFonts w:ascii="宋体" w:hAnsi="宋体" w:cs="楷体_GB2312"/>
          <w:sz w:val="24"/>
          <w:szCs w:val="24"/>
        </w:rPr>
      </w:pPr>
    </w:p>
    <w:p w14:paraId="32062E3E">
      <w:pPr>
        <w:wordWrap w:val="0"/>
        <w:spacing w:line="400" w:lineRule="exact"/>
        <w:ind w:firstLine="420" w:firstLineChars="175"/>
        <w:jc w:val="left"/>
        <w:rPr>
          <w:rFonts w:ascii="宋体" w:hAnsi="宋体" w:cs="楷体_GB2312"/>
          <w:sz w:val="24"/>
          <w:u w:val="single"/>
        </w:rPr>
      </w:pPr>
    </w:p>
    <w:p w14:paraId="34D53AD6">
      <w:pPr>
        <w:spacing w:line="360" w:lineRule="auto"/>
        <w:ind w:right="240" w:firstLine="360" w:firstLineChars="150"/>
        <w:jc w:val="left"/>
        <w:rPr>
          <w:rFonts w:ascii="宋体" w:hAnsi="宋体" w:cs="楷体_GB2312"/>
          <w:sz w:val="24"/>
        </w:rPr>
      </w:pPr>
    </w:p>
    <w:p w14:paraId="49C73C0F">
      <w:pPr>
        <w:spacing w:line="360" w:lineRule="auto"/>
        <w:ind w:right="240" w:firstLine="360" w:firstLineChars="150"/>
        <w:jc w:val="left"/>
        <w:rPr>
          <w:rFonts w:ascii="宋体" w:hAnsi="宋体" w:cs="宋体"/>
          <w:color w:val="000000"/>
          <w:szCs w:val="21"/>
        </w:rPr>
      </w:pPr>
      <w:r>
        <w:rPr>
          <w:rFonts w:hint="eastAsia" w:ascii="宋体" w:hAnsi="宋体" w:cs="楷体_GB2312"/>
          <w:sz w:val="24"/>
        </w:rPr>
        <w:t xml:space="preserve">    </w:t>
      </w:r>
      <w:r>
        <w:rPr>
          <w:rFonts w:hint="eastAsia" w:ascii="宋体" w:hAnsi="宋体" w:cs="宋体"/>
          <w:color w:val="000000"/>
          <w:szCs w:val="21"/>
        </w:rPr>
        <w:t xml:space="preserve">       </w:t>
      </w:r>
    </w:p>
    <w:p w14:paraId="1C885B95"/>
    <w:p w14:paraId="1817E1C6"/>
    <w:p w14:paraId="4F98BE03">
      <w:pPr>
        <w:pStyle w:val="7"/>
        <w:ind w:left="63" w:right="63" w:firstLine="211"/>
      </w:pPr>
    </w:p>
    <w:p w14:paraId="23BF9C11">
      <w:pPr>
        <w:keepNext/>
        <w:keepLines/>
        <w:spacing w:before="260" w:after="260" w:line="400" w:lineRule="exact"/>
        <w:jc w:val="center"/>
        <w:outlineLvl w:val="2"/>
        <w:rPr>
          <w:rFonts w:cs="宋体" w:asciiTheme="minorEastAsia" w:hAnsiTheme="minorEastAsia"/>
          <w:b/>
          <w:bCs/>
          <w:color w:val="000000"/>
          <w:sz w:val="24"/>
          <w:szCs w:val="24"/>
        </w:rPr>
      </w:pPr>
      <w:bookmarkStart w:id="1244" w:name="_Toc31137"/>
      <w:bookmarkStart w:id="1245" w:name="_Toc11417"/>
      <w:r>
        <w:rPr>
          <w:rFonts w:hint="eastAsia" w:cs="宋体" w:asciiTheme="minorEastAsia" w:hAnsiTheme="minorEastAsia"/>
          <w:b/>
          <w:bCs/>
          <w:color w:val="000000"/>
          <w:sz w:val="24"/>
          <w:szCs w:val="24"/>
        </w:rPr>
        <w:t>（二）主要人员简历表</w:t>
      </w:r>
      <w:bookmarkEnd w:id="1244"/>
      <w:bookmarkEnd w:id="1245"/>
    </w:p>
    <w:p w14:paraId="3F5A1ECF">
      <w:pPr>
        <w:spacing w:line="360" w:lineRule="auto"/>
        <w:ind w:firstLine="480" w:firstLineChars="200"/>
        <w:rPr>
          <w:rFonts w:cs="宋体" w:asciiTheme="minorEastAsia" w:hAnsiTheme="minorEastAsia"/>
          <w:color w:val="000000"/>
          <w:sz w:val="24"/>
          <w:szCs w:val="24"/>
        </w:rPr>
      </w:pPr>
      <w:r>
        <w:rPr>
          <w:rFonts w:hint="eastAsia" w:cs="宋体" w:asciiTheme="minorEastAsia" w:hAnsiTheme="minorEastAsia"/>
          <w:color w:val="000000"/>
          <w:sz w:val="24"/>
          <w:szCs w:val="24"/>
        </w:rPr>
        <w:t>“主要人员简历表”中的项目经理应附身份证</w:t>
      </w:r>
      <w:r>
        <w:rPr>
          <w:rFonts w:hint="eastAsia" w:cs="宋体" w:asciiTheme="minorEastAsia" w:hAnsiTheme="minorEastAsia"/>
          <w:color w:val="000000"/>
          <w:sz w:val="24"/>
          <w:szCs w:val="24"/>
          <w:lang w:eastAsia="zh-CN"/>
        </w:rPr>
        <w:t>、</w:t>
      </w:r>
      <w:r>
        <w:rPr>
          <w:rFonts w:hint="eastAsia" w:cs="宋体" w:asciiTheme="minorEastAsia" w:hAnsiTheme="minorEastAsia"/>
          <w:color w:val="000000"/>
          <w:sz w:val="24"/>
          <w:szCs w:val="24"/>
        </w:rPr>
        <w:t>注册证、</w:t>
      </w:r>
      <w:r>
        <w:rPr>
          <w:rFonts w:hint="eastAsia" w:cs="宋体" w:asciiTheme="minorEastAsia" w:hAnsiTheme="minorEastAsia"/>
          <w:kern w:val="0"/>
          <w:sz w:val="24"/>
          <w:szCs w:val="24"/>
        </w:rPr>
        <w:t>安全生产考核合格证（B类）</w:t>
      </w:r>
      <w:r>
        <w:rPr>
          <w:rFonts w:hint="eastAsia" w:cs="宋体" w:asciiTheme="minorEastAsia" w:hAnsiTheme="minorEastAsia"/>
          <w:kern w:val="0"/>
          <w:sz w:val="24"/>
          <w:szCs w:val="24"/>
          <w:lang w:val="en-US" w:eastAsia="zh-CN"/>
        </w:rPr>
        <w:t>社保证明</w:t>
      </w:r>
      <w:r>
        <w:rPr>
          <w:rFonts w:hint="eastAsia" w:cs="宋体" w:asciiTheme="minorEastAsia" w:hAnsiTheme="minorEastAsia"/>
          <w:color w:val="000000"/>
          <w:sz w:val="24"/>
          <w:szCs w:val="24"/>
        </w:rPr>
        <w:t>等扫描件；技术负责人应附身份证、职称证等扫描件；其他主要人员应附执业证或上岗证书扫描件（专职安全生产管理人员应附有效的安全生产考核合格证书）。</w:t>
      </w:r>
    </w:p>
    <w:p w14:paraId="19F9AEA9">
      <w:pPr>
        <w:topLinePunct/>
        <w:spacing w:line="440" w:lineRule="exact"/>
        <w:jc w:val="center"/>
        <w:rPr>
          <w:rFonts w:cs="宋体" w:asciiTheme="minorEastAsia" w:hAnsiTheme="minorEastAsia"/>
          <w:color w:val="000000"/>
          <w:sz w:val="24"/>
          <w:szCs w:val="24"/>
        </w:rPr>
      </w:pP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9"/>
        <w:gridCol w:w="416"/>
        <w:gridCol w:w="831"/>
        <w:gridCol w:w="1070"/>
        <w:gridCol w:w="1229"/>
        <w:gridCol w:w="821"/>
        <w:gridCol w:w="1456"/>
        <w:gridCol w:w="183"/>
        <w:gridCol w:w="2475"/>
      </w:tblGrid>
      <w:tr w14:paraId="7261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7C2B4EB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姓  名</w:t>
            </w:r>
          </w:p>
        </w:tc>
        <w:tc>
          <w:tcPr>
            <w:tcW w:w="633" w:type="pct"/>
            <w:gridSpan w:val="2"/>
            <w:tcBorders>
              <w:top w:val="single" w:color="auto" w:sz="4" w:space="0"/>
              <w:left w:val="single" w:color="auto" w:sz="4" w:space="0"/>
              <w:bottom w:val="single" w:color="auto" w:sz="4" w:space="0"/>
              <w:right w:val="single" w:color="auto" w:sz="4" w:space="0"/>
            </w:tcBorders>
            <w:vAlign w:val="center"/>
          </w:tcPr>
          <w:p w14:paraId="3E784BA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543" w:type="pct"/>
            <w:tcBorders>
              <w:top w:val="single" w:color="auto" w:sz="4" w:space="0"/>
              <w:left w:val="single" w:color="auto" w:sz="4" w:space="0"/>
              <w:bottom w:val="single" w:color="auto" w:sz="4" w:space="0"/>
              <w:right w:val="single" w:color="auto" w:sz="4" w:space="0"/>
            </w:tcBorders>
            <w:vAlign w:val="center"/>
          </w:tcPr>
          <w:p w14:paraId="4B6DD2E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年 龄</w:t>
            </w:r>
          </w:p>
        </w:tc>
        <w:tc>
          <w:tcPr>
            <w:tcW w:w="624" w:type="pct"/>
            <w:tcBorders>
              <w:top w:val="single" w:color="auto" w:sz="4" w:space="0"/>
              <w:left w:val="single" w:color="auto" w:sz="4" w:space="0"/>
              <w:bottom w:val="single" w:color="auto" w:sz="4" w:space="0"/>
              <w:right w:val="single" w:color="auto" w:sz="4" w:space="0"/>
            </w:tcBorders>
            <w:vAlign w:val="center"/>
          </w:tcPr>
          <w:p w14:paraId="784CD07C">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249" w:type="pct"/>
            <w:gridSpan w:val="3"/>
            <w:tcBorders>
              <w:top w:val="single" w:color="auto" w:sz="4" w:space="0"/>
              <w:left w:val="single" w:color="auto" w:sz="4" w:space="0"/>
              <w:bottom w:val="single" w:color="auto" w:sz="4" w:space="0"/>
              <w:right w:val="single" w:color="auto" w:sz="4" w:space="0"/>
            </w:tcBorders>
            <w:vAlign w:val="center"/>
          </w:tcPr>
          <w:p w14:paraId="694D26E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学历</w:t>
            </w:r>
          </w:p>
        </w:tc>
        <w:tc>
          <w:tcPr>
            <w:tcW w:w="1252" w:type="pct"/>
            <w:tcBorders>
              <w:top w:val="single" w:color="auto" w:sz="4" w:space="0"/>
              <w:left w:val="single" w:color="auto" w:sz="4" w:space="0"/>
              <w:bottom w:val="single" w:color="auto" w:sz="4" w:space="0"/>
              <w:right w:val="single" w:color="auto" w:sz="4" w:space="0"/>
            </w:tcBorders>
            <w:vAlign w:val="center"/>
          </w:tcPr>
          <w:p w14:paraId="5D3CD45F">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481A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65BAEB13">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职  称</w:t>
            </w:r>
          </w:p>
        </w:tc>
        <w:tc>
          <w:tcPr>
            <w:tcW w:w="633" w:type="pct"/>
            <w:gridSpan w:val="2"/>
            <w:tcBorders>
              <w:top w:val="single" w:color="auto" w:sz="4" w:space="0"/>
              <w:left w:val="single" w:color="auto" w:sz="4" w:space="0"/>
              <w:bottom w:val="single" w:color="auto" w:sz="4" w:space="0"/>
              <w:right w:val="single" w:color="auto" w:sz="4" w:space="0"/>
            </w:tcBorders>
            <w:vAlign w:val="center"/>
          </w:tcPr>
          <w:p w14:paraId="6A50239F">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543" w:type="pct"/>
            <w:tcBorders>
              <w:top w:val="single" w:color="auto" w:sz="4" w:space="0"/>
              <w:left w:val="single" w:color="auto" w:sz="4" w:space="0"/>
              <w:bottom w:val="single" w:color="auto" w:sz="4" w:space="0"/>
              <w:right w:val="single" w:color="auto" w:sz="4" w:space="0"/>
            </w:tcBorders>
            <w:vAlign w:val="center"/>
          </w:tcPr>
          <w:p w14:paraId="67BFB02D">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职 务</w:t>
            </w:r>
          </w:p>
        </w:tc>
        <w:tc>
          <w:tcPr>
            <w:tcW w:w="624" w:type="pct"/>
            <w:tcBorders>
              <w:top w:val="single" w:color="auto" w:sz="4" w:space="0"/>
              <w:left w:val="single" w:color="auto" w:sz="4" w:space="0"/>
              <w:bottom w:val="single" w:color="auto" w:sz="4" w:space="0"/>
              <w:right w:val="single" w:color="auto" w:sz="4" w:space="0"/>
            </w:tcBorders>
            <w:vAlign w:val="center"/>
          </w:tcPr>
          <w:p w14:paraId="134D3A9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249" w:type="pct"/>
            <w:gridSpan w:val="3"/>
            <w:tcBorders>
              <w:top w:val="single" w:color="auto" w:sz="4" w:space="0"/>
              <w:left w:val="single" w:color="auto" w:sz="4" w:space="0"/>
              <w:bottom w:val="single" w:color="auto" w:sz="4" w:space="0"/>
              <w:right w:val="single" w:color="auto" w:sz="4" w:space="0"/>
            </w:tcBorders>
            <w:vAlign w:val="center"/>
          </w:tcPr>
          <w:p w14:paraId="1F4CF389">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拟在本合同任职</w:t>
            </w:r>
          </w:p>
        </w:tc>
        <w:tc>
          <w:tcPr>
            <w:tcW w:w="1252" w:type="pct"/>
            <w:tcBorders>
              <w:top w:val="single" w:color="auto" w:sz="4" w:space="0"/>
              <w:left w:val="single" w:color="auto" w:sz="4" w:space="0"/>
              <w:bottom w:val="single" w:color="auto" w:sz="4" w:space="0"/>
              <w:right w:val="single" w:color="auto" w:sz="4" w:space="0"/>
            </w:tcBorders>
            <w:vAlign w:val="center"/>
          </w:tcPr>
          <w:p w14:paraId="587F536B">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5F67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74032BF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毕业学校</w:t>
            </w:r>
          </w:p>
        </w:tc>
        <w:tc>
          <w:tcPr>
            <w:tcW w:w="4304" w:type="pct"/>
            <w:gridSpan w:val="8"/>
            <w:tcBorders>
              <w:top w:val="single" w:color="auto" w:sz="4" w:space="0"/>
              <w:left w:val="single" w:color="auto" w:sz="4" w:space="0"/>
              <w:bottom w:val="single" w:color="auto" w:sz="4" w:space="0"/>
              <w:right w:val="single" w:color="auto" w:sz="4" w:space="0"/>
            </w:tcBorders>
            <w:vAlign w:val="center"/>
          </w:tcPr>
          <w:p w14:paraId="75C02B03">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年毕业于            学校        专业</w:t>
            </w:r>
          </w:p>
        </w:tc>
      </w:tr>
      <w:tr w14:paraId="0F23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15E9555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主要工作经历</w:t>
            </w:r>
          </w:p>
        </w:tc>
      </w:tr>
      <w:tr w14:paraId="64F8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611DE9B5">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时  间</w:t>
            </w: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05F71C5B">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参加过的类似项目</w:t>
            </w:r>
          </w:p>
        </w:tc>
        <w:tc>
          <w:tcPr>
            <w:tcW w:w="739" w:type="pct"/>
            <w:tcBorders>
              <w:top w:val="single" w:color="auto" w:sz="4" w:space="0"/>
              <w:left w:val="single" w:color="auto" w:sz="4" w:space="0"/>
              <w:bottom w:val="single" w:color="auto" w:sz="4" w:space="0"/>
              <w:right w:val="single" w:color="auto" w:sz="4" w:space="0"/>
            </w:tcBorders>
            <w:vAlign w:val="center"/>
          </w:tcPr>
          <w:p w14:paraId="038828D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担任职务</w:t>
            </w: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335891DF">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r>
              <w:rPr>
                <w:rFonts w:hint="eastAsia" w:cs="宋体" w:asciiTheme="minorEastAsia" w:hAnsiTheme="minorEastAsia"/>
                <w:color w:val="000000"/>
                <w:sz w:val="24"/>
                <w:szCs w:val="24"/>
              </w:rPr>
              <w:t>发包人及联系电话</w:t>
            </w:r>
          </w:p>
        </w:tc>
      </w:tr>
      <w:tr w14:paraId="7676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93197F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C2A0DF5">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455180F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7936A799">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5EBA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5C91896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73AB495">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1BA743D9">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1072BCE6">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28E9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655536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75165B1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76D98BC8">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537398CF">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1543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0569FF67">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B518DA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50D5C6B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4408769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0805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D741254">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3079E69C">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25C3618F">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726B6D67">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5F38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6241DB35">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5F767A92">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674672E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0F82C33A">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717B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B594D18">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44F6E4B0">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13362D01">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4F41D59E">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7CBA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6E7B862">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2187457A">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2F4BC06D">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17028308">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7018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13C727DC">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2506F657">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280EF8C2">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5F3FE957">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r w14:paraId="28C0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2D515529">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30B0D936">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575837A8">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68C2348B">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color w:val="000000"/>
                <w:sz w:val="24"/>
                <w:szCs w:val="24"/>
              </w:rPr>
            </w:pPr>
          </w:p>
        </w:tc>
      </w:tr>
    </w:tbl>
    <w:p w14:paraId="22EC2812">
      <w:pPr>
        <w:jc w:val="right"/>
        <w:rPr>
          <w:rFonts w:cs="宋体" w:asciiTheme="minorEastAsia" w:hAnsiTheme="minorEastAsia"/>
          <w:b/>
          <w:color w:val="000000"/>
          <w:sz w:val="24"/>
          <w:szCs w:val="24"/>
        </w:rPr>
      </w:pPr>
    </w:p>
    <w:p w14:paraId="1EBC730F">
      <w:pPr>
        <w:wordWrap w:val="0"/>
        <w:spacing w:line="400" w:lineRule="exact"/>
        <w:ind w:firstLine="420" w:firstLineChars="175"/>
        <w:jc w:val="left"/>
        <w:rPr>
          <w:rFonts w:cs="楷体_GB2312" w:asciiTheme="minorEastAsia" w:hAnsiTheme="minorEastAsia"/>
          <w:sz w:val="24"/>
          <w:szCs w:val="24"/>
        </w:rPr>
      </w:pPr>
    </w:p>
    <w:p w14:paraId="5D7F9A89">
      <w:pPr>
        <w:wordWrap w:val="0"/>
        <w:spacing w:line="400" w:lineRule="exact"/>
        <w:ind w:firstLine="420" w:firstLineChars="175"/>
        <w:jc w:val="left"/>
        <w:rPr>
          <w:rFonts w:cs="楷体_GB2312" w:asciiTheme="minorEastAsia" w:hAnsiTheme="minorEastAsia"/>
          <w:sz w:val="24"/>
          <w:szCs w:val="24"/>
        </w:rPr>
      </w:pPr>
    </w:p>
    <w:p w14:paraId="42DE30AF">
      <w:pPr>
        <w:wordWrap w:val="0"/>
        <w:spacing w:line="400" w:lineRule="exact"/>
        <w:ind w:firstLine="420" w:firstLineChars="175"/>
        <w:jc w:val="left"/>
        <w:rPr>
          <w:rFonts w:cs="楷体_GB2312" w:asciiTheme="minorEastAsia" w:hAnsiTheme="minorEastAsia"/>
          <w:sz w:val="24"/>
          <w:szCs w:val="24"/>
          <w:u w:val="single"/>
        </w:rPr>
      </w:pPr>
    </w:p>
    <w:p w14:paraId="0631EA24">
      <w:pPr>
        <w:widowControl/>
        <w:spacing w:after="200" w:line="220" w:lineRule="atLeast"/>
        <w:ind w:firstLine="480" w:firstLineChars="200"/>
        <w:jc w:val="center"/>
        <w:rPr>
          <w:rFonts w:hint="eastAsia" w:cs="宋体" w:asciiTheme="minorEastAsia" w:hAnsiTheme="minorEastAsia"/>
          <w:b/>
          <w:sz w:val="24"/>
          <w:szCs w:val="24"/>
        </w:rPr>
      </w:pPr>
      <w:r>
        <w:rPr>
          <w:rFonts w:hint="eastAsia" w:cs="楷体_GB2312" w:asciiTheme="minorEastAsia" w:hAnsiTheme="minorEastAsia"/>
          <w:sz w:val="24"/>
          <w:szCs w:val="24"/>
        </w:rPr>
        <w:t xml:space="preserve">    </w:t>
      </w:r>
      <w:r>
        <w:rPr>
          <w:rFonts w:hint="eastAsia" w:cs="宋体" w:asciiTheme="minorEastAsia" w:hAnsiTheme="minorEastAsia"/>
          <w:b/>
          <w:bCs/>
          <w:color w:val="000000"/>
          <w:kern w:val="0"/>
          <w:sz w:val="24"/>
          <w:szCs w:val="24"/>
        </w:rPr>
        <w:br w:type="page"/>
      </w:r>
      <w:bookmarkStart w:id="1246" w:name="_Toc27221"/>
      <w:r>
        <w:rPr>
          <w:rFonts w:hint="eastAsia" w:cs="宋体" w:asciiTheme="minorEastAsia" w:hAnsiTheme="minorEastAsia"/>
          <w:b/>
          <w:sz w:val="24"/>
          <w:szCs w:val="24"/>
        </w:rPr>
        <w:t>六、资格审查资料</w:t>
      </w:r>
      <w:bookmarkEnd w:id="1246"/>
    </w:p>
    <w:p w14:paraId="637ABC88">
      <w:pPr>
        <w:widowControl/>
        <w:spacing w:after="200" w:line="220" w:lineRule="atLeast"/>
        <w:ind w:firstLine="482" w:firstLineChars="200"/>
        <w:jc w:val="center"/>
        <w:rPr>
          <w:rFonts w:hint="eastAsia" w:cs="宋体" w:asciiTheme="minorEastAsia" w:hAnsiTheme="minorEastAsia"/>
          <w:b/>
          <w:sz w:val="24"/>
          <w:szCs w:val="24"/>
        </w:rPr>
      </w:pPr>
      <w:bookmarkStart w:id="1247" w:name="_Toc5999"/>
      <w:bookmarkStart w:id="1248" w:name="_Toc489602205"/>
      <w:bookmarkStart w:id="1249" w:name="_Toc6691"/>
      <w:bookmarkStart w:id="1250" w:name="_Toc21649"/>
      <w:bookmarkStart w:id="1251" w:name="_Toc1155"/>
      <w:bookmarkStart w:id="1252" w:name="_Toc463691057"/>
      <w:bookmarkStart w:id="1253" w:name="_Toc32230"/>
      <w:bookmarkStart w:id="1254" w:name="_Toc3147"/>
      <w:r>
        <w:rPr>
          <w:rFonts w:hint="eastAsia" w:ascii="宋体" w:hAnsi="宋体" w:cs="宋体"/>
          <w:b/>
          <w:sz w:val="24"/>
          <w:szCs w:val="21"/>
        </w:rPr>
        <w:t>（一）投标供应商基本情况表</w:t>
      </w:r>
      <w:bookmarkEnd w:id="1247"/>
      <w:bookmarkEnd w:id="1248"/>
      <w:bookmarkEnd w:id="1249"/>
      <w:bookmarkEnd w:id="1250"/>
      <w:bookmarkEnd w:id="1251"/>
      <w:bookmarkEnd w:id="1252"/>
      <w:bookmarkEnd w:id="1253"/>
      <w:bookmarkEnd w:id="1254"/>
    </w:p>
    <w:tbl>
      <w:tblPr>
        <w:tblStyle w:val="11"/>
        <w:tblW w:w="4999"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44"/>
        <w:gridCol w:w="1009"/>
        <w:gridCol w:w="1071"/>
        <w:gridCol w:w="944"/>
        <w:gridCol w:w="475"/>
        <w:gridCol w:w="351"/>
        <w:gridCol w:w="1214"/>
        <w:gridCol w:w="550"/>
        <w:gridCol w:w="967"/>
        <w:gridCol w:w="1121"/>
      </w:tblGrid>
      <w:tr w14:paraId="09B94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008" w:type="pct"/>
            <w:vAlign w:val="center"/>
          </w:tcPr>
          <w:p w14:paraId="065A0553">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供应商名称</w:t>
            </w:r>
          </w:p>
        </w:tc>
        <w:tc>
          <w:tcPr>
            <w:tcW w:w="3991" w:type="pct"/>
            <w:gridSpan w:val="9"/>
            <w:vAlign w:val="center"/>
          </w:tcPr>
          <w:p w14:paraId="13E2C3E4">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22B80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6756D7EF">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注册地址</w:t>
            </w:r>
          </w:p>
        </w:tc>
        <w:tc>
          <w:tcPr>
            <w:tcW w:w="1995" w:type="pct"/>
            <w:gridSpan w:val="5"/>
            <w:vAlign w:val="center"/>
          </w:tcPr>
          <w:p w14:paraId="6DB7773C">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629" w:type="pct"/>
            <w:vAlign w:val="center"/>
          </w:tcPr>
          <w:p w14:paraId="6FBB1C82">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邮政编码</w:t>
            </w:r>
          </w:p>
        </w:tc>
        <w:tc>
          <w:tcPr>
            <w:tcW w:w="1367" w:type="pct"/>
            <w:gridSpan w:val="3"/>
            <w:vAlign w:val="center"/>
          </w:tcPr>
          <w:p w14:paraId="782EBEEE">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6910B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008" w:type="pct"/>
            <w:vMerge w:val="restart"/>
            <w:vAlign w:val="center"/>
          </w:tcPr>
          <w:p w14:paraId="1AB9BD04">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联系方式</w:t>
            </w:r>
          </w:p>
        </w:tc>
        <w:tc>
          <w:tcPr>
            <w:tcW w:w="523" w:type="pct"/>
            <w:vAlign w:val="center"/>
          </w:tcPr>
          <w:p w14:paraId="3F850AB5">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联系人</w:t>
            </w:r>
          </w:p>
        </w:tc>
        <w:tc>
          <w:tcPr>
            <w:tcW w:w="1471" w:type="pct"/>
            <w:gridSpan w:val="4"/>
            <w:vAlign w:val="center"/>
          </w:tcPr>
          <w:p w14:paraId="71382634">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629" w:type="pct"/>
            <w:vAlign w:val="center"/>
          </w:tcPr>
          <w:p w14:paraId="1766A426">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电 话</w:t>
            </w:r>
          </w:p>
        </w:tc>
        <w:tc>
          <w:tcPr>
            <w:tcW w:w="1367" w:type="pct"/>
            <w:gridSpan w:val="3"/>
            <w:vAlign w:val="center"/>
          </w:tcPr>
          <w:p w14:paraId="66B7142E">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318D1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008" w:type="pct"/>
            <w:vMerge w:val="continue"/>
            <w:tcBorders>
              <w:top w:val="nil"/>
            </w:tcBorders>
            <w:vAlign w:val="center"/>
          </w:tcPr>
          <w:p w14:paraId="6108501C">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523" w:type="pct"/>
            <w:vAlign w:val="center"/>
          </w:tcPr>
          <w:p w14:paraId="68189E49">
            <w:pPr>
              <w:keepNext w:val="0"/>
              <w:keepLines w:val="0"/>
              <w:suppressLineNumbers w:val="0"/>
              <w:tabs>
                <w:tab w:val="left" w:pos="427"/>
              </w:tabs>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传</w:t>
            </w:r>
            <w:r>
              <w:rPr>
                <w:rFonts w:hint="eastAsia" w:cs="宋体" w:asciiTheme="minorEastAsia" w:hAnsiTheme="minorEastAsia"/>
                <w:kern w:val="0"/>
                <w:sz w:val="24"/>
                <w:szCs w:val="24"/>
                <w:lang w:val="zh-CN" w:bidi="zh-CN"/>
              </w:rPr>
              <w:tab/>
            </w:r>
            <w:r>
              <w:rPr>
                <w:rFonts w:hint="eastAsia" w:cs="宋体" w:asciiTheme="minorEastAsia" w:hAnsiTheme="minorEastAsia"/>
                <w:kern w:val="0"/>
                <w:sz w:val="24"/>
                <w:szCs w:val="24"/>
                <w:lang w:val="zh-CN" w:bidi="zh-CN"/>
              </w:rPr>
              <w:t>真</w:t>
            </w:r>
          </w:p>
        </w:tc>
        <w:tc>
          <w:tcPr>
            <w:tcW w:w="1471" w:type="pct"/>
            <w:gridSpan w:val="4"/>
            <w:vAlign w:val="center"/>
          </w:tcPr>
          <w:p w14:paraId="41A834D4">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629" w:type="pct"/>
            <w:vAlign w:val="center"/>
          </w:tcPr>
          <w:p w14:paraId="19527980">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网 址</w:t>
            </w:r>
          </w:p>
        </w:tc>
        <w:tc>
          <w:tcPr>
            <w:tcW w:w="1367" w:type="pct"/>
            <w:gridSpan w:val="3"/>
            <w:vAlign w:val="center"/>
          </w:tcPr>
          <w:p w14:paraId="7C4AAC74">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70D55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008" w:type="pct"/>
            <w:vAlign w:val="center"/>
          </w:tcPr>
          <w:p w14:paraId="1532C71B">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组织结构</w:t>
            </w:r>
          </w:p>
        </w:tc>
        <w:tc>
          <w:tcPr>
            <w:tcW w:w="3991" w:type="pct"/>
            <w:gridSpan w:val="9"/>
            <w:vAlign w:val="center"/>
          </w:tcPr>
          <w:p w14:paraId="50EDD4DD">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63645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008" w:type="pct"/>
            <w:vAlign w:val="center"/>
          </w:tcPr>
          <w:p w14:paraId="680C8BF2">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法定代表人</w:t>
            </w:r>
          </w:p>
        </w:tc>
        <w:tc>
          <w:tcPr>
            <w:tcW w:w="523" w:type="pct"/>
            <w:vAlign w:val="center"/>
          </w:tcPr>
          <w:p w14:paraId="3B79EBDE">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姓名</w:t>
            </w:r>
          </w:p>
        </w:tc>
        <w:tc>
          <w:tcPr>
            <w:tcW w:w="554" w:type="pct"/>
            <w:vAlign w:val="center"/>
          </w:tcPr>
          <w:p w14:paraId="6944A33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735" w:type="pct"/>
            <w:gridSpan w:val="2"/>
            <w:vAlign w:val="center"/>
          </w:tcPr>
          <w:p w14:paraId="35B9195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技术职称</w:t>
            </w:r>
          </w:p>
        </w:tc>
        <w:tc>
          <w:tcPr>
            <w:tcW w:w="1096" w:type="pct"/>
            <w:gridSpan w:val="3"/>
            <w:vAlign w:val="center"/>
          </w:tcPr>
          <w:p w14:paraId="7EC6A616">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501" w:type="pct"/>
            <w:vAlign w:val="center"/>
          </w:tcPr>
          <w:p w14:paraId="30420C52">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电话</w:t>
            </w:r>
          </w:p>
        </w:tc>
        <w:tc>
          <w:tcPr>
            <w:tcW w:w="579" w:type="pct"/>
            <w:vAlign w:val="center"/>
          </w:tcPr>
          <w:p w14:paraId="6DBCC8E0">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42ACE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08" w:type="pct"/>
            <w:vAlign w:val="center"/>
          </w:tcPr>
          <w:p w14:paraId="395959D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技术负责人</w:t>
            </w:r>
          </w:p>
        </w:tc>
        <w:tc>
          <w:tcPr>
            <w:tcW w:w="523" w:type="pct"/>
            <w:vAlign w:val="center"/>
          </w:tcPr>
          <w:p w14:paraId="130C478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姓名</w:t>
            </w:r>
          </w:p>
        </w:tc>
        <w:tc>
          <w:tcPr>
            <w:tcW w:w="554" w:type="pct"/>
            <w:vAlign w:val="center"/>
          </w:tcPr>
          <w:p w14:paraId="22BA79DE">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735" w:type="pct"/>
            <w:gridSpan w:val="2"/>
            <w:vAlign w:val="center"/>
          </w:tcPr>
          <w:p w14:paraId="48E4FA18">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技术职称</w:t>
            </w:r>
          </w:p>
        </w:tc>
        <w:tc>
          <w:tcPr>
            <w:tcW w:w="1096" w:type="pct"/>
            <w:gridSpan w:val="3"/>
            <w:vAlign w:val="center"/>
          </w:tcPr>
          <w:p w14:paraId="29CAF7D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501" w:type="pct"/>
            <w:vAlign w:val="center"/>
          </w:tcPr>
          <w:p w14:paraId="6EAB350F">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电话</w:t>
            </w:r>
          </w:p>
        </w:tc>
        <w:tc>
          <w:tcPr>
            <w:tcW w:w="579" w:type="pct"/>
            <w:vAlign w:val="center"/>
          </w:tcPr>
          <w:p w14:paraId="4F77359C">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28552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08" w:type="pct"/>
            <w:vAlign w:val="center"/>
          </w:tcPr>
          <w:p w14:paraId="2017FA8B">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成立时间</w:t>
            </w:r>
          </w:p>
        </w:tc>
        <w:tc>
          <w:tcPr>
            <w:tcW w:w="1078" w:type="pct"/>
            <w:gridSpan w:val="2"/>
            <w:vAlign w:val="center"/>
          </w:tcPr>
          <w:p w14:paraId="7049917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2913" w:type="pct"/>
            <w:gridSpan w:val="7"/>
            <w:vAlign w:val="center"/>
          </w:tcPr>
          <w:p w14:paraId="2436D2DF">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员工总人数：</w:t>
            </w:r>
          </w:p>
        </w:tc>
      </w:tr>
      <w:tr w14:paraId="3E3D3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08" w:type="pct"/>
            <w:vAlign w:val="center"/>
          </w:tcPr>
          <w:p w14:paraId="4BF30BAE">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企业资质等级</w:t>
            </w:r>
          </w:p>
        </w:tc>
        <w:tc>
          <w:tcPr>
            <w:tcW w:w="1078" w:type="pct"/>
            <w:gridSpan w:val="2"/>
            <w:vAlign w:val="center"/>
          </w:tcPr>
          <w:p w14:paraId="3F9673B3">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489" w:type="pct"/>
            <w:vMerge w:val="restart"/>
            <w:vAlign w:val="center"/>
          </w:tcPr>
          <w:p w14:paraId="021CF1AD">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其中</w:t>
            </w:r>
          </w:p>
        </w:tc>
        <w:tc>
          <w:tcPr>
            <w:tcW w:w="1342" w:type="pct"/>
            <w:gridSpan w:val="4"/>
            <w:vAlign w:val="center"/>
          </w:tcPr>
          <w:p w14:paraId="2B952C7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项目经理</w:t>
            </w:r>
          </w:p>
        </w:tc>
        <w:tc>
          <w:tcPr>
            <w:tcW w:w="1081" w:type="pct"/>
            <w:gridSpan w:val="2"/>
            <w:vAlign w:val="center"/>
          </w:tcPr>
          <w:p w14:paraId="0A9EEAEC">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3ACA5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4048A005">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营业执照号</w:t>
            </w:r>
          </w:p>
        </w:tc>
        <w:tc>
          <w:tcPr>
            <w:tcW w:w="1078" w:type="pct"/>
            <w:gridSpan w:val="2"/>
            <w:vAlign w:val="center"/>
          </w:tcPr>
          <w:p w14:paraId="230AEFB5">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489" w:type="pct"/>
            <w:vMerge w:val="continue"/>
            <w:tcBorders>
              <w:top w:val="nil"/>
            </w:tcBorders>
            <w:vAlign w:val="center"/>
          </w:tcPr>
          <w:p w14:paraId="12F7730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1342" w:type="pct"/>
            <w:gridSpan w:val="4"/>
            <w:vAlign w:val="center"/>
          </w:tcPr>
          <w:p w14:paraId="76D5774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高级职称人员</w:t>
            </w:r>
          </w:p>
        </w:tc>
        <w:tc>
          <w:tcPr>
            <w:tcW w:w="1081" w:type="pct"/>
            <w:gridSpan w:val="2"/>
            <w:vAlign w:val="center"/>
          </w:tcPr>
          <w:p w14:paraId="09157CB6">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20E3C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08" w:type="pct"/>
            <w:vAlign w:val="center"/>
          </w:tcPr>
          <w:p w14:paraId="034FAEFA">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注册资金</w:t>
            </w:r>
          </w:p>
        </w:tc>
        <w:tc>
          <w:tcPr>
            <w:tcW w:w="1078" w:type="pct"/>
            <w:gridSpan w:val="2"/>
            <w:vAlign w:val="center"/>
          </w:tcPr>
          <w:p w14:paraId="5BA5D02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489" w:type="pct"/>
            <w:vMerge w:val="continue"/>
            <w:tcBorders>
              <w:top w:val="nil"/>
            </w:tcBorders>
            <w:vAlign w:val="center"/>
          </w:tcPr>
          <w:p w14:paraId="68895B8D">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1342" w:type="pct"/>
            <w:gridSpan w:val="4"/>
            <w:vAlign w:val="center"/>
          </w:tcPr>
          <w:p w14:paraId="24508AA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中级职称人员</w:t>
            </w:r>
          </w:p>
        </w:tc>
        <w:tc>
          <w:tcPr>
            <w:tcW w:w="1081" w:type="pct"/>
            <w:gridSpan w:val="2"/>
            <w:vAlign w:val="center"/>
          </w:tcPr>
          <w:p w14:paraId="7B8BBEC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568CC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008" w:type="pct"/>
            <w:vAlign w:val="center"/>
          </w:tcPr>
          <w:p w14:paraId="10283BCB">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开户银行</w:t>
            </w:r>
          </w:p>
        </w:tc>
        <w:tc>
          <w:tcPr>
            <w:tcW w:w="1078" w:type="pct"/>
            <w:gridSpan w:val="2"/>
            <w:vAlign w:val="center"/>
          </w:tcPr>
          <w:p w14:paraId="6AF1D1AA">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489" w:type="pct"/>
            <w:vMerge w:val="continue"/>
            <w:tcBorders>
              <w:top w:val="nil"/>
            </w:tcBorders>
            <w:vAlign w:val="center"/>
          </w:tcPr>
          <w:p w14:paraId="19809FB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1342" w:type="pct"/>
            <w:gridSpan w:val="4"/>
            <w:vAlign w:val="center"/>
          </w:tcPr>
          <w:p w14:paraId="45DDF7EF">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初级职称人员</w:t>
            </w:r>
          </w:p>
        </w:tc>
        <w:tc>
          <w:tcPr>
            <w:tcW w:w="1081" w:type="pct"/>
            <w:gridSpan w:val="2"/>
            <w:vAlign w:val="center"/>
          </w:tcPr>
          <w:p w14:paraId="71EFD889">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1749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008" w:type="pct"/>
            <w:vAlign w:val="center"/>
          </w:tcPr>
          <w:p w14:paraId="63144668">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账号</w:t>
            </w:r>
          </w:p>
        </w:tc>
        <w:tc>
          <w:tcPr>
            <w:tcW w:w="1078" w:type="pct"/>
            <w:gridSpan w:val="2"/>
            <w:vAlign w:val="center"/>
          </w:tcPr>
          <w:p w14:paraId="4F41F0B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489" w:type="pct"/>
            <w:vMerge w:val="continue"/>
            <w:tcBorders>
              <w:top w:val="nil"/>
            </w:tcBorders>
            <w:vAlign w:val="center"/>
          </w:tcPr>
          <w:p w14:paraId="4772CF4C">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c>
          <w:tcPr>
            <w:tcW w:w="1342" w:type="pct"/>
            <w:gridSpan w:val="4"/>
            <w:vAlign w:val="center"/>
          </w:tcPr>
          <w:p w14:paraId="07D24E34">
            <w:pPr>
              <w:keepNext w:val="0"/>
              <w:keepLines w:val="0"/>
              <w:suppressLineNumbers w:val="0"/>
              <w:tabs>
                <w:tab w:val="left" w:pos="528"/>
              </w:tabs>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技</w:t>
            </w:r>
            <w:r>
              <w:rPr>
                <w:rFonts w:hint="eastAsia" w:cs="宋体" w:asciiTheme="minorEastAsia" w:hAnsiTheme="minorEastAsia"/>
                <w:kern w:val="0"/>
                <w:sz w:val="24"/>
                <w:szCs w:val="24"/>
                <w:lang w:val="zh-CN" w:bidi="zh-CN"/>
              </w:rPr>
              <w:tab/>
            </w:r>
            <w:r>
              <w:rPr>
                <w:rFonts w:hint="eastAsia" w:cs="宋体" w:asciiTheme="minorEastAsia" w:hAnsiTheme="minorEastAsia"/>
                <w:kern w:val="0"/>
                <w:sz w:val="24"/>
                <w:szCs w:val="24"/>
                <w:lang w:val="zh-CN" w:bidi="zh-CN"/>
              </w:rPr>
              <w:t>工</w:t>
            </w:r>
          </w:p>
        </w:tc>
        <w:tc>
          <w:tcPr>
            <w:tcW w:w="1081" w:type="pct"/>
            <w:gridSpan w:val="2"/>
            <w:vAlign w:val="center"/>
          </w:tcPr>
          <w:p w14:paraId="4B17A67F">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154F3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9" w:hRule="atLeast"/>
        </w:trPr>
        <w:tc>
          <w:tcPr>
            <w:tcW w:w="1008" w:type="pct"/>
            <w:vAlign w:val="center"/>
          </w:tcPr>
          <w:p w14:paraId="588E75CB">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经营范围</w:t>
            </w:r>
          </w:p>
        </w:tc>
        <w:tc>
          <w:tcPr>
            <w:tcW w:w="3991" w:type="pct"/>
            <w:gridSpan w:val="9"/>
            <w:vAlign w:val="center"/>
          </w:tcPr>
          <w:p w14:paraId="6D0FBF08">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r w14:paraId="587D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008" w:type="pct"/>
            <w:vAlign w:val="center"/>
          </w:tcPr>
          <w:p w14:paraId="5F503091">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备注</w:t>
            </w:r>
          </w:p>
        </w:tc>
        <w:tc>
          <w:tcPr>
            <w:tcW w:w="3991" w:type="pct"/>
            <w:gridSpan w:val="9"/>
            <w:vAlign w:val="center"/>
          </w:tcPr>
          <w:p w14:paraId="2073B3B0">
            <w:pPr>
              <w:keepNext w:val="0"/>
              <w:keepLines w:val="0"/>
              <w:suppressLineNumbers w:val="0"/>
              <w:autoSpaceDE w:val="0"/>
              <w:autoSpaceDN w:val="0"/>
              <w:adjustRightInd w:val="0"/>
              <w:snapToGrid w:val="0"/>
              <w:spacing w:before="0" w:beforeAutospacing="0" w:after="0" w:afterAutospacing="0"/>
              <w:ind w:left="0" w:right="0"/>
              <w:jc w:val="center"/>
              <w:rPr>
                <w:rFonts w:hint="default" w:cs="宋体" w:asciiTheme="minorEastAsia" w:hAnsiTheme="minorEastAsia"/>
                <w:kern w:val="0"/>
                <w:sz w:val="24"/>
                <w:szCs w:val="24"/>
                <w:lang w:val="zh-CN" w:bidi="zh-CN"/>
              </w:rPr>
            </w:pPr>
          </w:p>
        </w:tc>
      </w:tr>
    </w:tbl>
    <w:p w14:paraId="097E35DE">
      <w:pPr>
        <w:spacing w:line="422" w:lineRule="exact"/>
        <w:rPr>
          <w:rFonts w:asciiTheme="minorEastAsia" w:hAnsiTheme="minorEastAsia"/>
          <w:sz w:val="24"/>
          <w:szCs w:val="24"/>
        </w:rPr>
      </w:pPr>
    </w:p>
    <w:p w14:paraId="61A2C20D">
      <w:pPr>
        <w:spacing w:line="422" w:lineRule="exact"/>
        <w:rPr>
          <w:rFonts w:asciiTheme="minorEastAsia" w:hAnsiTheme="minorEastAsia"/>
          <w:sz w:val="24"/>
          <w:szCs w:val="24"/>
        </w:rPr>
      </w:pPr>
    </w:p>
    <w:p w14:paraId="4D21CDED">
      <w:pPr>
        <w:ind w:firstLine="480"/>
        <w:rPr>
          <w:rFonts w:asciiTheme="minorEastAsia" w:hAnsiTheme="minorEastAsia"/>
          <w:sz w:val="24"/>
          <w:szCs w:val="24"/>
        </w:rPr>
      </w:pPr>
    </w:p>
    <w:p w14:paraId="46CFC672">
      <w:pPr>
        <w:spacing w:line="422" w:lineRule="exact"/>
        <w:rPr>
          <w:rFonts w:asciiTheme="minorEastAsia" w:hAnsiTheme="minorEastAsia"/>
          <w:sz w:val="24"/>
          <w:szCs w:val="24"/>
        </w:rPr>
      </w:pPr>
    </w:p>
    <w:p w14:paraId="06842E0A">
      <w:pPr>
        <w:pStyle w:val="7"/>
        <w:ind w:left="63" w:right="63" w:firstLine="211"/>
        <w:rPr>
          <w:rFonts w:asciiTheme="minorEastAsia" w:hAnsiTheme="minorEastAsia"/>
          <w:sz w:val="24"/>
          <w:szCs w:val="24"/>
        </w:rPr>
      </w:pPr>
    </w:p>
    <w:p w14:paraId="79C525A6">
      <w:pPr>
        <w:rPr>
          <w:rFonts w:ascii="宋体" w:hAnsi="宋体"/>
          <w:sz w:val="24"/>
          <w:szCs w:val="22"/>
        </w:rPr>
      </w:pPr>
      <w:bookmarkStart w:id="1255" w:name="_Toc11244"/>
      <w:r>
        <w:rPr>
          <w:rFonts w:cs="宋体" w:asciiTheme="minorEastAsia" w:hAnsiTheme="minorEastAsia"/>
          <w:sz w:val="24"/>
          <w:szCs w:val="24"/>
        </w:rPr>
        <w:br w:type="page"/>
      </w:r>
      <w:r>
        <w:rPr>
          <w:rFonts w:hint="eastAsia" w:cs="宋体" w:asciiTheme="minorEastAsia" w:hAnsiTheme="minorEastAsia"/>
          <w:sz w:val="24"/>
          <w:szCs w:val="24"/>
          <w:lang w:val="en-US" w:eastAsia="zh-CN"/>
        </w:rPr>
        <w:t xml:space="preserve">                            </w:t>
      </w:r>
      <w:r>
        <w:rPr>
          <w:rFonts w:hint="eastAsia" w:ascii="宋体" w:hAnsi="宋体" w:cs="宋体"/>
          <w:b/>
          <w:sz w:val="24"/>
          <w:szCs w:val="21"/>
          <w:lang w:eastAsia="zh-CN"/>
        </w:rPr>
        <w:t>（</w:t>
      </w:r>
      <w:r>
        <w:rPr>
          <w:rFonts w:hint="eastAsia" w:ascii="宋体" w:hAnsi="宋体" w:cs="宋体"/>
          <w:b/>
          <w:sz w:val="24"/>
          <w:szCs w:val="21"/>
          <w:lang w:val="en-US" w:eastAsia="zh-CN"/>
        </w:rPr>
        <w:t>二</w:t>
      </w:r>
      <w:r>
        <w:rPr>
          <w:rFonts w:hint="eastAsia" w:ascii="宋体" w:hAnsi="宋体" w:cs="宋体"/>
          <w:b/>
          <w:sz w:val="24"/>
          <w:szCs w:val="21"/>
          <w:lang w:eastAsia="zh-CN"/>
        </w:rPr>
        <w:t>）</w:t>
      </w:r>
      <w:r>
        <w:rPr>
          <w:rFonts w:hint="eastAsia" w:ascii="宋体" w:hAnsi="宋体" w:cs="宋体"/>
          <w:b/>
          <w:sz w:val="24"/>
          <w:szCs w:val="21"/>
        </w:rPr>
        <w:t>供应商资格审查资料</w:t>
      </w:r>
    </w:p>
    <w:p w14:paraId="067A7E85">
      <w:pPr>
        <w:rPr>
          <w:rFonts w:cs="宋体" w:asciiTheme="minorEastAsia" w:hAnsiTheme="minorEastAsia"/>
          <w:sz w:val="24"/>
          <w:szCs w:val="24"/>
        </w:rPr>
      </w:pPr>
    </w:p>
    <w:p w14:paraId="33F7697D">
      <w:pPr>
        <w:widowControl/>
        <w:spacing w:after="200" w:line="360" w:lineRule="auto"/>
        <w:jc w:val="center"/>
        <w:rPr>
          <w:rFonts w:cs="宋体" w:asciiTheme="minorEastAsia" w:hAnsiTheme="minorEastAsia"/>
          <w:sz w:val="24"/>
          <w:szCs w:val="24"/>
        </w:rPr>
      </w:pPr>
    </w:p>
    <w:p w14:paraId="783983C0">
      <w:pPr>
        <w:rPr>
          <w:rFonts w:hint="eastAsia" w:cs="宋体" w:asciiTheme="minorEastAsia" w:hAnsiTheme="minorEastAsia"/>
          <w:b/>
          <w:sz w:val="24"/>
          <w:szCs w:val="24"/>
        </w:rPr>
      </w:pPr>
      <w:r>
        <w:rPr>
          <w:rFonts w:hint="eastAsia" w:cs="宋体" w:asciiTheme="minorEastAsia" w:hAnsiTheme="minorEastAsia"/>
          <w:b/>
          <w:sz w:val="24"/>
          <w:szCs w:val="24"/>
        </w:rPr>
        <w:br w:type="page"/>
      </w:r>
    </w:p>
    <w:p w14:paraId="4ED69749">
      <w:pPr>
        <w:widowControl/>
        <w:spacing w:after="200" w:line="360" w:lineRule="auto"/>
        <w:jc w:val="center"/>
        <w:rPr>
          <w:rFonts w:cs="宋体" w:asciiTheme="minorEastAsia" w:hAnsiTheme="minorEastAsia"/>
          <w:b/>
          <w:color w:val="000000"/>
          <w:kern w:val="1"/>
          <w:sz w:val="24"/>
          <w:szCs w:val="24"/>
        </w:rPr>
      </w:pPr>
      <w:r>
        <w:rPr>
          <w:rFonts w:hint="eastAsia" w:cs="宋体" w:asciiTheme="minorEastAsia" w:hAnsiTheme="minorEastAsia"/>
          <w:b/>
          <w:sz w:val="24"/>
          <w:szCs w:val="24"/>
        </w:rPr>
        <w:t>七、</w:t>
      </w:r>
      <w:bookmarkEnd w:id="1255"/>
      <w:r>
        <w:rPr>
          <w:rFonts w:ascii="宋体" w:hAnsi="宋体" w:cs="宋体"/>
          <w:b/>
          <w:sz w:val="24"/>
        </w:rPr>
        <w:t>组织</w:t>
      </w:r>
      <w:r>
        <w:rPr>
          <w:rFonts w:hint="eastAsia" w:ascii="宋体" w:hAnsi="宋体" w:cs="宋体"/>
          <w:b/>
          <w:sz w:val="24"/>
        </w:rPr>
        <w:t>技术</w:t>
      </w:r>
      <w:r>
        <w:rPr>
          <w:rFonts w:ascii="宋体" w:hAnsi="宋体" w:cs="宋体"/>
          <w:b/>
          <w:sz w:val="24"/>
        </w:rPr>
        <w:t>方案</w:t>
      </w:r>
    </w:p>
    <w:p w14:paraId="34D1BCD6">
      <w:pPr>
        <w:widowControl/>
        <w:ind w:firstLine="480" w:firstLineChars="200"/>
        <w:jc w:val="left"/>
        <w:rPr>
          <w:rFonts w:ascii="Calibri" w:hAnsi="Calibri" w:eastAsia="宋体" w:cs="Times New Roman"/>
          <w:kern w:val="0"/>
          <w:sz w:val="24"/>
        </w:rPr>
      </w:pPr>
      <w:bookmarkStart w:id="1256" w:name="_Toc28656"/>
      <w:r>
        <w:rPr>
          <w:rFonts w:ascii="Calibri" w:hAnsi="Calibri" w:eastAsia="宋体" w:cs="Times New Roman"/>
          <w:kern w:val="0"/>
          <w:sz w:val="24"/>
        </w:rPr>
        <w:t>供应商自拟格式并阐述。</w:t>
      </w:r>
    </w:p>
    <w:p w14:paraId="76D6896D">
      <w:pPr>
        <w:jc w:val="center"/>
        <w:outlineLvl w:val="1"/>
        <w:rPr>
          <w:rFonts w:cs="宋体" w:asciiTheme="minorEastAsia" w:hAnsiTheme="minorEastAsia"/>
          <w:sz w:val="24"/>
          <w:szCs w:val="24"/>
        </w:rPr>
      </w:pPr>
    </w:p>
    <w:p w14:paraId="3DEA7B22">
      <w:pPr>
        <w:jc w:val="center"/>
        <w:outlineLvl w:val="1"/>
        <w:rPr>
          <w:rFonts w:cs="宋体" w:asciiTheme="minorEastAsia" w:hAnsiTheme="minorEastAsia"/>
          <w:sz w:val="24"/>
          <w:szCs w:val="24"/>
        </w:rPr>
      </w:pPr>
    </w:p>
    <w:p w14:paraId="47C86316">
      <w:pPr>
        <w:jc w:val="center"/>
        <w:outlineLvl w:val="1"/>
        <w:rPr>
          <w:rFonts w:cs="宋体" w:asciiTheme="minorEastAsia" w:hAnsiTheme="minorEastAsia"/>
          <w:b/>
          <w:sz w:val="24"/>
          <w:szCs w:val="24"/>
        </w:rPr>
      </w:pPr>
    </w:p>
    <w:p w14:paraId="3A835DF1">
      <w:pPr>
        <w:jc w:val="center"/>
        <w:outlineLvl w:val="1"/>
        <w:rPr>
          <w:rFonts w:cs="宋体" w:asciiTheme="minorEastAsia" w:hAnsiTheme="minorEastAsia"/>
          <w:b/>
          <w:sz w:val="24"/>
          <w:szCs w:val="24"/>
        </w:rPr>
      </w:pPr>
    </w:p>
    <w:p w14:paraId="22713696">
      <w:pPr>
        <w:jc w:val="center"/>
        <w:outlineLvl w:val="1"/>
        <w:rPr>
          <w:rFonts w:cs="宋体" w:asciiTheme="minorEastAsia" w:hAnsiTheme="minorEastAsia"/>
          <w:b/>
          <w:sz w:val="24"/>
          <w:szCs w:val="24"/>
        </w:rPr>
      </w:pPr>
    </w:p>
    <w:p w14:paraId="2681FCF5">
      <w:pPr>
        <w:jc w:val="center"/>
        <w:outlineLvl w:val="1"/>
        <w:rPr>
          <w:rFonts w:cs="宋体" w:asciiTheme="minorEastAsia" w:hAnsiTheme="minorEastAsia"/>
          <w:b/>
          <w:sz w:val="24"/>
          <w:szCs w:val="24"/>
        </w:rPr>
      </w:pPr>
    </w:p>
    <w:p w14:paraId="12D70E7E">
      <w:pPr>
        <w:jc w:val="center"/>
        <w:outlineLvl w:val="1"/>
        <w:rPr>
          <w:rFonts w:cs="宋体" w:asciiTheme="minorEastAsia" w:hAnsiTheme="minorEastAsia"/>
          <w:b/>
          <w:sz w:val="24"/>
          <w:szCs w:val="24"/>
        </w:rPr>
      </w:pPr>
    </w:p>
    <w:p w14:paraId="0DD8DBAA">
      <w:pPr>
        <w:jc w:val="center"/>
        <w:outlineLvl w:val="1"/>
        <w:rPr>
          <w:rFonts w:cs="宋体" w:asciiTheme="minorEastAsia" w:hAnsiTheme="minorEastAsia"/>
          <w:b/>
          <w:sz w:val="24"/>
          <w:szCs w:val="24"/>
        </w:rPr>
      </w:pPr>
    </w:p>
    <w:p w14:paraId="62DB4C3E">
      <w:pPr>
        <w:jc w:val="center"/>
        <w:outlineLvl w:val="1"/>
        <w:rPr>
          <w:rFonts w:cs="宋体" w:asciiTheme="minorEastAsia" w:hAnsiTheme="minorEastAsia"/>
          <w:b/>
          <w:sz w:val="24"/>
          <w:szCs w:val="24"/>
        </w:rPr>
      </w:pPr>
    </w:p>
    <w:p w14:paraId="2B07F532">
      <w:pPr>
        <w:jc w:val="center"/>
        <w:outlineLvl w:val="1"/>
        <w:rPr>
          <w:rFonts w:cs="宋体" w:asciiTheme="minorEastAsia" w:hAnsiTheme="minorEastAsia"/>
          <w:b/>
          <w:sz w:val="24"/>
          <w:szCs w:val="24"/>
        </w:rPr>
      </w:pPr>
    </w:p>
    <w:p w14:paraId="4B9D2234">
      <w:pPr>
        <w:jc w:val="center"/>
        <w:outlineLvl w:val="1"/>
        <w:rPr>
          <w:rFonts w:cs="宋体" w:asciiTheme="minorEastAsia" w:hAnsiTheme="minorEastAsia"/>
          <w:b/>
          <w:sz w:val="24"/>
          <w:szCs w:val="24"/>
        </w:rPr>
      </w:pPr>
    </w:p>
    <w:p w14:paraId="42CEEC92">
      <w:pPr>
        <w:jc w:val="center"/>
        <w:outlineLvl w:val="1"/>
        <w:rPr>
          <w:rFonts w:cs="宋体" w:asciiTheme="minorEastAsia" w:hAnsiTheme="minorEastAsia"/>
          <w:b/>
          <w:sz w:val="24"/>
          <w:szCs w:val="24"/>
        </w:rPr>
      </w:pPr>
    </w:p>
    <w:p w14:paraId="56091912">
      <w:pPr>
        <w:jc w:val="center"/>
        <w:outlineLvl w:val="1"/>
        <w:rPr>
          <w:rFonts w:cs="宋体" w:asciiTheme="minorEastAsia" w:hAnsiTheme="minorEastAsia"/>
          <w:b/>
          <w:sz w:val="24"/>
          <w:szCs w:val="24"/>
        </w:rPr>
      </w:pPr>
    </w:p>
    <w:p w14:paraId="0A97B025">
      <w:pPr>
        <w:jc w:val="center"/>
        <w:outlineLvl w:val="1"/>
        <w:rPr>
          <w:rFonts w:cs="宋体" w:asciiTheme="minorEastAsia" w:hAnsiTheme="minorEastAsia"/>
          <w:b/>
          <w:sz w:val="24"/>
          <w:szCs w:val="24"/>
        </w:rPr>
      </w:pPr>
    </w:p>
    <w:p w14:paraId="08F39F94">
      <w:pPr>
        <w:jc w:val="center"/>
        <w:outlineLvl w:val="1"/>
        <w:rPr>
          <w:rFonts w:cs="宋体" w:asciiTheme="minorEastAsia" w:hAnsiTheme="minorEastAsia"/>
          <w:b/>
          <w:sz w:val="24"/>
          <w:szCs w:val="24"/>
        </w:rPr>
      </w:pPr>
    </w:p>
    <w:p w14:paraId="2A83291B">
      <w:pPr>
        <w:jc w:val="center"/>
        <w:outlineLvl w:val="1"/>
        <w:rPr>
          <w:rFonts w:cs="宋体" w:asciiTheme="minorEastAsia" w:hAnsiTheme="minorEastAsia"/>
          <w:b/>
          <w:sz w:val="24"/>
          <w:szCs w:val="24"/>
        </w:rPr>
      </w:pPr>
    </w:p>
    <w:p w14:paraId="1031A52A">
      <w:pPr>
        <w:jc w:val="center"/>
        <w:outlineLvl w:val="1"/>
        <w:rPr>
          <w:rFonts w:cs="宋体" w:asciiTheme="minorEastAsia" w:hAnsiTheme="minorEastAsia"/>
          <w:b/>
          <w:sz w:val="24"/>
          <w:szCs w:val="24"/>
        </w:rPr>
      </w:pPr>
    </w:p>
    <w:p w14:paraId="5A85F42C">
      <w:pPr>
        <w:jc w:val="center"/>
        <w:outlineLvl w:val="1"/>
        <w:rPr>
          <w:rFonts w:cs="宋体" w:asciiTheme="minorEastAsia" w:hAnsiTheme="minorEastAsia"/>
          <w:b/>
          <w:sz w:val="24"/>
          <w:szCs w:val="24"/>
        </w:rPr>
      </w:pPr>
    </w:p>
    <w:p w14:paraId="4AD02553">
      <w:pPr>
        <w:jc w:val="center"/>
        <w:outlineLvl w:val="1"/>
        <w:rPr>
          <w:rFonts w:cs="宋体" w:asciiTheme="minorEastAsia" w:hAnsiTheme="minorEastAsia"/>
          <w:b/>
          <w:sz w:val="24"/>
          <w:szCs w:val="24"/>
        </w:rPr>
      </w:pPr>
    </w:p>
    <w:p w14:paraId="66B208CC">
      <w:pPr>
        <w:jc w:val="center"/>
        <w:outlineLvl w:val="1"/>
        <w:rPr>
          <w:rFonts w:cs="宋体" w:asciiTheme="minorEastAsia" w:hAnsiTheme="minorEastAsia"/>
          <w:b/>
          <w:sz w:val="24"/>
          <w:szCs w:val="24"/>
        </w:rPr>
      </w:pPr>
    </w:p>
    <w:p w14:paraId="350017BC">
      <w:pPr>
        <w:jc w:val="center"/>
        <w:outlineLvl w:val="1"/>
        <w:rPr>
          <w:rFonts w:cs="宋体" w:asciiTheme="minorEastAsia" w:hAnsiTheme="minorEastAsia"/>
          <w:b/>
          <w:sz w:val="24"/>
          <w:szCs w:val="24"/>
        </w:rPr>
      </w:pPr>
    </w:p>
    <w:p w14:paraId="3E8DC809">
      <w:pPr>
        <w:jc w:val="center"/>
        <w:outlineLvl w:val="1"/>
        <w:rPr>
          <w:rFonts w:cs="宋体" w:asciiTheme="minorEastAsia" w:hAnsiTheme="minorEastAsia"/>
          <w:b/>
          <w:sz w:val="24"/>
          <w:szCs w:val="24"/>
        </w:rPr>
      </w:pPr>
    </w:p>
    <w:p w14:paraId="7CDBAA02">
      <w:pPr>
        <w:jc w:val="center"/>
        <w:outlineLvl w:val="1"/>
        <w:rPr>
          <w:rFonts w:cs="宋体" w:asciiTheme="minorEastAsia" w:hAnsiTheme="minorEastAsia"/>
          <w:b/>
          <w:sz w:val="24"/>
          <w:szCs w:val="24"/>
        </w:rPr>
      </w:pPr>
    </w:p>
    <w:p w14:paraId="1EF3D79A">
      <w:pPr>
        <w:jc w:val="center"/>
        <w:outlineLvl w:val="1"/>
        <w:rPr>
          <w:rFonts w:cs="宋体" w:asciiTheme="minorEastAsia" w:hAnsiTheme="minorEastAsia"/>
          <w:b/>
          <w:sz w:val="24"/>
          <w:szCs w:val="24"/>
        </w:rPr>
      </w:pPr>
    </w:p>
    <w:p w14:paraId="1D791BA5">
      <w:pPr>
        <w:jc w:val="center"/>
        <w:outlineLvl w:val="1"/>
        <w:rPr>
          <w:rFonts w:cs="宋体" w:asciiTheme="minorEastAsia" w:hAnsiTheme="minorEastAsia"/>
          <w:b/>
          <w:sz w:val="24"/>
          <w:szCs w:val="24"/>
        </w:rPr>
      </w:pPr>
    </w:p>
    <w:p w14:paraId="6FEB32E3">
      <w:pPr>
        <w:jc w:val="center"/>
        <w:outlineLvl w:val="1"/>
        <w:rPr>
          <w:rFonts w:cs="宋体" w:asciiTheme="minorEastAsia" w:hAnsiTheme="minorEastAsia"/>
          <w:b/>
          <w:sz w:val="24"/>
          <w:szCs w:val="24"/>
        </w:rPr>
      </w:pPr>
    </w:p>
    <w:p w14:paraId="55820D44">
      <w:pPr>
        <w:jc w:val="center"/>
        <w:outlineLvl w:val="1"/>
        <w:rPr>
          <w:rFonts w:cs="宋体" w:asciiTheme="minorEastAsia" w:hAnsiTheme="minorEastAsia"/>
          <w:b/>
          <w:sz w:val="24"/>
          <w:szCs w:val="24"/>
        </w:rPr>
      </w:pPr>
    </w:p>
    <w:p w14:paraId="0147E0BA">
      <w:pPr>
        <w:jc w:val="center"/>
        <w:outlineLvl w:val="1"/>
        <w:rPr>
          <w:rFonts w:cs="宋体" w:asciiTheme="minorEastAsia" w:hAnsiTheme="minorEastAsia"/>
          <w:b/>
          <w:sz w:val="24"/>
          <w:szCs w:val="24"/>
        </w:rPr>
      </w:pPr>
    </w:p>
    <w:p w14:paraId="08CC643C">
      <w:pPr>
        <w:jc w:val="center"/>
        <w:outlineLvl w:val="1"/>
        <w:rPr>
          <w:rFonts w:cs="宋体" w:asciiTheme="minorEastAsia" w:hAnsiTheme="minorEastAsia"/>
          <w:b/>
          <w:sz w:val="24"/>
          <w:szCs w:val="24"/>
        </w:rPr>
      </w:pPr>
    </w:p>
    <w:p w14:paraId="618A7082">
      <w:pPr>
        <w:jc w:val="center"/>
        <w:outlineLvl w:val="1"/>
        <w:rPr>
          <w:rFonts w:cs="宋体" w:asciiTheme="minorEastAsia" w:hAnsiTheme="minorEastAsia"/>
          <w:b/>
          <w:sz w:val="24"/>
          <w:szCs w:val="24"/>
        </w:rPr>
      </w:pPr>
    </w:p>
    <w:p w14:paraId="7309C469">
      <w:pPr>
        <w:jc w:val="center"/>
        <w:outlineLvl w:val="1"/>
        <w:rPr>
          <w:rFonts w:cs="宋体" w:asciiTheme="minorEastAsia" w:hAnsiTheme="minorEastAsia"/>
          <w:b/>
          <w:sz w:val="24"/>
          <w:szCs w:val="24"/>
        </w:rPr>
      </w:pPr>
    </w:p>
    <w:p w14:paraId="59EEB37A">
      <w:pPr>
        <w:jc w:val="center"/>
        <w:outlineLvl w:val="1"/>
        <w:rPr>
          <w:rFonts w:cs="宋体" w:asciiTheme="minorEastAsia" w:hAnsiTheme="minorEastAsia"/>
          <w:b/>
          <w:sz w:val="24"/>
          <w:szCs w:val="24"/>
        </w:rPr>
      </w:pPr>
    </w:p>
    <w:p w14:paraId="646B0DBB">
      <w:pPr>
        <w:jc w:val="center"/>
        <w:outlineLvl w:val="1"/>
        <w:rPr>
          <w:rFonts w:cs="宋体" w:asciiTheme="minorEastAsia" w:hAnsiTheme="minorEastAsia"/>
          <w:b/>
          <w:sz w:val="24"/>
          <w:szCs w:val="24"/>
        </w:rPr>
      </w:pPr>
    </w:p>
    <w:p w14:paraId="02C2AE40">
      <w:pPr>
        <w:jc w:val="center"/>
        <w:outlineLvl w:val="1"/>
        <w:rPr>
          <w:rFonts w:cs="宋体" w:asciiTheme="minorEastAsia" w:hAnsiTheme="minorEastAsia"/>
          <w:b/>
          <w:sz w:val="24"/>
          <w:szCs w:val="24"/>
        </w:rPr>
      </w:pPr>
    </w:p>
    <w:p w14:paraId="64C79C68">
      <w:pPr>
        <w:jc w:val="center"/>
        <w:outlineLvl w:val="1"/>
        <w:rPr>
          <w:rFonts w:cs="宋体" w:asciiTheme="minorEastAsia" w:hAnsiTheme="minorEastAsia"/>
          <w:b/>
          <w:sz w:val="24"/>
          <w:szCs w:val="24"/>
        </w:rPr>
      </w:pPr>
    </w:p>
    <w:p w14:paraId="6C06D5C3">
      <w:pPr>
        <w:jc w:val="center"/>
        <w:outlineLvl w:val="1"/>
        <w:rPr>
          <w:rFonts w:cs="宋体" w:asciiTheme="minorEastAsia" w:hAnsiTheme="minorEastAsia"/>
          <w:b/>
          <w:sz w:val="24"/>
          <w:szCs w:val="24"/>
        </w:rPr>
      </w:pPr>
    </w:p>
    <w:p w14:paraId="1AE003D6">
      <w:pPr>
        <w:jc w:val="center"/>
        <w:outlineLvl w:val="1"/>
        <w:rPr>
          <w:rFonts w:cs="宋体" w:asciiTheme="minorEastAsia" w:hAnsiTheme="minorEastAsia"/>
          <w:b/>
          <w:sz w:val="24"/>
          <w:szCs w:val="24"/>
        </w:rPr>
      </w:pPr>
    </w:p>
    <w:p w14:paraId="2F26803F">
      <w:pPr>
        <w:jc w:val="center"/>
        <w:outlineLvl w:val="1"/>
        <w:rPr>
          <w:rFonts w:cs="宋体" w:asciiTheme="minorEastAsia" w:hAnsiTheme="minorEastAsia"/>
          <w:b/>
          <w:sz w:val="24"/>
          <w:szCs w:val="24"/>
        </w:rPr>
      </w:pPr>
    </w:p>
    <w:p w14:paraId="18B0CF07">
      <w:pPr>
        <w:jc w:val="center"/>
        <w:outlineLvl w:val="1"/>
        <w:rPr>
          <w:rFonts w:cs="宋体" w:asciiTheme="minorEastAsia" w:hAnsiTheme="minorEastAsia"/>
          <w:b/>
          <w:sz w:val="24"/>
          <w:szCs w:val="24"/>
        </w:rPr>
      </w:pPr>
    </w:p>
    <w:p w14:paraId="2B98D1F7">
      <w:pPr>
        <w:jc w:val="center"/>
        <w:outlineLvl w:val="1"/>
        <w:rPr>
          <w:rFonts w:cs="宋体" w:asciiTheme="minorEastAsia" w:hAnsiTheme="minorEastAsia"/>
          <w:b/>
          <w:sz w:val="24"/>
          <w:szCs w:val="24"/>
        </w:rPr>
      </w:pPr>
    </w:p>
    <w:p w14:paraId="3F6B1F7C">
      <w:pPr>
        <w:jc w:val="center"/>
        <w:outlineLvl w:val="1"/>
        <w:rPr>
          <w:rFonts w:cs="宋体" w:asciiTheme="minorEastAsia" w:hAnsiTheme="minorEastAsia"/>
          <w:b/>
          <w:sz w:val="24"/>
          <w:szCs w:val="24"/>
        </w:rPr>
      </w:pPr>
    </w:p>
    <w:p w14:paraId="4B03BA9D">
      <w:pPr>
        <w:jc w:val="center"/>
        <w:outlineLvl w:val="1"/>
        <w:rPr>
          <w:rFonts w:cs="宋体" w:asciiTheme="minorEastAsia" w:hAnsiTheme="minorEastAsia"/>
          <w:b/>
          <w:sz w:val="24"/>
          <w:szCs w:val="24"/>
        </w:rPr>
      </w:pPr>
    </w:p>
    <w:p w14:paraId="7DDAA73F">
      <w:pPr>
        <w:rPr>
          <w:rFonts w:hint="default" w:cs="宋体" w:asciiTheme="minorEastAsia" w:hAnsiTheme="minorEastAsia" w:eastAsiaTheme="minorEastAsia"/>
          <w:b/>
          <w:sz w:val="24"/>
          <w:szCs w:val="24"/>
          <w:lang w:val="en-US" w:eastAsia="zh-CN"/>
        </w:rPr>
      </w:pPr>
      <w:r>
        <w:rPr>
          <w:rFonts w:hint="eastAsia" w:cs="宋体" w:asciiTheme="minorEastAsia" w:hAnsiTheme="minorEastAsia"/>
          <w:b/>
          <w:sz w:val="24"/>
          <w:szCs w:val="24"/>
        </w:rPr>
        <w:br w:type="page"/>
      </w:r>
      <w:r>
        <w:rPr>
          <w:rFonts w:hint="eastAsia" w:cs="宋体" w:asciiTheme="minorEastAsia" w:hAnsiTheme="minorEastAsia"/>
          <w:b/>
          <w:sz w:val="24"/>
          <w:szCs w:val="24"/>
          <w:lang w:val="en-US" w:eastAsia="zh-CN"/>
        </w:rPr>
        <w:t xml:space="preserve">                                 八、综合部分</w:t>
      </w:r>
    </w:p>
    <w:p w14:paraId="7F950409">
      <w:pPr>
        <w:keepNext/>
        <w:keepLines/>
        <w:tabs>
          <w:tab w:val="left" w:pos="2940"/>
        </w:tabs>
        <w:spacing w:before="260" w:after="260"/>
        <w:jc w:val="center"/>
        <w:outlineLvl w:val="2"/>
        <w:rPr>
          <w:rFonts w:ascii="宋体" w:hAnsi="宋体" w:cs="宋体"/>
          <w:b/>
          <w:sz w:val="24"/>
          <w:szCs w:val="21"/>
        </w:rPr>
      </w:pPr>
      <w:bookmarkStart w:id="1257" w:name="_Toc19070"/>
      <w:r>
        <w:rPr>
          <w:rFonts w:hint="eastAsia" w:ascii="宋体" w:hAnsi="宋体" w:cs="宋体"/>
          <w:b/>
          <w:sz w:val="24"/>
          <w:szCs w:val="21"/>
        </w:rPr>
        <w:t>（一）</w:t>
      </w:r>
      <w:r>
        <w:rPr>
          <w:rFonts w:hint="eastAsia" w:ascii="宋体" w:hAnsi="宋体" w:cs="宋体"/>
          <w:b/>
          <w:sz w:val="24"/>
          <w:szCs w:val="21"/>
          <w:lang w:val="en-US" w:eastAsia="zh-CN"/>
        </w:rPr>
        <w:t>企业2023年1月1日以来</w:t>
      </w:r>
      <w:r>
        <w:rPr>
          <w:rFonts w:hint="eastAsia" w:ascii="宋体" w:hAnsi="宋体" w:cs="宋体"/>
          <w:b/>
          <w:sz w:val="24"/>
          <w:szCs w:val="21"/>
        </w:rPr>
        <w:t>完成的类似项目情况表</w:t>
      </w:r>
      <w:bookmarkEnd w:id="1257"/>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3942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14:paraId="1D3BECAE">
            <w:pPr>
              <w:topLinePunct/>
              <w:spacing w:line="600" w:lineRule="exact"/>
              <w:jc w:val="center"/>
              <w:rPr>
                <w:rFonts w:ascii="宋体" w:hAnsi="宋体" w:cs="宋体"/>
                <w:sz w:val="24"/>
                <w:szCs w:val="24"/>
              </w:rPr>
            </w:pPr>
            <w:r>
              <w:rPr>
                <w:rFonts w:hint="eastAsia" w:ascii="宋体" w:hAnsi="宋体" w:cs="宋体"/>
                <w:sz w:val="24"/>
                <w:szCs w:val="24"/>
              </w:rPr>
              <w:t>项目名称</w:t>
            </w:r>
          </w:p>
        </w:tc>
        <w:tc>
          <w:tcPr>
            <w:tcW w:w="6253" w:type="dxa"/>
          </w:tcPr>
          <w:p w14:paraId="6F2912AB">
            <w:pPr>
              <w:topLinePunct/>
              <w:spacing w:line="600" w:lineRule="exact"/>
              <w:rPr>
                <w:rFonts w:ascii="宋体" w:hAnsi="宋体" w:cs="宋体"/>
                <w:sz w:val="24"/>
                <w:szCs w:val="24"/>
                <w:highlight w:val="black"/>
              </w:rPr>
            </w:pPr>
          </w:p>
        </w:tc>
      </w:tr>
      <w:tr w14:paraId="578D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14:paraId="7F960C48">
            <w:pPr>
              <w:topLinePunct/>
              <w:spacing w:line="600" w:lineRule="exact"/>
              <w:jc w:val="center"/>
              <w:rPr>
                <w:rFonts w:ascii="宋体" w:hAnsi="宋体" w:cs="宋体"/>
                <w:sz w:val="24"/>
                <w:szCs w:val="24"/>
              </w:rPr>
            </w:pPr>
            <w:r>
              <w:rPr>
                <w:rFonts w:hint="eastAsia" w:ascii="宋体" w:hAnsi="宋体" w:cs="宋体"/>
                <w:sz w:val="24"/>
                <w:szCs w:val="24"/>
              </w:rPr>
              <w:t>项目所在地</w:t>
            </w:r>
          </w:p>
        </w:tc>
        <w:tc>
          <w:tcPr>
            <w:tcW w:w="6253" w:type="dxa"/>
          </w:tcPr>
          <w:p w14:paraId="440A4591">
            <w:pPr>
              <w:topLinePunct/>
              <w:spacing w:line="600" w:lineRule="exact"/>
              <w:rPr>
                <w:rFonts w:ascii="宋体" w:hAnsi="宋体" w:cs="宋体"/>
                <w:sz w:val="24"/>
                <w:szCs w:val="24"/>
              </w:rPr>
            </w:pPr>
          </w:p>
        </w:tc>
      </w:tr>
      <w:tr w14:paraId="0CC2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14:paraId="4AE10083">
            <w:pPr>
              <w:topLinePunct/>
              <w:spacing w:line="600" w:lineRule="exact"/>
              <w:jc w:val="center"/>
              <w:rPr>
                <w:rFonts w:ascii="宋体" w:hAnsi="宋体" w:cs="宋体"/>
                <w:sz w:val="24"/>
                <w:szCs w:val="24"/>
              </w:rPr>
            </w:pPr>
            <w:r>
              <w:rPr>
                <w:rFonts w:hint="eastAsia" w:ascii="宋体" w:hAnsi="宋体" w:cs="宋体"/>
                <w:sz w:val="24"/>
                <w:szCs w:val="24"/>
              </w:rPr>
              <w:t>发包人名称</w:t>
            </w:r>
          </w:p>
        </w:tc>
        <w:tc>
          <w:tcPr>
            <w:tcW w:w="6253" w:type="dxa"/>
          </w:tcPr>
          <w:p w14:paraId="258B1E41">
            <w:pPr>
              <w:topLinePunct/>
              <w:spacing w:line="600" w:lineRule="exact"/>
              <w:rPr>
                <w:rFonts w:ascii="宋体" w:hAnsi="宋体" w:cs="宋体"/>
                <w:sz w:val="24"/>
                <w:szCs w:val="24"/>
              </w:rPr>
            </w:pPr>
          </w:p>
        </w:tc>
      </w:tr>
      <w:tr w14:paraId="3B4A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14:paraId="7567C601">
            <w:pPr>
              <w:topLinePunct/>
              <w:spacing w:line="600" w:lineRule="exact"/>
              <w:jc w:val="center"/>
              <w:rPr>
                <w:rFonts w:ascii="宋体" w:hAnsi="宋体" w:cs="宋体"/>
                <w:sz w:val="24"/>
                <w:szCs w:val="24"/>
              </w:rPr>
            </w:pPr>
            <w:r>
              <w:rPr>
                <w:rFonts w:hint="eastAsia" w:ascii="宋体" w:hAnsi="宋体" w:cs="宋体"/>
                <w:sz w:val="24"/>
                <w:szCs w:val="24"/>
              </w:rPr>
              <w:t>发包人地址</w:t>
            </w:r>
          </w:p>
        </w:tc>
        <w:tc>
          <w:tcPr>
            <w:tcW w:w="6253" w:type="dxa"/>
          </w:tcPr>
          <w:p w14:paraId="6B8636BE">
            <w:pPr>
              <w:topLinePunct/>
              <w:spacing w:line="600" w:lineRule="exact"/>
              <w:rPr>
                <w:rFonts w:ascii="宋体" w:hAnsi="宋体" w:cs="宋体"/>
                <w:sz w:val="24"/>
                <w:szCs w:val="24"/>
              </w:rPr>
            </w:pPr>
          </w:p>
        </w:tc>
      </w:tr>
      <w:tr w14:paraId="1AFF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14:paraId="403789DE">
            <w:pPr>
              <w:topLinePunct/>
              <w:spacing w:line="600" w:lineRule="exact"/>
              <w:jc w:val="center"/>
              <w:rPr>
                <w:rFonts w:ascii="宋体" w:hAnsi="宋体" w:cs="宋体"/>
                <w:sz w:val="24"/>
                <w:szCs w:val="24"/>
              </w:rPr>
            </w:pPr>
            <w:r>
              <w:rPr>
                <w:rFonts w:hint="eastAsia" w:ascii="宋体" w:hAnsi="宋体" w:cs="宋体"/>
                <w:sz w:val="24"/>
                <w:szCs w:val="24"/>
              </w:rPr>
              <w:t>发包人电话</w:t>
            </w:r>
          </w:p>
        </w:tc>
        <w:tc>
          <w:tcPr>
            <w:tcW w:w="6253" w:type="dxa"/>
          </w:tcPr>
          <w:p w14:paraId="645D706C">
            <w:pPr>
              <w:topLinePunct/>
              <w:spacing w:line="600" w:lineRule="exact"/>
              <w:rPr>
                <w:rFonts w:ascii="宋体" w:hAnsi="宋体" w:cs="宋体"/>
                <w:sz w:val="24"/>
                <w:szCs w:val="24"/>
              </w:rPr>
            </w:pPr>
          </w:p>
        </w:tc>
      </w:tr>
      <w:tr w14:paraId="5910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14:paraId="1A3C567F">
            <w:pPr>
              <w:topLinePunct/>
              <w:spacing w:line="600" w:lineRule="exact"/>
              <w:jc w:val="center"/>
              <w:rPr>
                <w:rFonts w:ascii="宋体" w:hAnsi="宋体" w:cs="宋体"/>
                <w:sz w:val="24"/>
                <w:szCs w:val="24"/>
              </w:rPr>
            </w:pPr>
            <w:r>
              <w:rPr>
                <w:rFonts w:hint="eastAsia" w:ascii="宋体" w:hAnsi="宋体" w:cs="宋体"/>
                <w:sz w:val="24"/>
                <w:szCs w:val="24"/>
              </w:rPr>
              <w:t>合同价格</w:t>
            </w:r>
          </w:p>
        </w:tc>
        <w:tc>
          <w:tcPr>
            <w:tcW w:w="6253" w:type="dxa"/>
          </w:tcPr>
          <w:p w14:paraId="3B962D4D">
            <w:pPr>
              <w:topLinePunct/>
              <w:spacing w:line="600" w:lineRule="exact"/>
              <w:rPr>
                <w:rFonts w:ascii="宋体" w:hAnsi="宋体" w:cs="宋体"/>
                <w:sz w:val="24"/>
                <w:szCs w:val="24"/>
              </w:rPr>
            </w:pPr>
          </w:p>
        </w:tc>
      </w:tr>
      <w:tr w14:paraId="7BDA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346FB111">
            <w:pPr>
              <w:topLinePunct/>
              <w:spacing w:line="600" w:lineRule="exact"/>
              <w:jc w:val="center"/>
              <w:rPr>
                <w:rFonts w:ascii="宋体" w:hAnsi="宋体" w:cs="宋体"/>
                <w:sz w:val="24"/>
                <w:szCs w:val="24"/>
              </w:rPr>
            </w:pPr>
            <w:r>
              <w:rPr>
                <w:rFonts w:hint="eastAsia" w:ascii="宋体" w:hAnsi="宋体" w:cs="宋体"/>
                <w:sz w:val="24"/>
                <w:szCs w:val="24"/>
              </w:rPr>
              <w:t>开工日期</w:t>
            </w:r>
          </w:p>
        </w:tc>
        <w:tc>
          <w:tcPr>
            <w:tcW w:w="6253" w:type="dxa"/>
          </w:tcPr>
          <w:p w14:paraId="08B43CD6">
            <w:pPr>
              <w:topLinePunct/>
              <w:spacing w:line="600" w:lineRule="exact"/>
              <w:rPr>
                <w:rFonts w:ascii="宋体" w:hAnsi="宋体" w:cs="宋体"/>
                <w:sz w:val="24"/>
                <w:szCs w:val="24"/>
              </w:rPr>
            </w:pPr>
          </w:p>
        </w:tc>
      </w:tr>
      <w:tr w14:paraId="2D38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14:paraId="3CAB7C18">
            <w:pPr>
              <w:topLinePunct/>
              <w:spacing w:line="600" w:lineRule="exact"/>
              <w:jc w:val="center"/>
              <w:rPr>
                <w:rFonts w:ascii="宋体" w:hAnsi="宋体" w:cs="宋体"/>
                <w:sz w:val="24"/>
                <w:szCs w:val="24"/>
              </w:rPr>
            </w:pPr>
            <w:r>
              <w:rPr>
                <w:rFonts w:hint="eastAsia" w:ascii="宋体" w:hAnsi="宋体" w:cs="宋体"/>
                <w:sz w:val="24"/>
                <w:szCs w:val="24"/>
              </w:rPr>
              <w:t>竣工日期</w:t>
            </w:r>
          </w:p>
        </w:tc>
        <w:tc>
          <w:tcPr>
            <w:tcW w:w="6253" w:type="dxa"/>
          </w:tcPr>
          <w:p w14:paraId="2DAF501A">
            <w:pPr>
              <w:topLinePunct/>
              <w:spacing w:line="600" w:lineRule="exact"/>
              <w:rPr>
                <w:rFonts w:ascii="宋体" w:hAnsi="宋体" w:cs="宋体"/>
                <w:sz w:val="24"/>
                <w:szCs w:val="24"/>
              </w:rPr>
            </w:pPr>
          </w:p>
        </w:tc>
      </w:tr>
      <w:tr w14:paraId="2914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269" w:type="dxa"/>
            <w:vAlign w:val="center"/>
          </w:tcPr>
          <w:p w14:paraId="034D0D57">
            <w:pPr>
              <w:topLinePunct/>
              <w:spacing w:line="600" w:lineRule="exact"/>
              <w:jc w:val="center"/>
              <w:rPr>
                <w:rFonts w:ascii="宋体" w:hAnsi="宋体" w:cs="宋体"/>
                <w:sz w:val="24"/>
                <w:szCs w:val="24"/>
              </w:rPr>
            </w:pPr>
            <w:r>
              <w:rPr>
                <w:rFonts w:hint="eastAsia" w:ascii="宋体" w:hAnsi="宋体" w:cs="宋体"/>
                <w:sz w:val="24"/>
                <w:szCs w:val="24"/>
              </w:rPr>
              <w:t>承担的工作</w:t>
            </w:r>
          </w:p>
        </w:tc>
        <w:tc>
          <w:tcPr>
            <w:tcW w:w="6253" w:type="dxa"/>
          </w:tcPr>
          <w:p w14:paraId="03F1AA10">
            <w:pPr>
              <w:topLinePunct/>
              <w:spacing w:line="600" w:lineRule="exact"/>
              <w:rPr>
                <w:rFonts w:ascii="宋体" w:hAnsi="宋体" w:cs="宋体"/>
                <w:sz w:val="24"/>
                <w:szCs w:val="24"/>
              </w:rPr>
            </w:pPr>
          </w:p>
        </w:tc>
      </w:tr>
      <w:tr w14:paraId="0EB1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69" w:type="dxa"/>
            <w:vAlign w:val="center"/>
          </w:tcPr>
          <w:p w14:paraId="1DCAC838">
            <w:pPr>
              <w:topLinePunct/>
              <w:spacing w:line="600" w:lineRule="exact"/>
              <w:jc w:val="center"/>
              <w:rPr>
                <w:rFonts w:ascii="宋体" w:hAnsi="宋体" w:cs="宋体"/>
                <w:sz w:val="24"/>
                <w:szCs w:val="24"/>
              </w:rPr>
            </w:pPr>
            <w:r>
              <w:rPr>
                <w:rFonts w:hint="eastAsia" w:ascii="宋体" w:hAnsi="宋体" w:cs="宋体"/>
                <w:sz w:val="24"/>
                <w:szCs w:val="24"/>
              </w:rPr>
              <w:t>工程质量</w:t>
            </w:r>
          </w:p>
        </w:tc>
        <w:tc>
          <w:tcPr>
            <w:tcW w:w="6253" w:type="dxa"/>
          </w:tcPr>
          <w:p w14:paraId="28928F7F">
            <w:pPr>
              <w:topLinePunct/>
              <w:spacing w:line="600" w:lineRule="exact"/>
              <w:rPr>
                <w:rFonts w:ascii="宋体" w:hAnsi="宋体" w:cs="宋体"/>
                <w:sz w:val="24"/>
                <w:szCs w:val="24"/>
              </w:rPr>
            </w:pPr>
          </w:p>
        </w:tc>
      </w:tr>
      <w:tr w14:paraId="6010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269" w:type="dxa"/>
            <w:vAlign w:val="center"/>
          </w:tcPr>
          <w:p w14:paraId="421DBE41">
            <w:pPr>
              <w:topLinePunct/>
              <w:spacing w:line="600" w:lineRule="exact"/>
              <w:jc w:val="center"/>
              <w:rPr>
                <w:rFonts w:ascii="宋体" w:hAnsi="宋体" w:cs="宋体"/>
                <w:sz w:val="24"/>
                <w:szCs w:val="24"/>
              </w:rPr>
            </w:pPr>
            <w:r>
              <w:rPr>
                <w:rFonts w:hint="eastAsia" w:ascii="宋体" w:hAnsi="宋体" w:cs="宋体"/>
                <w:sz w:val="24"/>
                <w:szCs w:val="24"/>
              </w:rPr>
              <w:t>项目经理</w:t>
            </w:r>
          </w:p>
        </w:tc>
        <w:tc>
          <w:tcPr>
            <w:tcW w:w="6253" w:type="dxa"/>
          </w:tcPr>
          <w:p w14:paraId="3B807558">
            <w:pPr>
              <w:topLinePunct/>
              <w:spacing w:line="600" w:lineRule="exact"/>
              <w:rPr>
                <w:rFonts w:ascii="宋体" w:hAnsi="宋体" w:cs="宋体"/>
                <w:sz w:val="24"/>
                <w:szCs w:val="24"/>
              </w:rPr>
            </w:pPr>
          </w:p>
        </w:tc>
      </w:tr>
      <w:tr w14:paraId="7A8E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69" w:type="dxa"/>
            <w:vAlign w:val="center"/>
          </w:tcPr>
          <w:p w14:paraId="74A26B7B">
            <w:pPr>
              <w:topLinePunct/>
              <w:spacing w:line="600" w:lineRule="exact"/>
              <w:jc w:val="center"/>
              <w:rPr>
                <w:rFonts w:ascii="宋体" w:hAnsi="宋体" w:cs="宋体"/>
                <w:sz w:val="24"/>
                <w:szCs w:val="24"/>
              </w:rPr>
            </w:pPr>
            <w:r>
              <w:rPr>
                <w:rFonts w:hint="eastAsia" w:ascii="宋体" w:hAnsi="宋体" w:cs="宋体"/>
                <w:sz w:val="24"/>
                <w:szCs w:val="24"/>
              </w:rPr>
              <w:t>技术负责人</w:t>
            </w:r>
          </w:p>
        </w:tc>
        <w:tc>
          <w:tcPr>
            <w:tcW w:w="6253" w:type="dxa"/>
          </w:tcPr>
          <w:p w14:paraId="3E04600A">
            <w:pPr>
              <w:topLinePunct/>
              <w:spacing w:line="600" w:lineRule="exact"/>
              <w:rPr>
                <w:rFonts w:ascii="宋体" w:hAnsi="宋体" w:cs="宋体"/>
                <w:sz w:val="24"/>
                <w:szCs w:val="24"/>
              </w:rPr>
            </w:pPr>
          </w:p>
        </w:tc>
      </w:tr>
      <w:tr w14:paraId="7A37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2269" w:type="dxa"/>
            <w:vAlign w:val="center"/>
          </w:tcPr>
          <w:p w14:paraId="262775AB">
            <w:pPr>
              <w:topLinePunct/>
              <w:spacing w:line="600" w:lineRule="exact"/>
              <w:jc w:val="center"/>
              <w:rPr>
                <w:rFonts w:ascii="宋体" w:hAnsi="宋体" w:cs="宋体"/>
                <w:sz w:val="24"/>
                <w:szCs w:val="24"/>
              </w:rPr>
            </w:pPr>
            <w:r>
              <w:rPr>
                <w:rFonts w:hint="eastAsia" w:ascii="宋体" w:hAnsi="宋体" w:cs="宋体"/>
                <w:sz w:val="24"/>
                <w:szCs w:val="24"/>
              </w:rPr>
              <w:t>项目描述</w:t>
            </w:r>
          </w:p>
        </w:tc>
        <w:tc>
          <w:tcPr>
            <w:tcW w:w="6253" w:type="dxa"/>
          </w:tcPr>
          <w:p w14:paraId="3922ECE8">
            <w:pPr>
              <w:topLinePunct/>
              <w:spacing w:line="600" w:lineRule="exact"/>
              <w:rPr>
                <w:rFonts w:ascii="宋体" w:hAnsi="宋体" w:cs="宋体"/>
                <w:sz w:val="24"/>
                <w:szCs w:val="24"/>
              </w:rPr>
            </w:pPr>
          </w:p>
        </w:tc>
      </w:tr>
      <w:tr w14:paraId="6F41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4115FAB5">
            <w:pPr>
              <w:topLinePunct/>
              <w:spacing w:line="600" w:lineRule="exact"/>
              <w:jc w:val="center"/>
              <w:rPr>
                <w:rFonts w:ascii="宋体" w:hAnsi="宋体" w:cs="宋体"/>
                <w:sz w:val="24"/>
                <w:szCs w:val="24"/>
              </w:rPr>
            </w:pPr>
            <w:r>
              <w:rPr>
                <w:rFonts w:hint="eastAsia" w:ascii="宋体" w:hAnsi="宋体" w:cs="宋体"/>
                <w:sz w:val="24"/>
                <w:szCs w:val="24"/>
              </w:rPr>
              <w:t>备注</w:t>
            </w:r>
          </w:p>
        </w:tc>
        <w:tc>
          <w:tcPr>
            <w:tcW w:w="6253" w:type="dxa"/>
          </w:tcPr>
          <w:p w14:paraId="786B7695">
            <w:pPr>
              <w:topLinePunct/>
              <w:spacing w:line="600" w:lineRule="exact"/>
              <w:rPr>
                <w:rFonts w:ascii="宋体" w:hAnsi="宋体" w:cs="宋体"/>
                <w:sz w:val="24"/>
                <w:szCs w:val="24"/>
              </w:rPr>
            </w:pPr>
          </w:p>
        </w:tc>
      </w:tr>
    </w:tbl>
    <w:p w14:paraId="72C3920A">
      <w:pPr>
        <w:rPr>
          <w:rFonts w:ascii="宋体" w:hAnsi="宋体"/>
          <w:sz w:val="24"/>
          <w:szCs w:val="21"/>
          <w:lang w:bidi="zh-CN"/>
        </w:rPr>
      </w:pPr>
      <w:r>
        <w:rPr>
          <w:rFonts w:ascii="宋体" w:hAnsi="宋体"/>
          <w:sz w:val="24"/>
          <w:szCs w:val="21"/>
          <w:lang w:bidi="zh-CN"/>
        </w:rPr>
        <w:t>备注：1、本表后</w:t>
      </w:r>
      <w:r>
        <w:rPr>
          <w:rFonts w:hint="eastAsia" w:ascii="宋体" w:hAnsi="宋体" w:eastAsia="宋体" w:cs="宋体"/>
          <w:bCs/>
          <w:color w:val="auto"/>
          <w:kern w:val="1"/>
          <w:sz w:val="24"/>
          <w:szCs w:val="24"/>
          <w:highlight w:val="none"/>
          <w:lang w:val="zh-CN"/>
        </w:rPr>
        <w:t>须提供合同</w:t>
      </w:r>
      <w:r>
        <w:rPr>
          <w:rFonts w:hint="eastAsia" w:ascii="宋体" w:hAnsi="宋体"/>
          <w:sz w:val="24"/>
          <w:szCs w:val="21"/>
          <w:lang w:bidi="zh-CN"/>
        </w:rPr>
        <w:t>原件</w:t>
      </w:r>
      <w:r>
        <w:rPr>
          <w:rFonts w:ascii="宋体" w:hAnsi="宋体"/>
          <w:sz w:val="24"/>
          <w:szCs w:val="21"/>
          <w:lang w:bidi="zh-CN"/>
        </w:rPr>
        <w:t>扫描件。每张表格只填写一个项目，并标明序号。</w:t>
      </w:r>
    </w:p>
    <w:p w14:paraId="2DBE8AC9">
      <w:pPr>
        <w:keepNext/>
        <w:keepLines/>
        <w:tabs>
          <w:tab w:val="left" w:pos="2940"/>
        </w:tabs>
        <w:spacing w:before="260" w:after="260"/>
        <w:jc w:val="center"/>
        <w:outlineLvl w:val="2"/>
        <w:rPr>
          <w:rFonts w:ascii="宋体" w:hAnsi="宋体" w:cs="宋体"/>
          <w:b/>
          <w:bCs/>
          <w:szCs w:val="21"/>
        </w:rPr>
      </w:pPr>
      <w:r>
        <w:rPr>
          <w:b/>
          <w:bCs/>
          <w:sz w:val="32"/>
          <w:szCs w:val="32"/>
        </w:rPr>
        <w:br w:type="page"/>
      </w:r>
      <w:bookmarkStart w:id="1258" w:name="_Toc152045811"/>
      <w:bookmarkStart w:id="1259" w:name="_Toc152042600"/>
      <w:bookmarkStart w:id="1260" w:name="_Toc296602621"/>
      <w:bookmarkStart w:id="1261" w:name="_Toc247527851"/>
      <w:bookmarkStart w:id="1262" w:name="_Toc8282"/>
      <w:bookmarkStart w:id="1263" w:name="_Toc265953297"/>
      <w:bookmarkStart w:id="1264" w:name="_Toc247514303"/>
      <w:bookmarkStart w:id="1265" w:name="_Toc144974879"/>
      <w:bookmarkStart w:id="1266" w:name="_Toc1634"/>
      <w:r>
        <w:rPr>
          <w:rFonts w:hint="eastAsia" w:ascii="宋体" w:hAnsi="宋体" w:cs="宋体"/>
          <w:b/>
          <w:sz w:val="24"/>
          <w:szCs w:val="21"/>
        </w:rPr>
        <w:t>（二）</w:t>
      </w:r>
      <w:r>
        <w:rPr>
          <w:rFonts w:hint="eastAsia" w:ascii="宋体" w:hAnsi="宋体" w:cs="宋体"/>
          <w:b/>
          <w:sz w:val="24"/>
          <w:szCs w:val="21"/>
          <w:lang w:val="en-US" w:eastAsia="zh-CN"/>
        </w:rPr>
        <w:t>企业</w:t>
      </w:r>
      <w:r>
        <w:rPr>
          <w:rFonts w:hint="eastAsia" w:ascii="宋体" w:hAnsi="宋体" w:cs="宋体"/>
          <w:b/>
          <w:sz w:val="24"/>
          <w:szCs w:val="21"/>
        </w:rPr>
        <w:t>正在实施的和新承接的项目情况表</w:t>
      </w:r>
      <w:bookmarkEnd w:id="1258"/>
      <w:bookmarkEnd w:id="1259"/>
      <w:bookmarkEnd w:id="1260"/>
      <w:bookmarkEnd w:id="1261"/>
      <w:bookmarkEnd w:id="1262"/>
      <w:bookmarkEnd w:id="1263"/>
      <w:bookmarkEnd w:id="1264"/>
      <w:bookmarkEnd w:id="1265"/>
      <w:bookmarkEnd w:id="1266"/>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14:paraId="6CC6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0" w:hRule="atLeast"/>
          <w:jc w:val="center"/>
        </w:trPr>
        <w:tc>
          <w:tcPr>
            <w:tcW w:w="2119" w:type="dxa"/>
            <w:vAlign w:val="center"/>
          </w:tcPr>
          <w:p w14:paraId="44C894BE">
            <w:pPr>
              <w:topLinePunct/>
              <w:spacing w:line="600" w:lineRule="exact"/>
              <w:jc w:val="center"/>
              <w:rPr>
                <w:rFonts w:ascii="宋体" w:hAnsi="宋体" w:cs="宋体"/>
                <w:sz w:val="24"/>
                <w:szCs w:val="24"/>
              </w:rPr>
            </w:pPr>
            <w:r>
              <w:rPr>
                <w:rFonts w:hint="eastAsia" w:ascii="宋体" w:hAnsi="宋体" w:cs="宋体"/>
                <w:sz w:val="24"/>
                <w:szCs w:val="24"/>
              </w:rPr>
              <w:t>项目名称</w:t>
            </w:r>
          </w:p>
        </w:tc>
        <w:tc>
          <w:tcPr>
            <w:tcW w:w="6403" w:type="dxa"/>
          </w:tcPr>
          <w:p w14:paraId="6D836DF5">
            <w:pPr>
              <w:topLinePunct/>
              <w:spacing w:line="600" w:lineRule="exact"/>
              <w:rPr>
                <w:rFonts w:ascii="宋体" w:hAnsi="宋体" w:cs="宋体"/>
                <w:sz w:val="24"/>
                <w:szCs w:val="24"/>
              </w:rPr>
            </w:pPr>
          </w:p>
        </w:tc>
      </w:tr>
      <w:tr w14:paraId="1E28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119" w:type="dxa"/>
            <w:vAlign w:val="center"/>
          </w:tcPr>
          <w:p w14:paraId="6AAE6835">
            <w:pPr>
              <w:topLinePunct/>
              <w:spacing w:line="600" w:lineRule="exact"/>
              <w:jc w:val="center"/>
              <w:rPr>
                <w:rFonts w:ascii="宋体" w:hAnsi="宋体" w:cs="宋体"/>
                <w:sz w:val="24"/>
                <w:szCs w:val="24"/>
              </w:rPr>
            </w:pPr>
            <w:r>
              <w:rPr>
                <w:rFonts w:hint="eastAsia" w:ascii="宋体" w:hAnsi="宋体" w:cs="宋体"/>
                <w:sz w:val="24"/>
                <w:szCs w:val="24"/>
              </w:rPr>
              <w:t>项目所在地</w:t>
            </w:r>
          </w:p>
        </w:tc>
        <w:tc>
          <w:tcPr>
            <w:tcW w:w="6403" w:type="dxa"/>
          </w:tcPr>
          <w:p w14:paraId="12FA5291">
            <w:pPr>
              <w:topLinePunct/>
              <w:spacing w:line="600" w:lineRule="exact"/>
              <w:rPr>
                <w:rFonts w:ascii="宋体" w:hAnsi="宋体" w:cs="宋体"/>
                <w:sz w:val="24"/>
                <w:szCs w:val="24"/>
              </w:rPr>
            </w:pPr>
          </w:p>
        </w:tc>
      </w:tr>
      <w:tr w14:paraId="6667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119" w:type="dxa"/>
            <w:vAlign w:val="center"/>
          </w:tcPr>
          <w:p w14:paraId="596B5BBA">
            <w:pPr>
              <w:topLinePunct/>
              <w:spacing w:line="600" w:lineRule="exact"/>
              <w:jc w:val="center"/>
              <w:rPr>
                <w:rFonts w:ascii="宋体" w:hAnsi="宋体" w:cs="宋体"/>
                <w:sz w:val="24"/>
                <w:szCs w:val="24"/>
              </w:rPr>
            </w:pPr>
            <w:r>
              <w:rPr>
                <w:rFonts w:hint="eastAsia" w:ascii="宋体" w:hAnsi="宋体" w:cs="宋体"/>
                <w:sz w:val="24"/>
                <w:szCs w:val="24"/>
              </w:rPr>
              <w:t>发包人名称</w:t>
            </w:r>
          </w:p>
        </w:tc>
        <w:tc>
          <w:tcPr>
            <w:tcW w:w="6403" w:type="dxa"/>
          </w:tcPr>
          <w:p w14:paraId="74893F5C">
            <w:pPr>
              <w:topLinePunct/>
              <w:spacing w:line="600" w:lineRule="exact"/>
              <w:rPr>
                <w:rFonts w:ascii="宋体" w:hAnsi="宋体" w:cs="宋体"/>
                <w:sz w:val="24"/>
                <w:szCs w:val="24"/>
              </w:rPr>
            </w:pPr>
          </w:p>
        </w:tc>
      </w:tr>
      <w:tr w14:paraId="06AE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19" w:type="dxa"/>
            <w:vAlign w:val="center"/>
          </w:tcPr>
          <w:p w14:paraId="1819DF93">
            <w:pPr>
              <w:topLinePunct/>
              <w:spacing w:line="600" w:lineRule="exact"/>
              <w:jc w:val="center"/>
              <w:rPr>
                <w:rFonts w:ascii="宋体" w:hAnsi="宋体" w:cs="宋体"/>
                <w:sz w:val="24"/>
                <w:szCs w:val="24"/>
              </w:rPr>
            </w:pPr>
            <w:r>
              <w:rPr>
                <w:rFonts w:hint="eastAsia" w:ascii="宋体" w:hAnsi="宋体" w:cs="宋体"/>
                <w:sz w:val="24"/>
                <w:szCs w:val="24"/>
              </w:rPr>
              <w:t>发包人地址</w:t>
            </w:r>
          </w:p>
        </w:tc>
        <w:tc>
          <w:tcPr>
            <w:tcW w:w="6403" w:type="dxa"/>
          </w:tcPr>
          <w:p w14:paraId="1C0C1FC2">
            <w:pPr>
              <w:topLinePunct/>
              <w:spacing w:line="600" w:lineRule="exact"/>
              <w:rPr>
                <w:rFonts w:ascii="宋体" w:hAnsi="宋体" w:cs="宋体"/>
                <w:sz w:val="24"/>
                <w:szCs w:val="24"/>
              </w:rPr>
            </w:pPr>
          </w:p>
        </w:tc>
      </w:tr>
      <w:tr w14:paraId="0180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19" w:type="dxa"/>
            <w:vAlign w:val="center"/>
          </w:tcPr>
          <w:p w14:paraId="52D00127">
            <w:pPr>
              <w:topLinePunct/>
              <w:spacing w:line="600" w:lineRule="exact"/>
              <w:jc w:val="center"/>
              <w:rPr>
                <w:rFonts w:ascii="宋体" w:hAnsi="宋体" w:cs="宋体"/>
                <w:sz w:val="24"/>
                <w:szCs w:val="24"/>
              </w:rPr>
            </w:pPr>
            <w:r>
              <w:rPr>
                <w:rFonts w:hint="eastAsia" w:ascii="宋体" w:hAnsi="宋体" w:cs="宋体"/>
                <w:sz w:val="24"/>
                <w:szCs w:val="24"/>
              </w:rPr>
              <w:t>发包人电话</w:t>
            </w:r>
          </w:p>
        </w:tc>
        <w:tc>
          <w:tcPr>
            <w:tcW w:w="6403" w:type="dxa"/>
          </w:tcPr>
          <w:p w14:paraId="12FCD392">
            <w:pPr>
              <w:topLinePunct/>
              <w:spacing w:line="600" w:lineRule="exact"/>
              <w:rPr>
                <w:rFonts w:ascii="宋体" w:hAnsi="宋体" w:cs="宋体"/>
                <w:sz w:val="24"/>
                <w:szCs w:val="24"/>
              </w:rPr>
            </w:pPr>
          </w:p>
        </w:tc>
      </w:tr>
      <w:tr w14:paraId="660A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119" w:type="dxa"/>
            <w:vAlign w:val="center"/>
          </w:tcPr>
          <w:p w14:paraId="62343687">
            <w:pPr>
              <w:topLinePunct/>
              <w:spacing w:line="600" w:lineRule="exact"/>
              <w:jc w:val="center"/>
              <w:rPr>
                <w:rFonts w:ascii="宋体" w:hAnsi="宋体" w:cs="宋体"/>
                <w:sz w:val="24"/>
                <w:szCs w:val="24"/>
              </w:rPr>
            </w:pPr>
            <w:r>
              <w:rPr>
                <w:rFonts w:hint="eastAsia" w:ascii="宋体" w:hAnsi="宋体" w:cs="宋体"/>
                <w:sz w:val="24"/>
                <w:szCs w:val="24"/>
              </w:rPr>
              <w:t>签约合同价</w:t>
            </w:r>
          </w:p>
        </w:tc>
        <w:tc>
          <w:tcPr>
            <w:tcW w:w="6403" w:type="dxa"/>
          </w:tcPr>
          <w:p w14:paraId="303BD953">
            <w:pPr>
              <w:topLinePunct/>
              <w:spacing w:line="600" w:lineRule="exact"/>
              <w:rPr>
                <w:rFonts w:ascii="宋体" w:hAnsi="宋体" w:cs="宋体"/>
                <w:sz w:val="24"/>
                <w:szCs w:val="24"/>
              </w:rPr>
            </w:pPr>
          </w:p>
        </w:tc>
      </w:tr>
      <w:tr w14:paraId="7131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119" w:type="dxa"/>
            <w:vAlign w:val="center"/>
          </w:tcPr>
          <w:p w14:paraId="229BB916">
            <w:pPr>
              <w:topLinePunct/>
              <w:spacing w:line="600" w:lineRule="exact"/>
              <w:jc w:val="center"/>
              <w:rPr>
                <w:rFonts w:ascii="宋体" w:hAnsi="宋体" w:cs="宋体"/>
                <w:sz w:val="24"/>
                <w:szCs w:val="24"/>
              </w:rPr>
            </w:pPr>
            <w:r>
              <w:rPr>
                <w:rFonts w:hint="eastAsia" w:ascii="宋体" w:hAnsi="宋体" w:cs="宋体"/>
                <w:sz w:val="24"/>
                <w:szCs w:val="24"/>
              </w:rPr>
              <w:t>开工日期</w:t>
            </w:r>
          </w:p>
        </w:tc>
        <w:tc>
          <w:tcPr>
            <w:tcW w:w="6403" w:type="dxa"/>
          </w:tcPr>
          <w:p w14:paraId="74145F7A">
            <w:pPr>
              <w:topLinePunct/>
              <w:spacing w:line="600" w:lineRule="exact"/>
              <w:rPr>
                <w:rFonts w:ascii="宋体" w:hAnsi="宋体" w:cs="宋体"/>
                <w:sz w:val="24"/>
                <w:szCs w:val="24"/>
              </w:rPr>
            </w:pPr>
          </w:p>
        </w:tc>
      </w:tr>
      <w:tr w14:paraId="6AF0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119" w:type="dxa"/>
            <w:vAlign w:val="center"/>
          </w:tcPr>
          <w:p w14:paraId="48FEE21F">
            <w:pPr>
              <w:topLinePunct/>
              <w:spacing w:line="600" w:lineRule="exact"/>
              <w:jc w:val="center"/>
              <w:rPr>
                <w:rFonts w:ascii="宋体" w:hAnsi="宋体" w:cs="宋体"/>
                <w:sz w:val="24"/>
                <w:szCs w:val="24"/>
              </w:rPr>
            </w:pPr>
            <w:r>
              <w:rPr>
                <w:rFonts w:hint="eastAsia" w:ascii="宋体" w:hAnsi="宋体" w:cs="宋体"/>
                <w:sz w:val="24"/>
                <w:szCs w:val="24"/>
              </w:rPr>
              <w:t>计划竣工日期</w:t>
            </w:r>
          </w:p>
        </w:tc>
        <w:tc>
          <w:tcPr>
            <w:tcW w:w="6403" w:type="dxa"/>
          </w:tcPr>
          <w:p w14:paraId="43A01E98">
            <w:pPr>
              <w:topLinePunct/>
              <w:spacing w:line="600" w:lineRule="exact"/>
              <w:rPr>
                <w:rFonts w:ascii="宋体" w:hAnsi="宋体" w:cs="宋体"/>
                <w:sz w:val="24"/>
                <w:szCs w:val="24"/>
              </w:rPr>
            </w:pPr>
          </w:p>
        </w:tc>
      </w:tr>
      <w:tr w14:paraId="1601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119" w:type="dxa"/>
            <w:vAlign w:val="center"/>
          </w:tcPr>
          <w:p w14:paraId="66664FD2">
            <w:pPr>
              <w:topLinePunct/>
              <w:spacing w:line="600" w:lineRule="exact"/>
              <w:jc w:val="center"/>
              <w:rPr>
                <w:rFonts w:ascii="宋体" w:hAnsi="宋体" w:cs="宋体"/>
                <w:sz w:val="24"/>
                <w:szCs w:val="24"/>
              </w:rPr>
            </w:pPr>
            <w:r>
              <w:rPr>
                <w:rFonts w:hint="eastAsia" w:ascii="宋体" w:hAnsi="宋体" w:cs="宋体"/>
                <w:sz w:val="24"/>
                <w:szCs w:val="24"/>
              </w:rPr>
              <w:t>承担的工作</w:t>
            </w:r>
          </w:p>
        </w:tc>
        <w:tc>
          <w:tcPr>
            <w:tcW w:w="6403" w:type="dxa"/>
          </w:tcPr>
          <w:p w14:paraId="2469303B">
            <w:pPr>
              <w:topLinePunct/>
              <w:spacing w:line="600" w:lineRule="exact"/>
              <w:rPr>
                <w:rFonts w:ascii="宋体" w:hAnsi="宋体" w:cs="宋体"/>
                <w:sz w:val="24"/>
                <w:szCs w:val="24"/>
              </w:rPr>
            </w:pPr>
          </w:p>
        </w:tc>
      </w:tr>
      <w:tr w14:paraId="5BA9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119" w:type="dxa"/>
            <w:vAlign w:val="center"/>
          </w:tcPr>
          <w:p w14:paraId="7A915995">
            <w:pPr>
              <w:topLinePunct/>
              <w:spacing w:line="600" w:lineRule="exact"/>
              <w:jc w:val="center"/>
              <w:rPr>
                <w:rFonts w:ascii="宋体" w:hAnsi="宋体" w:cs="宋体"/>
                <w:sz w:val="24"/>
                <w:szCs w:val="24"/>
              </w:rPr>
            </w:pPr>
            <w:r>
              <w:rPr>
                <w:rFonts w:hint="eastAsia" w:ascii="宋体" w:hAnsi="宋体" w:cs="宋体"/>
                <w:sz w:val="24"/>
                <w:szCs w:val="24"/>
              </w:rPr>
              <w:t>工程质量</w:t>
            </w:r>
          </w:p>
        </w:tc>
        <w:tc>
          <w:tcPr>
            <w:tcW w:w="6403" w:type="dxa"/>
          </w:tcPr>
          <w:p w14:paraId="30EA1C99">
            <w:pPr>
              <w:topLinePunct/>
              <w:spacing w:line="600" w:lineRule="exact"/>
              <w:rPr>
                <w:rFonts w:ascii="宋体" w:hAnsi="宋体" w:cs="宋体"/>
                <w:sz w:val="24"/>
                <w:szCs w:val="24"/>
              </w:rPr>
            </w:pPr>
          </w:p>
        </w:tc>
      </w:tr>
      <w:tr w14:paraId="5680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119" w:type="dxa"/>
            <w:vAlign w:val="center"/>
          </w:tcPr>
          <w:p w14:paraId="0B8DADA3">
            <w:pPr>
              <w:topLinePunct/>
              <w:spacing w:line="600" w:lineRule="exact"/>
              <w:jc w:val="center"/>
              <w:rPr>
                <w:rFonts w:ascii="宋体" w:hAnsi="宋体" w:cs="宋体"/>
                <w:sz w:val="24"/>
                <w:szCs w:val="24"/>
              </w:rPr>
            </w:pPr>
            <w:r>
              <w:rPr>
                <w:rFonts w:hint="eastAsia" w:ascii="宋体" w:hAnsi="宋体" w:cs="宋体"/>
                <w:sz w:val="24"/>
                <w:szCs w:val="24"/>
              </w:rPr>
              <w:t>项目经理</w:t>
            </w:r>
          </w:p>
        </w:tc>
        <w:tc>
          <w:tcPr>
            <w:tcW w:w="6403" w:type="dxa"/>
          </w:tcPr>
          <w:p w14:paraId="68165BF1">
            <w:pPr>
              <w:topLinePunct/>
              <w:spacing w:line="600" w:lineRule="exact"/>
              <w:rPr>
                <w:rFonts w:ascii="宋体" w:hAnsi="宋体" w:cs="宋体"/>
                <w:sz w:val="24"/>
                <w:szCs w:val="24"/>
              </w:rPr>
            </w:pPr>
          </w:p>
        </w:tc>
      </w:tr>
      <w:tr w14:paraId="76D6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119" w:type="dxa"/>
            <w:vAlign w:val="center"/>
          </w:tcPr>
          <w:p w14:paraId="637297AA">
            <w:pPr>
              <w:topLinePunct/>
              <w:spacing w:line="600" w:lineRule="exact"/>
              <w:jc w:val="center"/>
              <w:rPr>
                <w:rFonts w:ascii="宋体" w:hAnsi="宋体" w:cs="宋体"/>
                <w:sz w:val="24"/>
                <w:szCs w:val="24"/>
              </w:rPr>
            </w:pPr>
            <w:r>
              <w:rPr>
                <w:rFonts w:hint="eastAsia" w:ascii="宋体" w:hAnsi="宋体" w:cs="宋体"/>
                <w:sz w:val="24"/>
                <w:szCs w:val="24"/>
              </w:rPr>
              <w:t>技术负责人</w:t>
            </w:r>
          </w:p>
        </w:tc>
        <w:tc>
          <w:tcPr>
            <w:tcW w:w="6403" w:type="dxa"/>
          </w:tcPr>
          <w:p w14:paraId="1739ED51">
            <w:pPr>
              <w:topLinePunct/>
              <w:spacing w:line="600" w:lineRule="exact"/>
              <w:rPr>
                <w:rFonts w:ascii="宋体" w:hAnsi="宋体" w:cs="宋体"/>
                <w:sz w:val="24"/>
                <w:szCs w:val="24"/>
              </w:rPr>
            </w:pPr>
          </w:p>
        </w:tc>
      </w:tr>
      <w:tr w14:paraId="0AF9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8" w:hRule="atLeast"/>
          <w:jc w:val="center"/>
        </w:trPr>
        <w:tc>
          <w:tcPr>
            <w:tcW w:w="2119" w:type="dxa"/>
            <w:vAlign w:val="center"/>
          </w:tcPr>
          <w:p w14:paraId="455C22F1">
            <w:pPr>
              <w:topLinePunct/>
              <w:spacing w:line="600" w:lineRule="exact"/>
              <w:jc w:val="center"/>
              <w:rPr>
                <w:rFonts w:ascii="宋体" w:hAnsi="宋体" w:cs="宋体"/>
                <w:sz w:val="24"/>
                <w:szCs w:val="24"/>
              </w:rPr>
            </w:pPr>
            <w:r>
              <w:rPr>
                <w:rFonts w:hint="eastAsia" w:ascii="宋体" w:hAnsi="宋体" w:cs="宋体"/>
                <w:sz w:val="24"/>
                <w:szCs w:val="24"/>
              </w:rPr>
              <w:t>项目描述</w:t>
            </w:r>
          </w:p>
        </w:tc>
        <w:tc>
          <w:tcPr>
            <w:tcW w:w="6403" w:type="dxa"/>
          </w:tcPr>
          <w:p w14:paraId="20A452E7">
            <w:pPr>
              <w:topLinePunct/>
              <w:spacing w:line="600" w:lineRule="exact"/>
              <w:rPr>
                <w:rFonts w:ascii="宋体" w:hAnsi="宋体" w:cs="宋体"/>
                <w:sz w:val="24"/>
                <w:szCs w:val="24"/>
              </w:rPr>
            </w:pPr>
          </w:p>
          <w:p w14:paraId="372F5F1C">
            <w:pPr>
              <w:topLinePunct/>
              <w:spacing w:line="600" w:lineRule="exact"/>
              <w:rPr>
                <w:rFonts w:ascii="宋体" w:hAnsi="宋体" w:cs="宋体"/>
                <w:sz w:val="24"/>
                <w:szCs w:val="24"/>
              </w:rPr>
            </w:pPr>
          </w:p>
          <w:p w14:paraId="35222D12">
            <w:pPr>
              <w:topLinePunct/>
              <w:spacing w:line="600" w:lineRule="exact"/>
              <w:rPr>
                <w:rFonts w:ascii="宋体" w:hAnsi="宋体" w:cs="宋体"/>
                <w:sz w:val="24"/>
                <w:szCs w:val="24"/>
              </w:rPr>
            </w:pPr>
          </w:p>
        </w:tc>
      </w:tr>
      <w:tr w14:paraId="2A04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119" w:type="dxa"/>
            <w:vAlign w:val="center"/>
          </w:tcPr>
          <w:p w14:paraId="22EF7AAF">
            <w:pPr>
              <w:topLinePunct/>
              <w:spacing w:line="600" w:lineRule="exact"/>
              <w:jc w:val="center"/>
              <w:rPr>
                <w:rFonts w:ascii="宋体" w:hAnsi="宋体" w:cs="宋体"/>
                <w:sz w:val="24"/>
                <w:szCs w:val="24"/>
              </w:rPr>
            </w:pPr>
            <w:r>
              <w:rPr>
                <w:rFonts w:hint="eastAsia" w:ascii="宋体" w:hAnsi="宋体" w:cs="宋体"/>
                <w:sz w:val="24"/>
                <w:szCs w:val="24"/>
              </w:rPr>
              <w:t>备注</w:t>
            </w:r>
          </w:p>
        </w:tc>
        <w:tc>
          <w:tcPr>
            <w:tcW w:w="6403" w:type="dxa"/>
          </w:tcPr>
          <w:p w14:paraId="679B6E46">
            <w:pPr>
              <w:topLinePunct/>
              <w:spacing w:line="600" w:lineRule="exact"/>
              <w:rPr>
                <w:rFonts w:ascii="宋体" w:hAnsi="宋体" w:cs="宋体"/>
                <w:sz w:val="24"/>
                <w:szCs w:val="24"/>
              </w:rPr>
            </w:pPr>
          </w:p>
        </w:tc>
      </w:tr>
    </w:tbl>
    <w:p w14:paraId="482C1AD6">
      <w:pPr>
        <w:rPr>
          <w:rFonts w:ascii="宋体" w:hAnsi="宋体"/>
          <w:sz w:val="24"/>
          <w:szCs w:val="21"/>
          <w:lang w:bidi="zh-CN"/>
        </w:rPr>
      </w:pPr>
      <w:r>
        <w:rPr>
          <w:rFonts w:ascii="宋体" w:hAnsi="宋体"/>
          <w:sz w:val="24"/>
          <w:szCs w:val="21"/>
          <w:lang w:bidi="zh-CN"/>
        </w:rPr>
        <w:t>备注：1、本表后附</w:t>
      </w:r>
      <w:r>
        <w:rPr>
          <w:rFonts w:hint="eastAsia" w:ascii="宋体" w:hAnsi="宋体" w:eastAsia="宋体" w:cs="宋体"/>
          <w:bCs/>
          <w:color w:val="auto"/>
          <w:kern w:val="1"/>
          <w:sz w:val="24"/>
          <w:szCs w:val="24"/>
          <w:highlight w:val="none"/>
          <w:lang w:val="zh-CN"/>
        </w:rPr>
        <w:t>须提供合同</w:t>
      </w:r>
      <w:r>
        <w:rPr>
          <w:rFonts w:hint="eastAsia" w:ascii="宋体" w:hAnsi="宋体"/>
          <w:sz w:val="24"/>
          <w:szCs w:val="21"/>
          <w:lang w:bidi="zh-CN"/>
        </w:rPr>
        <w:t>原件</w:t>
      </w:r>
      <w:r>
        <w:rPr>
          <w:rFonts w:ascii="宋体" w:hAnsi="宋体"/>
          <w:sz w:val="24"/>
          <w:szCs w:val="21"/>
          <w:lang w:bidi="zh-CN"/>
        </w:rPr>
        <w:t>扫描件。每张表格只填写一个项目，并标明序号。</w:t>
      </w:r>
    </w:p>
    <w:p w14:paraId="30D467FC">
      <w:pPr>
        <w:rPr>
          <w:rFonts w:ascii="宋体" w:hAnsi="宋体"/>
          <w:sz w:val="22"/>
          <w:szCs w:val="21"/>
          <w:lang w:bidi="zh-CN"/>
        </w:rPr>
      </w:pPr>
    </w:p>
    <w:p w14:paraId="09EA8D9B">
      <w:pPr>
        <w:rPr>
          <w:rFonts w:hint="eastAsia" w:ascii="宋体" w:hAnsi="宋体" w:cs="宋体"/>
          <w:b/>
          <w:bCs/>
          <w:szCs w:val="21"/>
        </w:rPr>
      </w:pPr>
      <w:bookmarkStart w:id="1267" w:name="_Toc16360"/>
      <w:r>
        <w:rPr>
          <w:rFonts w:hint="eastAsia" w:ascii="宋体" w:hAnsi="宋体" w:cs="宋体"/>
          <w:b/>
          <w:bCs/>
          <w:szCs w:val="21"/>
        </w:rPr>
        <w:br w:type="page"/>
      </w:r>
    </w:p>
    <w:p w14:paraId="1BF7FCDD">
      <w:pPr>
        <w:keepNext/>
        <w:keepLines/>
        <w:tabs>
          <w:tab w:val="left" w:pos="2940"/>
        </w:tabs>
        <w:spacing w:before="260" w:after="260"/>
        <w:jc w:val="center"/>
        <w:outlineLvl w:val="2"/>
        <w:rPr>
          <w:rFonts w:ascii="宋体" w:hAnsi="宋体" w:cs="宋体"/>
          <w:b/>
          <w:sz w:val="24"/>
          <w:szCs w:val="21"/>
        </w:rPr>
      </w:pPr>
      <w:r>
        <w:rPr>
          <w:rFonts w:hint="eastAsia" w:ascii="宋体" w:hAnsi="宋体" w:cs="宋体"/>
          <w:b/>
          <w:sz w:val="24"/>
          <w:szCs w:val="21"/>
        </w:rPr>
        <w:t>（</w:t>
      </w:r>
      <w:r>
        <w:rPr>
          <w:rFonts w:hint="eastAsia" w:ascii="宋体" w:hAnsi="宋体" w:cs="宋体"/>
          <w:b/>
          <w:sz w:val="24"/>
          <w:szCs w:val="21"/>
          <w:lang w:val="en-US" w:eastAsia="zh-CN"/>
        </w:rPr>
        <w:t>三</w:t>
      </w:r>
      <w:r>
        <w:rPr>
          <w:rFonts w:hint="eastAsia" w:ascii="宋体" w:hAnsi="宋体" w:cs="宋体"/>
          <w:b/>
          <w:sz w:val="24"/>
          <w:szCs w:val="21"/>
        </w:rPr>
        <w:t>）</w:t>
      </w:r>
      <w:r>
        <w:rPr>
          <w:rFonts w:hint="eastAsia" w:ascii="宋体" w:hAnsi="宋体" w:cs="宋体"/>
          <w:b/>
          <w:sz w:val="24"/>
          <w:szCs w:val="21"/>
          <w:lang w:val="en-US" w:eastAsia="zh-CN"/>
        </w:rPr>
        <w:t>项目负责人2023年1月1日以来</w:t>
      </w:r>
      <w:r>
        <w:rPr>
          <w:rFonts w:hint="eastAsia" w:ascii="宋体" w:hAnsi="宋体" w:cs="宋体"/>
          <w:b/>
          <w:sz w:val="24"/>
          <w:szCs w:val="21"/>
        </w:rPr>
        <w:t>完成的类似项目情况表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515B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14:paraId="003B758B">
            <w:pPr>
              <w:topLinePunct/>
              <w:spacing w:line="600" w:lineRule="exact"/>
              <w:jc w:val="center"/>
              <w:rPr>
                <w:rFonts w:ascii="宋体" w:hAnsi="宋体" w:cs="宋体"/>
                <w:sz w:val="24"/>
                <w:szCs w:val="24"/>
              </w:rPr>
            </w:pPr>
            <w:r>
              <w:rPr>
                <w:rFonts w:hint="eastAsia" w:ascii="宋体" w:hAnsi="宋体" w:cs="宋体"/>
                <w:sz w:val="24"/>
                <w:szCs w:val="24"/>
              </w:rPr>
              <w:t>项目名称</w:t>
            </w:r>
          </w:p>
        </w:tc>
        <w:tc>
          <w:tcPr>
            <w:tcW w:w="6253" w:type="dxa"/>
          </w:tcPr>
          <w:p w14:paraId="0EDB9B40">
            <w:pPr>
              <w:topLinePunct/>
              <w:spacing w:line="600" w:lineRule="exact"/>
              <w:rPr>
                <w:rFonts w:ascii="宋体" w:hAnsi="宋体" w:cs="宋体"/>
                <w:sz w:val="24"/>
                <w:szCs w:val="24"/>
                <w:highlight w:val="black"/>
              </w:rPr>
            </w:pPr>
          </w:p>
        </w:tc>
      </w:tr>
      <w:tr w14:paraId="3724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14:paraId="061CE6EC">
            <w:pPr>
              <w:topLinePunct/>
              <w:spacing w:line="600" w:lineRule="exact"/>
              <w:jc w:val="center"/>
              <w:rPr>
                <w:rFonts w:ascii="宋体" w:hAnsi="宋体" w:cs="宋体"/>
                <w:sz w:val="24"/>
                <w:szCs w:val="24"/>
              </w:rPr>
            </w:pPr>
            <w:r>
              <w:rPr>
                <w:rFonts w:hint="eastAsia" w:ascii="宋体" w:hAnsi="宋体" w:cs="宋体"/>
                <w:sz w:val="24"/>
                <w:szCs w:val="24"/>
              </w:rPr>
              <w:t>项目所在地</w:t>
            </w:r>
          </w:p>
        </w:tc>
        <w:tc>
          <w:tcPr>
            <w:tcW w:w="6253" w:type="dxa"/>
          </w:tcPr>
          <w:p w14:paraId="1C20B604">
            <w:pPr>
              <w:topLinePunct/>
              <w:spacing w:line="600" w:lineRule="exact"/>
              <w:rPr>
                <w:rFonts w:ascii="宋体" w:hAnsi="宋体" w:cs="宋体"/>
                <w:sz w:val="24"/>
                <w:szCs w:val="24"/>
              </w:rPr>
            </w:pPr>
          </w:p>
        </w:tc>
      </w:tr>
      <w:tr w14:paraId="188F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14:paraId="5CBCB070">
            <w:pPr>
              <w:topLinePunct/>
              <w:spacing w:line="600" w:lineRule="exact"/>
              <w:jc w:val="center"/>
              <w:rPr>
                <w:rFonts w:ascii="宋体" w:hAnsi="宋体" w:cs="宋体"/>
                <w:sz w:val="24"/>
                <w:szCs w:val="24"/>
              </w:rPr>
            </w:pPr>
            <w:r>
              <w:rPr>
                <w:rFonts w:hint="eastAsia" w:ascii="宋体" w:hAnsi="宋体" w:cs="宋体"/>
                <w:sz w:val="24"/>
                <w:szCs w:val="24"/>
              </w:rPr>
              <w:t>发包人名称</w:t>
            </w:r>
          </w:p>
        </w:tc>
        <w:tc>
          <w:tcPr>
            <w:tcW w:w="6253" w:type="dxa"/>
          </w:tcPr>
          <w:p w14:paraId="23DB618B">
            <w:pPr>
              <w:topLinePunct/>
              <w:spacing w:line="600" w:lineRule="exact"/>
              <w:rPr>
                <w:rFonts w:ascii="宋体" w:hAnsi="宋体" w:cs="宋体"/>
                <w:sz w:val="24"/>
                <w:szCs w:val="24"/>
              </w:rPr>
            </w:pPr>
          </w:p>
        </w:tc>
      </w:tr>
      <w:tr w14:paraId="21ED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14:paraId="2AD7B1D0">
            <w:pPr>
              <w:topLinePunct/>
              <w:spacing w:line="600" w:lineRule="exact"/>
              <w:jc w:val="center"/>
              <w:rPr>
                <w:rFonts w:ascii="宋体" w:hAnsi="宋体" w:cs="宋体"/>
                <w:sz w:val="24"/>
                <w:szCs w:val="24"/>
              </w:rPr>
            </w:pPr>
            <w:r>
              <w:rPr>
                <w:rFonts w:hint="eastAsia" w:ascii="宋体" w:hAnsi="宋体" w:cs="宋体"/>
                <w:sz w:val="24"/>
                <w:szCs w:val="24"/>
              </w:rPr>
              <w:t>发包人地址</w:t>
            </w:r>
          </w:p>
        </w:tc>
        <w:tc>
          <w:tcPr>
            <w:tcW w:w="6253" w:type="dxa"/>
          </w:tcPr>
          <w:p w14:paraId="78A73CA2">
            <w:pPr>
              <w:topLinePunct/>
              <w:spacing w:line="600" w:lineRule="exact"/>
              <w:rPr>
                <w:rFonts w:ascii="宋体" w:hAnsi="宋体" w:cs="宋体"/>
                <w:sz w:val="24"/>
                <w:szCs w:val="24"/>
              </w:rPr>
            </w:pPr>
          </w:p>
        </w:tc>
      </w:tr>
      <w:tr w14:paraId="5684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14:paraId="7CD55803">
            <w:pPr>
              <w:topLinePunct/>
              <w:spacing w:line="600" w:lineRule="exact"/>
              <w:jc w:val="center"/>
              <w:rPr>
                <w:rFonts w:ascii="宋体" w:hAnsi="宋体" w:cs="宋体"/>
                <w:sz w:val="24"/>
                <w:szCs w:val="24"/>
              </w:rPr>
            </w:pPr>
            <w:r>
              <w:rPr>
                <w:rFonts w:hint="eastAsia" w:ascii="宋体" w:hAnsi="宋体" w:cs="宋体"/>
                <w:sz w:val="24"/>
                <w:szCs w:val="24"/>
              </w:rPr>
              <w:t>发包人电话</w:t>
            </w:r>
          </w:p>
        </w:tc>
        <w:tc>
          <w:tcPr>
            <w:tcW w:w="6253" w:type="dxa"/>
          </w:tcPr>
          <w:p w14:paraId="4B12F4FA">
            <w:pPr>
              <w:topLinePunct/>
              <w:spacing w:line="600" w:lineRule="exact"/>
              <w:rPr>
                <w:rFonts w:ascii="宋体" w:hAnsi="宋体" w:cs="宋体"/>
                <w:sz w:val="24"/>
                <w:szCs w:val="24"/>
              </w:rPr>
            </w:pPr>
          </w:p>
        </w:tc>
      </w:tr>
      <w:tr w14:paraId="5B5B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14:paraId="73351647">
            <w:pPr>
              <w:topLinePunct/>
              <w:spacing w:line="600" w:lineRule="exact"/>
              <w:jc w:val="center"/>
              <w:rPr>
                <w:rFonts w:ascii="宋体" w:hAnsi="宋体" w:cs="宋体"/>
                <w:sz w:val="24"/>
                <w:szCs w:val="24"/>
              </w:rPr>
            </w:pPr>
            <w:r>
              <w:rPr>
                <w:rFonts w:hint="eastAsia" w:ascii="宋体" w:hAnsi="宋体" w:cs="宋体"/>
                <w:sz w:val="24"/>
                <w:szCs w:val="24"/>
              </w:rPr>
              <w:t>合同价格</w:t>
            </w:r>
          </w:p>
        </w:tc>
        <w:tc>
          <w:tcPr>
            <w:tcW w:w="6253" w:type="dxa"/>
          </w:tcPr>
          <w:p w14:paraId="74787E50">
            <w:pPr>
              <w:topLinePunct/>
              <w:spacing w:line="600" w:lineRule="exact"/>
              <w:rPr>
                <w:rFonts w:ascii="宋体" w:hAnsi="宋体" w:cs="宋体"/>
                <w:sz w:val="24"/>
                <w:szCs w:val="24"/>
              </w:rPr>
            </w:pPr>
          </w:p>
        </w:tc>
      </w:tr>
      <w:tr w14:paraId="0B2E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2019C85D">
            <w:pPr>
              <w:topLinePunct/>
              <w:spacing w:line="600" w:lineRule="exact"/>
              <w:jc w:val="center"/>
              <w:rPr>
                <w:rFonts w:ascii="宋体" w:hAnsi="宋体" w:cs="宋体"/>
                <w:sz w:val="24"/>
                <w:szCs w:val="24"/>
              </w:rPr>
            </w:pPr>
            <w:r>
              <w:rPr>
                <w:rFonts w:hint="eastAsia" w:ascii="宋体" w:hAnsi="宋体" w:cs="宋体"/>
                <w:sz w:val="24"/>
                <w:szCs w:val="24"/>
              </w:rPr>
              <w:t>开工日期</w:t>
            </w:r>
          </w:p>
        </w:tc>
        <w:tc>
          <w:tcPr>
            <w:tcW w:w="6253" w:type="dxa"/>
          </w:tcPr>
          <w:p w14:paraId="2B19B61F">
            <w:pPr>
              <w:topLinePunct/>
              <w:spacing w:line="600" w:lineRule="exact"/>
              <w:rPr>
                <w:rFonts w:ascii="宋体" w:hAnsi="宋体" w:cs="宋体"/>
                <w:sz w:val="24"/>
                <w:szCs w:val="24"/>
              </w:rPr>
            </w:pPr>
          </w:p>
        </w:tc>
      </w:tr>
      <w:tr w14:paraId="7D48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14:paraId="2269BD87">
            <w:pPr>
              <w:topLinePunct/>
              <w:spacing w:line="600" w:lineRule="exact"/>
              <w:jc w:val="center"/>
              <w:rPr>
                <w:rFonts w:ascii="宋体" w:hAnsi="宋体" w:cs="宋体"/>
                <w:sz w:val="24"/>
                <w:szCs w:val="24"/>
              </w:rPr>
            </w:pPr>
            <w:r>
              <w:rPr>
                <w:rFonts w:hint="eastAsia" w:ascii="宋体" w:hAnsi="宋体" w:cs="宋体"/>
                <w:sz w:val="24"/>
                <w:szCs w:val="24"/>
              </w:rPr>
              <w:t>竣工日期</w:t>
            </w:r>
          </w:p>
        </w:tc>
        <w:tc>
          <w:tcPr>
            <w:tcW w:w="6253" w:type="dxa"/>
          </w:tcPr>
          <w:p w14:paraId="13080D6F">
            <w:pPr>
              <w:topLinePunct/>
              <w:spacing w:line="600" w:lineRule="exact"/>
              <w:rPr>
                <w:rFonts w:ascii="宋体" w:hAnsi="宋体" w:cs="宋体"/>
                <w:sz w:val="24"/>
                <w:szCs w:val="24"/>
              </w:rPr>
            </w:pPr>
          </w:p>
        </w:tc>
      </w:tr>
      <w:tr w14:paraId="469A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269" w:type="dxa"/>
            <w:vAlign w:val="center"/>
          </w:tcPr>
          <w:p w14:paraId="4406A84C">
            <w:pPr>
              <w:topLinePunct/>
              <w:spacing w:line="600" w:lineRule="exact"/>
              <w:jc w:val="center"/>
              <w:rPr>
                <w:rFonts w:ascii="宋体" w:hAnsi="宋体" w:cs="宋体"/>
                <w:sz w:val="24"/>
                <w:szCs w:val="24"/>
              </w:rPr>
            </w:pPr>
            <w:r>
              <w:rPr>
                <w:rFonts w:hint="eastAsia" w:ascii="宋体" w:hAnsi="宋体" w:cs="宋体"/>
                <w:sz w:val="24"/>
                <w:szCs w:val="24"/>
              </w:rPr>
              <w:t>承担的工作</w:t>
            </w:r>
          </w:p>
        </w:tc>
        <w:tc>
          <w:tcPr>
            <w:tcW w:w="6253" w:type="dxa"/>
          </w:tcPr>
          <w:p w14:paraId="0576D9BD">
            <w:pPr>
              <w:topLinePunct/>
              <w:spacing w:line="600" w:lineRule="exact"/>
              <w:rPr>
                <w:rFonts w:ascii="宋体" w:hAnsi="宋体" w:cs="宋体"/>
                <w:sz w:val="24"/>
                <w:szCs w:val="24"/>
              </w:rPr>
            </w:pPr>
          </w:p>
        </w:tc>
      </w:tr>
      <w:tr w14:paraId="2A4A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69" w:type="dxa"/>
            <w:vAlign w:val="center"/>
          </w:tcPr>
          <w:p w14:paraId="0C43389B">
            <w:pPr>
              <w:topLinePunct/>
              <w:spacing w:line="600" w:lineRule="exact"/>
              <w:jc w:val="center"/>
              <w:rPr>
                <w:rFonts w:ascii="宋体" w:hAnsi="宋体" w:cs="宋体"/>
                <w:sz w:val="24"/>
                <w:szCs w:val="24"/>
              </w:rPr>
            </w:pPr>
            <w:r>
              <w:rPr>
                <w:rFonts w:hint="eastAsia" w:ascii="宋体" w:hAnsi="宋体" w:cs="宋体"/>
                <w:sz w:val="24"/>
                <w:szCs w:val="24"/>
              </w:rPr>
              <w:t>工程质量</w:t>
            </w:r>
          </w:p>
        </w:tc>
        <w:tc>
          <w:tcPr>
            <w:tcW w:w="6253" w:type="dxa"/>
          </w:tcPr>
          <w:p w14:paraId="68933D7B">
            <w:pPr>
              <w:topLinePunct/>
              <w:spacing w:line="600" w:lineRule="exact"/>
              <w:rPr>
                <w:rFonts w:ascii="宋体" w:hAnsi="宋体" w:cs="宋体"/>
                <w:sz w:val="24"/>
                <w:szCs w:val="24"/>
              </w:rPr>
            </w:pPr>
          </w:p>
        </w:tc>
      </w:tr>
      <w:tr w14:paraId="4CC1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269" w:type="dxa"/>
            <w:vAlign w:val="center"/>
          </w:tcPr>
          <w:p w14:paraId="1B4C2B47">
            <w:pPr>
              <w:topLinePunct/>
              <w:spacing w:line="600" w:lineRule="exact"/>
              <w:jc w:val="center"/>
              <w:rPr>
                <w:rFonts w:ascii="宋体" w:hAnsi="宋体" w:cs="宋体"/>
                <w:sz w:val="24"/>
                <w:szCs w:val="24"/>
              </w:rPr>
            </w:pPr>
            <w:r>
              <w:rPr>
                <w:rFonts w:hint="eastAsia" w:ascii="宋体" w:hAnsi="宋体" w:cs="宋体"/>
                <w:sz w:val="24"/>
                <w:szCs w:val="24"/>
              </w:rPr>
              <w:t>项目经理</w:t>
            </w:r>
          </w:p>
        </w:tc>
        <w:tc>
          <w:tcPr>
            <w:tcW w:w="6253" w:type="dxa"/>
          </w:tcPr>
          <w:p w14:paraId="0D1953A3">
            <w:pPr>
              <w:topLinePunct/>
              <w:spacing w:line="600" w:lineRule="exact"/>
              <w:rPr>
                <w:rFonts w:ascii="宋体" w:hAnsi="宋体" w:cs="宋体"/>
                <w:sz w:val="24"/>
                <w:szCs w:val="24"/>
              </w:rPr>
            </w:pPr>
          </w:p>
        </w:tc>
      </w:tr>
      <w:tr w14:paraId="5192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69" w:type="dxa"/>
            <w:vAlign w:val="center"/>
          </w:tcPr>
          <w:p w14:paraId="269A0C18">
            <w:pPr>
              <w:topLinePunct/>
              <w:spacing w:line="600" w:lineRule="exact"/>
              <w:jc w:val="center"/>
              <w:rPr>
                <w:rFonts w:ascii="宋体" w:hAnsi="宋体" w:cs="宋体"/>
                <w:sz w:val="24"/>
                <w:szCs w:val="24"/>
              </w:rPr>
            </w:pPr>
            <w:r>
              <w:rPr>
                <w:rFonts w:hint="eastAsia" w:ascii="宋体" w:hAnsi="宋体" w:cs="宋体"/>
                <w:sz w:val="24"/>
                <w:szCs w:val="24"/>
              </w:rPr>
              <w:t>技术负责人</w:t>
            </w:r>
          </w:p>
        </w:tc>
        <w:tc>
          <w:tcPr>
            <w:tcW w:w="6253" w:type="dxa"/>
          </w:tcPr>
          <w:p w14:paraId="0E9320A0">
            <w:pPr>
              <w:topLinePunct/>
              <w:spacing w:line="600" w:lineRule="exact"/>
              <w:rPr>
                <w:rFonts w:ascii="宋体" w:hAnsi="宋体" w:cs="宋体"/>
                <w:sz w:val="24"/>
                <w:szCs w:val="24"/>
              </w:rPr>
            </w:pPr>
          </w:p>
        </w:tc>
      </w:tr>
      <w:tr w14:paraId="0A51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2269" w:type="dxa"/>
            <w:vAlign w:val="center"/>
          </w:tcPr>
          <w:p w14:paraId="7B37C998">
            <w:pPr>
              <w:topLinePunct/>
              <w:spacing w:line="600" w:lineRule="exact"/>
              <w:jc w:val="center"/>
              <w:rPr>
                <w:rFonts w:ascii="宋体" w:hAnsi="宋体" w:cs="宋体"/>
                <w:sz w:val="24"/>
                <w:szCs w:val="24"/>
              </w:rPr>
            </w:pPr>
            <w:r>
              <w:rPr>
                <w:rFonts w:hint="eastAsia" w:ascii="宋体" w:hAnsi="宋体" w:cs="宋体"/>
                <w:sz w:val="24"/>
                <w:szCs w:val="24"/>
              </w:rPr>
              <w:t>项目描述</w:t>
            </w:r>
          </w:p>
        </w:tc>
        <w:tc>
          <w:tcPr>
            <w:tcW w:w="6253" w:type="dxa"/>
          </w:tcPr>
          <w:p w14:paraId="69FBB319">
            <w:pPr>
              <w:topLinePunct/>
              <w:spacing w:line="600" w:lineRule="exact"/>
              <w:rPr>
                <w:rFonts w:ascii="宋体" w:hAnsi="宋体" w:cs="宋体"/>
                <w:sz w:val="24"/>
                <w:szCs w:val="24"/>
              </w:rPr>
            </w:pPr>
          </w:p>
        </w:tc>
      </w:tr>
      <w:tr w14:paraId="4840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14:paraId="4B1A2303">
            <w:pPr>
              <w:topLinePunct/>
              <w:spacing w:line="600" w:lineRule="exact"/>
              <w:jc w:val="center"/>
              <w:rPr>
                <w:rFonts w:ascii="宋体" w:hAnsi="宋体" w:cs="宋体"/>
                <w:sz w:val="24"/>
                <w:szCs w:val="24"/>
              </w:rPr>
            </w:pPr>
            <w:r>
              <w:rPr>
                <w:rFonts w:hint="eastAsia" w:ascii="宋体" w:hAnsi="宋体" w:cs="宋体"/>
                <w:sz w:val="24"/>
                <w:szCs w:val="24"/>
              </w:rPr>
              <w:t>备注</w:t>
            </w:r>
          </w:p>
        </w:tc>
        <w:tc>
          <w:tcPr>
            <w:tcW w:w="6253" w:type="dxa"/>
          </w:tcPr>
          <w:p w14:paraId="170DF4E0">
            <w:pPr>
              <w:topLinePunct/>
              <w:spacing w:line="600" w:lineRule="exact"/>
              <w:rPr>
                <w:rFonts w:ascii="宋体" w:hAnsi="宋体" w:cs="宋体"/>
                <w:sz w:val="24"/>
                <w:szCs w:val="24"/>
              </w:rPr>
            </w:pPr>
          </w:p>
        </w:tc>
      </w:tr>
    </w:tbl>
    <w:p w14:paraId="1CD9B1A2">
      <w:pPr>
        <w:rPr>
          <w:rFonts w:ascii="宋体" w:hAnsi="宋体"/>
          <w:sz w:val="24"/>
          <w:szCs w:val="21"/>
          <w:lang w:bidi="zh-CN"/>
        </w:rPr>
      </w:pPr>
      <w:r>
        <w:rPr>
          <w:rFonts w:ascii="宋体" w:hAnsi="宋体"/>
          <w:sz w:val="24"/>
          <w:szCs w:val="21"/>
          <w:lang w:bidi="zh-CN"/>
        </w:rPr>
        <w:t>备注：1、本表后附</w:t>
      </w:r>
      <w:r>
        <w:rPr>
          <w:rFonts w:hint="eastAsia" w:ascii="宋体" w:hAnsi="宋体" w:eastAsia="宋体" w:cs="宋体"/>
          <w:bCs/>
          <w:color w:val="auto"/>
          <w:kern w:val="1"/>
          <w:sz w:val="24"/>
          <w:szCs w:val="24"/>
          <w:highlight w:val="none"/>
          <w:lang w:val="zh-CN"/>
        </w:rPr>
        <w:t>须提供合同</w:t>
      </w:r>
      <w:r>
        <w:rPr>
          <w:rFonts w:hint="eastAsia" w:ascii="宋体" w:hAnsi="宋体"/>
          <w:sz w:val="24"/>
          <w:szCs w:val="21"/>
          <w:lang w:bidi="zh-CN"/>
        </w:rPr>
        <w:t>原件</w:t>
      </w:r>
      <w:r>
        <w:rPr>
          <w:rFonts w:ascii="宋体" w:hAnsi="宋体"/>
          <w:sz w:val="24"/>
          <w:szCs w:val="21"/>
          <w:lang w:bidi="zh-CN"/>
        </w:rPr>
        <w:t>扫描件。每张表格只填写一个项目，并标明序号。</w:t>
      </w:r>
    </w:p>
    <w:p w14:paraId="269120F4">
      <w:pPr>
        <w:rPr>
          <w:rFonts w:hint="eastAsia" w:cs="宋体" w:asciiTheme="minorEastAsia" w:hAnsiTheme="minorEastAsia"/>
          <w:b/>
          <w:sz w:val="24"/>
          <w:szCs w:val="24"/>
        </w:rPr>
      </w:pPr>
      <w:r>
        <w:rPr>
          <w:rFonts w:hint="eastAsia" w:ascii="宋体" w:hAnsi="宋体" w:cs="宋体"/>
          <w:b/>
          <w:bCs/>
          <w:szCs w:val="21"/>
        </w:rPr>
        <w:br w:type="page"/>
      </w:r>
      <w:bookmarkEnd w:id="1267"/>
    </w:p>
    <w:p w14:paraId="41018CB5">
      <w:pPr>
        <w:ind w:firstLine="2891" w:firstLineChars="1200"/>
        <w:rPr>
          <w:rFonts w:hint="default" w:cs="宋体" w:asciiTheme="minorEastAsia" w:hAnsiTheme="minorEastAsia" w:eastAsiaTheme="minorEastAsia"/>
          <w:b/>
          <w:sz w:val="24"/>
          <w:szCs w:val="24"/>
          <w:lang w:val="en-US" w:eastAsia="zh-CN"/>
        </w:rPr>
      </w:pPr>
      <w:r>
        <w:rPr>
          <w:rFonts w:hint="eastAsia" w:cs="宋体" w:asciiTheme="minorEastAsia" w:hAnsiTheme="minorEastAsia"/>
          <w:b/>
          <w:sz w:val="24"/>
          <w:szCs w:val="24"/>
          <w:lang w:eastAsia="zh-CN"/>
        </w:rPr>
        <w:t>（</w:t>
      </w:r>
      <w:r>
        <w:rPr>
          <w:rFonts w:hint="eastAsia" w:ascii="宋体" w:hAnsi="宋体" w:cs="宋体"/>
          <w:b/>
          <w:sz w:val="24"/>
          <w:szCs w:val="21"/>
          <w:lang w:val="en-US" w:eastAsia="zh-CN"/>
        </w:rPr>
        <w:t>4）综合部分其他应提供资料</w:t>
      </w:r>
    </w:p>
    <w:p w14:paraId="292D4954">
      <w:pPr>
        <w:rPr>
          <w:rFonts w:hint="eastAsia" w:cs="宋体" w:asciiTheme="minorEastAsia" w:hAnsiTheme="minorEastAsia"/>
          <w:b/>
          <w:sz w:val="24"/>
          <w:szCs w:val="24"/>
        </w:rPr>
      </w:pPr>
      <w:r>
        <w:rPr>
          <w:rFonts w:hint="eastAsia" w:cs="宋体" w:asciiTheme="minorEastAsia" w:hAnsiTheme="minorEastAsia"/>
          <w:b/>
          <w:sz w:val="24"/>
          <w:szCs w:val="24"/>
        </w:rPr>
        <w:br w:type="page"/>
      </w:r>
    </w:p>
    <w:p w14:paraId="2D0CA373">
      <w:pPr>
        <w:jc w:val="center"/>
        <w:outlineLvl w:val="1"/>
        <w:rPr>
          <w:rFonts w:cs="宋体" w:asciiTheme="minorEastAsia" w:hAnsiTheme="minorEastAsia"/>
          <w:b/>
          <w:sz w:val="24"/>
          <w:szCs w:val="24"/>
        </w:rPr>
      </w:pPr>
      <w:r>
        <w:rPr>
          <w:rFonts w:hint="eastAsia" w:cs="宋体" w:asciiTheme="minorEastAsia" w:hAnsiTheme="minorEastAsia"/>
          <w:b/>
          <w:sz w:val="24"/>
          <w:szCs w:val="24"/>
          <w:lang w:val="en-US" w:eastAsia="zh-CN"/>
        </w:rPr>
        <w:t>九</w:t>
      </w:r>
      <w:r>
        <w:rPr>
          <w:rFonts w:hint="eastAsia" w:cs="宋体" w:asciiTheme="minorEastAsia" w:hAnsiTheme="minorEastAsia"/>
          <w:b/>
          <w:sz w:val="24"/>
          <w:szCs w:val="24"/>
        </w:rPr>
        <w:t>、其他资料</w:t>
      </w:r>
      <w:bookmarkEnd w:id="1256"/>
    </w:p>
    <w:p w14:paraId="4510D228">
      <w:pPr>
        <w:spacing w:line="360" w:lineRule="auto"/>
        <w:jc w:val="center"/>
        <w:rPr>
          <w:rFonts w:asciiTheme="minorEastAsia" w:hAnsiTheme="minorEastAsia"/>
          <w:sz w:val="24"/>
          <w:szCs w:val="24"/>
        </w:rPr>
      </w:pPr>
      <w:r>
        <w:rPr>
          <w:rFonts w:hint="eastAsia" w:asciiTheme="minorEastAsia" w:hAnsiTheme="minorEastAsia"/>
          <w:sz w:val="24"/>
          <w:szCs w:val="24"/>
        </w:rPr>
        <w:t>附供应商认为需提供的其他资料</w:t>
      </w:r>
    </w:p>
    <w:p w14:paraId="718AB52F">
      <w:pPr>
        <w:widowControl/>
        <w:adjustRightInd w:val="0"/>
        <w:snapToGrid w:val="0"/>
        <w:spacing w:after="200"/>
        <w:ind w:firstLine="480" w:firstLineChars="200"/>
        <w:jc w:val="left"/>
        <w:rPr>
          <w:rFonts w:cs="宋体" w:asciiTheme="minorEastAsia" w:hAnsiTheme="minorEastAsia"/>
          <w:color w:val="000000"/>
          <w:kern w:val="0"/>
          <w:sz w:val="24"/>
          <w:szCs w:val="24"/>
        </w:rPr>
      </w:pPr>
    </w:p>
    <w:p w14:paraId="00195097">
      <w:pPr>
        <w:jc w:val="left"/>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br w:type="page"/>
      </w:r>
      <w:r>
        <w:rPr>
          <w:rFonts w:hint="eastAsia" w:cs="宋体" w:asciiTheme="minorEastAsia" w:hAnsiTheme="minorEastAsia"/>
          <w:color w:val="000000"/>
          <w:kern w:val="0"/>
          <w:sz w:val="24"/>
          <w:szCs w:val="24"/>
        </w:rPr>
        <w:t>附件1：</w:t>
      </w:r>
    </w:p>
    <w:p w14:paraId="42D5E7CF">
      <w:pPr>
        <w:spacing w:line="480" w:lineRule="auto"/>
        <w:jc w:val="center"/>
        <w:rPr>
          <w:rFonts w:cs="宋体" w:asciiTheme="minorEastAsia" w:hAnsiTheme="minorEastAsia"/>
          <w:bCs/>
          <w:kern w:val="0"/>
          <w:sz w:val="24"/>
          <w:szCs w:val="24"/>
        </w:rPr>
      </w:pPr>
      <w:r>
        <w:rPr>
          <w:rFonts w:hint="eastAsia" w:cs="宋体" w:asciiTheme="minorEastAsia" w:hAnsiTheme="minorEastAsia"/>
          <w:bCs/>
          <w:kern w:val="0"/>
          <w:sz w:val="24"/>
          <w:szCs w:val="24"/>
        </w:rPr>
        <w:t>中小企业声明函（工程、服务）</w:t>
      </w:r>
    </w:p>
    <w:p w14:paraId="37D966D5">
      <w:pPr>
        <w:spacing w:before="312" w:beforeLines="100"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本公司（联合体）郑重声明，根据《政府采购促进中小企业发展管理办法》（财库﹝2020﹞46 号）的规定，本公司参加</w:t>
      </w:r>
      <w:r>
        <w:rPr>
          <w:rFonts w:hint="eastAsia" w:cs="宋体" w:asciiTheme="minorEastAsia" w:hAnsiTheme="minorEastAsia"/>
          <w:sz w:val="24"/>
          <w:szCs w:val="24"/>
          <w:u w:val="single"/>
        </w:rPr>
        <w:t>（单位名称）</w:t>
      </w:r>
      <w:r>
        <w:rPr>
          <w:rFonts w:hint="eastAsia" w:cs="宋体" w:asciiTheme="minorEastAsia" w:hAnsiTheme="minorEastAsia"/>
          <w:sz w:val="24"/>
          <w:szCs w:val="24"/>
        </w:rPr>
        <w:t>的</w:t>
      </w:r>
      <w:r>
        <w:rPr>
          <w:rFonts w:hint="eastAsia" w:cs="宋体" w:asciiTheme="minorEastAsia" w:hAnsiTheme="minorEastAsia"/>
          <w:sz w:val="24"/>
          <w:szCs w:val="24"/>
          <w:u w:val="single"/>
        </w:rPr>
        <w:t>（项目名称）</w:t>
      </w:r>
      <w:r>
        <w:rPr>
          <w:rFonts w:hint="eastAsia" w:cs="宋体" w:asciiTheme="minorEastAsia" w:hAnsiTheme="minorEastAsia"/>
          <w:sz w:val="24"/>
          <w:szCs w:val="24"/>
        </w:rPr>
        <w:t>采购活动，工程的施工单位全部为符合政策要求的中小企业（或者：服务全部由符合政策要求的中小企业承接）。相关企业的具体情况如下：</w:t>
      </w:r>
    </w:p>
    <w:p w14:paraId="4F0A6208">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1.</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u w:val="single"/>
          <w:lang w:val="en-US" w:eastAsia="zh-CN"/>
        </w:rPr>
        <w:t xml:space="preserve"> </w:t>
      </w:r>
      <w:r>
        <w:rPr>
          <w:rFonts w:hint="eastAsia" w:cs="宋体" w:asciiTheme="minorEastAsia" w:hAnsiTheme="minorEastAsia"/>
          <w:sz w:val="24"/>
          <w:szCs w:val="24"/>
          <w:u w:val="single"/>
        </w:rPr>
        <w:t>（标的名称）</w:t>
      </w:r>
      <w:r>
        <w:rPr>
          <w:rFonts w:hint="eastAsia" w:cs="宋体" w:asciiTheme="minorEastAsia" w:hAnsiTheme="minorEastAsia"/>
          <w:sz w:val="24"/>
          <w:szCs w:val="24"/>
          <w:u w:val="single"/>
          <w:lang w:val="en-US" w:eastAsia="zh-CN"/>
        </w:rPr>
        <w:t xml:space="preserve"> </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，属于</w:t>
      </w:r>
      <w:r>
        <w:rPr>
          <w:rFonts w:hint="eastAsia" w:cs="宋体" w:asciiTheme="minorEastAsia" w:hAnsiTheme="minorEastAsia"/>
          <w:sz w:val="24"/>
          <w:szCs w:val="24"/>
          <w:u w:val="single"/>
          <w:lang w:val="en-US" w:eastAsia="zh-CN"/>
        </w:rPr>
        <w:t xml:space="preserve">  </w:t>
      </w:r>
      <w:r>
        <w:rPr>
          <w:rFonts w:hint="eastAsia" w:cs="宋体" w:asciiTheme="minorEastAsia" w:hAnsiTheme="minorEastAsia"/>
          <w:sz w:val="24"/>
          <w:szCs w:val="24"/>
          <w:u w:val="single"/>
        </w:rPr>
        <w:t>（采购文件中明确的所属行业）</w:t>
      </w:r>
      <w:r>
        <w:rPr>
          <w:rFonts w:hint="eastAsia" w:cs="宋体" w:asciiTheme="minorEastAsia" w:hAnsiTheme="minorEastAsia"/>
          <w:sz w:val="24"/>
          <w:szCs w:val="24"/>
        </w:rPr>
        <w:t>；承建（承接）企业为</w:t>
      </w:r>
      <w:r>
        <w:rPr>
          <w:rFonts w:hint="eastAsia" w:cs="宋体" w:asciiTheme="minorEastAsia" w:hAnsiTheme="minorEastAsia"/>
          <w:sz w:val="24"/>
          <w:szCs w:val="24"/>
          <w:u w:val="single"/>
          <w:lang w:val="en-US" w:eastAsia="zh-CN"/>
        </w:rPr>
        <w:t xml:space="preserve">    </w:t>
      </w:r>
      <w:r>
        <w:rPr>
          <w:rFonts w:hint="eastAsia" w:cs="宋体" w:asciiTheme="minorEastAsia" w:hAnsiTheme="minorEastAsia"/>
          <w:sz w:val="24"/>
          <w:szCs w:val="24"/>
          <w:u w:val="single"/>
        </w:rPr>
        <w:t>（企业名称）</w:t>
      </w:r>
      <w:r>
        <w:rPr>
          <w:rFonts w:hint="eastAsia" w:cs="宋体" w:asciiTheme="minorEastAsia" w:hAnsiTheme="minorEastAsia"/>
          <w:sz w:val="24"/>
          <w:szCs w:val="24"/>
        </w:rPr>
        <w:t>，从业人员</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人，营业收入为</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万元，资产总额为</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万元，属于</w:t>
      </w:r>
      <w:r>
        <w:rPr>
          <w:rFonts w:hint="eastAsia" w:cs="宋体" w:asciiTheme="minorEastAsia" w:hAnsiTheme="minorEastAsia"/>
          <w:sz w:val="24"/>
          <w:szCs w:val="24"/>
          <w:u w:val="single"/>
          <w:lang w:val="en-US" w:eastAsia="zh-CN"/>
        </w:rPr>
        <w:t xml:space="preserve">     </w:t>
      </w:r>
      <w:r>
        <w:rPr>
          <w:rFonts w:hint="eastAsia" w:cs="宋体" w:asciiTheme="minorEastAsia" w:hAnsiTheme="minorEastAsia"/>
          <w:sz w:val="24"/>
          <w:szCs w:val="24"/>
        </w:rPr>
        <w:t>（中型企业/小型企业/微型企业）；</w:t>
      </w:r>
    </w:p>
    <w:p w14:paraId="3D1E0ECA">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 xml:space="preserve">2. </w:t>
      </w:r>
      <w:r>
        <w:rPr>
          <w:rFonts w:hint="eastAsia" w:cs="宋体" w:asciiTheme="minorEastAsia" w:hAnsiTheme="minorEastAsia"/>
          <w:sz w:val="24"/>
          <w:szCs w:val="24"/>
          <w:u w:val="single"/>
        </w:rPr>
        <w:t xml:space="preserve">（标的名称） </w:t>
      </w:r>
      <w:r>
        <w:rPr>
          <w:rFonts w:hint="eastAsia" w:cs="宋体" w:asciiTheme="minorEastAsia" w:hAnsiTheme="minorEastAsia"/>
          <w:sz w:val="24"/>
          <w:szCs w:val="24"/>
        </w:rPr>
        <w:t>，属于</w:t>
      </w:r>
      <w:r>
        <w:rPr>
          <w:rFonts w:hint="eastAsia" w:cs="宋体" w:asciiTheme="minorEastAsia" w:hAnsiTheme="minorEastAsia"/>
          <w:sz w:val="24"/>
          <w:szCs w:val="24"/>
          <w:u w:val="single"/>
        </w:rPr>
        <w:t>（采购文件中明确的所属行业）</w:t>
      </w:r>
      <w:r>
        <w:rPr>
          <w:rFonts w:hint="eastAsia" w:cs="宋体" w:asciiTheme="minorEastAsia" w:hAnsiTheme="minorEastAsia"/>
          <w:sz w:val="24"/>
          <w:szCs w:val="24"/>
        </w:rPr>
        <w:t>；承建（承接）企业为</w:t>
      </w:r>
      <w:r>
        <w:rPr>
          <w:rFonts w:hint="eastAsia" w:cs="宋体" w:asciiTheme="minorEastAsia" w:hAnsiTheme="minorEastAsia"/>
          <w:sz w:val="24"/>
          <w:szCs w:val="24"/>
          <w:u w:val="single"/>
        </w:rPr>
        <w:t>（企业名称）</w:t>
      </w:r>
      <w:r>
        <w:rPr>
          <w:rFonts w:hint="eastAsia" w:cs="宋体" w:asciiTheme="minorEastAsia" w:hAnsiTheme="minorEastAsia"/>
          <w:sz w:val="24"/>
          <w:szCs w:val="24"/>
        </w:rPr>
        <w:t>，从业人员</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人，营业收入为</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万元，资产总额为</w:t>
      </w:r>
      <w:r>
        <w:rPr>
          <w:rFonts w:hint="eastAsia" w:cs="宋体" w:asciiTheme="minorEastAsia" w:hAnsiTheme="minorEastAsia"/>
          <w:sz w:val="24"/>
          <w:szCs w:val="24"/>
          <w:u w:val="single"/>
        </w:rPr>
        <w:t xml:space="preserve">   </w:t>
      </w:r>
      <w:r>
        <w:rPr>
          <w:rFonts w:hint="eastAsia" w:cs="宋体" w:asciiTheme="minorEastAsia" w:hAnsiTheme="minorEastAsia"/>
          <w:sz w:val="24"/>
          <w:szCs w:val="24"/>
        </w:rPr>
        <w:t>万元，属于</w:t>
      </w:r>
      <w:r>
        <w:rPr>
          <w:rFonts w:hint="eastAsia" w:cs="宋体" w:asciiTheme="minorEastAsia" w:hAnsiTheme="minorEastAsia"/>
          <w:sz w:val="24"/>
          <w:szCs w:val="24"/>
          <w:u w:val="single"/>
        </w:rPr>
        <w:t>（中型企业/小型企业/微型企业）</w:t>
      </w:r>
      <w:r>
        <w:rPr>
          <w:rFonts w:hint="eastAsia" w:cs="宋体" w:asciiTheme="minorEastAsia" w:hAnsiTheme="minorEastAsia"/>
          <w:sz w:val="24"/>
          <w:szCs w:val="24"/>
        </w:rPr>
        <w:t>；</w:t>
      </w:r>
    </w:p>
    <w:p w14:paraId="59E03549">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w:t>
      </w:r>
    </w:p>
    <w:p w14:paraId="632F1FB5">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以上企业，不属于大企业的分支机构，不存在控股股东为大企业的情形，也不存在与大企业的负责人为同一人的情形。</w:t>
      </w:r>
    </w:p>
    <w:p w14:paraId="2A819F1B">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本企业对上述声明内容的真实性负责。如有虚假，将依法承担相应责任。</w:t>
      </w:r>
    </w:p>
    <w:p w14:paraId="7E4400DC">
      <w:pPr>
        <w:spacing w:line="360" w:lineRule="auto"/>
        <w:ind w:firstLine="638" w:firstLineChars="266"/>
        <w:jc w:val="left"/>
        <w:rPr>
          <w:rFonts w:cs="宋体" w:asciiTheme="minorEastAsia" w:hAnsiTheme="minorEastAsia"/>
          <w:sz w:val="24"/>
          <w:szCs w:val="24"/>
        </w:rPr>
      </w:pPr>
    </w:p>
    <w:p w14:paraId="5F621AAE">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企业名称（盖公章）：</w:t>
      </w:r>
    </w:p>
    <w:p w14:paraId="486A0A8E">
      <w:pPr>
        <w:spacing w:line="360" w:lineRule="auto"/>
        <w:ind w:firstLine="638" w:firstLineChars="266"/>
        <w:jc w:val="left"/>
        <w:rPr>
          <w:rFonts w:cs="宋体" w:asciiTheme="minorEastAsia" w:hAnsiTheme="minorEastAsia"/>
          <w:sz w:val="24"/>
          <w:szCs w:val="24"/>
        </w:rPr>
      </w:pPr>
      <w:r>
        <w:rPr>
          <w:rFonts w:hint="eastAsia" w:cs="宋体" w:asciiTheme="minorEastAsia" w:hAnsiTheme="minorEastAsia"/>
          <w:sz w:val="24"/>
          <w:szCs w:val="24"/>
        </w:rPr>
        <w:t>日期：</w:t>
      </w:r>
    </w:p>
    <w:p w14:paraId="45CA1EF2">
      <w:pPr>
        <w:spacing w:line="360" w:lineRule="auto"/>
        <w:ind w:firstLine="480" w:firstLineChars="200"/>
        <w:rPr>
          <w:rFonts w:ascii="宋体" w:hAnsi="宋体" w:cs="宋体"/>
          <w:sz w:val="24"/>
          <w:szCs w:val="28"/>
        </w:rPr>
      </w:pPr>
      <w:r>
        <w:rPr>
          <w:rFonts w:hint="eastAsia" w:ascii="宋体" w:hAnsi="宋体" w:cs="宋体"/>
          <w:sz w:val="24"/>
          <w:szCs w:val="28"/>
        </w:rPr>
        <w:t>备注：</w:t>
      </w:r>
    </w:p>
    <w:p w14:paraId="7B56326C">
      <w:pPr>
        <w:spacing w:line="360" w:lineRule="auto"/>
        <w:ind w:firstLine="480" w:firstLineChars="200"/>
        <w:rPr>
          <w:rFonts w:ascii="宋体" w:hAnsi="宋体" w:cs="宋体"/>
          <w:sz w:val="24"/>
          <w:szCs w:val="28"/>
        </w:rPr>
      </w:pPr>
      <w:r>
        <w:rPr>
          <w:rFonts w:hint="eastAsia" w:ascii="宋体" w:hAnsi="宋体" w:cs="宋体"/>
          <w:sz w:val="24"/>
          <w:szCs w:val="28"/>
        </w:rPr>
        <w:t>1、如果</w:t>
      </w:r>
      <w:r>
        <w:rPr>
          <w:rFonts w:hint="eastAsia" w:ascii="宋体" w:hAnsi="宋体" w:cs="宋体"/>
          <w:sz w:val="24"/>
          <w:szCs w:val="28"/>
          <w:lang w:eastAsia="zh-CN"/>
        </w:rPr>
        <w:t>供应商</w:t>
      </w:r>
      <w:r>
        <w:rPr>
          <w:rFonts w:hint="eastAsia" w:ascii="宋体" w:hAnsi="宋体" w:cs="宋体"/>
          <w:sz w:val="24"/>
          <w:szCs w:val="28"/>
        </w:rPr>
        <w:t>不满足中小微企业的认定标准，或所投产品的供应商不符合小型微型企业认定标准的，则不需要提供《中小微企业声明函》 。否则，因此导致虚假投标的后果由供应商自行承担。</w:t>
      </w:r>
    </w:p>
    <w:p w14:paraId="6F3AAFC7">
      <w:pPr>
        <w:spacing w:line="360" w:lineRule="auto"/>
        <w:ind w:firstLine="480" w:firstLineChars="200"/>
        <w:rPr>
          <w:rFonts w:ascii="宋体" w:hAnsi="宋体" w:cs="宋体"/>
          <w:sz w:val="24"/>
          <w:szCs w:val="28"/>
        </w:rPr>
      </w:pPr>
      <w:r>
        <w:rPr>
          <w:rFonts w:hint="eastAsia" w:ascii="宋体" w:hAnsi="宋体" w:cs="宋体"/>
          <w:sz w:val="24"/>
          <w:szCs w:val="28"/>
        </w:rPr>
        <w:t>2、如果供应商不是小型或微型企业，本声明函可删除。</w:t>
      </w:r>
    </w:p>
    <w:p w14:paraId="2862EDAD">
      <w:pPr>
        <w:spacing w:after="120"/>
        <w:rPr>
          <w:rFonts w:cs="Mangal" w:asciiTheme="minorHAnsi" w:hAnsiTheme="minorHAnsi" w:eastAsiaTheme="minorEastAsia"/>
          <w:sz w:val="32"/>
          <w:szCs w:val="32"/>
        </w:rPr>
      </w:pPr>
      <w:r>
        <w:rPr>
          <w:rFonts w:hint="eastAsia" w:ascii="宋体" w:hAnsi="宋体" w:cs="宋体" w:eastAsiaTheme="minorEastAsia"/>
          <w:sz w:val="24"/>
          <w:szCs w:val="28"/>
          <w:lang w:eastAsia="hi-IN" w:bidi="hi-IN"/>
        </w:rPr>
        <w:t xml:space="preserve">    3、从业人员、营业收入、资产总额填报上一年度数据，无上一年度数据的新成立企业可不填报。</w:t>
      </w:r>
    </w:p>
    <w:p w14:paraId="7C93AA0F">
      <w:pPr>
        <w:spacing w:line="480" w:lineRule="auto"/>
        <w:textAlignment w:val="baseline"/>
        <w:rPr>
          <w:rFonts w:ascii="宋体" w:hAnsi="宋体" w:cs="宋体"/>
          <w:b/>
          <w:sz w:val="24"/>
          <w:szCs w:val="24"/>
        </w:rPr>
      </w:pPr>
      <w:r>
        <w:rPr>
          <w:rFonts w:hint="eastAsia" w:ascii="宋体" w:hAnsi="宋体" w:cs="宋体"/>
          <w:b/>
          <w:sz w:val="24"/>
          <w:szCs w:val="24"/>
        </w:rPr>
        <w:t>说明：</w:t>
      </w:r>
    </w:p>
    <w:p w14:paraId="7B3F30ED">
      <w:pPr>
        <w:widowControl/>
        <w:adjustRightInd w:val="0"/>
        <w:snapToGri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财政部、工信部关于印发《政府采购促进中小企业发展管理办法》的通知（财库〔2020〕46号）第二条、第四条规定：中小企业（含中型、小型、微型企业）应当同时符合以下条件：</w:t>
      </w:r>
    </w:p>
    <w:p w14:paraId="6CAF6998">
      <w:pPr>
        <w:widowControl/>
        <w:adjustRightInd w:val="0"/>
        <w:snapToGrid w:val="0"/>
        <w:spacing w:line="500" w:lineRule="exact"/>
        <w:ind w:firstLine="480" w:firstLineChars="200"/>
        <w:jc w:val="left"/>
        <w:rPr>
          <w:rFonts w:ascii="宋体" w:hAnsi="宋体" w:cs="宋体"/>
          <w:kern w:val="0"/>
          <w:sz w:val="24"/>
          <w:szCs w:val="24"/>
        </w:rPr>
      </w:pPr>
      <w:r>
        <w:rPr>
          <w:rFonts w:hint="eastAsia" w:ascii="宋体" w:hAnsi="宋体" w:cs="宋体"/>
          <w:bCs/>
          <w:kern w:val="0"/>
          <w:sz w:val="24"/>
          <w:szCs w:val="24"/>
        </w:rPr>
        <w:t xml:space="preserve">1. </w:t>
      </w:r>
      <w:r>
        <w:rPr>
          <w:rFonts w:hint="eastAsia" w:ascii="宋体" w:hAnsi="宋体" w:cs="宋体"/>
          <w:kern w:val="0"/>
          <w:sz w:val="24"/>
          <w:szCs w:val="24"/>
        </w:rPr>
        <w:t>符合中小企业划分标准（见工业和信息化部国家统计局国家发展和改革委员会财政部《关于印发中小企业划型标准规定的通知》（工信部联企业〔2011〕300号)）；</w:t>
      </w:r>
    </w:p>
    <w:p w14:paraId="5D9EACC1">
      <w:pPr>
        <w:widowControl/>
        <w:adjustRightInd w:val="0"/>
        <w:snapToGri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2.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3AA8069A">
      <w:pPr>
        <w:widowControl/>
        <w:adjustRightInd w:val="0"/>
        <w:snapToGri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符合中小企业划分标准的个体工商户，在政府采购活动中视同中小企业。</w:t>
      </w:r>
    </w:p>
    <w:p w14:paraId="1D1C4002">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3. 在服务采购项目中，服务由中小企业承接，即提供服务的人员为中小企业依照《中华人民共和国劳动合同法》订立劳动合同的从业人员。</w:t>
      </w:r>
    </w:p>
    <w:p w14:paraId="7D31DFDF">
      <w:pPr>
        <w:widowControl/>
        <w:adjustRightInd w:val="0"/>
        <w:snapToGrid w:val="0"/>
        <w:spacing w:after="200" w:line="480" w:lineRule="auto"/>
        <w:jc w:val="left"/>
        <w:rPr>
          <w:rFonts w:ascii="宋体" w:hAnsi="宋体" w:cs="宋体"/>
          <w:kern w:val="0"/>
          <w:sz w:val="24"/>
          <w:szCs w:val="24"/>
        </w:rPr>
      </w:pPr>
    </w:p>
    <w:p w14:paraId="77DEAD2E">
      <w:pPr>
        <w:widowControl/>
        <w:jc w:val="left"/>
        <w:rPr>
          <w:rFonts w:ascii="宋体" w:hAnsi="宋体" w:cs="宋体"/>
          <w:sz w:val="24"/>
          <w:szCs w:val="24"/>
        </w:rPr>
      </w:pPr>
      <w:r>
        <w:rPr>
          <w:rFonts w:hint="eastAsia" w:ascii="宋体" w:hAnsi="宋体" w:cs="宋体"/>
          <w:b/>
          <w:kern w:val="0"/>
          <w:sz w:val="24"/>
          <w:szCs w:val="24"/>
        </w:rPr>
        <w:t>（提醒：如果响应人不满足小型、微型企业的认定标准，或所投产品的制造商不符合小型、微型企业认定标准的，则不需要提供《中小企业声明函》。否则，因此导致虚假投标的后果由响应人自行承担。）</w:t>
      </w:r>
    </w:p>
    <w:p w14:paraId="5DF63973">
      <w:pPr>
        <w:widowControl/>
        <w:adjustRightInd w:val="0"/>
        <w:snapToGrid w:val="0"/>
        <w:spacing w:after="200" w:line="480" w:lineRule="auto"/>
        <w:ind w:firstLine="354" w:firstLineChars="147"/>
        <w:jc w:val="left"/>
        <w:rPr>
          <w:rFonts w:hint="eastAsia" w:ascii="宋体" w:hAnsi="宋体" w:cs="宋体"/>
          <w:b/>
          <w:kern w:val="0"/>
          <w:sz w:val="24"/>
          <w:szCs w:val="24"/>
        </w:rPr>
      </w:pPr>
    </w:p>
    <w:p w14:paraId="64B3A8ED">
      <w:pPr>
        <w:pStyle w:val="5"/>
        <w:rPr>
          <w:rFonts w:hint="eastAsia"/>
          <w:lang w:eastAsia="zh-CN" w:bidi="ar-SA"/>
        </w:rPr>
      </w:pPr>
    </w:p>
    <w:p w14:paraId="4F9C081C">
      <w:pPr>
        <w:rPr>
          <w:rFonts w:hint="eastAsia"/>
        </w:rPr>
      </w:pPr>
    </w:p>
    <w:p w14:paraId="272C3973">
      <w:pPr>
        <w:pStyle w:val="5"/>
        <w:rPr>
          <w:rFonts w:hint="eastAsia"/>
          <w:lang w:eastAsia="zh-CN" w:bidi="ar-SA"/>
        </w:rPr>
      </w:pPr>
    </w:p>
    <w:p w14:paraId="6F161A3E">
      <w:pPr>
        <w:rPr>
          <w:rFonts w:hint="eastAsia"/>
        </w:rPr>
      </w:pPr>
    </w:p>
    <w:p w14:paraId="09D40126">
      <w:pPr>
        <w:pStyle w:val="5"/>
        <w:rPr>
          <w:rFonts w:hint="eastAsia"/>
          <w:lang w:eastAsia="zh-CN" w:bidi="ar-SA"/>
        </w:rPr>
      </w:pPr>
    </w:p>
    <w:p w14:paraId="70776A47">
      <w:pPr>
        <w:rPr>
          <w:rFonts w:hint="eastAsia"/>
        </w:rPr>
      </w:pPr>
    </w:p>
    <w:p w14:paraId="6F70CF59">
      <w:pPr>
        <w:pStyle w:val="5"/>
        <w:rPr>
          <w:rFonts w:hint="eastAsia"/>
          <w:lang w:eastAsia="zh-CN" w:bidi="ar-SA"/>
        </w:rPr>
      </w:pPr>
    </w:p>
    <w:p w14:paraId="038ADEDC">
      <w:pPr>
        <w:rPr>
          <w:rFonts w:hint="eastAsia"/>
        </w:rPr>
      </w:pPr>
    </w:p>
    <w:p w14:paraId="17C75FCF">
      <w:pPr>
        <w:pStyle w:val="5"/>
        <w:rPr>
          <w:rFonts w:hint="eastAsia"/>
          <w:lang w:eastAsia="zh-CN" w:bidi="ar-SA"/>
        </w:rPr>
      </w:pPr>
    </w:p>
    <w:p w14:paraId="612BFB2E">
      <w:pPr>
        <w:rPr>
          <w:rFonts w:hint="eastAsia"/>
        </w:rPr>
      </w:pPr>
    </w:p>
    <w:p w14:paraId="06368C9E">
      <w:pPr>
        <w:pStyle w:val="5"/>
        <w:rPr>
          <w:rFonts w:hint="eastAsia"/>
          <w:lang w:eastAsia="zh-CN" w:bidi="ar-SA"/>
        </w:rPr>
      </w:pPr>
    </w:p>
    <w:p w14:paraId="3710FE2F">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bookmarkStart w:id="1268" w:name="_Toc22816"/>
      <w:bookmarkStart w:id="1269" w:name="_Toc29482"/>
      <w:bookmarkStart w:id="1270" w:name="_Toc10802"/>
      <w:bookmarkStart w:id="1271" w:name="_Toc14656"/>
      <w:bookmarkStart w:id="1272" w:name="_Toc22084"/>
      <w:bookmarkStart w:id="1273" w:name="_Toc21261"/>
      <w:bookmarkStart w:id="1274" w:name="_Toc26908"/>
      <w:bookmarkStart w:id="1275" w:name="_Toc25504"/>
      <w:bookmarkStart w:id="1276" w:name="_Toc18758"/>
      <w:bookmarkStart w:id="1277" w:name="_Toc7278"/>
      <w:bookmarkStart w:id="1278" w:name="_Toc25719"/>
      <w:bookmarkStart w:id="1279" w:name="_Toc14029"/>
      <w:bookmarkStart w:id="1280" w:name="_Toc5459"/>
      <w:bookmarkStart w:id="1281" w:name="OLE_LINK14"/>
      <w:bookmarkStart w:id="1282" w:name="_Toc15388"/>
      <w:bookmarkStart w:id="1283" w:name="_Toc1407"/>
      <w:bookmarkStart w:id="1284" w:name="OLE_LINK13"/>
      <w:bookmarkStart w:id="1285" w:name="_Toc2835"/>
      <w:bookmarkStart w:id="1286" w:name="_Toc3686"/>
      <w:bookmarkStart w:id="1287" w:name="_Toc23527"/>
    </w:p>
    <w:p w14:paraId="27602F2C">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0A1AF97E">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59F88FAE">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1E8B00E8">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3283B81F">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03B2018F">
      <w:pPr>
        <w:numPr>
          <w:ilvl w:val="1"/>
          <w:numId w:val="0"/>
        </w:numPr>
        <w:wordWrap w:val="0"/>
        <w:topLinePunct/>
        <w:spacing w:line="360" w:lineRule="auto"/>
        <w:ind w:firstLine="482" w:firstLineChars="200"/>
        <w:jc w:val="center"/>
        <w:outlineLvl w:val="9"/>
        <w:rPr>
          <w:rFonts w:hint="eastAsia" w:ascii="宋体" w:hAnsi="宋体" w:cs="宋体"/>
          <w:b/>
          <w:bCs/>
          <w:sz w:val="24"/>
          <w:szCs w:val="24"/>
        </w:rPr>
      </w:pPr>
    </w:p>
    <w:p w14:paraId="0DAEB7D4">
      <w:pPr>
        <w:numPr>
          <w:ilvl w:val="1"/>
          <w:numId w:val="0"/>
        </w:numPr>
        <w:wordWrap w:val="0"/>
        <w:topLinePunct/>
        <w:spacing w:line="360" w:lineRule="auto"/>
        <w:ind w:firstLine="482" w:firstLineChars="200"/>
        <w:jc w:val="center"/>
        <w:outlineLvl w:val="9"/>
        <w:rPr>
          <w:rFonts w:ascii="宋体" w:hAnsi="宋体" w:cs="宋体"/>
          <w:b/>
          <w:bCs/>
          <w:spacing w:val="6"/>
          <w:sz w:val="24"/>
          <w:szCs w:val="24"/>
        </w:rPr>
      </w:pPr>
      <w:r>
        <w:rPr>
          <w:rFonts w:hint="eastAsia" w:ascii="宋体" w:hAnsi="宋体" w:cs="宋体"/>
          <w:b/>
          <w:bCs/>
          <w:sz w:val="24"/>
          <w:szCs w:val="24"/>
        </w:rPr>
        <w:t>残疾人福利性单位声明函</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14:paraId="01FC18CC">
      <w:pPr>
        <w:spacing w:line="360" w:lineRule="auto"/>
        <w:ind w:firstLine="504" w:firstLineChars="200"/>
        <w:rPr>
          <w:rFonts w:ascii="宋体" w:hAnsi="宋体" w:cs="宋体"/>
          <w:spacing w:val="6"/>
          <w:sz w:val="24"/>
          <w:szCs w:val="24"/>
        </w:rPr>
      </w:pPr>
      <w:r>
        <w:rPr>
          <w:rFonts w:hint="eastAsia" w:ascii="宋体" w:hAnsi="宋体" w:cs="宋体"/>
          <w:spacing w:val="6"/>
          <w:sz w:val="24"/>
          <w:szCs w:val="24"/>
        </w:rPr>
        <w:t>本单位郑重声明，根据《财政部 民政部 中国残疾人联合会关于促进残疾人就业政府采购政策的通知》（财库</w:t>
      </w:r>
      <w:r>
        <w:rPr>
          <w:rFonts w:hint="eastAsia" w:ascii="宋体" w:hAnsi="宋体" w:cs="宋体"/>
          <w:sz w:val="24"/>
          <w:szCs w:val="24"/>
        </w:rPr>
        <w:t>〔2017〕141</w:t>
      </w:r>
      <w:r>
        <w:rPr>
          <w:rFonts w:hint="eastAsia" w:ascii="宋体" w:hAnsi="宋体" w:cs="宋体"/>
          <w:spacing w:val="6"/>
          <w:sz w:val="24"/>
          <w:szCs w:val="24"/>
        </w:rPr>
        <w:t>号）的规定，本单位为符合条件的残疾人福利性单位，且本单位参加</w:t>
      </w:r>
      <w:r>
        <w:rPr>
          <w:rFonts w:hint="eastAsia" w:ascii="宋体" w:hAnsi="宋体" w:cs="宋体"/>
          <w:spacing w:val="6"/>
          <w:sz w:val="24"/>
          <w:szCs w:val="24"/>
          <w:u w:val="single"/>
        </w:rPr>
        <w:t xml:space="preserve">       </w:t>
      </w:r>
      <w:r>
        <w:rPr>
          <w:rFonts w:hint="eastAsia" w:ascii="宋体" w:hAnsi="宋体" w:cs="宋体"/>
          <w:spacing w:val="6"/>
          <w:sz w:val="24"/>
          <w:szCs w:val="24"/>
        </w:rPr>
        <w:t>单位的</w:t>
      </w:r>
      <w:r>
        <w:rPr>
          <w:rFonts w:hint="eastAsia" w:ascii="宋体" w:hAnsi="宋体" w:cs="宋体"/>
          <w:spacing w:val="6"/>
          <w:sz w:val="24"/>
          <w:szCs w:val="24"/>
          <w:u w:val="single"/>
        </w:rPr>
        <w:t xml:space="preserve">      </w:t>
      </w:r>
      <w:r>
        <w:rPr>
          <w:rFonts w:hint="eastAsia" w:ascii="宋体" w:hAnsi="宋体" w:cs="宋体"/>
          <w:spacing w:val="6"/>
          <w:sz w:val="24"/>
          <w:szCs w:val="24"/>
        </w:rPr>
        <w:t>项目采购活动提供本单位制造的货物（由本单位承担工程/提供服务），或者提供其他残疾人福利性单位制造的货物（不包括使用非残疾人福利性单位注册商标的货物）。</w:t>
      </w:r>
    </w:p>
    <w:p w14:paraId="7E128BF3">
      <w:pPr>
        <w:spacing w:line="360" w:lineRule="auto"/>
        <w:ind w:firstLine="504" w:firstLineChars="200"/>
        <w:rPr>
          <w:rFonts w:ascii="宋体" w:hAnsi="宋体" w:cs="宋体"/>
          <w:spacing w:val="6"/>
          <w:sz w:val="24"/>
          <w:szCs w:val="24"/>
        </w:rPr>
      </w:pPr>
      <w:r>
        <w:rPr>
          <w:rFonts w:hint="eastAsia" w:ascii="宋体" w:hAnsi="宋体" w:cs="宋体"/>
          <w:spacing w:val="6"/>
          <w:sz w:val="24"/>
          <w:szCs w:val="24"/>
        </w:rPr>
        <w:t>本单位对上述声明的真实性负责。如有虚假，将依法承担相应责任。</w:t>
      </w:r>
    </w:p>
    <w:p w14:paraId="43EEDA47">
      <w:pPr>
        <w:spacing w:line="360" w:lineRule="auto"/>
        <w:ind w:firstLine="504" w:firstLineChars="200"/>
        <w:rPr>
          <w:rFonts w:ascii="宋体" w:hAnsi="宋体" w:cs="宋体"/>
          <w:spacing w:val="6"/>
          <w:sz w:val="24"/>
          <w:szCs w:val="24"/>
        </w:rPr>
      </w:pPr>
    </w:p>
    <w:p w14:paraId="765F9AEC">
      <w:pPr>
        <w:tabs>
          <w:tab w:val="left" w:pos="4860"/>
        </w:tabs>
        <w:spacing w:line="360" w:lineRule="auto"/>
        <w:ind w:firstLine="504" w:firstLineChars="200"/>
        <w:jc w:val="center"/>
        <w:rPr>
          <w:rFonts w:ascii="宋体" w:hAnsi="宋体" w:cs="宋体"/>
          <w:spacing w:val="6"/>
          <w:sz w:val="24"/>
          <w:szCs w:val="24"/>
          <w:u w:val="single"/>
        </w:rPr>
      </w:pPr>
      <w:r>
        <w:rPr>
          <w:rFonts w:hint="eastAsia" w:ascii="宋体" w:hAnsi="宋体" w:cs="宋体"/>
          <w:spacing w:val="6"/>
          <w:sz w:val="24"/>
          <w:szCs w:val="24"/>
        </w:rPr>
        <w:t xml:space="preserve">               单位名称（盖章）：</w:t>
      </w:r>
      <w:r>
        <w:rPr>
          <w:rFonts w:hint="eastAsia" w:ascii="宋体" w:hAnsi="宋体" w:cs="宋体"/>
          <w:spacing w:val="6"/>
          <w:sz w:val="24"/>
          <w:szCs w:val="24"/>
          <w:u w:val="single"/>
        </w:rPr>
        <w:t xml:space="preserve">                </w:t>
      </w:r>
    </w:p>
    <w:p w14:paraId="0C5AC140">
      <w:pPr>
        <w:tabs>
          <w:tab w:val="left" w:pos="4860"/>
        </w:tabs>
        <w:spacing w:line="360" w:lineRule="auto"/>
        <w:ind w:firstLine="504" w:firstLineChars="200"/>
        <w:jc w:val="center"/>
        <w:rPr>
          <w:rFonts w:ascii="宋体" w:hAnsi="宋体" w:cs="宋体"/>
          <w:spacing w:val="6"/>
          <w:sz w:val="24"/>
          <w:szCs w:val="24"/>
        </w:rPr>
      </w:pPr>
      <w:r>
        <w:rPr>
          <w:rFonts w:hint="eastAsia" w:ascii="宋体" w:hAnsi="宋体" w:cs="宋体"/>
          <w:spacing w:val="6"/>
          <w:sz w:val="24"/>
          <w:szCs w:val="24"/>
        </w:rPr>
        <w:t xml:space="preserve">       日  期：</w:t>
      </w:r>
    </w:p>
    <w:p w14:paraId="3B02B5BD">
      <w:pPr>
        <w:widowControl/>
        <w:spacing w:line="360" w:lineRule="auto"/>
        <w:ind w:firstLine="482" w:firstLineChars="200"/>
        <w:rPr>
          <w:rFonts w:ascii="宋体" w:hAnsi="宋体" w:cs="宋体"/>
          <w:b/>
          <w:sz w:val="24"/>
          <w:szCs w:val="24"/>
        </w:rPr>
      </w:pPr>
      <w:r>
        <w:rPr>
          <w:rFonts w:hint="eastAsia" w:ascii="宋体" w:hAnsi="宋体" w:cs="宋体"/>
          <w:b/>
          <w:sz w:val="24"/>
          <w:szCs w:val="24"/>
        </w:rPr>
        <w:t>（提醒：如果供应商</w:t>
      </w:r>
      <w:r>
        <w:rPr>
          <w:rFonts w:hint="eastAsia" w:ascii="宋体" w:hAnsi="宋体" w:cs="宋体"/>
          <w:b/>
          <w:spacing w:val="10"/>
          <w:kern w:val="0"/>
          <w:sz w:val="24"/>
          <w:szCs w:val="24"/>
        </w:rPr>
        <w:t>不是残疾人福利性单位</w:t>
      </w:r>
      <w:r>
        <w:rPr>
          <w:rFonts w:hint="eastAsia" w:ascii="宋体" w:hAnsi="宋体" w:cs="宋体"/>
          <w:b/>
          <w:sz w:val="24"/>
          <w:szCs w:val="24"/>
        </w:rPr>
        <w:t>，则不需要提供《残疾人福利性单位声明函》。否则，因此导致虚假投标的后果由供应商自行承担。）</w:t>
      </w:r>
    </w:p>
    <w:p w14:paraId="0B2E73E2">
      <w:pPr>
        <w:spacing w:line="360" w:lineRule="auto"/>
        <w:ind w:firstLine="480" w:firstLineChars="200"/>
        <w:rPr>
          <w:rFonts w:ascii="宋体" w:hAnsi="宋体" w:cs="宋体"/>
          <w:sz w:val="24"/>
          <w:szCs w:val="24"/>
        </w:rPr>
      </w:pPr>
      <w:r>
        <w:rPr>
          <w:rFonts w:hint="eastAsia" w:ascii="宋体" w:hAnsi="宋体" w:cs="宋体"/>
          <w:sz w:val="24"/>
          <w:szCs w:val="24"/>
        </w:rPr>
        <w:t>《财政部民政部中国残疾人联合会关于促进残疾人就业政府采购政策的通知》（财库2017〔141〕号）的规定：</w:t>
      </w:r>
    </w:p>
    <w:p w14:paraId="7503D082">
      <w:pPr>
        <w:spacing w:line="360" w:lineRule="auto"/>
        <w:ind w:firstLine="480" w:firstLineChars="200"/>
        <w:rPr>
          <w:rFonts w:ascii="宋体" w:hAnsi="宋体" w:cs="宋体"/>
          <w:sz w:val="24"/>
          <w:szCs w:val="24"/>
        </w:rPr>
      </w:pPr>
      <w:r>
        <w:rPr>
          <w:rFonts w:hint="eastAsia" w:ascii="宋体" w:hAnsi="宋体" w:cs="宋体"/>
          <w:sz w:val="24"/>
          <w:szCs w:val="24"/>
        </w:rPr>
        <w:t>1. 享受政府采购支持政策的残疾人福利性单位应当同时满足以下条件：</w:t>
      </w:r>
    </w:p>
    <w:p w14:paraId="12571F07">
      <w:pPr>
        <w:spacing w:line="360" w:lineRule="auto"/>
        <w:ind w:firstLine="480" w:firstLineChars="200"/>
        <w:rPr>
          <w:rFonts w:ascii="宋体" w:hAnsi="宋体" w:cs="宋体"/>
          <w:sz w:val="24"/>
          <w:szCs w:val="24"/>
        </w:rPr>
      </w:pPr>
      <w:r>
        <w:rPr>
          <w:rFonts w:hint="eastAsia" w:ascii="宋体" w:hAnsi="宋体" w:cs="宋体"/>
          <w:sz w:val="24"/>
          <w:szCs w:val="24"/>
        </w:rPr>
        <w:t>（1）安置的残疾人占本单位在职职工人数的比例不低于25%（含25%），并且安置的残疾人人数不少于10人（含10人）；</w:t>
      </w:r>
    </w:p>
    <w:p w14:paraId="45090C9F">
      <w:pPr>
        <w:spacing w:line="360" w:lineRule="auto"/>
        <w:ind w:firstLine="480" w:firstLineChars="200"/>
        <w:rPr>
          <w:rFonts w:ascii="宋体" w:hAnsi="宋体" w:cs="宋体"/>
          <w:sz w:val="24"/>
          <w:szCs w:val="24"/>
        </w:rPr>
      </w:pPr>
      <w:r>
        <w:rPr>
          <w:rFonts w:hint="eastAsia" w:ascii="宋体" w:hAnsi="宋体" w:cs="宋体"/>
          <w:sz w:val="24"/>
          <w:szCs w:val="24"/>
        </w:rPr>
        <w:t>（2）依法与安置的每位残疾人签订了一年以上（含一年）的劳动合同或服务协议；</w:t>
      </w:r>
    </w:p>
    <w:p w14:paraId="02FF1AFB">
      <w:pPr>
        <w:spacing w:line="360" w:lineRule="auto"/>
        <w:ind w:firstLine="480" w:firstLineChars="200"/>
        <w:rPr>
          <w:rFonts w:ascii="宋体" w:hAnsi="宋体" w:cs="宋体"/>
          <w:sz w:val="24"/>
          <w:szCs w:val="24"/>
        </w:rPr>
      </w:pPr>
      <w:r>
        <w:rPr>
          <w:rFonts w:hint="eastAsia" w:ascii="宋体" w:hAnsi="宋体" w:cs="宋体"/>
          <w:sz w:val="24"/>
          <w:szCs w:val="24"/>
        </w:rPr>
        <w:t>（3）为安置的每位残疾人按月足额缴纳了基本养老保险、基本医疗保险、失业保险、工伤保险和生育保险等社会保险费；</w:t>
      </w:r>
    </w:p>
    <w:p w14:paraId="681EAD44">
      <w:pPr>
        <w:spacing w:line="360" w:lineRule="auto"/>
        <w:ind w:firstLine="480" w:firstLineChars="200"/>
        <w:rPr>
          <w:rFonts w:ascii="宋体" w:hAnsi="宋体" w:cs="宋体"/>
          <w:sz w:val="24"/>
          <w:szCs w:val="24"/>
        </w:rPr>
      </w:pPr>
      <w:r>
        <w:rPr>
          <w:rFonts w:hint="eastAsia" w:ascii="宋体" w:hAnsi="宋体" w:cs="宋体"/>
          <w:sz w:val="24"/>
          <w:szCs w:val="24"/>
        </w:rPr>
        <w:t>（4）通过银行等金融机构向安置的每位残疾人，按月支付了不低于单位所在区县适用的经省级人民政府批准的月最低工资标准的工资；</w:t>
      </w:r>
    </w:p>
    <w:p w14:paraId="3999CC4D">
      <w:pPr>
        <w:spacing w:line="360" w:lineRule="auto"/>
        <w:ind w:firstLine="480" w:firstLineChars="200"/>
        <w:rPr>
          <w:rFonts w:ascii="宋体" w:hAnsi="宋体" w:cs="宋体"/>
          <w:sz w:val="24"/>
          <w:szCs w:val="24"/>
        </w:rPr>
      </w:pPr>
      <w:r>
        <w:rPr>
          <w:rFonts w:hint="eastAsia" w:ascii="宋体" w:hAnsi="宋体" w:cs="宋体"/>
          <w:sz w:val="24"/>
          <w:szCs w:val="24"/>
        </w:rPr>
        <w:t>（5）提供本单位制造的货物、承担的工程或者服务（以下简称产品），或者提供其他残疾人福利性单位制造的货物（不包括使用非残疾人福利性单位注册商标的货物）。</w:t>
      </w:r>
    </w:p>
    <w:p w14:paraId="1F3A96CD">
      <w:pPr>
        <w:spacing w:line="360" w:lineRule="auto"/>
        <w:ind w:firstLine="480" w:firstLineChars="200"/>
        <w:rPr>
          <w:rFonts w:ascii="Calibri" w:hAnsi="Calibri"/>
          <w:szCs w:val="24"/>
        </w:rPr>
      </w:pPr>
      <w:r>
        <w:rPr>
          <w:rFonts w:hint="eastAsia" w:ascii="宋体" w:hAnsi="宋体" w:cs="宋体"/>
          <w:sz w:val="24"/>
          <w:szCs w:val="24"/>
        </w:rPr>
        <w:t xml:space="preserve">2. 成交人为残疾人福利性单位的，采购人或者其委托的采购代理机构应当随成交、成交结果同时公告其《残疾人福利性单位声明函》，接受社会监督。   </w:t>
      </w:r>
    </w:p>
    <w:p w14:paraId="36A6EB6E">
      <w:pPr>
        <w:rPr>
          <w:rFonts w:hint="eastAsia" w:ascii="宋体" w:hAnsi="宋体" w:cs="宋体"/>
          <w:b/>
          <w:bCs/>
          <w:sz w:val="32"/>
          <w:szCs w:val="24"/>
        </w:rPr>
      </w:pPr>
      <w:bookmarkStart w:id="1288" w:name="_Toc2763"/>
      <w:bookmarkStart w:id="1289" w:name="_Toc27334"/>
      <w:bookmarkStart w:id="1290" w:name="_Toc12130"/>
      <w:bookmarkStart w:id="1291" w:name="_Toc28942"/>
      <w:r>
        <w:rPr>
          <w:rFonts w:hint="eastAsia" w:ascii="宋体" w:hAnsi="宋体" w:cs="宋体"/>
          <w:b/>
          <w:bCs/>
          <w:sz w:val="32"/>
          <w:szCs w:val="24"/>
        </w:rPr>
        <w:br w:type="page"/>
      </w:r>
    </w:p>
    <w:p w14:paraId="65A6F3B0">
      <w:pPr>
        <w:numPr>
          <w:ilvl w:val="1"/>
          <w:numId w:val="0"/>
        </w:numPr>
        <w:wordWrap w:val="0"/>
        <w:topLinePunct/>
        <w:spacing w:line="360" w:lineRule="auto"/>
        <w:ind w:firstLine="643" w:firstLineChars="200"/>
        <w:jc w:val="center"/>
        <w:outlineLvl w:val="9"/>
        <w:rPr>
          <w:rFonts w:ascii="宋体" w:hAnsi="宋体" w:cs="宋体"/>
          <w:b/>
          <w:bCs/>
          <w:sz w:val="32"/>
          <w:szCs w:val="24"/>
        </w:rPr>
      </w:pPr>
      <w:r>
        <w:rPr>
          <w:rFonts w:hint="eastAsia" w:ascii="宋体" w:hAnsi="宋体" w:cs="宋体"/>
          <w:b/>
          <w:bCs/>
          <w:sz w:val="32"/>
          <w:szCs w:val="24"/>
        </w:rPr>
        <w:t>监狱企业证明文件</w:t>
      </w:r>
      <w:bookmarkEnd w:id="1288"/>
      <w:bookmarkEnd w:id="1289"/>
      <w:bookmarkEnd w:id="1290"/>
      <w:bookmarkEnd w:id="1291"/>
    </w:p>
    <w:p w14:paraId="7924CE74">
      <w:r>
        <w:rPr>
          <w:rFonts w:hint="eastAsia" w:ascii="宋体" w:hAnsi="宋体" w:cs="宋体"/>
          <w:szCs w:val="22"/>
        </w:rPr>
        <w:t>（监狱企业参加政府采购活动时，应当提供由省级以上监狱管理局、戒毒管理局(含新疆生产建设兵团)出具的属于监狱企业的证明文件。</w:t>
      </w:r>
    </w:p>
    <w:p w14:paraId="6468DC12"/>
    <w:p w14:paraId="29487297"/>
    <w:sectPr>
      <w:headerReference r:id="rId7" w:type="default"/>
      <w:footerReference r:id="rId8" w:type="default"/>
      <w:pgSz w:w="11906" w:h="16838"/>
      <w:pgMar w:top="1134" w:right="1134" w:bottom="1134"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_5b8b_4f53">
    <w:altName w:val="Times New Roman"/>
    <w:panose1 w:val="00000000000000000000"/>
    <w:charset w:val="00"/>
    <w:family w:val="auto"/>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Noto Serif CJK SC">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angal">
    <w:altName w:val="Segoe Print"/>
    <w:panose1 w:val="02040503050203030202"/>
    <w:charset w:val="00"/>
    <w:family w:val="roman"/>
    <w:pitch w:val="default"/>
    <w:sig w:usb0="00000000"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D055">
    <w:pPr>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25A9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125A90">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1DBDF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E3E3">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5255" cy="16256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0F3CD85D">
                          <w:pPr>
                            <w:jc w:val="center"/>
                          </w:pPr>
                          <w:r>
                            <w:fldChar w:fldCharType="begin"/>
                          </w:r>
                          <w:r>
                            <w:instrText xml:space="preserve">PAGE   \* MERGEFORMAT</w:instrText>
                          </w:r>
                          <w:r>
                            <w:fldChar w:fldCharType="separate"/>
                          </w:r>
                          <w:r>
                            <w:rPr>
                              <w:lang w:val="zh-CN"/>
                            </w:rPr>
                            <w:t>37</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59264;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BomCidCgIAAAIEAAAOAAAAZHJzL2Uyb0RvYy54bWytU0tu2zAQ3Rfo&#10;HQjua9lubBSC5SCN4aJA+gHSHICmKIuoyCGGtCX3AO0Nuuom+57L5+iQspw03WTRDTEkh2/eezNc&#10;XHamYXuFXoMt+GQ05kxZCaW224LffVm/esOZD8KWogGrCn5Qnl8uX75YtC5XU6ihKRUyArE+b13B&#10;6xBcnmVe1soIPwKnLF1WgEYE2uI2K1G0hG6abDoez7MWsHQIUnlPp6v+kp8Q8TmAUFVaqhXInVE2&#10;9KioGhFIkq+183yZ2FaVkuFTVXkVWFNwUhrSSkUo3sQ1Wy5EvkXhai1PFMRzKDzRZIS2VPQMtRJB&#10;sB3qf6CMlggeqjCSYLJeSHKEVEzGT7y5rYVTSQtZ7d3ZdP//YOXH/Wdkuiz4BWdWGGr48eeP46/f&#10;x/vv7CLa0zqfU9ato7zQvYWOhiZJ9e4G5FfPLFzXwm7VFSK0tRIl0ZvEl9mjpz2OjyCb9gOUVEfs&#10;AiSgrkITvSM3GKFTaw7n1qguMBlLvp5NZzPOJF1N5tPZPLUuE/nw2KEP7xQYFoOCI3U+gYv9jQ+R&#10;jMiHlFjLwlo3Tep+Y/86oMR4kshHvj3z0G26kxkbKA8kA6EfJvpKFNSA3zhraZAKbunfcNa8t2RE&#10;nLkhwCHYDIGwkh4WPHDWh9ehn82dQ72tCXew+orMWuskJLraczixpNFI+k5jHGfv8T5lPXzd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RzB0QAAAAMBAAAPAAAAAAAAAAEAIAAAACIAAABkcnMv&#10;ZG93bnJldi54bWxQSwECFAAUAAAACACHTuJAaJgonQoCAAACBAAADgAAAAAAAAABACAAAAAgAQAA&#10;ZHJzL2Uyb0RvYy54bWxQSwUGAAAAAAYABgBZAQAAnAUAAAAA&#10;">
              <v:fill on="f" focussize="0,0"/>
              <v:stroke on="f"/>
              <v:imagedata o:title=""/>
              <o:lock v:ext="edit" aspectratio="f"/>
              <v:textbox inset="0mm,0mm,0mm,0mm" style="mso-fit-shape-to-text:t;">
                <w:txbxContent>
                  <w:p w14:paraId="0F3CD85D">
                    <w:pPr>
                      <w:jc w:val="center"/>
                    </w:pPr>
                    <w:r>
                      <w:fldChar w:fldCharType="begin"/>
                    </w:r>
                    <w:r>
                      <w:instrText xml:space="preserve">PAGE   \* MERGEFORMAT</w:instrText>
                    </w:r>
                    <w:r>
                      <w:fldChar w:fldCharType="separate"/>
                    </w:r>
                    <w:r>
                      <w:rPr>
                        <w:lang w:val="zh-CN"/>
                      </w:rPr>
                      <w:t>37</w:t>
                    </w:r>
                    <w:r>
                      <w:rPr>
                        <w:lang w:val="zh-CN"/>
                      </w:rPr>
                      <w:fldChar w:fldCharType="end"/>
                    </w:r>
                  </w:p>
                </w:txbxContent>
              </v:textbox>
            </v:shape>
          </w:pict>
        </mc:Fallback>
      </mc:AlternateContent>
    </w:r>
    <w:r>
      <w:rPr>
        <w:rFonts w:hint="eastAsia"/>
      </w:rPr>
      <w:t xml:space="preserve"> </w:t>
    </w:r>
  </w:p>
  <w:p w14:paraId="40EFEE2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28D6">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5255" cy="16256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352F1F0A">
                          <w:pPr>
                            <w:jc w:val="center"/>
                          </w:pPr>
                          <w:r>
                            <w:fldChar w:fldCharType="begin"/>
                          </w:r>
                          <w:r>
                            <w:instrText xml:space="preserve">PAGE   \* MERGEFORMAT</w:instrText>
                          </w:r>
                          <w:r>
                            <w:fldChar w:fldCharType="separate"/>
                          </w:r>
                          <w:r>
                            <w:rPr>
                              <w:lang w:val="zh-CN"/>
                            </w:rPr>
                            <w:t>48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60288;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A5IfDJCQIAAAIEAAAOAAAAZHJzL2Uyb0RvYy54bWytU82O0zAQviPx&#10;DpbvNG1QKxQ1XS1bFSEtP9LCA7iO01jEHmvsNikPAG/AiQv3fa4+B2OnKcty2QMXa2yPv/m+b8bL&#10;q9607KDQa7Aln02mnCkrodJ2V/LPnzYvXnHmg7CVaMGqkh+V51er58+WnStUDg20lUJGINYXnSt5&#10;E4IrsszLRhnhJ+CUpcsa0IhAW9xlFYqO0E2b5dPpIusAK4cglfd0uh4u+RkRnwIIda2lWoPcG2XD&#10;gIqqFYEk+UY7z1eJbV0rGT7UtVeBtSUnpSGtVITibVyz1VIUOxSu0fJMQTyFwiNNRmhLRS9QaxEE&#10;26P+B8poieChDhMJJhuEJEdIxWz6yJu7RjiVtJDV3l1M9/8PVr4/fESmq5LnnFlhqOGnH99PP+9P&#10;v76xPNrTOV9Q1p2jvNC/hp6GJkn17hbkF88s3DTC7tQ1InSNEhXRm8WX2YOnA46PINvuHVRUR+wD&#10;JKC+RhO9IzcYoVNrjpfWqD4wGUu+nOfzOWeSrmaLfL5IrctEMT526MMbBYbFoORInU/g4nDrQyQj&#10;ijEl1rKw0W2but/avw4oMZ4k8pHvwDz02/5sxhaqI8lAGIaJvhIFDeBXzjoapJJb+jectW8tGRFn&#10;bgxwDLZjIKykhyUPnA3hTRhmc+9Q7xrCHa2+JrM2OgmJrg4czixpNJK+8xjH2Xu4T1l/vu7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9HMHRAAAAAwEAAA8AAAAAAAAAAQAgAAAAIgAAAGRycy9k&#10;b3ducmV2LnhtbFBLAQIUABQAAAAIAIdO4kA5IfDJCQIAAAIEAAAOAAAAAAAAAAEAIAAAACABAABk&#10;cnMvZTJvRG9jLnhtbFBLBQYAAAAABgAGAFkBAACbBQAAAAA=&#10;">
              <v:fill on="f" focussize="0,0"/>
              <v:stroke on="f"/>
              <v:imagedata o:title=""/>
              <o:lock v:ext="edit" aspectratio="f"/>
              <v:textbox inset="0mm,0mm,0mm,0mm" style="mso-fit-shape-to-text:t;">
                <w:txbxContent>
                  <w:p w14:paraId="352F1F0A">
                    <w:pPr>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E1A77">
    <w:pPr>
      <w:ind w:firstLine="480"/>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B8BE">
    <w:pPr>
      <w:ind w:firstLine="480"/>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4117"/>
  <w:p w14:paraId="054FBB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0F0B1"/>
    <w:multiLevelType w:val="singleLevel"/>
    <w:tmpl w:val="AE60F0B1"/>
    <w:lvl w:ilvl="0" w:tentative="0">
      <w:start w:val="4"/>
      <w:numFmt w:val="decimal"/>
      <w:suff w:val="nothing"/>
      <w:lvlText w:val="%1、"/>
      <w:lvlJc w:val="left"/>
    </w:lvl>
  </w:abstractNum>
  <w:abstractNum w:abstractNumId="1">
    <w:nsid w:val="4169253D"/>
    <w:multiLevelType w:val="multilevel"/>
    <w:tmpl w:val="4169253D"/>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7545A88C"/>
    <w:multiLevelType w:val="singleLevel"/>
    <w:tmpl w:val="7545A88C"/>
    <w:lvl w:ilvl="0" w:tentative="0">
      <w:start w:val="6"/>
      <w:numFmt w:val="decimal"/>
      <w:suff w:val="nothing"/>
      <w:lvlText w:val="%1、"/>
      <w:lvlJc w:val="left"/>
    </w:lvl>
  </w:abstractNum>
  <w:num w:numId="1">
    <w:abstractNumId w:val="2"/>
  </w:num>
  <w:num w:numId="2">
    <w:abstractNumId w:val="1"/>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BA6F06"/>
    <w:rsid w:val="01493BC5"/>
    <w:rsid w:val="02910BE9"/>
    <w:rsid w:val="05ED01D7"/>
    <w:rsid w:val="092C7EED"/>
    <w:rsid w:val="09A32BCF"/>
    <w:rsid w:val="09A60DC8"/>
    <w:rsid w:val="0B710C0C"/>
    <w:rsid w:val="0D1C6DCA"/>
    <w:rsid w:val="1006619E"/>
    <w:rsid w:val="105F69F8"/>
    <w:rsid w:val="11340101"/>
    <w:rsid w:val="11555938"/>
    <w:rsid w:val="11BD1DAD"/>
    <w:rsid w:val="11E4709F"/>
    <w:rsid w:val="15FF3D3A"/>
    <w:rsid w:val="19E15165"/>
    <w:rsid w:val="1A8B6099"/>
    <w:rsid w:val="1AF13750"/>
    <w:rsid w:val="1C085913"/>
    <w:rsid w:val="1F7774AB"/>
    <w:rsid w:val="1FFB2DF5"/>
    <w:rsid w:val="22E75B32"/>
    <w:rsid w:val="235651B5"/>
    <w:rsid w:val="2472601F"/>
    <w:rsid w:val="252A2038"/>
    <w:rsid w:val="27674AED"/>
    <w:rsid w:val="27870033"/>
    <w:rsid w:val="2BE01EBC"/>
    <w:rsid w:val="2FCF4325"/>
    <w:rsid w:val="3075118B"/>
    <w:rsid w:val="309F1F4A"/>
    <w:rsid w:val="31744E9A"/>
    <w:rsid w:val="32391C6B"/>
    <w:rsid w:val="33AB6A21"/>
    <w:rsid w:val="35F44AE6"/>
    <w:rsid w:val="36F83561"/>
    <w:rsid w:val="38227225"/>
    <w:rsid w:val="3C7612CF"/>
    <w:rsid w:val="3DF5589F"/>
    <w:rsid w:val="41390199"/>
    <w:rsid w:val="41735459"/>
    <w:rsid w:val="42457D60"/>
    <w:rsid w:val="43F108B7"/>
    <w:rsid w:val="46697033"/>
    <w:rsid w:val="4BE32B5B"/>
    <w:rsid w:val="4C125F8A"/>
    <w:rsid w:val="4C5639AD"/>
    <w:rsid w:val="4D0D34AA"/>
    <w:rsid w:val="4D926C66"/>
    <w:rsid w:val="4EF15C0F"/>
    <w:rsid w:val="4F6B20B1"/>
    <w:rsid w:val="5383681D"/>
    <w:rsid w:val="5477496F"/>
    <w:rsid w:val="55647D21"/>
    <w:rsid w:val="56E57E85"/>
    <w:rsid w:val="5B3E6680"/>
    <w:rsid w:val="5D6B1282"/>
    <w:rsid w:val="5FF7701D"/>
    <w:rsid w:val="60123C37"/>
    <w:rsid w:val="61BA6F06"/>
    <w:rsid w:val="63ED1714"/>
    <w:rsid w:val="64463B1C"/>
    <w:rsid w:val="64F2381E"/>
    <w:rsid w:val="652A38B3"/>
    <w:rsid w:val="65A243C2"/>
    <w:rsid w:val="682D3A09"/>
    <w:rsid w:val="6BD85CFC"/>
    <w:rsid w:val="6E900B48"/>
    <w:rsid w:val="6EC52DE9"/>
    <w:rsid w:val="6FE62766"/>
    <w:rsid w:val="71E03B95"/>
    <w:rsid w:val="72E558A8"/>
    <w:rsid w:val="72FD6FE8"/>
    <w:rsid w:val="75226272"/>
    <w:rsid w:val="758E3908"/>
    <w:rsid w:val="75E959CD"/>
    <w:rsid w:val="7974405E"/>
    <w:rsid w:val="7A1D4E07"/>
    <w:rsid w:val="7AB85A7C"/>
    <w:rsid w:val="7C4371FA"/>
    <w:rsid w:val="7E3E411D"/>
    <w:rsid w:val="7F134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0"/>
    <w:pPr>
      <w:keepNext/>
      <w:keepLines/>
      <w:spacing w:beforeLines="0" w:beforeAutospacing="0" w:afterLines="0" w:afterAutospacing="0" w:line="360" w:lineRule="auto"/>
      <w:jc w:val="center"/>
      <w:outlineLvl w:val="0"/>
    </w:pPr>
    <w:rPr>
      <w:rFonts w:asciiTheme="minorAscii" w:hAnsiTheme="minorAscii"/>
      <w:b/>
      <w:kern w:val="44"/>
      <w:sz w:val="30"/>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120" w:after="120"/>
      <w:ind w:firstLine="480"/>
      <w:outlineLvl w:val="2"/>
    </w:pPr>
    <w:rPr>
      <w:b/>
      <w:bCs/>
      <w:sz w:val="24"/>
      <w:szCs w:val="2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99"/>
    <w:pPr>
      <w:snapToGrid w:val="0"/>
      <w:spacing w:line="360" w:lineRule="auto"/>
    </w:pPr>
    <w:rPr>
      <w:kern w:val="0"/>
      <w:sz w:val="24"/>
      <w:szCs w:val="24"/>
    </w:rPr>
  </w:style>
  <w:style w:type="paragraph" w:styleId="6">
    <w:name w:val="Date"/>
    <w:basedOn w:val="1"/>
    <w:next w:val="1"/>
    <w:unhideWhenUsed/>
    <w:qFormat/>
    <w:uiPriority w:val="99"/>
    <w:pPr>
      <w:spacing w:before="100" w:beforeAutospacing="1" w:after="100" w:afterAutospacing="1"/>
      <w:ind w:left="2500" w:leftChars="2500"/>
    </w:pPr>
    <w:rPr>
      <w:kern w:val="0"/>
      <w:sz w:val="20"/>
    </w:rPr>
  </w:style>
  <w:style w:type="paragraph" w:styleId="7">
    <w:name w:val="Balloon Text"/>
    <w:basedOn w:val="1"/>
    <w:semiHidden/>
    <w:unhideWhenUsed/>
    <w:qFormat/>
    <w:uiPriority w:val="99"/>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bCs/>
    </w:rPr>
  </w:style>
  <w:style w:type="character" w:styleId="15">
    <w:name w:val="FollowedHyperlink"/>
    <w:basedOn w:val="13"/>
    <w:qFormat/>
    <w:uiPriority w:val="0"/>
    <w:rPr>
      <w:color w:val="800080"/>
      <w:u w:val="none"/>
    </w:rPr>
  </w:style>
  <w:style w:type="character" w:styleId="16">
    <w:name w:val="Emphasis"/>
    <w:basedOn w:val="13"/>
    <w:qFormat/>
    <w:uiPriority w:val="0"/>
    <w:rPr>
      <w:b/>
      <w:bCs/>
    </w:rPr>
  </w:style>
  <w:style w:type="character" w:styleId="17">
    <w:name w:val="HTML Definition"/>
    <w:basedOn w:val="13"/>
    <w:qFormat/>
    <w:uiPriority w:val="0"/>
  </w:style>
  <w:style w:type="character" w:styleId="18">
    <w:name w:val="HTML Typewriter"/>
    <w:basedOn w:val="13"/>
    <w:qFormat/>
    <w:uiPriority w:val="0"/>
    <w:rPr>
      <w:rFonts w:hint="default" w:ascii="monospace" w:hAnsi="monospace" w:eastAsia="monospace" w:cs="monospace"/>
      <w:sz w:val="20"/>
    </w:rPr>
  </w:style>
  <w:style w:type="character" w:styleId="19">
    <w:name w:val="HTML Acronym"/>
    <w:basedOn w:val="13"/>
    <w:qFormat/>
    <w:uiPriority w:val="0"/>
  </w:style>
  <w:style w:type="character" w:styleId="20">
    <w:name w:val="HTML Variable"/>
    <w:basedOn w:val="13"/>
    <w:qFormat/>
    <w:uiPriority w:val="0"/>
  </w:style>
  <w:style w:type="character" w:styleId="21">
    <w:name w:val="Hyperlink"/>
    <w:basedOn w:val="13"/>
    <w:semiHidden/>
    <w:unhideWhenUsed/>
    <w:qFormat/>
    <w:uiPriority w:val="99"/>
    <w:rPr>
      <w:color w:val="0000FF"/>
      <w:u w:val="none"/>
    </w:rPr>
  </w:style>
  <w:style w:type="character" w:styleId="22">
    <w:name w:val="HTML Code"/>
    <w:basedOn w:val="13"/>
    <w:qFormat/>
    <w:uiPriority w:val="0"/>
    <w:rPr>
      <w:rFonts w:ascii="monospace" w:hAnsi="monospace" w:eastAsia="monospace" w:cs="monospace"/>
      <w:sz w:val="20"/>
    </w:rPr>
  </w:style>
  <w:style w:type="character" w:styleId="23">
    <w:name w:val="HTML Cite"/>
    <w:basedOn w:val="13"/>
    <w:qFormat/>
    <w:uiPriority w:val="0"/>
  </w:style>
  <w:style w:type="character" w:styleId="24">
    <w:name w:val="HTML Keyboard"/>
    <w:basedOn w:val="13"/>
    <w:qFormat/>
    <w:uiPriority w:val="0"/>
    <w:rPr>
      <w:rFonts w:hint="default" w:ascii="monospace" w:hAnsi="monospace" w:eastAsia="monospace" w:cs="monospace"/>
      <w:sz w:val="20"/>
    </w:rPr>
  </w:style>
  <w:style w:type="character" w:styleId="25">
    <w:name w:val="HTML Sample"/>
    <w:basedOn w:val="13"/>
    <w:qFormat/>
    <w:uiPriority w:val="0"/>
    <w:rPr>
      <w:rFonts w:hint="default" w:ascii="monospace" w:hAnsi="monospace" w:eastAsia="monospace" w:cs="monospace"/>
    </w:rPr>
  </w:style>
  <w:style w:type="paragraph" w:customStyle="1" w:styleId="26">
    <w:name w:val="样式 样式 行距: 1.5 倍行距 + 首行缩进:  2 字符"/>
    <w:next w:val="5"/>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paragraph" w:customStyle="1" w:styleId="27">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paragraph" w:customStyle="1" w:styleId="28">
    <w:name w:val="样式 标题 3 + (中文) 黑体 小四 非加粗 段前: 7.8 磅 段后: 0 磅 行距: 固定值 20 磅"/>
    <w:basedOn w:val="4"/>
    <w:qFormat/>
    <w:uiPriority w:val="0"/>
    <w:pPr>
      <w:spacing w:before="0" w:after="0" w:line="400" w:lineRule="exact"/>
      <w:ind w:firstLine="0"/>
    </w:pPr>
    <w:rPr>
      <w:rFonts w:eastAsia="黑体" w:cs="宋体"/>
      <w:b w:val="0"/>
      <w:bCs w:val="0"/>
    </w:rPr>
  </w:style>
  <w:style w:type="paragraph" w:customStyle="1" w:styleId="29">
    <w:name w:val="正文_1"/>
    <w:basedOn w:val="1"/>
    <w:qFormat/>
    <w:uiPriority w:val="0"/>
    <w:rPr>
      <w:rFonts w:ascii="Calibri" w:hAnsi="Calibri" w:cs="Calibri"/>
    </w:rPr>
  </w:style>
  <w:style w:type="character" w:customStyle="1" w:styleId="30">
    <w:name w:val="layui-layer-tabnow"/>
    <w:basedOn w:val="13"/>
    <w:qFormat/>
    <w:uiPriority w:val="0"/>
    <w:rPr>
      <w:bdr w:val="single" w:color="CCCCCC" w:sz="4" w:space="0"/>
      <w:shd w:val="clear" w:fill="FFFFFF"/>
    </w:rPr>
  </w:style>
  <w:style w:type="character" w:customStyle="1" w:styleId="31">
    <w:name w:val="first-child"/>
    <w:basedOn w:val="13"/>
    <w:qFormat/>
    <w:uiPriority w:val="0"/>
  </w:style>
  <w:style w:type="character" w:customStyle="1" w:styleId="32">
    <w:name w:val="hover1"/>
    <w:basedOn w:val="13"/>
    <w:qFormat/>
    <w:uiPriority w:val="0"/>
    <w:rPr>
      <w:color w:val="2590EB"/>
    </w:rPr>
  </w:style>
  <w:style w:type="character" w:customStyle="1" w:styleId="33">
    <w:name w:val="hover2"/>
    <w:basedOn w:val="13"/>
    <w:qFormat/>
    <w:uiPriority w:val="0"/>
    <w:rPr>
      <w:color w:val="2590EB"/>
    </w:rPr>
  </w:style>
  <w:style w:type="character" w:customStyle="1" w:styleId="34">
    <w:name w:val="hover3"/>
    <w:basedOn w:val="13"/>
    <w:qFormat/>
    <w:uiPriority w:val="0"/>
  </w:style>
  <w:style w:type="character" w:customStyle="1" w:styleId="35">
    <w:name w:val="标题 1 Char"/>
    <w:link w:val="2"/>
    <w:qFormat/>
    <w:uiPriority w:val="0"/>
    <w:rPr>
      <w:rFonts w:asciiTheme="minorAscii" w:hAnsiTheme="minorAscii"/>
      <w:b/>
      <w:kern w:val="44"/>
      <w:sz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16107</Words>
  <Characters>18103</Characters>
  <Lines>0</Lines>
  <Paragraphs>0</Paragraphs>
  <TotalTime>38</TotalTime>
  <ScaleCrop>false</ScaleCrop>
  <LinksUpToDate>false</LinksUpToDate>
  <CharactersWithSpaces>18292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2025-09-16T07:05:00Z</dcterms:created>
  <dc:creator>龙年吉祥</dc:creator>
  <cp:lastModifiedBy>WPS_1602124444</cp:lastModifiedBy>
  <cp:lastPrinted>2026-04-14T06:33:00Z</cp:lastPrinted>
  <dcterms:modified xsi:type="dcterms:W3CDTF">2026-09-03T10:01:21Z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6145B5C6E84B46E4BB527BA1DF63CD6E_11</vt:lpwstr>
  </property>
  <property fmtid="{D5CDD505-2E9C-101B-9397-08002B2CF9AE}" pid="4" name="KSOTemplateDocerSaveRecord">
    <vt:lpwstr>eyJoZGlkIjoiOGFkZDgxZDhkMTE2MjQwMTYzZGRhYTNmN2VmNDhiZDEiLCJ1c2VySWQiOiIxMTI4NDAxNjg4In0=</vt:lpwstr>
  </property>
</Properties>
</file>