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2487D">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bCs/>
          <w:sz w:val="28"/>
          <w:szCs w:val="28"/>
          <w:highlight w:val="none"/>
        </w:rPr>
      </w:pPr>
      <w:r>
        <w:rPr>
          <w:rFonts w:hint="eastAsia" w:ascii="宋体" w:hAnsi="宋体" w:eastAsia="宋体" w:cs="宋体"/>
          <w:b/>
          <w:bCs/>
          <w:sz w:val="44"/>
          <w:szCs w:val="52"/>
          <w:lang w:eastAsia="zh-CN"/>
        </w:rPr>
        <w:t>2024年湖滨区车站街道黄河路东片区易涝点综合整治及排水防涝设施建设项目监理项目</w:t>
      </w:r>
    </w:p>
    <w:p w14:paraId="1C93BA41">
      <w:pPr>
        <w:spacing w:line="360" w:lineRule="auto"/>
        <w:ind w:firstLine="420"/>
        <w:rPr>
          <w:rFonts w:hint="eastAsia" w:ascii="宋体" w:hAnsi="宋体" w:eastAsia="宋体" w:cs="宋体"/>
          <w:b/>
          <w:kern w:val="1"/>
          <w:sz w:val="24"/>
          <w:szCs w:val="21"/>
          <w:highlight w:val="none"/>
        </w:rPr>
      </w:pPr>
    </w:p>
    <w:p w14:paraId="104BD880">
      <w:pPr>
        <w:spacing w:line="360" w:lineRule="auto"/>
        <w:jc w:val="center"/>
        <w:rPr>
          <w:rFonts w:hint="eastAsia" w:ascii="宋体" w:hAnsi="宋体" w:eastAsia="宋体" w:cs="宋体"/>
          <w:kern w:val="0"/>
          <w:sz w:val="28"/>
          <w:szCs w:val="28"/>
          <w:highlight w:val="none"/>
        </w:rPr>
      </w:pPr>
      <w:r>
        <w:rPr>
          <w:rFonts w:hint="eastAsia" w:ascii="宋体" w:hAnsi="宋体" w:eastAsia="宋体" w:cs="宋体"/>
          <w:b/>
          <w:bCs/>
          <w:sz w:val="52"/>
          <w:szCs w:val="52"/>
          <w:highlight w:val="none"/>
        </w:rPr>
        <w:t>竞争性磋商文件</w:t>
      </w:r>
    </w:p>
    <w:p w14:paraId="4A49AFF3">
      <w:pPr>
        <w:jc w:val="center"/>
        <w:rPr>
          <w:rFonts w:hint="eastAsia" w:ascii="宋体" w:hAnsi="宋体" w:eastAsia="宋体" w:cs="宋体"/>
          <w:b/>
          <w:bCs/>
          <w:sz w:val="28"/>
          <w:szCs w:val="28"/>
          <w:highlight w:val="none"/>
        </w:rPr>
      </w:pPr>
    </w:p>
    <w:p w14:paraId="24F4E931">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项目编号：湖滨竞磋采购-2026-25</w:t>
      </w:r>
    </w:p>
    <w:p w14:paraId="7578928F">
      <w:pPr>
        <w:jc w:val="center"/>
        <w:rPr>
          <w:rFonts w:hint="eastAsia"/>
          <w:lang w:val="en-US" w:eastAsia="zh-CN"/>
        </w:rPr>
      </w:pPr>
      <w:r>
        <w:rPr>
          <w:rFonts w:hint="eastAsia" w:ascii="宋体" w:hAnsi="宋体" w:eastAsia="宋体" w:cs="宋体"/>
          <w:b/>
          <w:bCs/>
          <w:sz w:val="28"/>
          <w:szCs w:val="28"/>
          <w:highlight w:val="none"/>
          <w:lang w:val="en-US" w:eastAsia="zh-CN"/>
        </w:rPr>
        <w:t xml:space="preserve">        </w:t>
      </w:r>
      <w:r>
        <w:rPr>
          <w:rFonts w:hint="eastAsia" w:ascii="宋体" w:hAnsi="宋体" w:eastAsia="宋体" w:cs="宋体"/>
          <w:b/>
          <w:bCs/>
          <w:sz w:val="28"/>
          <w:szCs w:val="28"/>
          <w:highlight w:val="none"/>
        </w:rPr>
        <w:t>SGZ[2026]264-ZC184</w:t>
      </w:r>
    </w:p>
    <w:p w14:paraId="0D3225E6">
      <w:pPr>
        <w:jc w:val="center"/>
        <w:rPr>
          <w:rFonts w:hint="eastAsia" w:ascii="宋体" w:hAnsi="宋体" w:eastAsia="宋体" w:cs="宋体"/>
          <w:b/>
          <w:bCs/>
          <w:sz w:val="30"/>
          <w:szCs w:val="30"/>
          <w:highlight w:val="none"/>
          <w:lang w:val="en-US" w:eastAsia="zh-CN"/>
        </w:rPr>
      </w:pPr>
      <w:r>
        <w:rPr>
          <w:rFonts w:hint="eastAsia" w:ascii="宋体" w:hAnsi="宋体" w:eastAsia="宋体" w:cs="宋体"/>
          <w:b/>
          <w:bCs/>
          <w:sz w:val="28"/>
          <w:szCs w:val="28"/>
          <w:highlight w:val="none"/>
          <w:lang w:val="en-US" w:eastAsia="zh-CN"/>
        </w:rPr>
        <w:t xml:space="preserve">       </w:t>
      </w:r>
    </w:p>
    <w:p w14:paraId="6A20413E">
      <w:pPr>
        <w:jc w:val="center"/>
        <w:rPr>
          <w:rFonts w:hint="eastAsia" w:ascii="宋体" w:hAnsi="宋体" w:eastAsia="宋体" w:cs="宋体"/>
          <w:b/>
          <w:bCs/>
          <w:sz w:val="30"/>
          <w:szCs w:val="30"/>
          <w:highlight w:val="none"/>
        </w:rPr>
      </w:pPr>
    </w:p>
    <w:p w14:paraId="1207C9FD">
      <w:pPr>
        <w:jc w:val="center"/>
        <w:rPr>
          <w:rFonts w:hint="eastAsia" w:ascii="宋体" w:hAnsi="宋体" w:eastAsia="宋体" w:cs="宋体"/>
          <w:b/>
          <w:kern w:val="1"/>
          <w:sz w:val="24"/>
          <w:szCs w:val="21"/>
          <w:highlight w:val="none"/>
        </w:rPr>
      </w:pPr>
      <w:r>
        <w:rPr>
          <w:rFonts w:hint="eastAsia" w:ascii="宋体" w:hAnsi="宋体" w:eastAsia="宋体" w:cs="宋体"/>
          <w:b/>
          <w:bCs/>
          <w:sz w:val="30"/>
          <w:szCs w:val="30"/>
          <w:highlight w:val="none"/>
          <w:lang w:eastAsia="zh-CN"/>
        </w:rPr>
        <w:drawing>
          <wp:inline distT="0" distB="0" distL="114300" distR="114300">
            <wp:extent cx="2157730" cy="2096770"/>
            <wp:effectExtent l="0" t="0" r="0" b="17780"/>
            <wp:docPr id="1" name="图片 1" descr="1331326ca91788bd1f91b8f7242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331326ca91788bd1f91b8f72421874"/>
                    <pic:cNvPicPr>
                      <a:picLocks noChangeAspect="1"/>
                    </pic:cNvPicPr>
                  </pic:nvPicPr>
                  <pic:blipFill>
                    <a:blip r:embed="rId7"/>
                    <a:stretch>
                      <a:fillRect/>
                    </a:stretch>
                  </pic:blipFill>
                  <pic:spPr>
                    <a:xfrm>
                      <a:off x="0" y="0"/>
                      <a:ext cx="2157730" cy="2096770"/>
                    </a:xfrm>
                    <a:prstGeom prst="rect">
                      <a:avLst/>
                    </a:prstGeom>
                  </pic:spPr>
                </pic:pic>
              </a:graphicData>
            </a:graphic>
          </wp:inline>
        </w:drawing>
      </w:r>
    </w:p>
    <w:p w14:paraId="4FDCA1B6">
      <w:pPr>
        <w:spacing w:line="360" w:lineRule="auto"/>
        <w:ind w:firstLine="420"/>
        <w:jc w:val="center"/>
        <w:rPr>
          <w:rFonts w:hint="eastAsia" w:ascii="宋体" w:hAnsi="宋体" w:eastAsia="宋体" w:cs="宋体"/>
          <w:b/>
          <w:kern w:val="1"/>
          <w:sz w:val="24"/>
          <w:szCs w:val="21"/>
          <w:highlight w:val="none"/>
        </w:rPr>
      </w:pPr>
    </w:p>
    <w:p w14:paraId="526AA0C3">
      <w:pPr>
        <w:pStyle w:val="5"/>
        <w:ind w:left="0" w:leftChars="0" w:firstLine="0" w:firstLineChars="0"/>
        <w:rPr>
          <w:rFonts w:hint="eastAsia" w:ascii="宋体" w:hAnsi="宋体" w:eastAsia="宋体" w:cs="宋体"/>
          <w:b/>
          <w:kern w:val="1"/>
          <w:sz w:val="24"/>
          <w:szCs w:val="21"/>
          <w:highlight w:val="none"/>
        </w:rPr>
      </w:pPr>
    </w:p>
    <w:p w14:paraId="377AD3B2">
      <w:pPr>
        <w:rPr>
          <w:rFonts w:hint="eastAsia"/>
        </w:rPr>
      </w:pPr>
    </w:p>
    <w:p w14:paraId="4A90A480">
      <w:pPr>
        <w:spacing w:line="360" w:lineRule="auto"/>
        <w:ind w:firstLine="420"/>
        <w:jc w:val="center"/>
        <w:rPr>
          <w:rFonts w:hint="eastAsia" w:ascii="宋体" w:hAnsi="宋体" w:eastAsia="宋体" w:cs="宋体"/>
          <w:b/>
          <w:kern w:val="1"/>
          <w:sz w:val="24"/>
          <w:szCs w:val="21"/>
          <w:highlight w:val="none"/>
        </w:rPr>
      </w:pPr>
    </w:p>
    <w:p w14:paraId="2A039286">
      <w:pPr>
        <w:spacing w:line="360" w:lineRule="auto"/>
        <w:ind w:left="0" w:leftChars="0" w:firstLine="2107" w:firstLineChars="656"/>
        <w:jc w:val="both"/>
        <w:rPr>
          <w:rFonts w:hint="eastAsia" w:ascii="宋体" w:hAnsi="宋体" w:eastAsia="宋体" w:cs="宋体"/>
          <w:b/>
          <w:bCs/>
          <w:kern w:val="0"/>
          <w:sz w:val="32"/>
          <w:szCs w:val="32"/>
          <w:highlight w:val="none"/>
          <w:lang w:eastAsia="zh-CN"/>
        </w:rPr>
      </w:pPr>
      <w:r>
        <w:rPr>
          <w:rFonts w:hint="eastAsia" w:ascii="宋体" w:hAnsi="宋体" w:eastAsia="宋体" w:cs="宋体"/>
          <w:b/>
          <w:bCs/>
          <w:kern w:val="0"/>
          <w:sz w:val="32"/>
          <w:szCs w:val="32"/>
          <w:highlight w:val="none"/>
        </w:rPr>
        <w:t xml:space="preserve">采   购   人: </w:t>
      </w:r>
      <w:r>
        <w:rPr>
          <w:rFonts w:hint="eastAsia" w:ascii="宋体" w:hAnsi="宋体" w:eastAsia="宋体" w:cs="宋体"/>
          <w:b/>
          <w:bCs/>
          <w:sz w:val="32"/>
          <w:szCs w:val="32"/>
          <w:highlight w:val="none"/>
        </w:rPr>
        <w:t>三门峡市湖滨区</w:t>
      </w:r>
      <w:r>
        <w:rPr>
          <w:rFonts w:hint="eastAsia" w:ascii="宋体" w:hAnsi="宋体" w:eastAsia="宋体" w:cs="宋体"/>
          <w:b/>
          <w:bCs/>
          <w:sz w:val="32"/>
          <w:szCs w:val="32"/>
          <w:highlight w:val="none"/>
          <w:lang w:eastAsia="zh-CN"/>
        </w:rPr>
        <w:t>建设局</w:t>
      </w:r>
    </w:p>
    <w:p w14:paraId="6618F838">
      <w:pPr>
        <w:spacing w:line="360" w:lineRule="auto"/>
        <w:ind w:left="0" w:leftChars="0" w:firstLine="2107" w:firstLineChars="656"/>
        <w:jc w:val="both"/>
        <w:rPr>
          <w:rFonts w:hint="eastAsia" w:ascii="宋体" w:hAnsi="宋体" w:eastAsia="宋体" w:cs="宋体"/>
          <w:b/>
          <w:bCs/>
          <w:kern w:val="0"/>
          <w:sz w:val="32"/>
          <w:szCs w:val="32"/>
          <w:highlight w:val="none"/>
          <w:lang w:eastAsia="zh-CN"/>
        </w:rPr>
      </w:pPr>
      <w:r>
        <w:rPr>
          <w:rFonts w:hint="eastAsia" w:ascii="宋体" w:hAnsi="宋体" w:eastAsia="宋体" w:cs="宋体"/>
          <w:b/>
          <w:bCs/>
          <w:kern w:val="0"/>
          <w:sz w:val="32"/>
          <w:szCs w:val="32"/>
          <w:highlight w:val="none"/>
        </w:rPr>
        <w:t>采购代理机构：</w:t>
      </w:r>
      <w:r>
        <w:rPr>
          <w:rFonts w:hint="eastAsia" w:ascii="宋体" w:hAnsi="宋体" w:eastAsia="宋体" w:cs="宋体"/>
          <w:b/>
          <w:bCs/>
          <w:kern w:val="0"/>
          <w:sz w:val="32"/>
          <w:szCs w:val="32"/>
          <w:highlight w:val="none"/>
          <w:lang w:eastAsia="zh-CN"/>
        </w:rPr>
        <w:t>河南精开咨询有限公司</w:t>
      </w:r>
    </w:p>
    <w:p w14:paraId="66F75881">
      <w:pPr>
        <w:widowControl/>
        <w:spacing w:line="360" w:lineRule="auto"/>
        <w:ind w:left="0" w:leftChars="0" w:firstLine="2107" w:firstLineChars="656"/>
        <w:rPr>
          <w:rFonts w:hint="eastAsia" w:ascii="宋体" w:hAnsi="宋体" w:eastAsia="宋体" w:cs="宋体"/>
          <w:szCs w:val="21"/>
          <w:highlight w:val="none"/>
        </w:rPr>
      </w:pPr>
      <w:r>
        <w:rPr>
          <w:rFonts w:hint="eastAsia" w:ascii="宋体" w:hAnsi="宋体" w:eastAsia="宋体" w:cs="宋体"/>
          <w:b/>
          <w:bCs/>
          <w:kern w:val="0"/>
          <w:sz w:val="32"/>
          <w:szCs w:val="32"/>
          <w:highlight w:val="none"/>
        </w:rPr>
        <w:t>日        期：二零二</w:t>
      </w:r>
      <w:r>
        <w:rPr>
          <w:rFonts w:hint="eastAsia" w:ascii="宋体" w:hAnsi="宋体" w:eastAsia="宋体" w:cs="宋体"/>
          <w:b/>
          <w:bCs/>
          <w:kern w:val="0"/>
          <w:sz w:val="32"/>
          <w:szCs w:val="32"/>
          <w:highlight w:val="none"/>
          <w:lang w:eastAsia="zh-CN"/>
        </w:rPr>
        <w:t>六</w:t>
      </w:r>
      <w:r>
        <w:rPr>
          <w:rFonts w:hint="eastAsia" w:ascii="宋体" w:hAnsi="宋体" w:eastAsia="宋体" w:cs="宋体"/>
          <w:b/>
          <w:bCs/>
          <w:kern w:val="0"/>
          <w:sz w:val="32"/>
          <w:szCs w:val="32"/>
          <w:highlight w:val="none"/>
        </w:rPr>
        <w:t>年</w:t>
      </w:r>
      <w:r>
        <w:rPr>
          <w:rFonts w:hint="eastAsia" w:ascii="宋体" w:hAnsi="宋体" w:eastAsia="宋体" w:cs="宋体"/>
          <w:b/>
          <w:bCs/>
          <w:kern w:val="0"/>
          <w:sz w:val="32"/>
          <w:szCs w:val="32"/>
          <w:highlight w:val="none"/>
          <w:lang w:eastAsia="zh-CN"/>
        </w:rPr>
        <w:t>八</w:t>
      </w:r>
      <w:r>
        <w:rPr>
          <w:rFonts w:hint="eastAsia" w:ascii="宋体" w:hAnsi="宋体" w:eastAsia="宋体" w:cs="宋体"/>
          <w:b/>
          <w:bCs/>
          <w:kern w:val="0"/>
          <w:sz w:val="32"/>
          <w:szCs w:val="32"/>
          <w:highlight w:val="none"/>
        </w:rPr>
        <w:t>月</w:t>
      </w:r>
    </w:p>
    <w:p w14:paraId="545642BB">
      <w:pPr>
        <w:spacing w:line="360" w:lineRule="auto"/>
        <w:rPr>
          <w:rFonts w:hint="eastAsia" w:ascii="宋体" w:hAnsi="宋体" w:eastAsia="宋体" w:cs="宋体"/>
          <w:kern w:val="2"/>
          <w:sz w:val="21"/>
          <w:szCs w:val="22"/>
          <w:highlight w:val="none"/>
          <w:lang w:val="en-US" w:eastAsia="zh-CN" w:bidi="ar-SA"/>
        </w:rPr>
        <w:sectPr>
          <w:headerReference r:id="rId3" w:type="default"/>
          <w:pgSz w:w="11906" w:h="16838"/>
          <w:pgMar w:top="1134" w:right="1134" w:bottom="1134" w:left="1134" w:header="624" w:footer="624" w:gutter="0"/>
          <w:pgBorders>
            <w:top w:val="none" w:sz="0" w:space="0"/>
            <w:left w:val="none" w:sz="0" w:space="0"/>
            <w:bottom w:val="none" w:sz="0" w:space="0"/>
            <w:right w:val="none" w:sz="0" w:space="0"/>
          </w:pgBorders>
          <w:cols w:space="0" w:num="1"/>
          <w:rtlGutter w:val="0"/>
          <w:docGrid w:type="lines" w:linePitch="312" w:charSpace="0"/>
        </w:sectPr>
      </w:pPr>
    </w:p>
    <w:sdt>
      <w:sdtPr>
        <w:rPr>
          <w:rFonts w:hint="eastAsia" w:ascii="宋体" w:hAnsi="宋体" w:eastAsia="宋体" w:cs="宋体"/>
          <w:kern w:val="2"/>
          <w:sz w:val="28"/>
          <w:szCs w:val="28"/>
          <w:lang w:val="en-US" w:eastAsia="zh-CN" w:bidi="ar-SA"/>
        </w:rPr>
        <w:id w:val="147475392"/>
        <w15:color w:val="DBDBDB"/>
        <w:docPartObj>
          <w:docPartGallery w:val="Table of Contents"/>
          <w:docPartUnique/>
        </w:docPartObj>
      </w:sdtPr>
      <w:sdtEndPr>
        <w:rPr>
          <w:rFonts w:hint="eastAsia" w:ascii="宋体" w:hAnsi="宋体" w:eastAsia="宋体" w:cs="宋体"/>
          <w:bCs/>
          <w:kern w:val="0"/>
          <w:sz w:val="21"/>
          <w:szCs w:val="44"/>
          <w:highlight w:val="none"/>
          <w:shd w:val="clear" w:color="auto" w:fill="FFFFFF"/>
          <w:lang w:val="en-US" w:eastAsia="zh-CN" w:bidi="ar-SA"/>
        </w:rPr>
      </w:sdtEndPr>
      <w:sdtContent>
        <w:p w14:paraId="71A0781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目录</w:t>
          </w:r>
        </w:p>
        <w:p w14:paraId="08D533D8">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TOC \o "1-2" \h \u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_Toc18582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rPr>
            <w:t>第一章 竞争性磋商公告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_Toc18582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0BB3CCC7">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_Toc12057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rPr>
            <w:t>第二章 供应商须知及前附表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_Toc12057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0D15639C">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_Toc16924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sz w:val="24"/>
              <w:szCs w:val="24"/>
              <w:highlight w:val="none"/>
            </w:rPr>
            <w:t xml:space="preserve">第三章 </w:t>
          </w:r>
          <w:r>
            <w:rPr>
              <w:rFonts w:hint="eastAsia" w:ascii="宋体" w:hAnsi="宋体" w:eastAsia="宋体" w:cs="宋体"/>
              <w:bCs/>
              <w:kern w:val="44"/>
              <w:sz w:val="24"/>
              <w:szCs w:val="24"/>
              <w:highlight w:val="none"/>
            </w:rPr>
            <w:t>监理任务范围及监理大纲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_Toc16924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188A2B55">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_Toc13276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val="0"/>
              <w:kern w:val="0"/>
              <w:sz w:val="24"/>
              <w:szCs w:val="24"/>
              <w:highlight w:val="none"/>
              <w:shd w:val="clear" w:fill="FFFFFF"/>
              <w:lang w:val="en-US" w:eastAsia="zh-CN" w:bidi="ar-SA"/>
            </w:rPr>
            <w:t xml:space="preserve">第四章 </w:t>
          </w:r>
          <w:r>
            <w:rPr>
              <w:rFonts w:hint="eastAsia" w:ascii="宋体" w:hAnsi="宋体" w:eastAsia="宋体" w:cs="宋体"/>
              <w:bCs w:val="0"/>
              <w:kern w:val="0"/>
              <w:sz w:val="24"/>
              <w:szCs w:val="24"/>
              <w:highlight w:val="none"/>
              <w:shd w:val="clear" w:color="auto" w:fill="FFFFFF"/>
            </w:rPr>
            <w:t>评审办法</w:t>
          </w:r>
          <w:r>
            <w:rPr>
              <w:rFonts w:hint="eastAsia" w:ascii="宋体" w:hAnsi="宋体" w:eastAsia="宋体" w:cs="宋体"/>
              <w:bCs w:val="0"/>
              <w:kern w:val="0"/>
              <w:sz w:val="24"/>
              <w:szCs w:val="24"/>
              <w:highlight w:val="none"/>
              <w:shd w:val="clear" w:color="auto" w:fill="FFFFFF"/>
              <w:lang w:eastAsia="zh-CN"/>
            </w:rPr>
            <w:t>（综合评分法）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_Toc13276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68F1FC58">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_Toc8946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44"/>
              <w:sz w:val="24"/>
              <w:szCs w:val="24"/>
              <w:highlight w:val="none"/>
            </w:rPr>
            <w:t>第五章</w:t>
          </w:r>
          <w:r>
            <w:rPr>
              <w:rFonts w:hint="eastAsia" w:ascii="宋体" w:hAnsi="宋体" w:eastAsia="宋体" w:cs="宋体"/>
              <w:bCs/>
              <w:kern w:val="44"/>
              <w:sz w:val="24"/>
              <w:szCs w:val="24"/>
              <w:highlight w:val="none"/>
              <w:lang w:val="en-US" w:eastAsia="zh-CN"/>
            </w:rPr>
            <w:t xml:space="preserve"> </w:t>
          </w:r>
          <w:r>
            <w:rPr>
              <w:rFonts w:hint="eastAsia" w:ascii="宋体" w:hAnsi="宋体" w:eastAsia="宋体" w:cs="宋体"/>
              <w:bCs/>
              <w:kern w:val="44"/>
              <w:sz w:val="24"/>
              <w:szCs w:val="24"/>
              <w:highlight w:val="none"/>
            </w:rPr>
            <w:t>合同主要条款及格式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_Toc8946 \h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1B8DFCC5">
          <w:pPr>
            <w:pStyle w:val="19"/>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_Toc31396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kern w:val="0"/>
              <w:sz w:val="24"/>
              <w:szCs w:val="24"/>
              <w:highlight w:val="none"/>
              <w:shd w:val="clear" w:color="auto" w:fill="FFFFFF"/>
            </w:rPr>
            <w:t>第六章 响应文件格式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_Toc31396 \h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629DE7E4">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_Toc28383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一、</w:t>
          </w:r>
          <w:r>
            <w:rPr>
              <w:rFonts w:hint="eastAsia" w:ascii="宋体" w:hAnsi="宋体" w:eastAsia="宋体" w:cs="宋体"/>
              <w:bCs/>
              <w:sz w:val="24"/>
              <w:szCs w:val="24"/>
              <w:highlight w:val="none"/>
              <w:lang w:eastAsia="zh-CN" w:bidi="ar"/>
            </w:rPr>
            <w:t>响应</w:t>
          </w:r>
          <w:r>
            <w:rPr>
              <w:rFonts w:hint="eastAsia" w:ascii="宋体" w:hAnsi="宋体" w:eastAsia="宋体" w:cs="宋体"/>
              <w:bCs/>
              <w:sz w:val="24"/>
              <w:szCs w:val="24"/>
              <w:highlight w:val="none"/>
              <w:lang w:bidi="ar"/>
            </w:rPr>
            <w:t>函及</w:t>
          </w:r>
          <w:r>
            <w:rPr>
              <w:rFonts w:hint="eastAsia" w:ascii="宋体" w:hAnsi="宋体" w:eastAsia="宋体" w:cs="宋体"/>
              <w:bCs/>
              <w:sz w:val="24"/>
              <w:szCs w:val="24"/>
              <w:highlight w:val="none"/>
              <w:lang w:eastAsia="zh-CN" w:bidi="ar"/>
            </w:rPr>
            <w:t>响应</w:t>
          </w:r>
          <w:r>
            <w:rPr>
              <w:rFonts w:hint="eastAsia" w:ascii="宋体" w:hAnsi="宋体" w:eastAsia="宋体" w:cs="宋体"/>
              <w:bCs/>
              <w:sz w:val="24"/>
              <w:szCs w:val="24"/>
              <w:highlight w:val="none"/>
              <w:lang w:bidi="ar"/>
            </w:rPr>
            <w:t>函附录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_Toc28383 \h </w:instrText>
          </w:r>
          <w:r>
            <w:rPr>
              <w:rFonts w:hint="eastAsia" w:ascii="宋体" w:hAnsi="宋体" w:eastAsia="宋体" w:cs="宋体"/>
              <w:sz w:val="24"/>
              <w:szCs w:val="24"/>
            </w:rPr>
            <w:fldChar w:fldCharType="separate"/>
          </w:r>
          <w:r>
            <w:rPr>
              <w:rFonts w:hint="eastAsia" w:ascii="宋体" w:hAnsi="宋体" w:eastAsia="宋体" w:cs="宋体"/>
              <w:sz w:val="24"/>
              <w:szCs w:val="24"/>
            </w:rPr>
            <w:t>53</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2BC21C4E">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_Toc8616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kern w:val="0"/>
              <w:sz w:val="24"/>
              <w:szCs w:val="24"/>
              <w:highlight w:val="none"/>
              <w:lang w:bidi="ar"/>
            </w:rPr>
            <w:t>二、法定代表人身份证明</w:t>
          </w:r>
          <w:r>
            <w:rPr>
              <w:rFonts w:hint="eastAsia" w:ascii="宋体" w:hAnsi="宋体" w:eastAsia="宋体" w:cs="宋体"/>
              <w:kern w:val="0"/>
              <w:sz w:val="24"/>
              <w:szCs w:val="24"/>
              <w:highlight w:val="none"/>
              <w:lang w:eastAsia="zh-CN" w:bidi="ar"/>
            </w:rPr>
            <w:t>或</w:t>
          </w:r>
          <w:r>
            <w:rPr>
              <w:rFonts w:hint="eastAsia" w:ascii="宋体" w:hAnsi="宋体" w:eastAsia="宋体" w:cs="宋体"/>
              <w:bCs/>
              <w:sz w:val="24"/>
              <w:szCs w:val="24"/>
              <w:highlight w:val="none"/>
            </w:rPr>
            <w:t>法定代表人授权委托书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_Toc8616 \h </w:instrText>
          </w:r>
          <w:r>
            <w:rPr>
              <w:rFonts w:hint="eastAsia" w:ascii="宋体" w:hAnsi="宋体" w:eastAsia="宋体" w:cs="宋体"/>
              <w:sz w:val="24"/>
              <w:szCs w:val="24"/>
            </w:rPr>
            <w:fldChar w:fldCharType="separate"/>
          </w:r>
          <w:r>
            <w:rPr>
              <w:rFonts w:hint="eastAsia" w:ascii="宋体" w:hAnsi="宋体" w:eastAsia="宋体" w:cs="宋体"/>
              <w:sz w:val="24"/>
              <w:szCs w:val="24"/>
            </w:rPr>
            <w:t>55</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37636210">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_Toc5772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三</w:t>
          </w:r>
          <w:r>
            <w:rPr>
              <w:rFonts w:hint="eastAsia" w:ascii="宋体" w:hAnsi="宋体" w:eastAsia="宋体" w:cs="宋体"/>
              <w:bCs/>
              <w:sz w:val="24"/>
              <w:szCs w:val="24"/>
              <w:highlight w:val="none"/>
            </w:rPr>
            <w:t>、供应商资格审查资料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_Toc5772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97BD4D2">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_Toc7445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四、</w:t>
          </w:r>
          <w:r>
            <w:rPr>
              <w:rFonts w:hint="eastAsia" w:ascii="宋体" w:hAnsi="宋体" w:eastAsia="宋体" w:cs="宋体"/>
              <w:bCs/>
              <w:sz w:val="24"/>
              <w:szCs w:val="24"/>
              <w:highlight w:val="none"/>
              <w:lang w:val="en-US" w:eastAsia="zh-CN"/>
            </w:rPr>
            <w:t>监理大纲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_Toc7445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AD7B12B">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_Toc29452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kern w:val="2"/>
              <w:sz w:val="24"/>
              <w:szCs w:val="24"/>
              <w:highlight w:val="none"/>
              <w:lang w:val="en-US" w:eastAsia="zh-CN" w:bidi="ar-SA"/>
            </w:rPr>
            <w:t>五、</w:t>
          </w:r>
          <w:r>
            <w:rPr>
              <w:rFonts w:hint="eastAsia" w:ascii="宋体" w:hAnsi="宋体" w:eastAsia="宋体" w:cs="宋体"/>
              <w:bCs/>
              <w:sz w:val="24"/>
              <w:szCs w:val="24"/>
              <w:highlight w:val="none"/>
              <w:lang w:eastAsia="zh-CN"/>
            </w:rPr>
            <w:t>业绩</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_Toc29452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46DBB6AC">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_Toc10464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val="en-US" w:eastAsia="zh-CN"/>
            </w:rPr>
            <w:t>六、项目管理机构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_Toc10464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2A96AAE0">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_Toc17129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val="en-US" w:eastAsia="zh-CN"/>
            </w:rPr>
            <w:t>七、</w:t>
          </w:r>
          <w:r>
            <w:rPr>
              <w:rFonts w:hint="eastAsia" w:ascii="宋体" w:hAnsi="宋体" w:cs="宋体"/>
              <w:bCs/>
              <w:sz w:val="24"/>
              <w:szCs w:val="24"/>
              <w:highlight w:val="none"/>
              <w:lang w:val="en-US" w:eastAsia="zh-CN"/>
            </w:rPr>
            <w:t>尽职尽责</w:t>
          </w:r>
          <w:r>
            <w:rPr>
              <w:rFonts w:hint="eastAsia" w:ascii="宋体" w:hAnsi="宋体" w:eastAsia="宋体" w:cs="宋体"/>
              <w:bCs/>
              <w:sz w:val="24"/>
              <w:szCs w:val="24"/>
              <w:highlight w:val="none"/>
              <w:lang w:val="en-US" w:eastAsia="zh-CN"/>
            </w:rPr>
            <w:t>承诺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_Toc17129 \h </w:instrText>
          </w:r>
          <w:r>
            <w:rPr>
              <w:rFonts w:hint="eastAsia" w:ascii="宋体" w:hAnsi="宋体" w:eastAsia="宋体" w:cs="宋体"/>
              <w:sz w:val="24"/>
              <w:szCs w:val="24"/>
            </w:rPr>
            <w:fldChar w:fldCharType="separate"/>
          </w:r>
          <w:r>
            <w:rPr>
              <w:rFonts w:hint="eastAsia" w:ascii="宋体" w:hAnsi="宋体" w:eastAsia="宋体" w:cs="宋体"/>
              <w:sz w:val="24"/>
              <w:szCs w:val="24"/>
            </w:rPr>
            <w:t>73</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3D589B5D">
          <w:pPr>
            <w:pStyle w:val="21"/>
            <w:keepNext w:val="0"/>
            <w:keepLines w:val="0"/>
            <w:pageBreakBefore w:val="0"/>
            <w:widowControl w:val="0"/>
            <w:tabs>
              <w:tab w:val="right" w:leader="dot" w:pos="9638"/>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bCs/>
              <w:kern w:val="0"/>
              <w:sz w:val="24"/>
              <w:szCs w:val="24"/>
              <w:highlight w:val="none"/>
              <w:shd w:val="clear" w:color="auto" w:fill="FFFFFF"/>
              <w:lang w:val="en-US" w:eastAsia="zh-CN" w:bidi="ar-SA"/>
            </w:rPr>
            <w:fldChar w:fldCharType="begin"/>
          </w:r>
          <w:r>
            <w:rPr>
              <w:rFonts w:hint="eastAsia" w:ascii="宋体" w:hAnsi="宋体" w:eastAsia="宋体" w:cs="宋体"/>
              <w:bCs/>
              <w:kern w:val="0"/>
              <w:sz w:val="24"/>
              <w:szCs w:val="24"/>
              <w:highlight w:val="none"/>
              <w:shd w:val="clear" w:color="auto" w:fill="FFFFFF"/>
              <w:lang w:val="en-US" w:eastAsia="zh-CN" w:bidi="ar-SA"/>
            </w:rPr>
            <w:instrText xml:space="preserve"> HYPERLINK \l _Toc23088 </w:instrText>
          </w:r>
          <w:r>
            <w:rPr>
              <w:rFonts w:hint="eastAsia" w:ascii="宋体" w:hAnsi="宋体" w:eastAsia="宋体" w:cs="宋体"/>
              <w:bCs/>
              <w:kern w:val="0"/>
              <w:sz w:val="24"/>
              <w:szCs w:val="24"/>
              <w:highlight w:val="none"/>
              <w:shd w:val="clear" w:color="auto" w:fill="FFFFFF"/>
              <w:lang w:val="en-US" w:eastAsia="zh-CN" w:bidi="ar-SA"/>
            </w:rPr>
            <w:fldChar w:fldCharType="separate"/>
          </w:r>
          <w:r>
            <w:rPr>
              <w:rFonts w:hint="eastAsia" w:ascii="宋体" w:hAnsi="宋体" w:eastAsia="宋体" w:cs="宋体"/>
              <w:bCs/>
              <w:sz w:val="24"/>
              <w:szCs w:val="24"/>
              <w:highlight w:val="none"/>
              <w:lang w:eastAsia="zh-CN"/>
            </w:rPr>
            <w:t>八</w:t>
          </w:r>
          <w:r>
            <w:rPr>
              <w:rFonts w:hint="eastAsia" w:ascii="宋体" w:hAnsi="宋体" w:eastAsia="宋体" w:cs="宋体"/>
              <w:bCs/>
              <w:sz w:val="24"/>
              <w:szCs w:val="24"/>
              <w:highlight w:val="none"/>
            </w:rPr>
            <w:t>、供应商认为需要提供的其他材料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_Toc23088 \h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r>
            <w:rPr>
              <w:rFonts w:hint="eastAsia" w:ascii="宋体" w:hAnsi="宋体" w:eastAsia="宋体" w:cs="宋体"/>
              <w:bCs/>
              <w:kern w:val="0"/>
              <w:sz w:val="24"/>
              <w:szCs w:val="24"/>
              <w:highlight w:val="none"/>
              <w:shd w:val="clear" w:color="auto" w:fill="FFFFFF"/>
              <w:lang w:val="en-US" w:eastAsia="zh-CN" w:bidi="ar-SA"/>
            </w:rPr>
            <w:fldChar w:fldCharType="end"/>
          </w:r>
        </w:p>
        <w:p w14:paraId="75ADD5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Cs/>
              <w:kern w:val="0"/>
              <w:sz w:val="21"/>
              <w:szCs w:val="44"/>
              <w:highlight w:val="none"/>
              <w:shd w:val="clear" w:color="auto" w:fill="FFFFFF"/>
              <w:lang w:val="en-US" w:eastAsia="zh-CN" w:bidi="ar-SA"/>
            </w:rPr>
          </w:pPr>
          <w:r>
            <w:rPr>
              <w:rFonts w:hint="eastAsia" w:ascii="宋体" w:hAnsi="宋体" w:eastAsia="宋体" w:cs="宋体"/>
              <w:bCs/>
              <w:kern w:val="0"/>
              <w:sz w:val="24"/>
              <w:szCs w:val="24"/>
              <w:highlight w:val="none"/>
              <w:shd w:val="clear" w:color="auto" w:fill="FFFFFF"/>
              <w:lang w:val="en-US" w:eastAsia="zh-CN" w:bidi="ar-SA"/>
            </w:rPr>
            <w:fldChar w:fldCharType="end"/>
          </w:r>
        </w:p>
      </w:sdtContent>
    </w:sdt>
    <w:p w14:paraId="409B33DC">
      <w:pPr>
        <w:outlineLvl w:val="9"/>
        <w:rPr>
          <w:rFonts w:hint="eastAsia"/>
          <w:lang w:val="en-US" w:eastAsia="zh-CN"/>
        </w:rPr>
      </w:pPr>
    </w:p>
    <w:p w14:paraId="4D57DBEA">
      <w:pPr>
        <w:spacing w:line="360" w:lineRule="auto"/>
        <w:outlineLvl w:val="9"/>
        <w:rPr>
          <w:rFonts w:hint="eastAsia" w:ascii="宋体" w:hAnsi="宋体" w:eastAsia="宋体" w:cs="宋体"/>
          <w:bCs/>
          <w:kern w:val="0"/>
          <w:sz w:val="21"/>
          <w:szCs w:val="44"/>
          <w:highlight w:val="none"/>
          <w:shd w:val="clear" w:color="auto" w:fill="FFFFFF"/>
          <w:lang w:val="en-US" w:eastAsia="zh-CN" w:bidi="ar-SA"/>
        </w:rPr>
      </w:pPr>
    </w:p>
    <w:p w14:paraId="75F2145C">
      <w:pPr>
        <w:spacing w:line="360" w:lineRule="auto"/>
        <w:ind w:firstLine="853" w:firstLineChars="236"/>
        <w:outlineLvl w:val="9"/>
        <w:rPr>
          <w:rFonts w:hint="eastAsia" w:ascii="宋体" w:hAnsi="宋体" w:eastAsia="宋体" w:cs="宋体"/>
          <w:b/>
          <w:bCs/>
          <w:sz w:val="36"/>
          <w:szCs w:val="36"/>
          <w:highlight w:val="none"/>
        </w:rPr>
      </w:pPr>
      <w:bookmarkStart w:id="841" w:name="_GoBack"/>
      <w:bookmarkEnd w:id="841"/>
    </w:p>
    <w:p w14:paraId="63040861">
      <w:pPr>
        <w:keepNext/>
        <w:keepLines/>
        <w:pageBreakBefore w:val="0"/>
        <w:kinsoku/>
        <w:overflowPunct/>
        <w:topLinePunct w:val="0"/>
        <w:autoSpaceDE/>
        <w:autoSpaceDN/>
        <w:bidi w:val="0"/>
        <w:adjustRightInd/>
        <w:snapToGrid/>
        <w:spacing w:before="340" w:after="330" w:line="500" w:lineRule="exact"/>
        <w:jc w:val="center"/>
        <w:textAlignment w:val="auto"/>
        <w:outlineLvl w:val="0"/>
        <w:rPr>
          <w:rFonts w:hint="eastAsia" w:ascii="宋体" w:hAnsi="宋体" w:eastAsia="宋体" w:cs="宋体"/>
          <w:b/>
          <w:bCs/>
          <w:sz w:val="30"/>
          <w:szCs w:val="30"/>
          <w:highlight w:val="none"/>
        </w:rPr>
      </w:pPr>
      <w:r>
        <w:rPr>
          <w:rFonts w:hint="eastAsia" w:ascii="宋体" w:hAnsi="宋体" w:eastAsia="宋体" w:cs="宋体"/>
          <w:kern w:val="44"/>
          <w:sz w:val="36"/>
          <w:szCs w:val="36"/>
          <w:highlight w:val="none"/>
        </w:rPr>
        <w:br w:type="page"/>
      </w:r>
      <w:bookmarkStart w:id="0" w:name="_Toc103592353"/>
      <w:bookmarkStart w:id="1" w:name="_Toc21344"/>
      <w:bookmarkStart w:id="2" w:name="_Toc25896"/>
      <w:bookmarkStart w:id="3" w:name="_Toc18582"/>
      <w:r>
        <w:rPr>
          <w:rFonts w:hint="eastAsia" w:ascii="宋体" w:hAnsi="宋体" w:eastAsia="宋体" w:cs="宋体"/>
          <w:b/>
          <w:bCs/>
          <w:sz w:val="32"/>
          <w:szCs w:val="32"/>
          <w:highlight w:val="none"/>
        </w:rPr>
        <w:t>第一章 竞争性磋商公告</w:t>
      </w:r>
      <w:bookmarkEnd w:id="0"/>
      <w:bookmarkEnd w:id="1"/>
      <w:bookmarkEnd w:id="2"/>
      <w:bookmarkEnd w:id="3"/>
    </w:p>
    <w:p w14:paraId="2CC24DE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项目概况</w:t>
      </w:r>
    </w:p>
    <w:p w14:paraId="35344B06">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2024年湖滨区车站街道黄河路东片区易涝点综合整治及排水防涝设施建设项目监理项目</w:t>
      </w:r>
      <w:r>
        <w:rPr>
          <w:rFonts w:hint="eastAsia" w:ascii="宋体" w:hAnsi="宋体" w:eastAsia="宋体" w:cs="宋体"/>
          <w:sz w:val="24"/>
          <w:szCs w:val="24"/>
          <w:highlight w:val="none"/>
        </w:rPr>
        <w:t>的潜在供应商应在三门峡市公共资源交易中心网上获取竞争性磋商文件，并于202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03</w:t>
      </w:r>
      <w:r>
        <w:rPr>
          <w:rFonts w:hint="eastAsia" w:ascii="宋体" w:hAnsi="宋体" w:eastAsia="宋体" w:cs="宋体"/>
          <w:sz w:val="24"/>
          <w:szCs w:val="24"/>
          <w:highlight w:val="none"/>
        </w:rPr>
        <w:t>日8时20分（北京时间）前递交响应文件。</w:t>
      </w:r>
    </w:p>
    <w:p w14:paraId="322EFB6C">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4F703AB2">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1.项目编号: 湖滨竞磋采购-2026-25</w:t>
      </w:r>
      <w:r>
        <w:rPr>
          <w:rFonts w:hint="eastAsia" w:ascii="宋体" w:hAnsi="宋体" w:eastAsia="宋体" w:cs="宋体"/>
          <w:sz w:val="24"/>
          <w:szCs w:val="24"/>
          <w:highlight w:val="none"/>
          <w:lang w:eastAsia="zh-CN"/>
        </w:rPr>
        <w:t>、SGZ[2026]264-ZC184</w:t>
      </w:r>
    </w:p>
    <w:p w14:paraId="1F889E0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eastAsia="zh-CN"/>
        </w:rPr>
        <w:t>2024年湖滨区车站街道黄河路东片区易涝点综合整治及排水防涝设施建设项目监理项目</w:t>
      </w:r>
      <w:r>
        <w:rPr>
          <w:rFonts w:hint="eastAsia" w:ascii="宋体" w:hAnsi="宋体" w:eastAsia="宋体" w:cs="宋体"/>
          <w:sz w:val="24"/>
          <w:szCs w:val="24"/>
          <w:highlight w:val="none"/>
        </w:rPr>
        <w:t xml:space="preserve"> </w:t>
      </w:r>
    </w:p>
    <w:p w14:paraId="572414F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3.采购方式：竞争性磋商</w:t>
      </w:r>
    </w:p>
    <w:p w14:paraId="1E452312">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4.预算金额：</w:t>
      </w:r>
      <w:r>
        <w:rPr>
          <w:rFonts w:hint="eastAsia" w:ascii="宋体" w:hAnsi="宋体" w:eastAsia="宋体" w:cs="宋体"/>
          <w:sz w:val="24"/>
          <w:szCs w:val="24"/>
          <w:highlight w:val="none"/>
          <w:lang w:val="en-US" w:eastAsia="zh-CN"/>
        </w:rPr>
        <w:t>324964.28</w:t>
      </w:r>
      <w:r>
        <w:rPr>
          <w:rFonts w:hint="eastAsia" w:ascii="宋体" w:hAnsi="宋体" w:eastAsia="宋体" w:cs="宋体"/>
          <w:sz w:val="24"/>
          <w:szCs w:val="24"/>
          <w:highlight w:val="none"/>
        </w:rPr>
        <w:t>元</w:t>
      </w:r>
    </w:p>
    <w:p w14:paraId="5D5F2D1F">
      <w:pPr>
        <w:pageBreakBefore w:val="0"/>
        <w:kinsoku/>
        <w:overflowPunct/>
        <w:topLinePunct w:val="0"/>
        <w:autoSpaceDE/>
        <w:autoSpaceDN/>
        <w:bidi w:val="0"/>
        <w:adjustRightInd/>
        <w:snapToGrid/>
        <w:spacing w:line="500" w:lineRule="exact"/>
        <w:ind w:firstLine="722" w:firstLineChars="301"/>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324964.28</w:t>
      </w:r>
      <w:r>
        <w:rPr>
          <w:rFonts w:hint="eastAsia" w:ascii="宋体" w:hAnsi="宋体" w:eastAsia="宋体" w:cs="宋体"/>
          <w:sz w:val="24"/>
          <w:szCs w:val="24"/>
          <w:highlight w:val="none"/>
        </w:rPr>
        <w:t>元</w:t>
      </w:r>
    </w:p>
    <w:tbl>
      <w:tblPr>
        <w:tblStyle w:val="27"/>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572"/>
        <w:gridCol w:w="2366"/>
        <w:gridCol w:w="1476"/>
        <w:gridCol w:w="1536"/>
        <w:gridCol w:w="1620"/>
        <w:gridCol w:w="1476"/>
      </w:tblGrid>
      <w:tr w14:paraId="5A5B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6" w:hRule="atLeast"/>
          <w:jc w:val="center"/>
        </w:trPr>
        <w:tc>
          <w:tcPr>
            <w:tcW w:w="621" w:type="dxa"/>
            <w:noWrap w:val="0"/>
            <w:vAlign w:val="center"/>
          </w:tcPr>
          <w:p w14:paraId="5B28F5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1572" w:type="dxa"/>
            <w:noWrap w:val="0"/>
            <w:vAlign w:val="center"/>
          </w:tcPr>
          <w:p w14:paraId="076FB3C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包号</w:t>
            </w:r>
          </w:p>
        </w:tc>
        <w:tc>
          <w:tcPr>
            <w:tcW w:w="2366" w:type="dxa"/>
            <w:noWrap w:val="0"/>
            <w:vAlign w:val="center"/>
          </w:tcPr>
          <w:p w14:paraId="42A6C13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包名称</w:t>
            </w:r>
          </w:p>
        </w:tc>
        <w:tc>
          <w:tcPr>
            <w:tcW w:w="1476" w:type="dxa"/>
            <w:noWrap w:val="0"/>
            <w:vAlign w:val="center"/>
          </w:tcPr>
          <w:p w14:paraId="0B63E8B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w:t>
            </w:r>
          </w:p>
          <w:p w14:paraId="6015085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（元）</w:t>
            </w:r>
          </w:p>
        </w:tc>
        <w:tc>
          <w:tcPr>
            <w:tcW w:w="1536" w:type="dxa"/>
            <w:noWrap w:val="0"/>
            <w:vAlign w:val="center"/>
          </w:tcPr>
          <w:p w14:paraId="25B17C1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包最高限价</w:t>
            </w:r>
          </w:p>
          <w:p w14:paraId="0DF3438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（元）</w:t>
            </w:r>
          </w:p>
        </w:tc>
        <w:tc>
          <w:tcPr>
            <w:tcW w:w="1620" w:type="dxa"/>
            <w:noWrap w:val="0"/>
            <w:vAlign w:val="center"/>
          </w:tcPr>
          <w:p w14:paraId="032E6DE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是否专门面向中小企业</w:t>
            </w:r>
          </w:p>
        </w:tc>
        <w:tc>
          <w:tcPr>
            <w:tcW w:w="1476" w:type="dxa"/>
            <w:noWrap w:val="0"/>
            <w:vAlign w:val="center"/>
          </w:tcPr>
          <w:p w14:paraId="64E9A90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采购预留金额（元）</w:t>
            </w:r>
          </w:p>
        </w:tc>
      </w:tr>
      <w:tr w14:paraId="6C79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621" w:type="dxa"/>
            <w:noWrap w:val="0"/>
            <w:vAlign w:val="center"/>
          </w:tcPr>
          <w:p w14:paraId="4811C2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572" w:type="dxa"/>
            <w:noWrap w:val="0"/>
            <w:vAlign w:val="center"/>
          </w:tcPr>
          <w:p w14:paraId="237C37F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sz w:val="24"/>
                <w:szCs w:val="24"/>
                <w:highlight w:val="none"/>
                <w:lang w:eastAsia="zh-CN"/>
              </w:rPr>
              <w:t>SGZ[2026]264-ZC184</w:t>
            </w:r>
            <w:r>
              <w:rPr>
                <w:rFonts w:hint="eastAsia" w:ascii="宋体" w:hAnsi="宋体" w:eastAsia="宋体" w:cs="宋体"/>
                <w:sz w:val="24"/>
                <w:szCs w:val="24"/>
                <w:highlight w:val="none"/>
                <w:lang w:val="en-US" w:eastAsia="zh-CN"/>
              </w:rPr>
              <w:t>-1</w:t>
            </w:r>
          </w:p>
        </w:tc>
        <w:tc>
          <w:tcPr>
            <w:tcW w:w="2366" w:type="dxa"/>
            <w:noWrap w:val="0"/>
            <w:vAlign w:val="center"/>
          </w:tcPr>
          <w:p w14:paraId="6B38080D">
            <w:pPr>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lang w:eastAsia="zh-CN"/>
              </w:rPr>
              <w:t>2024年湖滨区车站街道黄河路东片区易涝点综合整治及排水防涝设施建设项目监理项目一标段</w:t>
            </w:r>
          </w:p>
        </w:tc>
        <w:tc>
          <w:tcPr>
            <w:tcW w:w="1476" w:type="dxa"/>
            <w:noWrap w:val="0"/>
            <w:vAlign w:val="center"/>
          </w:tcPr>
          <w:p w14:paraId="22D86A7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185676.77</w:t>
            </w:r>
          </w:p>
        </w:tc>
        <w:tc>
          <w:tcPr>
            <w:tcW w:w="1536" w:type="dxa"/>
            <w:noWrap w:val="0"/>
            <w:vAlign w:val="center"/>
          </w:tcPr>
          <w:p w14:paraId="634C210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185676.77</w:t>
            </w:r>
          </w:p>
        </w:tc>
        <w:tc>
          <w:tcPr>
            <w:tcW w:w="1620" w:type="dxa"/>
            <w:noWrap w:val="0"/>
            <w:vAlign w:val="center"/>
          </w:tcPr>
          <w:p w14:paraId="4517722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1476" w:type="dxa"/>
            <w:noWrap w:val="0"/>
            <w:vAlign w:val="center"/>
          </w:tcPr>
          <w:p w14:paraId="3BBD27C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185676.77</w:t>
            </w:r>
          </w:p>
        </w:tc>
      </w:tr>
      <w:tr w14:paraId="57E1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621" w:type="dxa"/>
            <w:noWrap w:val="0"/>
            <w:vAlign w:val="center"/>
          </w:tcPr>
          <w:p w14:paraId="37DC11E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p>
        </w:tc>
        <w:tc>
          <w:tcPr>
            <w:tcW w:w="1572" w:type="dxa"/>
            <w:noWrap w:val="0"/>
            <w:vAlign w:val="center"/>
          </w:tcPr>
          <w:p w14:paraId="15EAB4E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sz w:val="24"/>
                <w:szCs w:val="24"/>
                <w:highlight w:val="none"/>
                <w:lang w:eastAsia="zh-CN"/>
              </w:rPr>
              <w:t>SGZ[2026]264-ZC184</w:t>
            </w:r>
            <w:r>
              <w:rPr>
                <w:rFonts w:hint="eastAsia" w:ascii="宋体" w:hAnsi="宋体" w:eastAsia="宋体" w:cs="宋体"/>
                <w:sz w:val="24"/>
                <w:szCs w:val="24"/>
                <w:highlight w:val="none"/>
                <w:lang w:val="en-US" w:eastAsia="zh-CN"/>
              </w:rPr>
              <w:t>-2</w:t>
            </w:r>
          </w:p>
        </w:tc>
        <w:tc>
          <w:tcPr>
            <w:tcW w:w="2366" w:type="dxa"/>
            <w:noWrap w:val="0"/>
            <w:vAlign w:val="center"/>
          </w:tcPr>
          <w:p w14:paraId="0C48E555">
            <w:pPr>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2024年湖滨区车站街道黄河路东片区易涝点综合整治及排水防涝设施建设项目监理项目二标段</w:t>
            </w:r>
          </w:p>
        </w:tc>
        <w:tc>
          <w:tcPr>
            <w:tcW w:w="1476" w:type="dxa"/>
            <w:noWrap w:val="0"/>
            <w:vAlign w:val="center"/>
          </w:tcPr>
          <w:p w14:paraId="1FBBE5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139287.51</w:t>
            </w:r>
          </w:p>
        </w:tc>
        <w:tc>
          <w:tcPr>
            <w:tcW w:w="1536" w:type="dxa"/>
            <w:noWrap w:val="0"/>
            <w:vAlign w:val="center"/>
          </w:tcPr>
          <w:p w14:paraId="37C3FD9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139287.51</w:t>
            </w:r>
          </w:p>
        </w:tc>
        <w:tc>
          <w:tcPr>
            <w:tcW w:w="1620" w:type="dxa"/>
            <w:noWrap w:val="0"/>
            <w:vAlign w:val="center"/>
          </w:tcPr>
          <w:p w14:paraId="20401C7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1476" w:type="dxa"/>
            <w:noWrap w:val="0"/>
            <w:vAlign w:val="center"/>
          </w:tcPr>
          <w:p w14:paraId="0DAE40F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139287.51</w:t>
            </w:r>
          </w:p>
        </w:tc>
      </w:tr>
    </w:tbl>
    <w:p w14:paraId="2738347E">
      <w:pPr>
        <w:pageBreakBefore w:val="0"/>
        <w:kinsoku/>
        <w:overflowPunct/>
        <w:topLinePunct w:val="0"/>
        <w:autoSpaceDE/>
        <w:autoSpaceDN/>
        <w:bidi w:val="0"/>
        <w:adjustRightInd/>
        <w:snapToGrid/>
        <w:spacing w:line="500" w:lineRule="exact"/>
        <w:ind w:firstLine="424" w:firstLineChars="177"/>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5.采购需求（包括但不限于标的的名称、数量、简要技术需求或服务要求等）</w:t>
      </w:r>
    </w:p>
    <w:p w14:paraId="3242850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w:t>
      </w:r>
      <w:r>
        <w:rPr>
          <w:rFonts w:hint="eastAsia" w:ascii="宋体" w:hAnsi="宋体" w:eastAsia="宋体" w:cs="宋体"/>
          <w:sz w:val="24"/>
          <w:szCs w:val="24"/>
          <w:highlight w:val="none"/>
          <w:lang w:eastAsia="zh-CN"/>
        </w:rPr>
        <w:t>项目概况</w:t>
      </w:r>
      <w:r>
        <w:rPr>
          <w:rFonts w:hint="eastAsia" w:ascii="宋体" w:hAnsi="宋体" w:eastAsia="宋体" w:cs="宋体"/>
          <w:sz w:val="24"/>
          <w:szCs w:val="24"/>
          <w:highlight w:val="none"/>
        </w:rPr>
        <w:t>：本项目主要进行湖滨区车站街道东区域排水防涝设施建设改造，主要包括改造DN管道、新修雨水管网及地面恢复、新建管渠、新修检查井、新建雨水篦子及雨水口、购置小型泵车、改造排涝沟渠、加挡水板、新安装雨量计等改造内容。</w:t>
      </w:r>
    </w:p>
    <w:p w14:paraId="19E95576">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5.2</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范围：总投资范围内的工程施工阶段及缺陷责任期（24个月）阶段监理。</w:t>
      </w:r>
    </w:p>
    <w:p w14:paraId="3CF5A99E">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资金来源：财政资金。</w:t>
      </w:r>
    </w:p>
    <w:p w14:paraId="636387C8">
      <w:pPr>
        <w:keepNext w:val="0"/>
        <w:keepLines w:val="0"/>
        <w:pageBreakBefore w:val="0"/>
        <w:kinsoku/>
        <w:overflowPunct/>
        <w:topLinePunct w:val="0"/>
        <w:autoSpaceDE/>
        <w:autoSpaceDN/>
        <w:bidi w:val="0"/>
        <w:adjustRightInd/>
        <w:spacing w:line="480" w:lineRule="exact"/>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5.4控制价：施工中标价的1.5%</w:t>
      </w:r>
    </w:p>
    <w:p w14:paraId="2116C579">
      <w:pPr>
        <w:keepNext w:val="0"/>
        <w:keepLines w:val="0"/>
        <w:pageBreakBefore w:val="0"/>
        <w:kinsoku/>
        <w:overflowPunct/>
        <w:topLinePunct w:val="0"/>
        <w:autoSpaceDE/>
        <w:autoSpaceDN/>
        <w:bidi w:val="0"/>
        <w:adjustRightInd/>
        <w:spacing w:line="48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5</w:t>
      </w:r>
      <w:r>
        <w:rPr>
          <w:rFonts w:hint="eastAsia" w:ascii="宋体" w:hAnsi="宋体" w:eastAsia="宋体" w:cs="宋体"/>
          <w:color w:val="auto"/>
          <w:sz w:val="24"/>
          <w:szCs w:val="24"/>
          <w:highlight w:val="none"/>
        </w:rPr>
        <w:t>质量控制目标：达到现行国家及地方现行工程施工质量验收规范合格标准</w:t>
      </w:r>
      <w:r>
        <w:rPr>
          <w:rFonts w:hint="eastAsia" w:ascii="宋体" w:hAnsi="宋体" w:eastAsia="宋体" w:cs="宋体"/>
          <w:color w:val="auto"/>
          <w:sz w:val="24"/>
          <w:szCs w:val="24"/>
          <w:highlight w:val="none"/>
          <w:lang w:eastAsia="zh-CN"/>
        </w:rPr>
        <w:t>。</w:t>
      </w:r>
    </w:p>
    <w:p w14:paraId="35C0C9AF">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6</w:t>
      </w:r>
      <w:r>
        <w:rPr>
          <w:rFonts w:hint="eastAsia" w:ascii="宋体" w:hAnsi="宋体" w:eastAsia="宋体" w:cs="宋体"/>
          <w:color w:val="auto"/>
          <w:kern w:val="0"/>
          <w:sz w:val="24"/>
          <w:szCs w:val="24"/>
          <w:highlight w:val="none"/>
        </w:rPr>
        <w:t>安全控制目标：无安全事故</w:t>
      </w:r>
    </w:p>
    <w:p w14:paraId="1A350DB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5.7</w:t>
      </w:r>
      <w:r>
        <w:rPr>
          <w:rFonts w:hint="eastAsia" w:ascii="宋体" w:hAnsi="宋体" w:eastAsia="宋体" w:cs="宋体"/>
          <w:color w:val="auto"/>
          <w:sz w:val="24"/>
          <w:szCs w:val="24"/>
          <w:highlight w:val="none"/>
        </w:rPr>
        <w:t>监理期限：同施工工期及缺陷责任期</w:t>
      </w:r>
      <w:r>
        <w:rPr>
          <w:rFonts w:hint="eastAsia" w:ascii="宋体" w:hAnsi="宋体" w:eastAsia="宋体" w:cs="宋体"/>
          <w:color w:val="auto"/>
          <w:sz w:val="24"/>
          <w:szCs w:val="24"/>
          <w:highlight w:val="none"/>
          <w:lang w:eastAsia="zh-CN"/>
        </w:rPr>
        <w:t>。</w:t>
      </w:r>
    </w:p>
    <w:p w14:paraId="6976AA6E">
      <w:pPr>
        <w:pageBreakBefore w:val="0"/>
        <w:kinsoku/>
        <w:overflowPunct/>
        <w:topLinePunct w:val="0"/>
        <w:autoSpaceDE/>
        <w:autoSpaceDN/>
        <w:bidi w:val="0"/>
        <w:adjustRightInd/>
        <w:snapToGrid/>
        <w:spacing w:line="500" w:lineRule="exact"/>
        <w:ind w:firstLine="484" w:firstLineChars="202"/>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5.8建设地点：位于三门峡市湖滨区。</w:t>
      </w:r>
    </w:p>
    <w:p w14:paraId="236235E2">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5.9标段划分：本项目共划分两个标段。</w:t>
      </w:r>
    </w:p>
    <w:p w14:paraId="0875E3CB">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一标段：</w:t>
      </w:r>
      <w:r>
        <w:rPr>
          <w:rFonts w:hint="eastAsia" w:ascii="宋体" w:hAnsi="宋体" w:eastAsia="宋体" w:cs="宋体"/>
          <w:color w:val="auto"/>
          <w:sz w:val="24"/>
          <w:szCs w:val="24"/>
          <w:highlight w:val="none"/>
        </w:rPr>
        <w:t>石油公司、黄河路33号楼、黄河路32号楼、车站西15号楼，车站西9号楼、工务段小区、黄河路31号楼、矿建34号楼，铁路13号楼、金龙院、道北18号楼、供电家属院、信用社家属院，燃料公司、燃料公司西侧院、天河小区、陕县烟草局后平房、兰香拐角楼（东风市场7号楼）、市河务局南院。</w:t>
      </w:r>
    </w:p>
    <w:p w14:paraId="677A477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二标段：</w:t>
      </w:r>
      <w:r>
        <w:rPr>
          <w:rFonts w:hint="eastAsia" w:ascii="宋体" w:hAnsi="宋体" w:eastAsia="宋体" w:cs="宋体"/>
          <w:color w:val="auto"/>
          <w:sz w:val="24"/>
          <w:szCs w:val="24"/>
          <w:highlight w:val="none"/>
        </w:rPr>
        <w:t>新朝阳28号楼、粮管所22号楼、粮管所23号楼、粮管所6号楼、粮管路铁路平房、棉麻公司家属院、饮食服务公司两排平房、蔬菜公司13号楼、陕县乡镇委家属院、县计划生育指导站院、陕县二轻局平房，市供销社前院、市供销社后院、物资局2号楼、市供销社48号楼、区供销社49号楼、陕县二轻局11#、20#，农行院，六局院小区东院、会兴科技楼、会兴乡政府。</w:t>
      </w:r>
    </w:p>
    <w:p w14:paraId="507D50C0">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w:t>
      </w:r>
      <w:r>
        <w:rPr>
          <w:rFonts w:hint="eastAsia" w:ascii="宋体" w:hAnsi="宋体" w:eastAsia="宋体" w:cs="宋体"/>
          <w:sz w:val="24"/>
          <w:szCs w:val="24"/>
          <w:highlight w:val="none"/>
          <w:lang w:eastAsia="zh-CN"/>
        </w:rPr>
        <w:t>项目供应商</w:t>
      </w:r>
      <w:r>
        <w:rPr>
          <w:rFonts w:hint="eastAsia" w:ascii="宋体" w:hAnsi="宋体" w:eastAsia="宋体" w:cs="宋体"/>
          <w:sz w:val="24"/>
          <w:szCs w:val="24"/>
          <w:highlight w:val="none"/>
        </w:rPr>
        <w:t>可以投报多个标段，但最多只能中一个标段，取前弃后，以中标先后顺序为准。</w:t>
      </w:r>
    </w:p>
    <w:p w14:paraId="400620E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6、合同履行期限：同</w:t>
      </w:r>
      <w:r>
        <w:rPr>
          <w:rFonts w:hint="eastAsia" w:ascii="宋体" w:hAnsi="宋体" w:eastAsia="宋体" w:cs="宋体"/>
          <w:color w:val="auto"/>
          <w:sz w:val="24"/>
          <w:szCs w:val="24"/>
          <w:highlight w:val="none"/>
        </w:rPr>
        <w:t>监理期限</w:t>
      </w:r>
      <w:r>
        <w:rPr>
          <w:rFonts w:hint="eastAsia" w:ascii="宋体" w:hAnsi="宋体" w:eastAsia="宋体" w:cs="宋体"/>
          <w:sz w:val="24"/>
          <w:szCs w:val="24"/>
          <w:highlight w:val="none"/>
        </w:rPr>
        <w:t xml:space="preserve"> </w:t>
      </w:r>
    </w:p>
    <w:p w14:paraId="46283D9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7、本项目是否接受联合体投标：否 </w:t>
      </w:r>
    </w:p>
    <w:p w14:paraId="10CEB7C0">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8、是否接受进口产品：否 </w:t>
      </w:r>
    </w:p>
    <w:p w14:paraId="656BEC95">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9、是否专门面向中小企业：</w:t>
      </w:r>
      <w:r>
        <w:rPr>
          <w:rFonts w:hint="eastAsia" w:ascii="宋体" w:hAnsi="宋体" w:eastAsia="宋体" w:cs="宋体"/>
          <w:sz w:val="24"/>
          <w:szCs w:val="24"/>
          <w:highlight w:val="none"/>
          <w:lang w:eastAsia="zh-CN"/>
        </w:rPr>
        <w:t>是</w:t>
      </w:r>
    </w:p>
    <w:p w14:paraId="785FF3EE">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二、申请人资格要求</w:t>
      </w:r>
    </w:p>
    <w:p w14:paraId="141DEF9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1.满足《中华人民共和国政府采购法》第二十二条规定；</w:t>
      </w:r>
    </w:p>
    <w:p w14:paraId="5B7C5C20">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2.落实政府采购政策满足的资格要求：本项目专门面向中小企业采购项目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执行促进中小企业（监狱企业、残疾人福利性企业）发展等政府采购政策。</w:t>
      </w:r>
    </w:p>
    <w:p w14:paraId="4CE71848">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287E75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3.1具有独立承担民事责任的能力（提供有效的营业执照）；</w:t>
      </w:r>
    </w:p>
    <w:p w14:paraId="1B3914ED">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3.2资质要求：</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应具备房屋建筑工程专业监理乙级及以上资质或市政公用工程监理乙级及以上资质或具有工程监理综合资质；</w:t>
      </w:r>
    </w:p>
    <w:p w14:paraId="25CDF8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3.3拟派项目总监理工程师具有房屋建筑专业注册监理工程师执业资格证书或市政公用工程注册监理工程师执业资格证书，出具单位养老保险缴费证明，以证明其养老保险账户在本单位</w:t>
      </w:r>
      <w:r>
        <w:rPr>
          <w:rFonts w:hint="eastAsia" w:ascii="宋体" w:hAnsi="宋体" w:eastAsia="宋体" w:cs="宋体"/>
          <w:sz w:val="24"/>
          <w:szCs w:val="24"/>
          <w:highlight w:val="none"/>
          <w:lang w:eastAsia="zh-CN"/>
        </w:rPr>
        <w:t>；</w:t>
      </w:r>
    </w:p>
    <w:p w14:paraId="3481B63B">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4根据《关于在政府采购活动中查询及使用信用记录有关问题的通知》(财库[2016]125号) 和豫财购【2016】15号的规定，对列入失信被执行人、重大税收违法失信主体、政府采购严重违法失信行为记录名单的供应商，拒绝参与本项目政府采购活动。【开标时由采购人或采购代理机构通过</w:t>
      </w:r>
      <w:r>
        <w:rPr>
          <w:rFonts w:hint="eastAsia" w:ascii="宋体" w:hAnsi="宋体" w:eastAsia="宋体" w:cs="宋体"/>
          <w:color w:val="000000"/>
          <w:sz w:val="24"/>
          <w:szCs w:val="24"/>
          <w:highlight w:val="none"/>
        </w:rPr>
        <w:t>“中国执行信息公开网（zxgk.court.gov.cn/shixin）</w:t>
      </w:r>
      <w:r>
        <w:rPr>
          <w:rFonts w:hint="eastAsia" w:ascii="宋体" w:hAnsi="宋体" w:eastAsia="宋体" w:cs="宋体"/>
          <w:color w:val="000000"/>
          <w:sz w:val="24"/>
          <w:szCs w:val="24"/>
          <w:highlight w:val="none"/>
          <w:lang w:eastAsia="zh-CN"/>
        </w:rPr>
        <w:t>、</w:t>
      </w:r>
      <w:r>
        <w:rPr>
          <w:rFonts w:hint="eastAsia" w:ascii="宋体" w:hAnsi="宋体" w:eastAsia="宋体" w:cs="宋体"/>
          <w:sz w:val="24"/>
          <w:szCs w:val="24"/>
          <w:highlight w:val="none"/>
          <w:lang w:val="en-US" w:eastAsia="zh-CN"/>
        </w:rPr>
        <w:t>“信用中国”网站（www.creditchina.gov.cn）、中国政府采购网（http://www.ccgp.gov.cn）等渠道查询相关主体信用记录,信用信息查询记录及相关证据与其他采购文件一并保存。查询时间：本项目评审结束之前（相关网站有最新规定的，按最新规定执行）】。</w:t>
      </w:r>
    </w:p>
    <w:p w14:paraId="018B0D61">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单位负责人为同一人或者存在控股、管理关系的不同单位，不得同时参加本项目的采购。</w:t>
      </w:r>
    </w:p>
    <w:p w14:paraId="4E8D006E">
      <w:pPr>
        <w:pageBreakBefore w:val="0"/>
        <w:kinsoku/>
        <w:overflowPunct/>
        <w:topLinePunct w:val="0"/>
        <w:autoSpaceDE/>
        <w:autoSpaceDN/>
        <w:bidi w:val="0"/>
        <w:adjustRightInd/>
        <w:snapToGrid/>
        <w:spacing w:line="500" w:lineRule="exact"/>
        <w:ind w:firstLine="566" w:firstLineChars="236"/>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三、获取</w:t>
      </w:r>
      <w:r>
        <w:rPr>
          <w:rFonts w:hint="eastAsia" w:ascii="宋体" w:hAnsi="宋体" w:eastAsia="宋体" w:cs="宋体"/>
          <w:sz w:val="24"/>
          <w:szCs w:val="24"/>
          <w:highlight w:val="none"/>
          <w:lang w:eastAsia="zh-CN"/>
        </w:rPr>
        <w:t>采购</w:t>
      </w:r>
      <w:r>
        <w:rPr>
          <w:rFonts w:hint="eastAsia" w:ascii="宋体" w:hAnsi="宋体" w:eastAsia="宋体" w:cs="宋体"/>
          <w:sz w:val="24"/>
          <w:szCs w:val="24"/>
          <w:highlight w:val="none"/>
        </w:rPr>
        <w:t>文件</w:t>
      </w:r>
    </w:p>
    <w:p w14:paraId="12564CAA">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22</w:t>
      </w:r>
      <w:r>
        <w:rPr>
          <w:rFonts w:hint="eastAsia" w:ascii="宋体" w:hAnsi="宋体" w:eastAsia="宋体" w:cs="宋体"/>
          <w:sz w:val="24"/>
          <w:szCs w:val="24"/>
          <w:highlight w:val="none"/>
        </w:rPr>
        <w:t>日至</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02</w:t>
      </w:r>
      <w:r>
        <w:rPr>
          <w:rFonts w:hint="eastAsia" w:ascii="宋体" w:hAnsi="宋体" w:eastAsia="宋体" w:cs="宋体"/>
          <w:sz w:val="24"/>
          <w:szCs w:val="24"/>
          <w:highlight w:val="none"/>
        </w:rPr>
        <w:t>日，每天上午00:00至12:00，下午12:00至23:59（北京时间）</w:t>
      </w:r>
    </w:p>
    <w:p w14:paraId="13C7C66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2.地点：三门峡市公共资源交易中心网上</w:t>
      </w:r>
    </w:p>
    <w:p w14:paraId="4E932123">
      <w:pPr>
        <w:keepNext w:val="0"/>
        <w:keepLines w:val="0"/>
        <w:pageBreakBefore w:val="0"/>
        <w:widowControl w:val="0"/>
        <w:kinsoku/>
        <w:wordWrap w:val="0"/>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3.方式：供应商凭CA数字证书通过三门峡市公共资源交易中心网（网址：http://gzjy.smx.gov.cn），点击交易平台选择“交易主体登录”，在所参与项目右侧点击参与投标，即可直接下载本项目竞争性磋商文件。</w:t>
      </w:r>
    </w:p>
    <w:p w14:paraId="1103BB0F">
      <w:pPr>
        <w:keepNext w:val="0"/>
        <w:keepLines w:val="0"/>
        <w:pageBreakBefore w:val="0"/>
        <w:widowControl w:val="0"/>
        <w:kinsoku/>
        <w:wordWrap w:val="0"/>
        <w:overflowPunct/>
        <w:topLinePunct w:val="0"/>
        <w:autoSpaceDE/>
        <w:autoSpaceDN/>
        <w:bidi w:val="0"/>
        <w:adjustRightInd/>
        <w:snapToGrid/>
        <w:spacing w:line="500" w:lineRule="exact"/>
        <w:ind w:firstLine="484" w:firstLineChars="202"/>
        <w:textAlignment w:val="auto"/>
        <w:rPr>
          <w:rFonts w:hint="eastAsia" w:ascii="宋体" w:hAnsi="宋体" w:eastAsia="宋体" w:cs="宋体"/>
        </w:rPr>
      </w:pPr>
      <w:r>
        <w:rPr>
          <w:rFonts w:hint="eastAsia" w:ascii="宋体" w:hAnsi="宋体" w:eastAsia="宋体" w:cs="宋体"/>
          <w:sz w:val="24"/>
          <w:szCs w:val="24"/>
          <w:highlight w:val="none"/>
          <w:lang w:val="en-US" w:eastAsia="zh-CN"/>
        </w:rPr>
        <w:t>办理CA证书链接：</w:t>
      </w:r>
    </w:p>
    <w:p w14:paraId="38BD54F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http://gzjy.smx.gov.cn/bzzx/008001/20231102/4defc9b5-408e-47f2-9e9f-1f376a06ee1f.html</w:t>
      </w:r>
    </w:p>
    <w:p w14:paraId="7D6B222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1209A489">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四、响应文件提交</w:t>
      </w:r>
    </w:p>
    <w:p w14:paraId="16F9CD26">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03</w:t>
      </w:r>
      <w:r>
        <w:rPr>
          <w:rFonts w:hint="eastAsia" w:ascii="宋体" w:hAnsi="宋体" w:eastAsia="宋体" w:cs="宋体"/>
          <w:sz w:val="24"/>
          <w:szCs w:val="24"/>
          <w:highlight w:val="none"/>
        </w:rPr>
        <w:t>日8时20分（北京时间）</w:t>
      </w:r>
    </w:p>
    <w:p w14:paraId="083FF92F">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2.地点：加密电子竞争性磋商响应文件须在磋商截止时间前通过三门峡市公共资源交易中心电子交易平台加密上传。</w:t>
      </w:r>
    </w:p>
    <w:p w14:paraId="1947336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五、响应文件开启</w:t>
      </w:r>
    </w:p>
    <w:p w14:paraId="5B8BBA27">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03</w:t>
      </w:r>
      <w:r>
        <w:rPr>
          <w:rFonts w:hint="eastAsia" w:ascii="宋体" w:hAnsi="宋体" w:eastAsia="宋体" w:cs="宋体"/>
          <w:sz w:val="24"/>
          <w:szCs w:val="24"/>
          <w:highlight w:val="none"/>
        </w:rPr>
        <w:t>日8时20分（北京时间）</w:t>
      </w:r>
    </w:p>
    <w:p w14:paraId="1A714BCD">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2.地点：三门峡市公共资源交易中心五楼开标</w:t>
      </w:r>
      <w:r>
        <w:rPr>
          <w:rFonts w:hint="eastAsia" w:ascii="宋体" w:hAnsi="宋体" w:eastAsia="宋体" w:cs="宋体"/>
          <w:sz w:val="24"/>
          <w:szCs w:val="24"/>
          <w:highlight w:val="none"/>
          <w:lang w:eastAsia="zh-CN"/>
        </w:rPr>
        <w:t>四室</w:t>
      </w:r>
    </w:p>
    <w:p w14:paraId="0775C4F4">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六、发布公告的媒介及公告期限</w:t>
      </w:r>
    </w:p>
    <w:p w14:paraId="4C117113">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本次公告在《河南省政府采购网》、《中国招标投标公共服务平台》、《三门峡市公共资源交易中心网》上发布</w:t>
      </w:r>
      <w:r>
        <w:rPr>
          <w:rFonts w:hint="eastAsia" w:ascii="宋体" w:hAnsi="宋体" w:eastAsia="宋体" w:cs="宋体"/>
          <w:color w:val="auto"/>
          <w:sz w:val="24"/>
          <w:szCs w:val="24"/>
          <w:highlight w:val="none"/>
          <w:lang w:eastAsia="zh-CN"/>
        </w:rPr>
        <w:t>，公告期限为三个工作日</w:t>
      </w:r>
      <w:r>
        <w:rPr>
          <w:rFonts w:hint="eastAsia" w:ascii="宋体" w:hAnsi="宋体" w:eastAsia="宋体" w:cs="宋体"/>
          <w:color w:val="auto"/>
          <w:sz w:val="24"/>
          <w:szCs w:val="24"/>
          <w:highlight w:val="none"/>
        </w:rPr>
        <w:t>。</w:t>
      </w:r>
    </w:p>
    <w:p w14:paraId="542BB4BA">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七、其他补充事宜</w:t>
      </w:r>
    </w:p>
    <w:p w14:paraId="2BC120B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2B10912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2.本项目为电子化、无纸化交易项目，开标时不再接受任何纸质资料，为保证您能投标成功，请需仔细阅读竞争性磋商文件和三门峡市公共资源交易中心官网业务办理指南。</w:t>
      </w:r>
    </w:p>
    <w:p w14:paraId="359C5C8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3.根据《河南省财政厅关于优化政府采购营商环境有关问题的通知》（豫财购【2019】4号）第6条的规定，磋商保证金不再收取。</w:t>
      </w:r>
    </w:p>
    <w:p w14:paraId="4A959F93">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4.本项目实行资格后审，审查内容以响应文件为准，其上传资料真实性由供应商自行承担。同时，供应商应在开标前自行完善主体库信息。</w:t>
      </w:r>
    </w:p>
    <w:p w14:paraId="691794A7">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5.评标打分部分：评标打分部分仍按照100分制原则进行，涉及到资格审查、企业荣誉、企业业绩等计分部分时，以供应商自行上传到响应文件中的各类相应内容为准。</w:t>
      </w:r>
    </w:p>
    <w:p w14:paraId="48AECB18">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在竞争性磋商文件中要求供应商按照响应文件格式进行响应文件编制，在响应文件编制时，应明确将供应商企业基本情况、资质情况、人员情况、财务情况、业绩情况编入响应文件，便于进行资格审查及评标打分。</w:t>
      </w:r>
    </w:p>
    <w:p w14:paraId="74B23E4B">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7、我单位（采购人）严格按三财购【2021】9号文要求的时限发布中标结果公告，发出中标通知书，签订采购合同，上传采购合同。</w:t>
      </w:r>
    </w:p>
    <w:p w14:paraId="750CB6A2">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8、监督单位：三门峡市湖滨区政府采购管理办公室</w:t>
      </w:r>
    </w:p>
    <w:p w14:paraId="03C75A91">
      <w:pPr>
        <w:pageBreakBefore w:val="0"/>
        <w:kinsoku/>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联系方式：0398-2957328</w:t>
      </w:r>
    </w:p>
    <w:p w14:paraId="11EA2DF1">
      <w:pPr>
        <w:pageBreakBefore w:val="0"/>
        <w:kinsoku/>
        <w:overflowPunct/>
        <w:topLinePunct w:val="0"/>
        <w:autoSpaceDE/>
        <w:autoSpaceDN/>
        <w:bidi w:val="0"/>
        <w:adjustRightInd/>
        <w:snapToGrid/>
        <w:spacing w:line="500" w:lineRule="exact"/>
        <w:ind w:firstLine="484" w:firstLineChars="20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八、凡对本次招标提出询问，请按照以下方式联系</w:t>
      </w:r>
    </w:p>
    <w:p w14:paraId="5FF1320B">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采购人信息</w:t>
      </w:r>
    </w:p>
    <w:p w14:paraId="4319B261">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名称：三门峡市湖滨区</w:t>
      </w:r>
      <w:r>
        <w:rPr>
          <w:rFonts w:hint="eastAsia" w:ascii="宋体" w:hAnsi="宋体" w:eastAsia="宋体" w:cs="宋体"/>
          <w:sz w:val="24"/>
          <w:szCs w:val="24"/>
          <w:highlight w:val="none"/>
          <w:lang w:eastAsia="zh-CN"/>
        </w:rPr>
        <w:t>建设局</w:t>
      </w:r>
      <w:r>
        <w:rPr>
          <w:rFonts w:hint="eastAsia" w:ascii="宋体" w:hAnsi="宋体" w:eastAsia="宋体" w:cs="宋体"/>
          <w:sz w:val="24"/>
          <w:szCs w:val="24"/>
          <w:highlight w:val="none"/>
        </w:rPr>
        <w:t xml:space="preserve"> </w:t>
      </w:r>
    </w:p>
    <w:p w14:paraId="4BDCF9AC">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地址：三门峡市湖滨区青龙路科创大厦 </w:t>
      </w:r>
    </w:p>
    <w:p w14:paraId="77630B6E">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赵先生</w:t>
      </w:r>
    </w:p>
    <w:p w14:paraId="2DBA73E6">
      <w:pPr>
        <w:pageBreakBefore w:val="0"/>
        <w:kinsoku/>
        <w:overflowPunct/>
        <w:topLinePunct w:val="0"/>
        <w:autoSpaceDE/>
        <w:autoSpaceDN/>
        <w:bidi w:val="0"/>
        <w:adjustRightInd/>
        <w:snapToGrid/>
        <w:spacing w:line="500" w:lineRule="exact"/>
        <w:ind w:firstLine="566" w:firstLineChars="236"/>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0398-2958508</w:t>
      </w:r>
    </w:p>
    <w:p w14:paraId="64FCF89F">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2.采购代理机构：</w:t>
      </w:r>
      <w:r>
        <w:rPr>
          <w:rFonts w:hint="eastAsia" w:ascii="宋体" w:hAnsi="宋体" w:eastAsia="宋体" w:cs="宋体"/>
          <w:sz w:val="24"/>
          <w:szCs w:val="24"/>
          <w:highlight w:val="none"/>
          <w:lang w:eastAsia="zh-CN"/>
        </w:rPr>
        <w:t>河南精开咨询有限公司</w:t>
      </w:r>
    </w:p>
    <w:p w14:paraId="57DAE332">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地址：河南省三门峡市经济开发区分陕路与北环路交叉口向西200米开发区双创园B栋306</w:t>
      </w:r>
    </w:p>
    <w:p w14:paraId="034AE38A">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刘女士</w:t>
      </w:r>
    </w:p>
    <w:p w14:paraId="6B07C799">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19603980926</w:t>
      </w:r>
    </w:p>
    <w:p w14:paraId="248127B4">
      <w:pPr>
        <w:pageBreakBefore w:val="0"/>
        <w:kinsoku/>
        <w:overflowPunct/>
        <w:topLinePunct w:val="0"/>
        <w:autoSpaceDE/>
        <w:autoSpaceDN/>
        <w:bidi w:val="0"/>
        <w:adjustRightInd/>
        <w:snapToGrid/>
        <w:spacing w:line="500" w:lineRule="exact"/>
        <w:ind w:firstLine="540" w:firstLineChars="225"/>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3.项目联系方式</w:t>
      </w:r>
    </w:p>
    <w:p w14:paraId="09DCFD2F">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刘女士</w:t>
      </w:r>
    </w:p>
    <w:p w14:paraId="7DE9B0EA">
      <w:pPr>
        <w:pageBreakBefore w:val="0"/>
        <w:kinsoku/>
        <w:overflowPunct/>
        <w:topLinePunct w:val="0"/>
        <w:autoSpaceDE/>
        <w:autoSpaceDN/>
        <w:bidi w:val="0"/>
        <w:adjustRightInd/>
        <w:snapToGrid/>
        <w:spacing w:line="500" w:lineRule="exact"/>
        <w:ind w:firstLine="600" w:firstLineChars="25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19603980926</w:t>
      </w:r>
    </w:p>
    <w:p w14:paraId="5618A638">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监督机构：三门峡市湖滨区建设工程施工招标投标管理办公室</w:t>
      </w:r>
    </w:p>
    <w:p w14:paraId="0FB80550">
      <w:pPr>
        <w:pageBreakBefore w:val="0"/>
        <w:kinsoku/>
        <w:overflowPunct/>
        <w:topLinePunct w:val="0"/>
        <w:autoSpaceDE/>
        <w:autoSpaceDN/>
        <w:bidi w:val="0"/>
        <w:adjustRightInd/>
        <w:snapToGrid/>
        <w:spacing w:line="500" w:lineRule="exact"/>
        <w:ind w:firstLine="566" w:firstLineChars="236"/>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联系电话：0398-2958508</w:t>
      </w:r>
    </w:p>
    <w:p w14:paraId="4DE5C404">
      <w:pPr>
        <w:pageBreakBefore w:val="0"/>
        <w:kinsoku/>
        <w:overflowPunct/>
        <w:topLinePunct w:val="0"/>
        <w:autoSpaceDE/>
        <w:autoSpaceDN/>
        <w:bidi w:val="0"/>
        <w:adjustRightInd/>
        <w:snapToGrid/>
        <w:spacing w:line="500" w:lineRule="exact"/>
        <w:ind w:firstLine="600" w:firstLineChars="250"/>
        <w:textAlignment w:val="auto"/>
        <w:rPr>
          <w:rFonts w:hint="eastAsia" w:ascii="宋体" w:hAnsi="宋体" w:eastAsia="宋体" w:cs="宋体"/>
          <w:sz w:val="24"/>
          <w:szCs w:val="24"/>
          <w:highlight w:val="none"/>
          <w:lang w:val="en-US" w:eastAsia="zh-CN"/>
        </w:rPr>
      </w:pPr>
    </w:p>
    <w:p w14:paraId="0934EDBC">
      <w:pPr>
        <w:jc w:val="center"/>
        <w:outlineLvl w:val="0"/>
        <w:rPr>
          <w:rFonts w:hint="eastAsia" w:ascii="宋体" w:hAnsi="宋体" w:eastAsia="宋体" w:cs="宋体"/>
          <w:b/>
          <w:bCs/>
          <w:sz w:val="30"/>
          <w:szCs w:val="30"/>
          <w:highlight w:val="none"/>
        </w:rPr>
      </w:pPr>
      <w:r>
        <w:rPr>
          <w:rFonts w:hint="eastAsia" w:ascii="宋体" w:hAnsi="宋体" w:eastAsia="宋体" w:cs="宋体"/>
          <w:kern w:val="0"/>
          <w:sz w:val="32"/>
          <w:szCs w:val="32"/>
          <w:highlight w:val="none"/>
          <w:shd w:val="clear" w:color="auto" w:fill="FFFFFF"/>
        </w:rPr>
        <w:br w:type="page"/>
      </w:r>
      <w:bookmarkStart w:id="4" w:name="_Toc23170"/>
      <w:bookmarkStart w:id="5" w:name="_Toc12057"/>
      <w:bookmarkStart w:id="6" w:name="_Toc103592354"/>
      <w:r>
        <w:rPr>
          <w:rFonts w:hint="eastAsia" w:ascii="宋体" w:hAnsi="宋体" w:eastAsia="宋体" w:cs="宋体"/>
          <w:b/>
          <w:bCs/>
          <w:sz w:val="32"/>
          <w:szCs w:val="32"/>
          <w:highlight w:val="none"/>
        </w:rPr>
        <w:t>第二章 供应商须知及前附表</w:t>
      </w:r>
      <w:bookmarkEnd w:id="4"/>
      <w:bookmarkEnd w:id="5"/>
      <w:bookmarkEnd w:id="6"/>
    </w:p>
    <w:p w14:paraId="4E90E7FD">
      <w:pPr>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供应商须知前附表</w:t>
      </w:r>
    </w:p>
    <w:tbl>
      <w:tblPr>
        <w:tblStyle w:val="2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701"/>
        <w:gridCol w:w="6782"/>
      </w:tblGrid>
      <w:tr w14:paraId="57C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101" w:type="dxa"/>
            <w:vAlign w:val="center"/>
          </w:tcPr>
          <w:p w14:paraId="2820B293">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条款号</w:t>
            </w:r>
          </w:p>
        </w:tc>
        <w:tc>
          <w:tcPr>
            <w:tcW w:w="1701" w:type="dxa"/>
            <w:vAlign w:val="center"/>
          </w:tcPr>
          <w:p w14:paraId="096F66D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条款名称</w:t>
            </w:r>
          </w:p>
        </w:tc>
        <w:tc>
          <w:tcPr>
            <w:tcW w:w="6782" w:type="dxa"/>
            <w:vAlign w:val="center"/>
          </w:tcPr>
          <w:p w14:paraId="11C89A0D">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编列内容</w:t>
            </w:r>
          </w:p>
        </w:tc>
      </w:tr>
      <w:tr w14:paraId="4EAB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1101" w:type="dxa"/>
            <w:vAlign w:val="center"/>
          </w:tcPr>
          <w:p w14:paraId="135D214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701" w:type="dxa"/>
            <w:vAlign w:val="center"/>
          </w:tcPr>
          <w:p w14:paraId="76D210F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采购人</w:t>
            </w:r>
          </w:p>
        </w:tc>
        <w:tc>
          <w:tcPr>
            <w:tcW w:w="6782" w:type="dxa"/>
            <w:vAlign w:val="center"/>
          </w:tcPr>
          <w:p w14:paraId="1B0DD05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名称：三门峡市湖滨区建设局 </w:t>
            </w:r>
          </w:p>
          <w:p w14:paraId="62F2527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地址：三门峡市湖滨区青龙路科创大厦 </w:t>
            </w:r>
          </w:p>
          <w:p w14:paraId="569D8AB4">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联系人：赵先生</w:t>
            </w:r>
          </w:p>
          <w:p w14:paraId="68A86924">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联系方式：0398-2958508</w:t>
            </w:r>
          </w:p>
        </w:tc>
      </w:tr>
      <w:tr w14:paraId="61AA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101" w:type="dxa"/>
            <w:vAlign w:val="center"/>
          </w:tcPr>
          <w:p w14:paraId="76A4CC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1701" w:type="dxa"/>
            <w:vAlign w:val="center"/>
          </w:tcPr>
          <w:p w14:paraId="2B38BF7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采购代理机构</w:t>
            </w:r>
          </w:p>
        </w:tc>
        <w:tc>
          <w:tcPr>
            <w:tcW w:w="6782" w:type="dxa"/>
            <w:vAlign w:val="center"/>
          </w:tcPr>
          <w:p w14:paraId="34C010B2">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采购代理机构：河南精开咨询有限公司</w:t>
            </w:r>
          </w:p>
          <w:p w14:paraId="41F92BE6">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地址：河南省三门峡市经济开发区分陕路与北环路交叉口向西200米开发区双创园B栋306</w:t>
            </w:r>
          </w:p>
          <w:p w14:paraId="1E3887E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联系人：刘女士</w:t>
            </w:r>
          </w:p>
          <w:p w14:paraId="44CA884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联系方式：19603980926</w:t>
            </w:r>
          </w:p>
        </w:tc>
      </w:tr>
      <w:tr w14:paraId="6806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01" w:type="dxa"/>
            <w:vAlign w:val="center"/>
          </w:tcPr>
          <w:p w14:paraId="39C9D919">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1701" w:type="dxa"/>
            <w:vAlign w:val="center"/>
          </w:tcPr>
          <w:p w14:paraId="0F9A5BDE">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预算资金</w:t>
            </w:r>
          </w:p>
        </w:tc>
        <w:tc>
          <w:tcPr>
            <w:tcW w:w="6782" w:type="dxa"/>
            <w:vAlign w:val="center"/>
          </w:tcPr>
          <w:p w14:paraId="33018F1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一标段：</w:t>
            </w:r>
            <w:r>
              <w:rPr>
                <w:rFonts w:hint="eastAsia" w:ascii="宋体" w:hAnsi="宋体" w:eastAsia="宋体" w:cs="宋体"/>
                <w:sz w:val="21"/>
                <w:szCs w:val="21"/>
                <w:highlight w:val="none"/>
                <w:lang w:val="en-US" w:eastAsia="zh-CN"/>
              </w:rPr>
              <w:t>185676.77元</w:t>
            </w:r>
          </w:p>
          <w:p w14:paraId="42B83288">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二标段：</w:t>
            </w:r>
            <w:r>
              <w:rPr>
                <w:rFonts w:hint="eastAsia" w:ascii="宋体" w:hAnsi="宋体" w:eastAsia="宋体" w:cs="宋体"/>
                <w:sz w:val="21"/>
                <w:szCs w:val="21"/>
                <w:highlight w:val="none"/>
                <w:lang w:val="en-US" w:eastAsia="zh-CN"/>
              </w:rPr>
              <w:t>139287.51元</w:t>
            </w:r>
          </w:p>
        </w:tc>
      </w:tr>
      <w:tr w14:paraId="784A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101" w:type="dxa"/>
            <w:vAlign w:val="center"/>
          </w:tcPr>
          <w:p w14:paraId="58BE4057">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w:t>
            </w:r>
          </w:p>
        </w:tc>
        <w:tc>
          <w:tcPr>
            <w:tcW w:w="1701" w:type="dxa"/>
            <w:vAlign w:val="center"/>
          </w:tcPr>
          <w:p w14:paraId="15B74072">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项目名称</w:t>
            </w:r>
          </w:p>
        </w:tc>
        <w:tc>
          <w:tcPr>
            <w:tcW w:w="6782" w:type="dxa"/>
            <w:vAlign w:val="center"/>
          </w:tcPr>
          <w:p w14:paraId="32300C0A">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2024年湖滨区车站街道黄河路东片区易涝点综合整治及排水防涝设施建设项目监理项目</w:t>
            </w:r>
            <w:r>
              <w:rPr>
                <w:rFonts w:hint="eastAsia" w:ascii="宋体" w:hAnsi="宋体" w:eastAsia="宋体" w:cs="宋体"/>
                <w:sz w:val="21"/>
                <w:szCs w:val="21"/>
                <w:highlight w:val="none"/>
              </w:rPr>
              <w:t xml:space="preserve"> </w:t>
            </w:r>
          </w:p>
        </w:tc>
      </w:tr>
      <w:tr w14:paraId="5861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101" w:type="dxa"/>
            <w:vAlign w:val="center"/>
          </w:tcPr>
          <w:p w14:paraId="61C53B4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701" w:type="dxa"/>
            <w:vAlign w:val="center"/>
          </w:tcPr>
          <w:p w14:paraId="6680B0A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资金来源及落实情况</w:t>
            </w:r>
          </w:p>
        </w:tc>
        <w:tc>
          <w:tcPr>
            <w:tcW w:w="6782" w:type="dxa"/>
            <w:vAlign w:val="center"/>
          </w:tcPr>
          <w:p w14:paraId="72058234">
            <w:pPr>
              <w:pageBreakBefore w:val="0"/>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财政资金</w:t>
            </w:r>
            <w:r>
              <w:rPr>
                <w:rFonts w:hint="eastAsia" w:ascii="宋体" w:hAnsi="宋体" w:eastAsia="宋体" w:cs="宋体"/>
                <w:sz w:val="21"/>
                <w:szCs w:val="21"/>
                <w:highlight w:val="none"/>
                <w:lang w:eastAsia="zh-CN"/>
              </w:rPr>
              <w:t>，已落实</w:t>
            </w:r>
          </w:p>
        </w:tc>
      </w:tr>
      <w:tr w14:paraId="6616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101" w:type="dxa"/>
            <w:vAlign w:val="center"/>
          </w:tcPr>
          <w:p w14:paraId="1CE4FD47">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w:t>
            </w:r>
          </w:p>
        </w:tc>
        <w:tc>
          <w:tcPr>
            <w:tcW w:w="1701" w:type="dxa"/>
            <w:vAlign w:val="center"/>
          </w:tcPr>
          <w:p w14:paraId="17D55A1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建设</w:t>
            </w:r>
            <w:r>
              <w:rPr>
                <w:rFonts w:hint="eastAsia" w:ascii="宋体" w:hAnsi="宋体" w:eastAsia="宋体" w:cs="宋体"/>
                <w:sz w:val="21"/>
                <w:szCs w:val="21"/>
                <w:highlight w:val="none"/>
              </w:rPr>
              <w:t>地点</w:t>
            </w:r>
          </w:p>
        </w:tc>
        <w:tc>
          <w:tcPr>
            <w:tcW w:w="6782" w:type="dxa"/>
            <w:vAlign w:val="center"/>
          </w:tcPr>
          <w:p w14:paraId="6EEF1C1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三门峡市湖滨区</w:t>
            </w:r>
          </w:p>
        </w:tc>
      </w:tr>
      <w:tr w14:paraId="094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01" w:type="dxa"/>
            <w:vAlign w:val="center"/>
          </w:tcPr>
          <w:p w14:paraId="0E447B0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w:t>
            </w:r>
          </w:p>
        </w:tc>
        <w:tc>
          <w:tcPr>
            <w:tcW w:w="1701" w:type="dxa"/>
            <w:vAlign w:val="center"/>
          </w:tcPr>
          <w:p w14:paraId="74318812">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项目概况</w:t>
            </w:r>
          </w:p>
        </w:tc>
        <w:tc>
          <w:tcPr>
            <w:tcW w:w="6782" w:type="dxa"/>
            <w:vAlign w:val="center"/>
          </w:tcPr>
          <w:p w14:paraId="0EA5356B">
            <w:pPr>
              <w:pageBreakBefore w:val="0"/>
              <w:kinsoku/>
              <w:overflowPunct/>
              <w:topLinePunct w:val="0"/>
              <w:autoSpaceDE/>
              <w:autoSpaceDN/>
              <w:bidi w:val="0"/>
              <w:adjustRightInd/>
              <w:snapToGrid/>
              <w:spacing w:line="420" w:lineRule="exact"/>
              <w:textAlignment w:val="auto"/>
              <w:rPr>
                <w:rFonts w:hint="eastAsia" w:ascii="宋体" w:hAnsi="宋体" w:eastAsia="宋体" w:cs="宋体"/>
                <w:color w:val="FF0000"/>
                <w:sz w:val="21"/>
                <w:szCs w:val="21"/>
                <w:highlight w:val="none"/>
              </w:rPr>
            </w:pPr>
            <w:r>
              <w:rPr>
                <w:rFonts w:hint="eastAsia" w:ascii="宋体" w:hAnsi="宋体" w:eastAsia="宋体" w:cs="宋体"/>
                <w:sz w:val="21"/>
                <w:szCs w:val="21"/>
                <w:highlight w:val="none"/>
              </w:rPr>
              <w:t>本项目主要进行湖滨区车站街道东区域排水防涝设施建设改造，主要包括改造DN管道、新修雨水管网及地面恢复、新建管渠、新修检查井、新建雨水篦子及雨水口、购置小型泵车、改造排涝沟渠、加挡水板、新安装雨量计等改造内容。</w:t>
            </w:r>
          </w:p>
        </w:tc>
      </w:tr>
      <w:tr w14:paraId="7C07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101" w:type="dxa"/>
            <w:vAlign w:val="center"/>
          </w:tcPr>
          <w:p w14:paraId="022857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w:t>
            </w:r>
          </w:p>
        </w:tc>
        <w:tc>
          <w:tcPr>
            <w:tcW w:w="1701" w:type="dxa"/>
            <w:vAlign w:val="center"/>
          </w:tcPr>
          <w:p w14:paraId="60A407C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范围</w:t>
            </w:r>
          </w:p>
        </w:tc>
        <w:tc>
          <w:tcPr>
            <w:tcW w:w="6782" w:type="dxa"/>
            <w:vAlign w:val="center"/>
          </w:tcPr>
          <w:p w14:paraId="0FCB0EE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总投资范围内的工程施工阶段及缺陷责任期（24个月）阶段监理。</w:t>
            </w:r>
          </w:p>
        </w:tc>
      </w:tr>
      <w:tr w14:paraId="56BD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4233499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1.9</w:t>
            </w:r>
          </w:p>
        </w:tc>
        <w:tc>
          <w:tcPr>
            <w:tcW w:w="1701" w:type="dxa"/>
            <w:vAlign w:val="center"/>
          </w:tcPr>
          <w:p w14:paraId="449A9EE3">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质量控制目标</w:t>
            </w:r>
          </w:p>
        </w:tc>
        <w:tc>
          <w:tcPr>
            <w:tcW w:w="6782" w:type="dxa"/>
            <w:vAlign w:val="center"/>
          </w:tcPr>
          <w:p w14:paraId="6F13199F">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达到现行国家及地方现行工程施工质量验收规范合格标准</w:t>
            </w:r>
            <w:r>
              <w:rPr>
                <w:rFonts w:hint="eastAsia" w:ascii="宋体" w:hAnsi="宋体" w:eastAsia="宋体" w:cs="宋体"/>
                <w:sz w:val="21"/>
                <w:szCs w:val="21"/>
                <w:highlight w:val="none"/>
                <w:lang w:eastAsia="zh-CN"/>
              </w:rPr>
              <w:t>。</w:t>
            </w:r>
          </w:p>
        </w:tc>
      </w:tr>
      <w:tr w14:paraId="5916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74CAB07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w:t>
            </w:r>
          </w:p>
        </w:tc>
        <w:tc>
          <w:tcPr>
            <w:tcW w:w="1701" w:type="dxa"/>
            <w:vAlign w:val="center"/>
          </w:tcPr>
          <w:p w14:paraId="7C01F1BC">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安全控制目标</w:t>
            </w:r>
          </w:p>
        </w:tc>
        <w:tc>
          <w:tcPr>
            <w:tcW w:w="6782" w:type="dxa"/>
            <w:vAlign w:val="center"/>
          </w:tcPr>
          <w:p w14:paraId="519D26DB">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无安全事故</w:t>
            </w:r>
          </w:p>
        </w:tc>
      </w:tr>
      <w:tr w14:paraId="34A5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27EE90E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w:t>
            </w:r>
          </w:p>
        </w:tc>
        <w:tc>
          <w:tcPr>
            <w:tcW w:w="1701" w:type="dxa"/>
            <w:vAlign w:val="center"/>
          </w:tcPr>
          <w:p w14:paraId="155E1411">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监理期限</w:t>
            </w:r>
          </w:p>
        </w:tc>
        <w:tc>
          <w:tcPr>
            <w:tcW w:w="6782" w:type="dxa"/>
            <w:vAlign w:val="center"/>
          </w:tcPr>
          <w:p w14:paraId="38B2A05A">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同施工工期及保修阶段</w:t>
            </w:r>
          </w:p>
        </w:tc>
      </w:tr>
      <w:tr w14:paraId="1A03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101" w:type="dxa"/>
            <w:vAlign w:val="center"/>
          </w:tcPr>
          <w:p w14:paraId="04DB7BC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w:t>
            </w:r>
          </w:p>
        </w:tc>
        <w:tc>
          <w:tcPr>
            <w:tcW w:w="1701" w:type="dxa"/>
            <w:vAlign w:val="center"/>
          </w:tcPr>
          <w:p w14:paraId="0924EA58">
            <w:pPr>
              <w:keepLines/>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标段划分</w:t>
            </w:r>
          </w:p>
        </w:tc>
        <w:tc>
          <w:tcPr>
            <w:tcW w:w="6782" w:type="dxa"/>
            <w:vAlign w:val="center"/>
          </w:tcPr>
          <w:p w14:paraId="08A2AF2F">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本项目共划分两个标段。</w:t>
            </w:r>
          </w:p>
          <w:p w14:paraId="3BB4F967">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一标段：</w:t>
            </w:r>
            <w:r>
              <w:rPr>
                <w:rFonts w:hint="eastAsia" w:ascii="宋体" w:hAnsi="宋体" w:eastAsia="宋体" w:cs="宋体"/>
                <w:sz w:val="21"/>
                <w:szCs w:val="21"/>
                <w:highlight w:val="none"/>
              </w:rPr>
              <w:t>石油公司、黄河路33号楼、黄河路32号楼、车站西15号楼，车站西9号楼、工务段小区、黄河路31号楼、矿建34号楼，铁路13号楼、金龙院、道北18号楼、供电家属院、信用社家属院，燃料公司、燃料公司西侧院、天河小区、陕县烟草局后平房、兰香拐角楼（东风市场7号楼）、市河务局南院。</w:t>
            </w:r>
          </w:p>
          <w:p w14:paraId="4C5BD508">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二标段：</w:t>
            </w:r>
            <w:r>
              <w:rPr>
                <w:rFonts w:hint="eastAsia" w:ascii="宋体" w:hAnsi="宋体" w:eastAsia="宋体" w:cs="宋体"/>
                <w:sz w:val="21"/>
                <w:szCs w:val="21"/>
                <w:highlight w:val="none"/>
              </w:rPr>
              <w:t>新朝阳28号楼、粮管所22号楼、粮管所23号楼、粮管所6号楼、粮管路铁路平房、棉麻公司家属院、饮食服务公司两排平房、蔬菜公司13号楼、陕县乡镇委家属院、县计划生育指导站院、陕县二轻局平房，市供销社前院、市供销社后院、物资局2号楼、市供销社48号楼、区供销社49号楼、陕县二轻局11#、20#，农行院，六局院小区东院、会兴科技楼、会兴乡政府。</w:t>
            </w:r>
          </w:p>
          <w:p w14:paraId="1C1ECC56">
            <w:pPr>
              <w:keepLines/>
              <w:pageBreakBefore w:val="0"/>
              <w:kinsoku/>
              <w:overflowPunct/>
              <w:topLinePunct w:val="0"/>
              <w:autoSpaceDE/>
              <w:autoSpaceDN/>
              <w:bidi w:val="0"/>
              <w:adjustRightInd/>
              <w:snapToGrid/>
              <w:spacing w:line="42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本次</w:t>
            </w:r>
            <w:r>
              <w:rPr>
                <w:rFonts w:hint="eastAsia" w:ascii="宋体" w:hAnsi="宋体" w:eastAsia="宋体" w:cs="宋体"/>
                <w:sz w:val="21"/>
                <w:szCs w:val="21"/>
                <w:highlight w:val="none"/>
                <w:lang w:eastAsia="zh-CN"/>
              </w:rPr>
              <w:t>项目供应商</w:t>
            </w:r>
            <w:r>
              <w:rPr>
                <w:rFonts w:hint="eastAsia" w:ascii="宋体" w:hAnsi="宋体" w:eastAsia="宋体" w:cs="宋体"/>
                <w:sz w:val="21"/>
                <w:szCs w:val="21"/>
                <w:highlight w:val="none"/>
              </w:rPr>
              <w:t>可以投报多个标段，但最多只能中一个标段，取前弃后，以中标先后顺序为准。</w:t>
            </w:r>
          </w:p>
        </w:tc>
      </w:tr>
      <w:tr w14:paraId="5AC8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101" w:type="dxa"/>
            <w:vAlign w:val="center"/>
          </w:tcPr>
          <w:p w14:paraId="3788842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3</w:t>
            </w:r>
          </w:p>
        </w:tc>
        <w:tc>
          <w:tcPr>
            <w:tcW w:w="1701" w:type="dxa"/>
            <w:vAlign w:val="center"/>
          </w:tcPr>
          <w:p w14:paraId="0B439C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供应商资格要求</w:t>
            </w:r>
          </w:p>
        </w:tc>
        <w:tc>
          <w:tcPr>
            <w:tcW w:w="6782" w:type="dxa"/>
            <w:vAlign w:val="center"/>
          </w:tcPr>
          <w:p w14:paraId="248699D6">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详见竞争性磋商公告“二、申请人资格要求”的内容</w:t>
            </w:r>
          </w:p>
        </w:tc>
      </w:tr>
      <w:tr w14:paraId="489C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01" w:type="dxa"/>
            <w:vAlign w:val="center"/>
          </w:tcPr>
          <w:p w14:paraId="53C9A18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4</w:t>
            </w:r>
          </w:p>
        </w:tc>
        <w:tc>
          <w:tcPr>
            <w:tcW w:w="1701" w:type="dxa"/>
            <w:vAlign w:val="center"/>
          </w:tcPr>
          <w:p w14:paraId="7947695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供应商提出问题的截止时间</w:t>
            </w:r>
          </w:p>
        </w:tc>
        <w:tc>
          <w:tcPr>
            <w:tcW w:w="6782" w:type="dxa"/>
            <w:vAlign w:val="center"/>
          </w:tcPr>
          <w:p w14:paraId="43A268D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递交响应文件截止之日5日前</w:t>
            </w:r>
          </w:p>
        </w:tc>
      </w:tr>
      <w:tr w14:paraId="0BA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101" w:type="dxa"/>
            <w:vAlign w:val="center"/>
          </w:tcPr>
          <w:p w14:paraId="39276BEA">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5</w:t>
            </w:r>
          </w:p>
        </w:tc>
        <w:tc>
          <w:tcPr>
            <w:tcW w:w="1701" w:type="dxa"/>
            <w:vAlign w:val="center"/>
          </w:tcPr>
          <w:p w14:paraId="63DF428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kern w:val="0"/>
                <w:sz w:val="21"/>
                <w:szCs w:val="21"/>
                <w:highlight w:val="none"/>
              </w:rPr>
              <w:t>采购人或采购代理机构对竞争性磋商文件的澄清、修改的截止时间</w:t>
            </w:r>
          </w:p>
        </w:tc>
        <w:tc>
          <w:tcPr>
            <w:tcW w:w="6782" w:type="dxa"/>
            <w:vAlign w:val="center"/>
          </w:tcPr>
          <w:p w14:paraId="07095247">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递交响应文件截止之日5日前</w:t>
            </w:r>
          </w:p>
        </w:tc>
      </w:tr>
      <w:tr w14:paraId="666B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01" w:type="dxa"/>
            <w:vAlign w:val="center"/>
          </w:tcPr>
          <w:p w14:paraId="7DE4566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6</w:t>
            </w:r>
          </w:p>
        </w:tc>
        <w:tc>
          <w:tcPr>
            <w:tcW w:w="1701" w:type="dxa"/>
            <w:vAlign w:val="center"/>
          </w:tcPr>
          <w:p w14:paraId="3BD44128">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响应文件递交截止时间及地点</w:t>
            </w:r>
          </w:p>
        </w:tc>
        <w:tc>
          <w:tcPr>
            <w:tcW w:w="6782" w:type="dxa"/>
            <w:vAlign w:val="center"/>
          </w:tcPr>
          <w:p w14:paraId="48849779">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同</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val="en-US"/>
              </w:rPr>
              <w:t>公告告知的时间及地点。</w:t>
            </w:r>
          </w:p>
          <w:p w14:paraId="1FFC2094">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文件（加密版）递交地点：在</w:t>
            </w:r>
            <w:r>
              <w:rPr>
                <w:rFonts w:hint="eastAsia" w:ascii="宋体" w:hAnsi="宋体" w:eastAsia="宋体" w:cs="宋体"/>
                <w:color w:val="auto"/>
                <w:sz w:val="21"/>
                <w:szCs w:val="21"/>
                <w:highlight w:val="none"/>
                <w:lang w:eastAsia="zh-CN"/>
              </w:rPr>
              <w:t>响应文件递交截止时间</w:t>
            </w:r>
            <w:r>
              <w:rPr>
                <w:rFonts w:hint="eastAsia" w:ascii="宋体" w:hAnsi="宋体" w:eastAsia="宋体" w:cs="宋体"/>
                <w:color w:val="auto"/>
                <w:sz w:val="21"/>
                <w:szCs w:val="21"/>
                <w:highlight w:val="none"/>
              </w:rPr>
              <w:t>前通过全国公共资源交易平台（河南省·三门峡市）系统中在线完成上传加密的电子</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767B192E">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提醒：</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应考虑投标数据传输耗时以及意外情况的影响，适当提前上传。</w:t>
            </w:r>
          </w:p>
        </w:tc>
      </w:tr>
      <w:tr w14:paraId="12C5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01" w:type="dxa"/>
            <w:vAlign w:val="center"/>
          </w:tcPr>
          <w:p w14:paraId="4CF5B6F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7</w:t>
            </w:r>
          </w:p>
        </w:tc>
        <w:tc>
          <w:tcPr>
            <w:tcW w:w="1701" w:type="dxa"/>
            <w:vAlign w:val="center"/>
          </w:tcPr>
          <w:p w14:paraId="0978841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磋商有效期</w:t>
            </w:r>
          </w:p>
        </w:tc>
        <w:tc>
          <w:tcPr>
            <w:tcW w:w="6782" w:type="dxa"/>
            <w:vAlign w:val="center"/>
          </w:tcPr>
          <w:p w14:paraId="6F6F0FFC">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响应文件递交截止之日起60日历天</w:t>
            </w:r>
          </w:p>
        </w:tc>
      </w:tr>
      <w:tr w14:paraId="1C33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01" w:type="dxa"/>
            <w:vAlign w:val="center"/>
          </w:tcPr>
          <w:p w14:paraId="2EF2823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8</w:t>
            </w:r>
          </w:p>
        </w:tc>
        <w:tc>
          <w:tcPr>
            <w:tcW w:w="1701" w:type="dxa"/>
            <w:vAlign w:val="center"/>
          </w:tcPr>
          <w:p w14:paraId="28795517">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44"/>
                <w:sz w:val="21"/>
                <w:szCs w:val="21"/>
                <w:highlight w:val="none"/>
              </w:rPr>
              <w:t>磋商保证金</w:t>
            </w:r>
          </w:p>
        </w:tc>
        <w:tc>
          <w:tcPr>
            <w:tcW w:w="6782" w:type="dxa"/>
            <w:vAlign w:val="center"/>
          </w:tcPr>
          <w:p w14:paraId="51C20B2D">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按照《河南省财政厅关于优化政府采购营商环境有关问题的通知》（豫财购[2020]4号文）的要求本项目不再收取保证金。</w:t>
            </w:r>
          </w:p>
        </w:tc>
      </w:tr>
      <w:tr w14:paraId="78AF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01" w:type="dxa"/>
            <w:vAlign w:val="center"/>
          </w:tcPr>
          <w:p w14:paraId="041628C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9</w:t>
            </w:r>
          </w:p>
        </w:tc>
        <w:tc>
          <w:tcPr>
            <w:tcW w:w="1701" w:type="dxa"/>
            <w:vAlign w:val="center"/>
          </w:tcPr>
          <w:p w14:paraId="6126F18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签字或盖章</w:t>
            </w:r>
          </w:p>
          <w:p w14:paraId="2E0C60F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要求</w:t>
            </w:r>
          </w:p>
        </w:tc>
        <w:tc>
          <w:tcPr>
            <w:tcW w:w="6782" w:type="dxa"/>
            <w:vAlign w:val="center"/>
          </w:tcPr>
          <w:p w14:paraId="2BF1DCC5">
            <w:pPr>
              <w:pageBreakBefore w:val="0"/>
              <w:kinsoku/>
              <w:overflowPunct/>
              <w:topLinePunct w:val="0"/>
              <w:autoSpaceDE/>
              <w:autoSpaceDN/>
              <w:bidi w:val="0"/>
              <w:adjustRightInd/>
              <w:snapToGrid/>
              <w:spacing w:line="420" w:lineRule="exac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供应商在进行电子化响应文件签章时，竞争性磋商文件中要求供应商盖章的，以签盖单位</w:t>
            </w:r>
            <w:r>
              <w:rPr>
                <w:rFonts w:hint="eastAsia" w:ascii="宋体" w:hAnsi="宋体" w:eastAsia="宋体" w:cs="宋体"/>
                <w:color w:val="auto"/>
                <w:sz w:val="21"/>
                <w:szCs w:val="21"/>
                <w:highlight w:val="none"/>
                <w:lang w:eastAsia="zh-CN"/>
              </w:rPr>
              <w:t>公</w:t>
            </w:r>
            <w:r>
              <w:rPr>
                <w:rFonts w:hint="eastAsia" w:ascii="宋体" w:hAnsi="宋体" w:eastAsia="宋体" w:cs="宋体"/>
                <w:color w:val="auto"/>
                <w:sz w:val="21"/>
                <w:szCs w:val="21"/>
                <w:highlight w:val="none"/>
              </w:rPr>
              <w:t>章为准。</w:t>
            </w:r>
          </w:p>
        </w:tc>
      </w:tr>
      <w:tr w14:paraId="5871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101" w:type="dxa"/>
            <w:vAlign w:val="center"/>
          </w:tcPr>
          <w:p w14:paraId="7803A56A">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3.0</w:t>
            </w:r>
          </w:p>
        </w:tc>
        <w:tc>
          <w:tcPr>
            <w:tcW w:w="1701" w:type="dxa"/>
            <w:vAlign w:val="center"/>
          </w:tcPr>
          <w:p w14:paraId="3EEDD8C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eastAsia="zh-CN"/>
              </w:rPr>
              <w:t>响应文件开启时间</w:t>
            </w:r>
            <w:r>
              <w:rPr>
                <w:rFonts w:hint="eastAsia" w:ascii="宋体" w:hAnsi="宋体" w:eastAsia="宋体" w:cs="宋体"/>
                <w:color w:val="auto"/>
                <w:sz w:val="21"/>
                <w:szCs w:val="21"/>
                <w:highlight w:val="none"/>
              </w:rPr>
              <w:t>和地点</w:t>
            </w:r>
          </w:p>
        </w:tc>
        <w:tc>
          <w:tcPr>
            <w:tcW w:w="6782" w:type="dxa"/>
            <w:vAlign w:val="center"/>
          </w:tcPr>
          <w:p w14:paraId="4DC02CB4">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eastAsia="zh-CN"/>
              </w:rPr>
              <w:t>同响应文件提交截止时间</w:t>
            </w:r>
          </w:p>
          <w:p w14:paraId="0FB6AB9B">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color w:val="auto"/>
                <w:sz w:val="21"/>
                <w:szCs w:val="21"/>
                <w:highlight w:val="none"/>
              </w:rPr>
              <w:t>地点：三门峡市公共资源交易中心五楼开标四室</w:t>
            </w:r>
          </w:p>
        </w:tc>
      </w:tr>
      <w:tr w14:paraId="47B4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01" w:type="dxa"/>
            <w:vAlign w:val="center"/>
          </w:tcPr>
          <w:p w14:paraId="2481398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3.1</w:t>
            </w:r>
          </w:p>
        </w:tc>
        <w:tc>
          <w:tcPr>
            <w:tcW w:w="1701" w:type="dxa"/>
            <w:vAlign w:val="center"/>
          </w:tcPr>
          <w:p w14:paraId="54066443">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trike w:val="0"/>
                <w:dstrike w:val="0"/>
                <w:color w:val="auto"/>
                <w:sz w:val="21"/>
                <w:szCs w:val="21"/>
                <w:highlight w:val="none"/>
                <w:lang w:val="en-US" w:eastAsia="zh-CN"/>
              </w:rPr>
              <w:t>响应文件开启</w:t>
            </w:r>
            <w:r>
              <w:rPr>
                <w:rFonts w:hint="eastAsia" w:ascii="宋体" w:hAnsi="宋体" w:eastAsia="宋体" w:cs="宋体"/>
                <w:color w:val="auto"/>
                <w:sz w:val="21"/>
                <w:szCs w:val="21"/>
                <w:highlight w:val="none"/>
              </w:rPr>
              <w:t>顺序</w:t>
            </w:r>
          </w:p>
        </w:tc>
        <w:tc>
          <w:tcPr>
            <w:tcW w:w="6782" w:type="dxa"/>
            <w:shd w:val="clear" w:color="auto" w:fill="auto"/>
            <w:vAlign w:val="center"/>
          </w:tcPr>
          <w:p w14:paraId="400E54BD">
            <w:pPr>
              <w:keepNext/>
              <w:keepLines w:val="0"/>
              <w:pageBreakBefore w:val="0"/>
              <w:kinsoku/>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按电子文件上传的逆顺序开标。</w:t>
            </w:r>
          </w:p>
          <w:p w14:paraId="5DF8C8CC">
            <w:pPr>
              <w:keepNext/>
              <w:keepLines w:val="0"/>
              <w:pageBreakBefore w:val="0"/>
              <w:widowControl/>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本项目采用电子化、无纸化进行招标，开标当日，</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无需到开标现场参加开标会议，</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应当在投标截止时间前，登陆不见面开标大厅选择登陆三门峡市公共资源电子招投标系统进行登陆（网址为http://120.194.249.36:10094/BidOpening/bidopeninghallaction/hall/login）,在线准时参加开标活动并进行投标文件解密等。</w:t>
            </w:r>
          </w:p>
          <w:p w14:paraId="116BE9EE">
            <w:pPr>
              <w:keepNext/>
              <w:keepLines w:val="0"/>
              <w:pageBreakBefore w:val="0"/>
              <w:widowControl/>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每位</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的解密时间为开标时间起30分钟内完成。因</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原因未能解密、解密失败或解密超时的将被拒绝。</w:t>
            </w:r>
          </w:p>
        </w:tc>
      </w:tr>
      <w:tr w14:paraId="4F09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01" w:type="dxa"/>
            <w:vAlign w:val="center"/>
          </w:tcPr>
          <w:p w14:paraId="6BEF813C">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w:t>
            </w:r>
          </w:p>
        </w:tc>
        <w:tc>
          <w:tcPr>
            <w:tcW w:w="1701" w:type="dxa"/>
            <w:vAlign w:val="center"/>
          </w:tcPr>
          <w:p w14:paraId="5E3DC23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磋商小组的组建</w:t>
            </w:r>
          </w:p>
        </w:tc>
        <w:tc>
          <w:tcPr>
            <w:tcW w:w="6782" w:type="dxa"/>
            <w:vAlign w:val="center"/>
          </w:tcPr>
          <w:p w14:paraId="024FEB7C">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磋商小组由采购人代表和评审专家共3人以上单数组成，其中采购人代表1人，其余评审专家2人从</w:t>
            </w:r>
            <w:r>
              <w:rPr>
                <w:rFonts w:hint="eastAsia" w:ascii="宋体" w:hAnsi="宋体" w:eastAsia="宋体" w:cs="宋体"/>
                <w:color w:val="auto"/>
                <w:sz w:val="21"/>
                <w:szCs w:val="21"/>
                <w:highlight w:val="none"/>
                <w:lang w:val="en-US" w:eastAsia="zh-CN"/>
              </w:rPr>
              <w:t>河南省政府采购评审专家库</w:t>
            </w:r>
            <w:r>
              <w:rPr>
                <w:rFonts w:hint="eastAsia" w:ascii="宋体" w:hAnsi="宋体" w:eastAsia="宋体" w:cs="宋体"/>
                <w:color w:val="auto"/>
                <w:sz w:val="21"/>
                <w:szCs w:val="21"/>
                <w:highlight w:val="none"/>
              </w:rPr>
              <w:t>中随机抽取（业主评委无评标劳务费用）。</w:t>
            </w:r>
          </w:p>
        </w:tc>
      </w:tr>
      <w:tr w14:paraId="12D7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101" w:type="dxa"/>
            <w:vAlign w:val="center"/>
          </w:tcPr>
          <w:p w14:paraId="3DCECF7D">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w:t>
            </w:r>
          </w:p>
        </w:tc>
        <w:tc>
          <w:tcPr>
            <w:tcW w:w="1701" w:type="dxa"/>
            <w:vAlign w:val="center"/>
          </w:tcPr>
          <w:p w14:paraId="4AADAA4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是否授权磋商小组确定</w:t>
            </w:r>
            <w:r>
              <w:rPr>
                <w:rFonts w:hint="eastAsia" w:ascii="宋体" w:hAnsi="宋体" w:eastAsia="宋体" w:cs="宋体"/>
                <w:color w:val="auto"/>
                <w:sz w:val="21"/>
                <w:szCs w:val="21"/>
                <w:highlight w:val="none"/>
                <w:lang w:eastAsia="zh-CN"/>
              </w:rPr>
              <w:t>成交供应商</w:t>
            </w:r>
          </w:p>
        </w:tc>
        <w:tc>
          <w:tcPr>
            <w:tcW w:w="6782" w:type="dxa"/>
            <w:vAlign w:val="center"/>
          </w:tcPr>
          <w:p w14:paraId="0369F48F">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否，按顺序推荐的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候选</w:t>
            </w:r>
            <w:r>
              <w:rPr>
                <w:rFonts w:hint="eastAsia" w:ascii="宋体" w:hAnsi="宋体" w:eastAsia="宋体" w:cs="宋体"/>
                <w:color w:val="auto"/>
                <w:sz w:val="21"/>
                <w:szCs w:val="21"/>
                <w:highlight w:val="none"/>
                <w:lang w:eastAsia="zh-CN"/>
              </w:rPr>
              <w:t>供应商人</w:t>
            </w:r>
            <w:r>
              <w:rPr>
                <w:rFonts w:hint="eastAsia" w:ascii="宋体" w:hAnsi="宋体" w:eastAsia="宋体" w:cs="宋体"/>
                <w:color w:val="auto"/>
                <w:sz w:val="21"/>
                <w:szCs w:val="21"/>
                <w:highlight w:val="none"/>
              </w:rPr>
              <w:t>数：</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名</w:t>
            </w:r>
          </w:p>
        </w:tc>
      </w:tr>
      <w:tr w14:paraId="0F53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101" w:type="dxa"/>
            <w:vAlign w:val="center"/>
          </w:tcPr>
          <w:p w14:paraId="797EA69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3.4</w:t>
            </w:r>
          </w:p>
        </w:tc>
        <w:tc>
          <w:tcPr>
            <w:tcW w:w="1701" w:type="dxa"/>
            <w:vAlign w:val="center"/>
          </w:tcPr>
          <w:p w14:paraId="0ACB1E99">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付款方式</w:t>
            </w:r>
          </w:p>
        </w:tc>
        <w:tc>
          <w:tcPr>
            <w:tcW w:w="6782" w:type="dxa"/>
            <w:vAlign w:val="center"/>
          </w:tcPr>
          <w:p w14:paraId="0048EA03">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成交后甲乙双方协商确定。</w:t>
            </w:r>
          </w:p>
        </w:tc>
      </w:tr>
      <w:tr w14:paraId="2CBB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1965981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3.5</w:t>
            </w:r>
          </w:p>
        </w:tc>
        <w:tc>
          <w:tcPr>
            <w:tcW w:w="1701" w:type="dxa"/>
            <w:vAlign w:val="center"/>
          </w:tcPr>
          <w:p w14:paraId="69882F2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控制价</w:t>
            </w:r>
          </w:p>
        </w:tc>
        <w:tc>
          <w:tcPr>
            <w:tcW w:w="6782" w:type="dxa"/>
            <w:vAlign w:val="center"/>
          </w:tcPr>
          <w:p w14:paraId="71471629">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大写：施工中标价的百分之壹点伍</w:t>
            </w:r>
          </w:p>
          <w:p w14:paraId="417243E9">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小写：施工中标价的</w:t>
            </w:r>
            <w:r>
              <w:rPr>
                <w:rFonts w:hint="eastAsia" w:ascii="宋体" w:hAnsi="宋体" w:eastAsia="宋体" w:cs="宋体"/>
                <w:sz w:val="21"/>
                <w:szCs w:val="21"/>
                <w:highlight w:val="none"/>
                <w:lang w:val="en-US" w:eastAsia="zh-CN"/>
              </w:rPr>
              <w:t>1.5%</w:t>
            </w:r>
          </w:p>
          <w:p w14:paraId="05B72E27">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控制价</w:t>
            </w:r>
            <w:r>
              <w:rPr>
                <w:rFonts w:hint="eastAsia" w:ascii="宋体" w:hAnsi="宋体" w:eastAsia="宋体" w:cs="宋体"/>
                <w:sz w:val="21"/>
                <w:szCs w:val="21"/>
                <w:highlight w:val="none"/>
              </w:rPr>
              <w:t>是本项目的最高限价，大于</w:t>
            </w:r>
            <w:r>
              <w:rPr>
                <w:rFonts w:hint="eastAsia" w:ascii="宋体" w:hAnsi="宋体" w:eastAsia="宋体" w:cs="宋体"/>
                <w:sz w:val="21"/>
                <w:szCs w:val="21"/>
                <w:highlight w:val="none"/>
                <w:lang w:eastAsia="zh-CN"/>
              </w:rPr>
              <w:t>控制价（</w:t>
            </w:r>
            <w:r>
              <w:rPr>
                <w:rFonts w:hint="eastAsia" w:ascii="宋体" w:hAnsi="宋体" w:eastAsia="宋体" w:cs="宋体"/>
                <w:color w:val="000000"/>
                <w:sz w:val="21"/>
                <w:szCs w:val="21"/>
                <w:highlight w:val="none"/>
              </w:rPr>
              <w:t>不含等于“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的报价视为无效报价，其响应将被否决。有效报价是指不超过</w:t>
            </w:r>
            <w:r>
              <w:rPr>
                <w:rFonts w:hint="eastAsia" w:ascii="宋体" w:hAnsi="宋体" w:eastAsia="宋体" w:cs="宋体"/>
                <w:sz w:val="21"/>
                <w:szCs w:val="21"/>
                <w:highlight w:val="none"/>
                <w:lang w:eastAsia="zh-CN"/>
              </w:rPr>
              <w:t>控制价（</w:t>
            </w:r>
            <w:r>
              <w:rPr>
                <w:rFonts w:hint="eastAsia" w:ascii="宋体" w:hAnsi="宋体" w:eastAsia="宋体" w:cs="宋体"/>
                <w:color w:val="000000"/>
                <w:sz w:val="21"/>
                <w:szCs w:val="21"/>
                <w:highlight w:val="none"/>
              </w:rPr>
              <w:t>不含等于“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的报价。</w:t>
            </w:r>
          </w:p>
        </w:tc>
      </w:tr>
      <w:tr w14:paraId="3A8A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AFD4A7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3.6</w:t>
            </w:r>
          </w:p>
        </w:tc>
        <w:tc>
          <w:tcPr>
            <w:tcW w:w="1701" w:type="dxa"/>
            <w:vAlign w:val="center"/>
          </w:tcPr>
          <w:p w14:paraId="221D7DB6">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其他</w:t>
            </w:r>
          </w:p>
        </w:tc>
        <w:tc>
          <w:tcPr>
            <w:tcW w:w="6782" w:type="dxa"/>
            <w:vAlign w:val="center"/>
          </w:tcPr>
          <w:p w14:paraId="606C6C7B">
            <w:pPr>
              <w:pageBreakBefore w:val="0"/>
              <w:widowControl/>
              <w:kinsoku/>
              <w:overflowPunct/>
              <w:topLinePunct w:val="0"/>
              <w:autoSpaceDE/>
              <w:autoSpaceDN/>
              <w:bidi w:val="0"/>
              <w:adjustRightInd/>
              <w:snapToGrid/>
              <w:spacing w:line="420" w:lineRule="exact"/>
              <w:jc w:val="left"/>
              <w:textAlignment w:val="auto"/>
              <w:rPr>
                <w:rFonts w:hint="eastAsia" w:ascii="宋体" w:hAnsi="宋体" w:eastAsia="宋体" w:cs="宋体"/>
                <w:b/>
                <w:sz w:val="21"/>
                <w:szCs w:val="21"/>
                <w:highlight w:val="none"/>
              </w:rPr>
            </w:pPr>
            <w:r>
              <w:rPr>
                <w:rFonts w:hint="eastAsia" w:ascii="宋体" w:hAnsi="宋体" w:eastAsia="宋体" w:cs="宋体"/>
                <w:sz w:val="21"/>
                <w:szCs w:val="21"/>
                <w:highlight w:val="none"/>
              </w:rPr>
              <w:t>我单位（采购人）严格按三财购【2021】9号文要求的时限发布</w:t>
            </w:r>
            <w:r>
              <w:rPr>
                <w:rFonts w:hint="eastAsia" w:ascii="宋体" w:hAnsi="宋体" w:eastAsia="宋体" w:cs="宋体"/>
                <w:sz w:val="21"/>
                <w:szCs w:val="21"/>
                <w:highlight w:val="none"/>
                <w:lang w:eastAsia="zh-CN"/>
              </w:rPr>
              <w:t>成交</w:t>
            </w:r>
            <w:r>
              <w:rPr>
                <w:rFonts w:hint="eastAsia" w:ascii="宋体" w:hAnsi="宋体" w:eastAsia="宋体" w:cs="宋体"/>
                <w:sz w:val="21"/>
                <w:szCs w:val="21"/>
                <w:highlight w:val="none"/>
              </w:rPr>
              <w:t>结果公告，发出中标通知书，签订采购合同，上传采购合同。</w:t>
            </w:r>
          </w:p>
        </w:tc>
      </w:tr>
      <w:tr w14:paraId="7632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36EC7C8">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7</w:t>
            </w:r>
          </w:p>
        </w:tc>
        <w:tc>
          <w:tcPr>
            <w:tcW w:w="1701" w:type="dxa"/>
            <w:vAlign w:val="center"/>
          </w:tcPr>
          <w:p w14:paraId="7BF34355">
            <w:pPr>
              <w:pageBreakBefore w:val="0"/>
              <w:widowControl/>
              <w:kinsoku/>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电子化交易</w:t>
            </w:r>
          </w:p>
          <w:p w14:paraId="3E6B018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注意事项</w:t>
            </w:r>
          </w:p>
        </w:tc>
        <w:tc>
          <w:tcPr>
            <w:tcW w:w="6782" w:type="dxa"/>
            <w:shd w:val="clear" w:color="auto" w:fill="auto"/>
            <w:vAlign w:val="center"/>
          </w:tcPr>
          <w:p w14:paraId="401570F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具体要求：本项目为电子化、无纸化交易项目，</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是</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、供应商（以下简称“</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”）通过中心</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制作系统制作，并经过签章和加密后生成的电子版</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w:t>
            </w:r>
          </w:p>
          <w:p w14:paraId="3BB14291">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具体制作文件请点击https://download.bqpoint.com/download/downloaddetail.html?SourceFrom=Ztb&amp;ZtbSoftXiaQuCode=1506&amp;ZtbSoftType=tballinclusive进行下载。</w:t>
            </w:r>
          </w:p>
          <w:p w14:paraId="0710A60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温馨提示：本项目为电子化、无纸化交易项目，为保证您能投标成功，请需仔细阅读以下条款。</w:t>
            </w:r>
          </w:p>
          <w:p w14:paraId="5AD9138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一、电子化投标</w:t>
            </w:r>
          </w:p>
          <w:p w14:paraId="270375D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（一）网上投标保证金的缴纳</w:t>
            </w:r>
            <w:r>
              <w:rPr>
                <w:rFonts w:hint="eastAsia" w:ascii="宋体" w:hAnsi="宋体" w:eastAsia="宋体" w:cs="宋体"/>
                <w:color w:val="auto"/>
                <w:sz w:val="21"/>
                <w:szCs w:val="21"/>
                <w:highlight w:val="none"/>
                <w:lang w:eastAsia="zh-CN"/>
              </w:rPr>
              <w:t>（如有）</w:t>
            </w:r>
          </w:p>
          <w:p w14:paraId="09B03AF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1、递交形式: </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的投标保证金必须通过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的基本账户转账的形式缴纳（账户必须是已加入三门峡市公共资源交易</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的账户）。</w:t>
            </w:r>
          </w:p>
          <w:p w14:paraId="284294C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在成功缴纳后，可以将银行回单制作在</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中，作为缴纳保证金的依据。</w:t>
            </w:r>
          </w:p>
          <w:p w14:paraId="39629B99">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应仔细阅读操作手册并充分考虑异地跨行转账到账时间等因素，因</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操作不当或银行到账时间等问题造成开标时间未到达指定账户影响投标的，由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自行承担后果。</w:t>
            </w:r>
          </w:p>
          <w:p w14:paraId="3A1B4760">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未中标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的投标保证金在项目结束后，将通过中心交易平台退还。</w:t>
            </w:r>
          </w:p>
          <w:p w14:paraId="71FD815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的签章</w:t>
            </w:r>
          </w:p>
          <w:p w14:paraId="62FD0B6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在生成电子化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后，应对电子化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进行签章，未进行签章的视为无效投标。</w:t>
            </w:r>
          </w:p>
          <w:p w14:paraId="494EE18D">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盖章的，以签</w:t>
            </w:r>
            <w:r>
              <w:rPr>
                <w:rFonts w:hint="eastAsia" w:ascii="宋体" w:hAnsi="宋体" w:eastAsia="宋体" w:cs="宋体"/>
                <w:color w:val="auto"/>
                <w:sz w:val="21"/>
                <w:szCs w:val="21"/>
                <w:highlight w:val="none"/>
                <w:lang w:eastAsia="zh-CN"/>
              </w:rPr>
              <w:t>盖单位公章</w:t>
            </w:r>
            <w:r>
              <w:rPr>
                <w:rFonts w:hint="eastAsia" w:ascii="宋体" w:hAnsi="宋体" w:eastAsia="宋体" w:cs="宋体"/>
                <w:color w:val="auto"/>
                <w:sz w:val="21"/>
                <w:szCs w:val="21"/>
                <w:highlight w:val="none"/>
              </w:rPr>
              <w:t>为准；要求法定代表人或授权代理人签章的，以签盖法定代表人签章为准。</w:t>
            </w:r>
          </w:p>
          <w:p w14:paraId="78E673B5">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的格式及上传投标</w:t>
            </w:r>
          </w:p>
          <w:p w14:paraId="045E0FC8">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所上传的电子化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，应是通过中心</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制作系统制作的（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制作工具下载地址：https://download.bqpoint.com/download/downloaddetail.html?SourceFrom=Ztb&amp;ZtbSoftXiaQuCode=1506&amp;ZtbSoftType=tballinclusive），经过签章和加密后生成的电子版</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。其中包含用于</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上传的主文件（后缀为.smxtf）和用于应急补救的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备份文件（后缀为.nsmxtf）。</w:t>
            </w:r>
          </w:p>
          <w:p w14:paraId="4BC644E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应在投标截止时间前成功上传至三门峡市公共资源电子化交易系统。至投标截止时间止，仍未上传成功的电子化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将不予接收。</w:t>
            </w:r>
          </w:p>
          <w:p w14:paraId="4650A136">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注：如按照电子化投标操作教材制作完成的电子化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无法上传的，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应在投标截止时间前尽早的联系中心技术人员，以便有充分的时间进行处理。</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应充分考虑到处理技术问题和上传数据等工作所需的时间问题，</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未在投标截止时间前成功上传的，其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不予接收。</w:t>
            </w:r>
          </w:p>
          <w:p w14:paraId="7381BF3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（四）电子化项目开标、解密、唱标、评标</w:t>
            </w:r>
          </w:p>
          <w:p w14:paraId="0148EBD9">
            <w:pPr>
              <w:keepNext/>
              <w:keepLines w:val="0"/>
              <w:pageBreakBefore w:val="0"/>
              <w:widowControl w:val="0"/>
              <w:kinsoku/>
              <w:wordWrap w:val="0"/>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1、本项目采用电子化、无纸化进行招标，开标当日，</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无需到开标现场参加开标会议，</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解密等</w:t>
            </w:r>
            <w:r>
              <w:rPr>
                <w:rFonts w:hint="eastAsia" w:ascii="宋体" w:hAnsi="宋体" w:eastAsia="宋体" w:cs="宋体"/>
                <w:color w:val="auto"/>
                <w:sz w:val="21"/>
                <w:szCs w:val="21"/>
                <w:highlight w:val="none"/>
                <w:lang w:eastAsia="zh-CN"/>
              </w:rPr>
              <w:t>。</w:t>
            </w:r>
          </w:p>
          <w:p w14:paraId="064F67E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采用一次加密方式。开标时，由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使用CA 证书，在规定时间内对其电子化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进行解密。每位</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的解密时间为开标时间起30 分钟内，如在规定时间内未完成解密的，其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不予开标、唱标。</w:t>
            </w:r>
          </w:p>
          <w:p w14:paraId="75710B4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解密异常的处理</w:t>
            </w:r>
          </w:p>
          <w:p w14:paraId="442837F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如出现</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无法解密等异常情况，</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应及时致电中介服务机构说明。</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异常，按以下步骤进行处理：</w:t>
            </w:r>
          </w:p>
          <w:p w14:paraId="0817F10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（1）首先由技术人员进行问题排查。</w:t>
            </w:r>
          </w:p>
          <w:p w14:paraId="2A424B7C">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（2）经技术人员排查后，是</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文件自身问题导致</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无法解密的，该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将不予接收、解密和唱标。开标会议继续进行。</w:t>
            </w:r>
          </w:p>
          <w:p w14:paraId="0902A6AF">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（3）经技术人员排查后，如果是电子化交易系统问题造成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无法解密的，将由技术人员对问题进行处理。如短时间内问题无法解决的，将由中介服务机构向监督部门申请，经监督部门同意后，暂停开标会议，待问题解决后继续开标。</w:t>
            </w:r>
          </w:p>
          <w:p w14:paraId="2941C26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4、待所有</w:t>
            </w:r>
            <w:r>
              <w:rPr>
                <w:rFonts w:hint="eastAsia" w:ascii="宋体" w:hAnsi="宋体" w:eastAsia="宋体" w:cs="宋体"/>
                <w:color w:val="auto"/>
                <w:sz w:val="21"/>
                <w:szCs w:val="21"/>
                <w:highlight w:val="none"/>
                <w:lang w:eastAsia="zh-CN"/>
              </w:rPr>
              <w:t>供应商响应文件</w:t>
            </w:r>
            <w:r>
              <w:rPr>
                <w:rFonts w:hint="eastAsia" w:ascii="宋体" w:hAnsi="宋体" w:eastAsia="宋体" w:cs="宋体"/>
                <w:color w:val="auto"/>
                <w:sz w:val="21"/>
                <w:szCs w:val="21"/>
                <w:highlight w:val="none"/>
              </w:rPr>
              <w:t>解密完成后，由中介服务机构操作，对所有已解密</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进行唱标。</w:t>
            </w:r>
          </w:p>
          <w:p w14:paraId="1AC8F3AD">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应保证在开标期间电话、电脑、网络能够正常工作，</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因停电、电脑病毒、网络堵塞等原因，未在规定的解密时间内对</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进行解密的，其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不予接收、唱标。</w:t>
            </w:r>
          </w:p>
          <w:p w14:paraId="3878382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可登录到交易系统中在开标解密栏中点击报价一览表查看自己的投标报价。如对自己的唱标内容有异议的，应在</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解密成功后10分钟内向中介服务机构电话质疑。中介服务机构应在监督人员的监督下进行免提通话接受</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的质疑并做好书面记录。</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未在规定时间内提出质疑的，视为认可唱标内容。</w:t>
            </w:r>
          </w:p>
          <w:p w14:paraId="5124D490">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6、评标时，</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对电子化</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有质疑的，将通过电子化交易系统对</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发起质疑，并在监督人员的监督下，用免提模式致电需要答复的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对质疑进行回复。</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的回复文件必须以经过</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和其法定代表人签章的PDF格式文件为准，并通过电子化交易系统提交至</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w:t>
            </w:r>
          </w:p>
          <w:p w14:paraId="77EB5AA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7、如</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对需要回复的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连续三次致电未接通的，视为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放弃回复，</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将自行对需要回复的内容进行认定。</w:t>
            </w:r>
          </w:p>
          <w:p w14:paraId="00B6CA32">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二、相关证书原件的提交</w:t>
            </w:r>
          </w:p>
          <w:p w14:paraId="255FB7C7">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本项目实行资格后审，</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提交资质、业绩、荣誉及单位人员等相关资料原件的，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需将扫描件制作到电子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对原件的核验工作按以下条款进行：</w:t>
            </w:r>
          </w:p>
          <w:p w14:paraId="20BFDDF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本项目需要提交的</w:t>
            </w:r>
            <w:r>
              <w:rPr>
                <w:rFonts w:hint="eastAsia" w:ascii="宋体" w:hAnsi="宋体" w:eastAsia="宋体" w:cs="宋体"/>
                <w:color w:val="auto"/>
                <w:sz w:val="21"/>
                <w:szCs w:val="21"/>
                <w:highlight w:val="none"/>
                <w:lang w:eastAsia="zh-CN"/>
              </w:rPr>
              <w:t>原件</w:t>
            </w:r>
            <w:r>
              <w:rPr>
                <w:rFonts w:hint="eastAsia" w:ascii="宋体" w:hAnsi="宋体" w:eastAsia="宋体" w:cs="宋体"/>
                <w:color w:val="auto"/>
                <w:sz w:val="21"/>
                <w:szCs w:val="21"/>
                <w:highlight w:val="none"/>
              </w:rPr>
              <w:t>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中成功上传的信息为准。开评标现场不接受</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所提交的任何原件。</w:t>
            </w:r>
          </w:p>
          <w:p w14:paraId="26088AB4">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需应仔细阅读操作手册，保证上传内容齐全，真实有效，扫描件清晰可辨。因</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上传原因导致应得分项而未得分或资格审查不合格等情况的，由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自行承担责任。</w:t>
            </w:r>
          </w:p>
          <w:p w14:paraId="5C2E94C1">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提示：本项目为电子化、无纸化交易项目，为保证您能投标成功，请需仔细阅读以上条款。</w:t>
            </w:r>
          </w:p>
          <w:p w14:paraId="7E8F1DD4">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根据优化营商环境的要求，评标时以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为准：</w:t>
            </w:r>
          </w:p>
          <w:p w14:paraId="4C700E38">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（1）资格评（预）审部分：资格评（预）以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为准，其上传资料真实性由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自行承担，同时，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应在开标前自行完善主体库信息。</w:t>
            </w:r>
          </w:p>
          <w:p w14:paraId="24686253">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（2）评标打分部分：评标打分部分按照100分制原则进行，涉及到资格审查、企业荣誉、人员业绩、企业业绩等计分部分时，以投标单位自行上传到</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中的各类相应内容为准。</w:t>
            </w:r>
          </w:p>
          <w:p w14:paraId="280B3E7B">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编制部分：在</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按照</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格式进行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编制，在</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编制时，应明确将投标单位企业基本情况、资质情况、人员情况、财务情况、业绩情况编入</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，便于进行资格审查及评标打分。</w:t>
            </w:r>
          </w:p>
          <w:p w14:paraId="2AE4FB46">
            <w:pPr>
              <w:keepNext/>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递交的资料和</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不论中标与否均不予退还。</w:t>
            </w:r>
          </w:p>
        </w:tc>
      </w:tr>
      <w:tr w14:paraId="1938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0CDCE1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3.8</w:t>
            </w:r>
          </w:p>
        </w:tc>
        <w:tc>
          <w:tcPr>
            <w:tcW w:w="1701" w:type="dxa"/>
            <w:vAlign w:val="center"/>
          </w:tcPr>
          <w:p w14:paraId="0F23770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答疑</w:t>
            </w:r>
          </w:p>
        </w:tc>
        <w:tc>
          <w:tcPr>
            <w:tcW w:w="6782" w:type="dxa"/>
            <w:shd w:val="clear" w:color="auto" w:fill="auto"/>
            <w:vAlign w:val="center"/>
          </w:tcPr>
          <w:p w14:paraId="44EBF032">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需要解答的疑问以书面形式加盖单位公章递交至采购人或采购代理机构，如在交易系统内提交疑问，供应商须电话联系采购代理公司。逾期提交的问题概不做回复。采购人代理机构将需要解答的内容以公告形式发至所有潜在供应商。</w:t>
            </w:r>
          </w:p>
        </w:tc>
      </w:tr>
      <w:tr w14:paraId="6DFE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94AE854">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3.9</w:t>
            </w:r>
          </w:p>
        </w:tc>
        <w:tc>
          <w:tcPr>
            <w:tcW w:w="1701" w:type="dxa"/>
            <w:vAlign w:val="center"/>
          </w:tcPr>
          <w:p w14:paraId="6D6439EE">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eastAsia="zh-CN" w:bidi="ar"/>
              </w:rPr>
              <w:t>成交结果公告</w:t>
            </w:r>
          </w:p>
        </w:tc>
        <w:tc>
          <w:tcPr>
            <w:tcW w:w="6782" w:type="dxa"/>
            <w:shd w:val="clear" w:color="auto" w:fill="auto"/>
            <w:vAlign w:val="center"/>
          </w:tcPr>
          <w:p w14:paraId="2835838A">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在</w:t>
            </w:r>
            <w:r>
              <w:rPr>
                <w:rFonts w:hint="eastAsia" w:ascii="宋体" w:hAnsi="宋体" w:eastAsia="宋体" w:cs="宋体"/>
                <w:color w:val="auto"/>
                <w:sz w:val="21"/>
                <w:szCs w:val="21"/>
                <w:highlight w:val="none"/>
                <w:lang w:eastAsia="zh-CN"/>
              </w:rPr>
              <w:t>《河南省政府采购网》、《中国招标投标公共服务平台》和《三门峡市公共资源交易中心网》等</w:t>
            </w:r>
            <w:r>
              <w:rPr>
                <w:rFonts w:hint="eastAsia" w:ascii="宋体" w:hAnsi="宋体" w:eastAsia="宋体" w:cs="宋体"/>
                <w:color w:val="auto"/>
                <w:sz w:val="21"/>
                <w:szCs w:val="21"/>
                <w:highlight w:val="none"/>
              </w:rPr>
              <w:t>网</w:t>
            </w:r>
            <w:r>
              <w:rPr>
                <w:rFonts w:hint="eastAsia" w:ascii="宋体" w:hAnsi="宋体" w:eastAsia="宋体" w:cs="宋体"/>
                <w:color w:val="auto"/>
                <w:sz w:val="21"/>
                <w:szCs w:val="21"/>
                <w:highlight w:val="none"/>
                <w:lang w:eastAsia="zh-CN"/>
              </w:rPr>
              <w:t>站</w:t>
            </w:r>
            <w:r>
              <w:rPr>
                <w:rFonts w:hint="eastAsia" w:ascii="宋体" w:hAnsi="宋体" w:eastAsia="宋体" w:cs="宋体"/>
                <w:color w:val="auto"/>
                <w:sz w:val="21"/>
                <w:szCs w:val="21"/>
                <w:highlight w:val="none"/>
              </w:rPr>
              <w:t>上发布</w:t>
            </w:r>
            <w:r>
              <w:rPr>
                <w:rFonts w:hint="eastAsia" w:ascii="宋体" w:hAnsi="宋体" w:eastAsia="宋体" w:cs="宋体"/>
                <w:color w:val="auto"/>
                <w:sz w:val="21"/>
                <w:szCs w:val="21"/>
                <w:highlight w:val="none"/>
                <w:lang w:eastAsia="zh-CN"/>
              </w:rPr>
              <w:t>。公示期限一个工作日。</w:t>
            </w:r>
          </w:p>
        </w:tc>
      </w:tr>
      <w:tr w14:paraId="1258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21AD7BF">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4.0</w:t>
            </w:r>
          </w:p>
        </w:tc>
        <w:tc>
          <w:tcPr>
            <w:tcW w:w="1701" w:type="dxa"/>
            <w:vAlign w:val="center"/>
          </w:tcPr>
          <w:p w14:paraId="5E5F93CA">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知识产权</w:t>
            </w:r>
          </w:p>
        </w:tc>
        <w:tc>
          <w:tcPr>
            <w:tcW w:w="6782" w:type="dxa"/>
            <w:shd w:val="clear" w:color="auto" w:fill="auto"/>
            <w:vAlign w:val="center"/>
          </w:tcPr>
          <w:p w14:paraId="1FA0F399">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各个组成部分的文件，未经</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书面同意，</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不得擅自复印和用于非本项目所需的其他目的。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全部或者部分使用未</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中的技术成果或技术方案时，需征得其书面同意，并不得擅自复印或提供给第三人。</w:t>
            </w:r>
          </w:p>
        </w:tc>
      </w:tr>
      <w:tr w14:paraId="1AA1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3BFC0895">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w:t>
            </w:r>
          </w:p>
        </w:tc>
        <w:tc>
          <w:tcPr>
            <w:tcW w:w="1701" w:type="dxa"/>
            <w:vAlign w:val="center"/>
          </w:tcPr>
          <w:p w14:paraId="460DF96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解释权</w:t>
            </w:r>
          </w:p>
        </w:tc>
        <w:tc>
          <w:tcPr>
            <w:tcW w:w="6782" w:type="dxa"/>
            <w:shd w:val="clear" w:color="auto" w:fill="auto"/>
            <w:vAlign w:val="top"/>
          </w:tcPr>
          <w:p w14:paraId="07DE7CB4">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的各个组成文件应互为解释，互为说明；如有不明确或不一致，构成合同文件组成内容的，以合同文件约定内容为准，且以专用合同条款约定的合同文件优先顺序解释；</w:t>
            </w:r>
          </w:p>
          <w:p w14:paraId="45FDBBB1">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中有特别规定外，仅适用于招标投标阶段的规定，按</w:t>
            </w:r>
            <w:r>
              <w:rPr>
                <w:rFonts w:hint="eastAsia" w:ascii="宋体" w:hAnsi="宋体" w:eastAsia="宋体" w:cs="宋体"/>
                <w:color w:val="auto"/>
                <w:sz w:val="21"/>
                <w:szCs w:val="21"/>
                <w:highlight w:val="none"/>
                <w:lang w:eastAsia="zh-CN"/>
              </w:rPr>
              <w:t>磋商公告</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须知、</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范围、评</w:t>
            </w:r>
            <w:r>
              <w:rPr>
                <w:rFonts w:hint="eastAsia" w:ascii="宋体" w:hAnsi="宋体" w:eastAsia="宋体" w:cs="宋体"/>
                <w:color w:val="auto"/>
                <w:sz w:val="21"/>
                <w:szCs w:val="21"/>
                <w:highlight w:val="none"/>
                <w:lang w:eastAsia="zh-CN"/>
              </w:rPr>
              <w:t>审</w:t>
            </w:r>
            <w:r>
              <w:rPr>
                <w:rFonts w:hint="eastAsia" w:ascii="宋体" w:hAnsi="宋体" w:eastAsia="宋体" w:cs="宋体"/>
                <w:color w:val="auto"/>
                <w:sz w:val="21"/>
                <w:szCs w:val="21"/>
                <w:highlight w:val="none"/>
              </w:rPr>
              <w:t>办法、合同文件、</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格式的先后顺序解释；</w:t>
            </w:r>
          </w:p>
          <w:p w14:paraId="509ED358">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同一组成文件中就同一事项的规定或约定不一致的，以编排顺序在后者为准；</w:t>
            </w:r>
          </w:p>
          <w:p w14:paraId="16AAEC27">
            <w:pPr>
              <w:keepNext/>
              <w:keepLines w:val="0"/>
              <w:pageBreakBefore w:val="0"/>
              <w:widowControl w:val="0"/>
              <w:kinsoku/>
              <w:overflowPunct/>
              <w:topLinePunct w:val="0"/>
              <w:autoSpaceDE/>
              <w:autoSpaceDN/>
              <w:bidi w:val="0"/>
              <w:adjustRightInd/>
              <w:snapToGrid/>
              <w:spacing w:line="4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同一组成文件不同版本之间有不一致的，以形成时间在后者为准。按本款前述规定仍不能形成结论的，由</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人或</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代理机构负责解释。</w:t>
            </w:r>
          </w:p>
        </w:tc>
      </w:tr>
      <w:tr w14:paraId="16DB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06744561">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w:t>
            </w:r>
          </w:p>
        </w:tc>
        <w:tc>
          <w:tcPr>
            <w:tcW w:w="1701" w:type="dxa"/>
            <w:vAlign w:val="center"/>
          </w:tcPr>
          <w:p w14:paraId="542F4EE0">
            <w:pPr>
              <w:keepNext/>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val="en-US"/>
              </w:rPr>
              <w:t>电子</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rPr>
              <w:t>文件雷同性检查提示</w:t>
            </w:r>
          </w:p>
        </w:tc>
        <w:tc>
          <w:tcPr>
            <w:tcW w:w="6782" w:type="dxa"/>
            <w:shd w:val="clear" w:color="auto" w:fill="auto"/>
            <w:vAlign w:val="top"/>
          </w:tcPr>
          <w:p w14:paraId="76CDF0B7">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）下列情形，</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应认定为“不同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由同一单位或者个人编制的”情形；</w:t>
            </w:r>
          </w:p>
          <w:p w14:paraId="5D8074F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①电子开评标系统提示不同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的文件制作机器码、文件创建标识码等软硬件信息，有一条及以上相同的；</w:t>
            </w:r>
          </w:p>
          <w:p w14:paraId="6DDDC20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    </w:t>
            </w:r>
            <w:r>
              <w:rPr>
                <w:rFonts w:hint="eastAsia" w:ascii="宋体" w:hAnsi="宋体" w:eastAsia="宋体" w:cs="宋体"/>
                <w:color w:val="auto"/>
                <w:sz w:val="21"/>
                <w:szCs w:val="21"/>
                <w:highlight w:val="none"/>
              </w:rPr>
              <w:t>②电子开评标系统提示不同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文件存在内容高度一致的、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报价或报价组成出现非正常一致或者呈规律性变化的，</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可以要求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作出澄清，</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集体表决认定属于“不同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异常一致或者投标报价呈规律性差异”。</w:t>
            </w:r>
          </w:p>
          <w:p w14:paraId="3A5B0072">
            <w:pPr>
              <w:keepNext/>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注：电子开评标系统对不同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的电子</w:t>
            </w:r>
            <w:r>
              <w:rPr>
                <w:rFonts w:hint="eastAsia" w:ascii="宋体" w:hAnsi="宋体" w:eastAsia="宋体" w:cs="宋体"/>
                <w:color w:val="auto"/>
                <w:sz w:val="21"/>
                <w:szCs w:val="21"/>
                <w:highlight w:val="none"/>
                <w:lang w:eastAsia="zh-CN"/>
              </w:rPr>
              <w:t>响应文件</w:t>
            </w:r>
            <w:r>
              <w:rPr>
                <w:rFonts w:hint="eastAsia" w:ascii="宋体" w:hAnsi="宋体" w:eastAsia="宋体" w:cs="宋体"/>
                <w:color w:val="auto"/>
                <w:sz w:val="21"/>
                <w:szCs w:val="21"/>
                <w:highlight w:val="none"/>
              </w:rPr>
              <w:t>作出雷同性提示或预警的，资格评审委员会或</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集体表决认定属于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相互串通投标”的情形，同时写出串（围）标行为认定报告并签字的，按废标处理。</w:t>
            </w:r>
          </w:p>
        </w:tc>
      </w:tr>
      <w:tr w14:paraId="4188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730C8839">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4.3</w:t>
            </w:r>
          </w:p>
        </w:tc>
        <w:tc>
          <w:tcPr>
            <w:tcW w:w="1701" w:type="dxa"/>
            <w:vAlign w:val="center"/>
          </w:tcPr>
          <w:p w14:paraId="440FF252">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rPr>
              <w:t>监  督</w:t>
            </w:r>
          </w:p>
        </w:tc>
        <w:tc>
          <w:tcPr>
            <w:tcW w:w="6782" w:type="dxa"/>
            <w:shd w:val="clear" w:color="auto" w:fill="auto"/>
            <w:vAlign w:val="center"/>
          </w:tcPr>
          <w:p w14:paraId="56E79051">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活动及其相关当事人应当接受有管辖权的</w:t>
            </w:r>
            <w:r>
              <w:rPr>
                <w:rFonts w:hint="eastAsia" w:ascii="宋体" w:hAnsi="宋体" w:eastAsia="宋体" w:cs="宋体"/>
                <w:color w:val="auto"/>
                <w:sz w:val="21"/>
                <w:szCs w:val="21"/>
                <w:highlight w:val="none"/>
                <w:lang w:eastAsia="zh-CN"/>
              </w:rPr>
              <w:t>相关</w:t>
            </w:r>
            <w:r>
              <w:rPr>
                <w:rFonts w:hint="eastAsia" w:ascii="宋体" w:hAnsi="宋体" w:eastAsia="宋体" w:cs="宋体"/>
                <w:color w:val="auto"/>
                <w:sz w:val="21"/>
                <w:szCs w:val="21"/>
                <w:highlight w:val="none"/>
              </w:rPr>
              <w:t>监督部门</w:t>
            </w:r>
            <w:r>
              <w:rPr>
                <w:rFonts w:hint="eastAsia" w:ascii="宋体" w:hAnsi="宋体" w:eastAsia="宋体" w:cs="宋体"/>
                <w:color w:val="auto"/>
                <w:sz w:val="21"/>
                <w:szCs w:val="21"/>
                <w:highlight w:val="none"/>
                <w:lang w:eastAsia="zh-CN"/>
              </w:rPr>
              <w:t>或单位</w:t>
            </w:r>
            <w:r>
              <w:rPr>
                <w:rFonts w:hint="eastAsia" w:ascii="宋体" w:hAnsi="宋体" w:eastAsia="宋体" w:cs="宋体"/>
                <w:color w:val="auto"/>
                <w:sz w:val="21"/>
                <w:szCs w:val="21"/>
                <w:highlight w:val="none"/>
              </w:rPr>
              <w:t>依法实施的监督。</w:t>
            </w:r>
          </w:p>
        </w:tc>
      </w:tr>
      <w:tr w14:paraId="058F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239EB30">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4.4</w:t>
            </w:r>
          </w:p>
        </w:tc>
        <w:tc>
          <w:tcPr>
            <w:tcW w:w="1701" w:type="dxa"/>
            <w:vAlign w:val="center"/>
          </w:tcPr>
          <w:p w14:paraId="7D1959A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sz w:val="21"/>
                <w:szCs w:val="21"/>
                <w:highlight w:val="none"/>
                <w:lang w:val="en-US" w:eastAsia="zh-CN"/>
              </w:rPr>
              <w:t>本项目中小企业所属行业</w:t>
            </w:r>
          </w:p>
        </w:tc>
        <w:tc>
          <w:tcPr>
            <w:tcW w:w="6782" w:type="dxa"/>
            <w:shd w:val="clear" w:color="auto" w:fill="auto"/>
            <w:vAlign w:val="center"/>
          </w:tcPr>
          <w:p w14:paraId="1DD1E47E">
            <w:pPr>
              <w:keepNext w:val="0"/>
              <w:keepLines w:val="0"/>
              <w:pageBreakBefore w:val="0"/>
              <w:kinsoku/>
              <w:wordWrap/>
              <w:overflowPunct/>
              <w:topLinePunct w:val="0"/>
              <w:autoSpaceDE/>
              <w:autoSpaceDN/>
              <w:bidi w:val="0"/>
              <w:adjustRightInd/>
              <w:snapToGrid/>
              <w:spacing w:line="42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其他未列明行业</w:t>
            </w:r>
          </w:p>
        </w:tc>
      </w:tr>
      <w:tr w14:paraId="1EB6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265A9CFB">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4.5</w:t>
            </w:r>
          </w:p>
        </w:tc>
        <w:tc>
          <w:tcPr>
            <w:tcW w:w="1701" w:type="dxa"/>
            <w:vAlign w:val="center"/>
          </w:tcPr>
          <w:p w14:paraId="5221F2E7">
            <w:pPr>
              <w:keepNext w:val="0"/>
              <w:keepLines w:val="0"/>
              <w:pageBreakBefore w:val="0"/>
              <w:kinsoku/>
              <w:wordWrap/>
              <w:overflowPunct/>
              <w:topLinePunct w:val="0"/>
              <w:autoSpaceDE/>
              <w:autoSpaceDN/>
              <w:bidi w:val="0"/>
              <w:adjustRightInd/>
              <w:snapToGrid/>
              <w:spacing w:line="420" w:lineRule="exact"/>
              <w:ind w:left="38" w:leftChars="18"/>
              <w:jc w:val="center"/>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lang w:val="en-US" w:eastAsia="zh-CN" w:bidi="ar"/>
              </w:rPr>
              <w:t>采购代理服务费</w:t>
            </w:r>
          </w:p>
        </w:tc>
        <w:tc>
          <w:tcPr>
            <w:tcW w:w="6782" w:type="dxa"/>
            <w:shd w:val="clear" w:color="auto" w:fill="auto"/>
            <w:vAlign w:val="center"/>
          </w:tcPr>
          <w:p w14:paraId="413B2E51">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1.采购代理服务费及相关费用</w:t>
            </w:r>
          </w:p>
          <w:p w14:paraId="75B6DF95">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代理服务费：参考《河南省招标代理服务收费指导意见》（豫招协【2023】002号）计费标准的90%计算代理服务费，由中标单位支付</w:t>
            </w:r>
            <w:r>
              <w:rPr>
                <w:rFonts w:hint="eastAsia" w:ascii="宋体" w:hAnsi="宋体" w:eastAsia="宋体" w:cs="宋体"/>
                <w:color w:val="auto"/>
                <w:sz w:val="21"/>
                <w:szCs w:val="21"/>
                <w:highlight w:val="none"/>
                <w:lang w:eastAsia="zh-CN"/>
              </w:rPr>
              <w:t>。</w:t>
            </w:r>
          </w:p>
          <w:p w14:paraId="216D6E4F">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2.收取方式</w:t>
            </w:r>
          </w:p>
          <w:p w14:paraId="62CB8BA5">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采购代理服务费均由成交供应商在领取成交通知书时，以现金或转账的方式一次性向代理机构缴纳。</w:t>
            </w:r>
          </w:p>
          <w:p w14:paraId="0018247D">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户名：</w:t>
            </w:r>
            <w:r>
              <w:rPr>
                <w:rFonts w:hint="eastAsia" w:ascii="宋体" w:hAnsi="宋体" w:eastAsia="宋体" w:cs="宋体"/>
                <w:color w:val="auto"/>
                <w:sz w:val="21"/>
                <w:szCs w:val="21"/>
                <w:highlight w:val="none"/>
                <w:lang w:eastAsia="zh-CN"/>
              </w:rPr>
              <w:t>河南精开咨询有限公司</w:t>
            </w:r>
          </w:p>
          <w:p w14:paraId="7115D72B">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账号：41050169610800000001</w:t>
            </w:r>
          </w:p>
          <w:p w14:paraId="0A2DB46F">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开户行：建行三门峡崤山路支行</w:t>
            </w:r>
          </w:p>
        </w:tc>
      </w:tr>
      <w:tr w14:paraId="20CA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01" w:type="dxa"/>
            <w:vAlign w:val="center"/>
          </w:tcPr>
          <w:p w14:paraId="55CD5DAE">
            <w:pPr>
              <w:pageBreakBefore w:val="0"/>
              <w:kinsoku/>
              <w:overflowPunct/>
              <w:topLinePunct w:val="0"/>
              <w:autoSpaceDE/>
              <w:autoSpaceDN/>
              <w:bidi w:val="0"/>
              <w:adjustRightInd/>
              <w:snapToGrid/>
              <w:spacing w:line="4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4.6</w:t>
            </w:r>
          </w:p>
        </w:tc>
        <w:tc>
          <w:tcPr>
            <w:tcW w:w="1701" w:type="dxa"/>
            <w:vAlign w:val="center"/>
          </w:tcPr>
          <w:p w14:paraId="27DA0E08">
            <w:pPr>
              <w:keepNext w:val="0"/>
              <w:keepLines w:val="0"/>
              <w:pageBreakBefore w:val="0"/>
              <w:kinsoku/>
              <w:wordWrap/>
              <w:overflowPunct/>
              <w:topLinePunct w:val="0"/>
              <w:autoSpaceDE/>
              <w:autoSpaceDN/>
              <w:bidi w:val="0"/>
              <w:adjustRightInd/>
              <w:snapToGrid/>
              <w:spacing w:line="420" w:lineRule="exact"/>
              <w:ind w:left="38" w:leftChars="18"/>
              <w:jc w:val="center"/>
              <w:textAlignment w:val="auto"/>
              <w:rPr>
                <w:rFonts w:hint="eastAsia" w:ascii="宋体" w:hAnsi="宋体" w:eastAsia="宋体" w:cs="宋体"/>
                <w:kern w:val="0"/>
                <w:sz w:val="21"/>
                <w:szCs w:val="21"/>
                <w:highlight w:val="none"/>
              </w:rPr>
            </w:pPr>
            <w:r>
              <w:rPr>
                <w:rFonts w:hint="eastAsia" w:ascii="宋体" w:hAnsi="宋体" w:eastAsia="宋体" w:cs="宋体"/>
                <w:b/>
                <w:bCs/>
                <w:color w:val="auto"/>
                <w:kern w:val="0"/>
                <w:sz w:val="21"/>
                <w:szCs w:val="21"/>
                <w:highlight w:val="none"/>
                <w:lang w:val="en-US" w:eastAsia="zh-CN" w:bidi="ar"/>
              </w:rPr>
              <w:t>三门峡市湖滨区采购合同融资政策告知函</w:t>
            </w:r>
          </w:p>
        </w:tc>
        <w:tc>
          <w:tcPr>
            <w:tcW w:w="6782" w:type="dxa"/>
            <w:shd w:val="clear" w:color="auto" w:fill="auto"/>
            <w:vAlign w:val="center"/>
          </w:tcPr>
          <w:p w14:paraId="40528EBF">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各供应商：欢迎贵公司参与三门峡市湖滨区采购活动！</w:t>
            </w:r>
          </w:p>
          <w:p w14:paraId="2528FE2E">
            <w:pPr>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采购合同融资是三门峡市湖滨区财政局支持中小微企业发展，针对参与采购活动的供应商融资难、融资贵问题推出的一项融资政策。贵公司若成为本次采购项目的成交供应商，可持采购合同向金融机构申请贷款，无需抵押、担保，融资机构将根据《河南省政府采购合同融资工作实施方案》（豫财购〔2017〕10号）和《三门峡市湖滨区财政局关于进一步推进“政采贷”工作的通知》（三湖财〔20</w:t>
            </w:r>
            <w:r>
              <w:rPr>
                <w:rFonts w:hint="eastAsia" w:ascii="宋体" w:hAnsi="宋体" w:eastAsia="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72</w:t>
            </w:r>
            <w:r>
              <w:rPr>
                <w:rFonts w:hint="eastAsia" w:ascii="宋体" w:hAnsi="宋体" w:eastAsia="宋体" w:cs="宋体"/>
                <w:b/>
                <w:bCs/>
                <w:color w:val="auto"/>
                <w:sz w:val="21"/>
                <w:szCs w:val="21"/>
                <w:highlight w:val="none"/>
                <w:lang w:eastAsia="zh-CN"/>
              </w:rPr>
              <w:t>号），按照双方自愿的原则提供便捷、优惠的贷款服务。贷款渠道和提供贷款的金融机构，可在三门峡市政府采购网“河南省政府采购合同融资平台”查询联系。</w:t>
            </w:r>
          </w:p>
        </w:tc>
      </w:tr>
    </w:tbl>
    <w:p w14:paraId="70FC238B">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2"/>
          <w:szCs w:val="22"/>
          <w:highlight w:val="none"/>
          <w:lang w:val="en-US" w:eastAsia="zh-CN"/>
        </w:rPr>
      </w:pPr>
      <w:bookmarkStart w:id="7" w:name="_Toc15226"/>
      <w:bookmarkStart w:id="8" w:name="_Toc26128"/>
      <w:bookmarkStart w:id="9" w:name="_Toc1129"/>
      <w:bookmarkStart w:id="10" w:name="_Toc8309"/>
      <w:bookmarkStart w:id="11" w:name="_Toc31849"/>
      <w:bookmarkStart w:id="12" w:name="_Toc10553"/>
      <w:bookmarkStart w:id="13" w:name="_Toc31820"/>
      <w:bookmarkStart w:id="14" w:name="_Toc3283"/>
      <w:bookmarkStart w:id="15" w:name="_Toc8870"/>
      <w:bookmarkStart w:id="16" w:name="_Toc114667870"/>
      <w:bookmarkStart w:id="17" w:name="_Toc6"/>
      <w:bookmarkStart w:id="18" w:name="_Toc312133543"/>
      <w:bookmarkStart w:id="19" w:name="_Toc111997214"/>
      <w:bookmarkStart w:id="20" w:name="_Toc111997497"/>
      <w:bookmarkStart w:id="21" w:name="_Toc829"/>
      <w:bookmarkStart w:id="22" w:name="_Toc378"/>
    </w:p>
    <w:p w14:paraId="15E2E193">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总则</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73C038B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23" w:name="_Toc9227"/>
      <w:bookmarkStart w:id="24" w:name="_Toc28377"/>
      <w:bookmarkStart w:id="25" w:name="_Toc24769"/>
      <w:bookmarkStart w:id="26" w:name="_Toc5358"/>
      <w:bookmarkStart w:id="27" w:name="_Toc4828"/>
      <w:bookmarkStart w:id="28" w:name="_Toc6992"/>
      <w:bookmarkStart w:id="29" w:name="_Toc111997215"/>
      <w:bookmarkStart w:id="30" w:name="_Toc13150040"/>
      <w:bookmarkStart w:id="31" w:name="_Toc6347"/>
      <w:bookmarkStart w:id="32" w:name="_Toc5828"/>
      <w:bookmarkStart w:id="33" w:name="_Toc14496"/>
      <w:bookmarkStart w:id="34" w:name="_Toc28200"/>
      <w:bookmarkStart w:id="35" w:name="_Toc23738"/>
      <w:bookmarkStart w:id="36" w:name="_Toc20743"/>
      <w:bookmarkStart w:id="37" w:name="_Toc31656"/>
      <w:bookmarkStart w:id="38" w:name="_Toc30513"/>
      <w:r>
        <w:rPr>
          <w:rFonts w:hint="eastAsia" w:ascii="宋体" w:hAnsi="宋体" w:eastAsia="宋体" w:cs="宋体"/>
          <w:b/>
          <w:bCs/>
          <w:color w:val="000000"/>
          <w:sz w:val="21"/>
          <w:szCs w:val="21"/>
          <w:highlight w:val="none"/>
          <w:lang w:val="en-US" w:eastAsia="zh-CN"/>
        </w:rPr>
        <w:t>1.1</w:t>
      </w:r>
      <w:r>
        <w:rPr>
          <w:rFonts w:hint="eastAsia" w:ascii="宋体" w:hAnsi="宋体" w:eastAsia="宋体" w:cs="宋体"/>
          <w:b/>
          <w:bCs/>
          <w:color w:val="000000"/>
          <w:sz w:val="21"/>
          <w:szCs w:val="21"/>
          <w:highlight w:val="none"/>
        </w:rPr>
        <w:t>适用范围</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752F3A0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1.1.1</w:t>
      </w:r>
      <w:r>
        <w:rPr>
          <w:rFonts w:hint="eastAsia" w:ascii="宋体" w:hAnsi="宋体" w:eastAsia="宋体" w:cs="宋体"/>
          <w:color w:val="000000"/>
          <w:sz w:val="21"/>
          <w:szCs w:val="21"/>
          <w:highlight w:val="none"/>
        </w:rPr>
        <w:t>本竞争性磋商文件仅适用于本次竞争性磋商文件中所述的服务。</w:t>
      </w:r>
    </w:p>
    <w:p w14:paraId="23A2A6F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1.1.2</w:t>
      </w:r>
      <w:r>
        <w:rPr>
          <w:rFonts w:hint="eastAsia" w:ascii="宋体" w:hAnsi="宋体" w:eastAsia="宋体" w:cs="宋体"/>
          <w:color w:val="000000"/>
          <w:sz w:val="21"/>
          <w:szCs w:val="21"/>
          <w:highlight w:val="none"/>
        </w:rPr>
        <w:t>本竞争性磋商文件的解释权归采购人所有。</w:t>
      </w:r>
    </w:p>
    <w:p w14:paraId="4DBB709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39" w:name="_Toc17774"/>
      <w:bookmarkStart w:id="40" w:name="_Toc111997216"/>
      <w:bookmarkStart w:id="41" w:name="_Toc13150041"/>
      <w:bookmarkStart w:id="42" w:name="_Toc31067"/>
      <w:bookmarkStart w:id="43" w:name="_Toc4906"/>
      <w:bookmarkStart w:id="44" w:name="_Toc13726"/>
      <w:bookmarkStart w:id="45" w:name="_Toc2056"/>
      <w:bookmarkStart w:id="46" w:name="_Toc7606"/>
      <w:bookmarkStart w:id="47" w:name="_Toc19830"/>
      <w:bookmarkStart w:id="48" w:name="_Toc13223"/>
      <w:bookmarkStart w:id="49" w:name="_Toc23240"/>
      <w:bookmarkStart w:id="50" w:name="_Toc19994"/>
      <w:bookmarkStart w:id="51" w:name="_Toc13473"/>
      <w:bookmarkStart w:id="52" w:name="_Toc17529"/>
      <w:bookmarkStart w:id="53" w:name="_Toc12346"/>
      <w:bookmarkStart w:id="54" w:name="_Toc11835"/>
      <w:r>
        <w:rPr>
          <w:rFonts w:hint="eastAsia" w:ascii="宋体" w:hAnsi="宋体" w:eastAsia="宋体" w:cs="宋体"/>
          <w:b/>
          <w:bCs/>
          <w:color w:val="000000"/>
          <w:sz w:val="21"/>
          <w:szCs w:val="21"/>
          <w:highlight w:val="none"/>
          <w:lang w:val="en-US" w:eastAsia="zh-CN"/>
        </w:rPr>
        <w:t>1.2</w:t>
      </w:r>
      <w:r>
        <w:rPr>
          <w:rFonts w:hint="eastAsia" w:ascii="宋体" w:hAnsi="宋体" w:eastAsia="宋体" w:cs="宋体"/>
          <w:b/>
          <w:bCs/>
          <w:color w:val="000000"/>
          <w:sz w:val="21"/>
          <w:szCs w:val="21"/>
          <w:highlight w:val="none"/>
        </w:rPr>
        <w:t>项目概况</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3C3F36A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1.2.1</w:t>
      </w:r>
      <w:r>
        <w:rPr>
          <w:rFonts w:hint="eastAsia" w:ascii="宋体" w:hAnsi="宋体" w:eastAsia="宋体" w:cs="宋体"/>
          <w:color w:val="000000"/>
          <w:sz w:val="21"/>
          <w:szCs w:val="21"/>
          <w:highlight w:val="none"/>
        </w:rPr>
        <w:t>采购人：供应商须知前附表中所述的、依法进行政府采购的国家机关、事业单位、团体组织。</w:t>
      </w:r>
    </w:p>
    <w:p w14:paraId="496E43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1.2.2</w:t>
      </w:r>
      <w:r>
        <w:rPr>
          <w:rFonts w:hint="eastAsia" w:ascii="宋体" w:hAnsi="宋体" w:eastAsia="宋体" w:cs="宋体"/>
          <w:color w:val="000000"/>
          <w:sz w:val="21"/>
          <w:szCs w:val="21"/>
          <w:highlight w:val="none"/>
        </w:rPr>
        <w:t>采购代理机构：受采购人委托组织磋商活动，在磋商过程中负有相应责任的社会中介组织。</w:t>
      </w:r>
    </w:p>
    <w:p w14:paraId="3273252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1.2.3</w:t>
      </w:r>
      <w:r>
        <w:rPr>
          <w:rFonts w:hint="eastAsia" w:ascii="宋体" w:hAnsi="宋体" w:eastAsia="宋体" w:cs="宋体"/>
          <w:color w:val="000000"/>
          <w:sz w:val="21"/>
          <w:szCs w:val="21"/>
          <w:highlight w:val="none"/>
        </w:rPr>
        <w:t>项目名称：见供应商须知前附表。</w:t>
      </w:r>
    </w:p>
    <w:p w14:paraId="5F99E84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1.2.4项目概况</w:t>
      </w:r>
      <w:r>
        <w:rPr>
          <w:rFonts w:hint="eastAsia" w:ascii="宋体" w:hAnsi="宋体" w:eastAsia="宋体" w:cs="宋体"/>
          <w:color w:val="000000"/>
          <w:sz w:val="21"/>
          <w:szCs w:val="21"/>
          <w:highlight w:val="none"/>
        </w:rPr>
        <w:t>：见供应商须知前附表。</w:t>
      </w:r>
    </w:p>
    <w:p w14:paraId="12B8D6C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1.2.5</w:t>
      </w:r>
      <w:r>
        <w:rPr>
          <w:rFonts w:hint="eastAsia" w:ascii="宋体" w:hAnsi="宋体" w:eastAsia="宋体" w:cs="宋体"/>
          <w:color w:val="000000"/>
          <w:sz w:val="21"/>
          <w:szCs w:val="21"/>
          <w:highlight w:val="none"/>
        </w:rPr>
        <w:t>资金来源及</w:t>
      </w:r>
      <w:r>
        <w:rPr>
          <w:rFonts w:hint="eastAsia" w:ascii="宋体" w:hAnsi="宋体" w:eastAsia="宋体" w:cs="宋体"/>
          <w:color w:val="000000"/>
          <w:sz w:val="21"/>
          <w:szCs w:val="21"/>
          <w:highlight w:val="none"/>
          <w:lang w:eastAsia="zh-CN"/>
        </w:rPr>
        <w:t>落实情况</w:t>
      </w:r>
      <w:r>
        <w:rPr>
          <w:rFonts w:hint="eastAsia" w:ascii="宋体" w:hAnsi="宋体" w:eastAsia="宋体" w:cs="宋体"/>
          <w:color w:val="000000"/>
          <w:sz w:val="21"/>
          <w:szCs w:val="21"/>
          <w:highlight w:val="none"/>
        </w:rPr>
        <w:t>：见供应商须知前附表。</w:t>
      </w:r>
    </w:p>
    <w:p w14:paraId="5367D3E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1.2.6质量控制目标</w:t>
      </w:r>
      <w:r>
        <w:rPr>
          <w:rFonts w:hint="eastAsia" w:ascii="宋体" w:hAnsi="宋体" w:eastAsia="宋体" w:cs="宋体"/>
          <w:color w:val="000000"/>
          <w:sz w:val="21"/>
          <w:szCs w:val="21"/>
          <w:highlight w:val="none"/>
        </w:rPr>
        <w:t>：见供应商须知前附表。</w:t>
      </w:r>
    </w:p>
    <w:p w14:paraId="7FD17CB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1.2.7安全控制目标</w:t>
      </w:r>
      <w:r>
        <w:rPr>
          <w:rFonts w:hint="eastAsia" w:ascii="宋体" w:hAnsi="宋体" w:eastAsia="宋体" w:cs="宋体"/>
          <w:color w:val="000000"/>
          <w:sz w:val="21"/>
          <w:szCs w:val="21"/>
          <w:highlight w:val="none"/>
        </w:rPr>
        <w:t>：见供应商须知前附表。</w:t>
      </w:r>
    </w:p>
    <w:p w14:paraId="0959BCC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1.2.8监理期限：</w:t>
      </w:r>
      <w:r>
        <w:rPr>
          <w:rFonts w:hint="eastAsia" w:ascii="宋体" w:hAnsi="宋体" w:eastAsia="宋体" w:cs="宋体"/>
          <w:color w:val="000000"/>
          <w:sz w:val="21"/>
          <w:szCs w:val="21"/>
          <w:highlight w:val="none"/>
        </w:rPr>
        <w:t>见供应商须知前附表。</w:t>
      </w:r>
    </w:p>
    <w:p w14:paraId="644B9D1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1.2.9</w:t>
      </w:r>
      <w:r>
        <w:rPr>
          <w:rFonts w:hint="eastAsia" w:ascii="宋体" w:hAnsi="宋体" w:eastAsia="宋体" w:cs="宋体"/>
          <w:color w:val="000000"/>
          <w:sz w:val="21"/>
          <w:szCs w:val="21"/>
          <w:highlight w:val="none"/>
        </w:rPr>
        <w:t>供应商资格要求</w:t>
      </w:r>
    </w:p>
    <w:p w14:paraId="496A531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1.2.9.1</w:t>
      </w:r>
      <w:r>
        <w:rPr>
          <w:rFonts w:hint="eastAsia" w:ascii="宋体" w:hAnsi="宋体" w:eastAsia="宋体" w:cs="宋体"/>
          <w:color w:val="000000"/>
          <w:sz w:val="21"/>
          <w:szCs w:val="21"/>
          <w:highlight w:val="none"/>
        </w:rPr>
        <w:t>供应商应具备承担本项目的资质条件见前附表。</w:t>
      </w:r>
    </w:p>
    <w:p w14:paraId="060CCDE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供应商须知前附表规定：不接受联合体</w:t>
      </w: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w:t>
      </w:r>
    </w:p>
    <w:p w14:paraId="2B31664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供应商不得存在下列情形之一：</w:t>
      </w:r>
    </w:p>
    <w:p w14:paraId="1FFEBCB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与采购人存在利害关系且可能影响磋商公正性；</w:t>
      </w:r>
    </w:p>
    <w:p w14:paraId="24CBCA0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与本磋商项目的其他供应商为同一个单位负责人；</w:t>
      </w:r>
    </w:p>
    <w:p w14:paraId="2AEEFFD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与本磋商项目的其他供应商存在控股、管理关系；</w:t>
      </w:r>
    </w:p>
    <w:p w14:paraId="6B2D8F9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为本项目的代建人；</w:t>
      </w:r>
    </w:p>
    <w:p w14:paraId="014F2EE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与本项目的代建人或采购代理机构同为一个法定代表人；</w:t>
      </w:r>
    </w:p>
    <w:p w14:paraId="0DFF76D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与本项目的代建人或采购代理机构存在控股或参股关系；</w:t>
      </w:r>
    </w:p>
    <w:p w14:paraId="4E06E07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为本磋商项目的采购代理机构；</w:t>
      </w:r>
    </w:p>
    <w:p w14:paraId="1C6C578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供应商以他人名义投标、串通投标、以行贿手段牟取中标，或在投标中弄虚作假的；</w:t>
      </w:r>
    </w:p>
    <w:p w14:paraId="20E7484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法律法规规定的其他情形。</w:t>
      </w:r>
    </w:p>
    <w:p w14:paraId="7E350F9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成交供应商：接到并接受成交通知，最终被授予合同的供应商。</w:t>
      </w:r>
    </w:p>
    <w:p w14:paraId="3BCF1B5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1.2.1</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响应文件：指供应商根据竞争性磋商文件提交的所有文件。</w:t>
      </w:r>
    </w:p>
    <w:p w14:paraId="42A553D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55" w:name="_Toc10741"/>
      <w:bookmarkStart w:id="56" w:name="_Toc30844"/>
      <w:bookmarkStart w:id="57" w:name="_Toc29415"/>
      <w:bookmarkStart w:id="58" w:name="_Toc21690"/>
      <w:bookmarkStart w:id="59" w:name="_Toc15243"/>
      <w:bookmarkStart w:id="60" w:name="_Toc15721"/>
      <w:bookmarkStart w:id="61" w:name="_Toc22289"/>
      <w:bookmarkStart w:id="62" w:name="_Toc111997217"/>
      <w:bookmarkStart w:id="63" w:name="_Toc24344"/>
      <w:bookmarkStart w:id="64" w:name="_Toc13150042"/>
      <w:bookmarkStart w:id="65" w:name="_Toc7848"/>
      <w:bookmarkStart w:id="66" w:name="_Toc9366"/>
      <w:bookmarkStart w:id="67" w:name="_Toc25383"/>
      <w:bookmarkStart w:id="68" w:name="_Toc17327"/>
      <w:bookmarkStart w:id="69" w:name="_Toc6127"/>
      <w:bookmarkStart w:id="70" w:name="_Toc10943"/>
      <w:r>
        <w:rPr>
          <w:rFonts w:hint="eastAsia" w:ascii="宋体" w:hAnsi="宋体" w:eastAsia="宋体" w:cs="宋体"/>
          <w:b/>
          <w:bCs/>
          <w:color w:val="000000"/>
          <w:sz w:val="21"/>
          <w:szCs w:val="21"/>
          <w:highlight w:val="none"/>
          <w:lang w:val="en-US" w:eastAsia="zh-CN"/>
        </w:rPr>
        <w:t>1.3</w:t>
      </w:r>
      <w:r>
        <w:rPr>
          <w:rFonts w:hint="eastAsia" w:ascii="宋体" w:hAnsi="宋体" w:eastAsia="宋体" w:cs="宋体"/>
          <w:b/>
          <w:bCs/>
          <w:color w:val="000000"/>
          <w:sz w:val="21"/>
          <w:szCs w:val="21"/>
          <w:highlight w:val="none"/>
        </w:rPr>
        <w:t>磋商费用</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27B2FFB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供应商准备和参加磋商活动发生的费用自理。</w:t>
      </w:r>
    </w:p>
    <w:p w14:paraId="5D765F8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71" w:name="_Toc30990"/>
      <w:bookmarkStart w:id="72" w:name="_Toc28577"/>
      <w:bookmarkStart w:id="73" w:name="_Toc23865"/>
      <w:bookmarkStart w:id="74" w:name="_Toc13150043"/>
      <w:bookmarkStart w:id="75" w:name="_Toc16426"/>
      <w:bookmarkStart w:id="76" w:name="_Toc31440"/>
      <w:bookmarkStart w:id="77" w:name="_Toc27895"/>
      <w:bookmarkStart w:id="78" w:name="_Toc32164"/>
      <w:bookmarkStart w:id="79" w:name="_Toc111997218"/>
      <w:bookmarkStart w:id="80" w:name="_Toc17852"/>
      <w:bookmarkStart w:id="81" w:name="_Toc1248"/>
      <w:bookmarkStart w:id="82" w:name="_Toc6898"/>
      <w:bookmarkStart w:id="83" w:name="_Toc13179"/>
      <w:bookmarkStart w:id="84" w:name="_Toc20429"/>
      <w:bookmarkStart w:id="85" w:name="_Toc27047"/>
      <w:bookmarkStart w:id="86" w:name="_Toc1130"/>
      <w:r>
        <w:rPr>
          <w:rFonts w:hint="eastAsia" w:ascii="宋体" w:hAnsi="宋体" w:eastAsia="宋体" w:cs="宋体"/>
          <w:color w:val="000000"/>
          <w:sz w:val="21"/>
          <w:szCs w:val="21"/>
          <w:highlight w:val="none"/>
          <w:lang w:val="en-US" w:eastAsia="zh-CN"/>
        </w:rPr>
        <w:t>1.4</w:t>
      </w:r>
      <w:r>
        <w:rPr>
          <w:rFonts w:hint="eastAsia" w:ascii="宋体" w:hAnsi="宋体" w:eastAsia="宋体" w:cs="宋体"/>
          <w:color w:val="000000"/>
          <w:sz w:val="21"/>
          <w:szCs w:val="21"/>
          <w:highlight w:val="none"/>
        </w:rPr>
        <w:t>现场考察或答疑会</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00030EA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1.4.1</w:t>
      </w:r>
      <w:r>
        <w:rPr>
          <w:rFonts w:hint="eastAsia" w:ascii="宋体" w:hAnsi="宋体" w:eastAsia="宋体" w:cs="宋体"/>
          <w:color w:val="000000"/>
          <w:sz w:val="21"/>
          <w:szCs w:val="21"/>
          <w:highlight w:val="none"/>
        </w:rPr>
        <w:t>现场考察：见供应商须知前附表。</w:t>
      </w:r>
    </w:p>
    <w:p w14:paraId="1F103D6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1.4.2</w:t>
      </w:r>
      <w:r>
        <w:rPr>
          <w:rFonts w:hint="eastAsia" w:ascii="宋体" w:hAnsi="宋体" w:eastAsia="宋体" w:cs="宋体"/>
          <w:color w:val="000000"/>
          <w:sz w:val="21"/>
          <w:szCs w:val="21"/>
          <w:highlight w:val="none"/>
        </w:rPr>
        <w:t>答疑会：见供应商须知前附表。</w:t>
      </w:r>
    </w:p>
    <w:p w14:paraId="2058065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87" w:name="_Toc19551"/>
      <w:bookmarkStart w:id="88" w:name="_Toc26711"/>
      <w:bookmarkStart w:id="89" w:name="_Toc20467"/>
      <w:bookmarkStart w:id="90" w:name="_Toc13150044"/>
      <w:bookmarkStart w:id="91" w:name="_Toc1374"/>
      <w:bookmarkStart w:id="92" w:name="_Toc3470"/>
      <w:bookmarkStart w:id="93" w:name="_Toc8265"/>
      <w:bookmarkStart w:id="94" w:name="_Toc10737"/>
      <w:bookmarkStart w:id="95" w:name="_Toc27635"/>
      <w:bookmarkStart w:id="96" w:name="_Toc111997219"/>
      <w:bookmarkStart w:id="97" w:name="_Toc22071"/>
      <w:bookmarkStart w:id="98" w:name="_Toc2320"/>
      <w:bookmarkStart w:id="99" w:name="_Toc21313"/>
      <w:bookmarkStart w:id="100" w:name="_Toc7448"/>
      <w:bookmarkStart w:id="101" w:name="_Toc9561"/>
      <w:bookmarkStart w:id="102" w:name="_Toc9223"/>
      <w:r>
        <w:rPr>
          <w:rFonts w:hint="eastAsia" w:ascii="宋体" w:hAnsi="宋体" w:eastAsia="宋体" w:cs="宋体"/>
          <w:b/>
          <w:bCs/>
          <w:color w:val="000000"/>
          <w:sz w:val="21"/>
          <w:szCs w:val="21"/>
          <w:highlight w:val="none"/>
          <w:lang w:val="en-US" w:eastAsia="zh-CN"/>
        </w:rPr>
        <w:t>1.5</w:t>
      </w:r>
      <w:r>
        <w:rPr>
          <w:rFonts w:hint="eastAsia" w:ascii="宋体" w:hAnsi="宋体" w:eastAsia="宋体" w:cs="宋体"/>
          <w:b/>
          <w:bCs/>
          <w:color w:val="000000"/>
          <w:sz w:val="21"/>
          <w:szCs w:val="21"/>
          <w:highlight w:val="none"/>
        </w:rPr>
        <w:t>分包</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2BEFDBA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1.5.1分包：不允许</w:t>
      </w:r>
    </w:p>
    <w:p w14:paraId="7204212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03" w:name="_Toc31207"/>
      <w:bookmarkStart w:id="104" w:name="_Toc5121"/>
      <w:bookmarkStart w:id="105" w:name="_Toc28651"/>
      <w:bookmarkStart w:id="106" w:name="_Toc11954"/>
      <w:bookmarkStart w:id="107" w:name="_Toc26753"/>
      <w:bookmarkStart w:id="108" w:name="_Toc9963"/>
      <w:bookmarkStart w:id="109" w:name="_Toc111997220"/>
      <w:bookmarkStart w:id="110" w:name="_Toc16222"/>
      <w:bookmarkStart w:id="111" w:name="_Toc20874"/>
      <w:bookmarkStart w:id="112" w:name="_Toc6725"/>
      <w:bookmarkStart w:id="113" w:name="_Toc2167"/>
      <w:bookmarkStart w:id="114" w:name="_Toc29383"/>
      <w:bookmarkStart w:id="115" w:name="_Toc15187"/>
      <w:bookmarkStart w:id="116" w:name="_Toc8669"/>
      <w:bookmarkStart w:id="117" w:name="_Toc17091"/>
      <w:bookmarkStart w:id="118" w:name="_Toc26863"/>
      <w:bookmarkStart w:id="119" w:name="_Toc13150045"/>
      <w:bookmarkStart w:id="120" w:name="_Toc12631"/>
      <w:r>
        <w:rPr>
          <w:rFonts w:hint="eastAsia" w:ascii="宋体" w:hAnsi="宋体" w:eastAsia="宋体" w:cs="宋体"/>
          <w:b/>
          <w:bCs/>
          <w:color w:val="000000"/>
          <w:sz w:val="21"/>
          <w:szCs w:val="21"/>
          <w:highlight w:val="none"/>
          <w:lang w:val="en-US" w:eastAsia="zh-CN"/>
        </w:rPr>
        <w:t>1.6</w:t>
      </w:r>
      <w:r>
        <w:rPr>
          <w:rFonts w:hint="eastAsia" w:ascii="宋体" w:hAnsi="宋体" w:eastAsia="宋体" w:cs="宋体"/>
          <w:b/>
          <w:bCs/>
          <w:color w:val="000000"/>
          <w:sz w:val="21"/>
          <w:szCs w:val="21"/>
          <w:highlight w:val="none"/>
        </w:rPr>
        <w:t>响应和偏差</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7FCFF58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1.6.1</w:t>
      </w:r>
      <w:r>
        <w:rPr>
          <w:rFonts w:hint="eastAsia" w:ascii="宋体" w:hAnsi="宋体" w:eastAsia="宋体" w:cs="宋体"/>
          <w:color w:val="000000"/>
          <w:sz w:val="21"/>
          <w:szCs w:val="21"/>
          <w:highlight w:val="none"/>
        </w:rPr>
        <w:t>响应文件应当对竞争性磋商文件的实质性要求和条件作出满足性或更有利于采购人的响应，否则，</w:t>
      </w:r>
      <w:r>
        <w:rPr>
          <w:rFonts w:hint="eastAsia" w:ascii="宋体" w:hAnsi="宋体" w:eastAsia="宋体" w:cs="宋体"/>
          <w:color w:val="000000"/>
          <w:sz w:val="21"/>
          <w:szCs w:val="21"/>
          <w:highlight w:val="none"/>
          <w:lang w:eastAsia="zh-CN"/>
        </w:rPr>
        <w:t>其响应</w:t>
      </w:r>
      <w:r>
        <w:rPr>
          <w:rFonts w:hint="eastAsia" w:ascii="宋体" w:hAnsi="宋体" w:eastAsia="宋体" w:cs="宋体"/>
          <w:color w:val="000000"/>
          <w:sz w:val="21"/>
          <w:szCs w:val="21"/>
          <w:highlight w:val="none"/>
        </w:rPr>
        <w:t>将被否决。</w:t>
      </w:r>
    </w:p>
    <w:p w14:paraId="64682B2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1.6.2</w:t>
      </w:r>
      <w:r>
        <w:rPr>
          <w:rFonts w:hint="eastAsia" w:ascii="宋体" w:hAnsi="宋体" w:eastAsia="宋体" w:cs="宋体"/>
          <w:color w:val="000000"/>
          <w:sz w:val="21"/>
          <w:szCs w:val="21"/>
          <w:highlight w:val="none"/>
        </w:rPr>
        <w:t>供应商应根据竞争性磋商文件的要求提供服务方案等内容以对竞争性磋商文件作出响应。</w:t>
      </w:r>
    </w:p>
    <w:p w14:paraId="1E26602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1.6.3</w:t>
      </w:r>
      <w:r>
        <w:rPr>
          <w:rFonts w:hint="eastAsia" w:ascii="宋体" w:hAnsi="宋体" w:eastAsia="宋体" w:cs="宋体"/>
          <w:color w:val="000000"/>
          <w:sz w:val="21"/>
          <w:szCs w:val="21"/>
          <w:highlight w:val="none"/>
        </w:rPr>
        <w:t>允许响应文件偏离竞争性磋商文件某些要求的，偏差应当符合竞争性磋商文件规定的偏差范围和幅度。</w:t>
      </w:r>
    </w:p>
    <w:p w14:paraId="3F2BB77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21" w:name="_Toc10942"/>
      <w:bookmarkStart w:id="122" w:name="_Toc27360"/>
      <w:bookmarkStart w:id="123" w:name="_Toc9588"/>
      <w:bookmarkStart w:id="124" w:name="_Toc9147"/>
      <w:bookmarkStart w:id="125" w:name="_Toc14740"/>
      <w:bookmarkStart w:id="126" w:name="_Toc12963"/>
      <w:bookmarkStart w:id="127" w:name="_Toc394"/>
      <w:bookmarkStart w:id="128" w:name="_Toc14571"/>
      <w:bookmarkStart w:id="129" w:name="_Toc15540"/>
      <w:bookmarkStart w:id="130" w:name="_Toc29202"/>
      <w:bookmarkStart w:id="131" w:name="_Toc16595"/>
      <w:bookmarkStart w:id="132" w:name="_Toc111997221"/>
      <w:bookmarkStart w:id="133" w:name="_Toc13150046"/>
      <w:bookmarkStart w:id="134" w:name="_Toc15630"/>
      <w:bookmarkStart w:id="135" w:name="_Toc18321"/>
      <w:bookmarkStart w:id="136" w:name="_Toc28955"/>
      <w:r>
        <w:rPr>
          <w:rFonts w:hint="eastAsia" w:ascii="宋体" w:hAnsi="宋体" w:eastAsia="宋体" w:cs="宋体"/>
          <w:b/>
          <w:bCs/>
          <w:color w:val="000000"/>
          <w:sz w:val="21"/>
          <w:szCs w:val="21"/>
          <w:highlight w:val="none"/>
          <w:lang w:val="en-US" w:eastAsia="zh-CN"/>
        </w:rPr>
        <w:t>1.7</w:t>
      </w:r>
      <w:r>
        <w:rPr>
          <w:rFonts w:hint="eastAsia" w:ascii="宋体" w:hAnsi="宋体" w:eastAsia="宋体" w:cs="宋体"/>
          <w:b/>
          <w:bCs/>
          <w:color w:val="000000"/>
          <w:sz w:val="21"/>
          <w:szCs w:val="21"/>
          <w:highlight w:val="none"/>
        </w:rPr>
        <w:t>磋商语言</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14BA99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响应性文件使用的语言文字为中文。专用术语使用外文的，应附有中文注释。</w:t>
      </w:r>
    </w:p>
    <w:p w14:paraId="71140C3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37" w:name="_Toc14186"/>
      <w:bookmarkStart w:id="138" w:name="_Toc19599"/>
      <w:bookmarkStart w:id="139" w:name="_Toc14812"/>
      <w:bookmarkStart w:id="140" w:name="_Toc20418"/>
      <w:bookmarkStart w:id="141" w:name="_Toc111997222"/>
      <w:bookmarkStart w:id="142" w:name="_Toc21374"/>
      <w:bookmarkStart w:id="143" w:name="_Toc22605"/>
      <w:bookmarkStart w:id="144" w:name="_Toc19104"/>
      <w:bookmarkStart w:id="145" w:name="_Toc26140"/>
      <w:bookmarkStart w:id="146" w:name="_Toc13150047"/>
      <w:bookmarkStart w:id="147" w:name="_Toc30395"/>
      <w:bookmarkStart w:id="148" w:name="_Toc7027"/>
      <w:bookmarkStart w:id="149" w:name="_Toc30202"/>
      <w:bookmarkStart w:id="150" w:name="_Toc11853"/>
      <w:bookmarkStart w:id="151" w:name="_Toc1695"/>
      <w:bookmarkStart w:id="152" w:name="_Toc15679"/>
      <w:r>
        <w:rPr>
          <w:rFonts w:hint="eastAsia" w:ascii="宋体" w:hAnsi="宋体" w:eastAsia="宋体" w:cs="宋体"/>
          <w:b/>
          <w:bCs/>
          <w:color w:val="000000"/>
          <w:sz w:val="21"/>
          <w:szCs w:val="21"/>
          <w:highlight w:val="none"/>
          <w:lang w:val="en-US" w:eastAsia="zh-CN"/>
        </w:rPr>
        <w:t>1.8</w:t>
      </w:r>
      <w:r>
        <w:rPr>
          <w:rFonts w:hint="eastAsia" w:ascii="宋体" w:hAnsi="宋体" w:eastAsia="宋体" w:cs="宋体"/>
          <w:b/>
          <w:bCs/>
          <w:color w:val="000000"/>
          <w:sz w:val="21"/>
          <w:szCs w:val="21"/>
          <w:highlight w:val="none"/>
        </w:rPr>
        <w:t>响应文件计量单位</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1812EA4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除在竞争性磋商文件的技术文件中另有规定外，计量单位均使用中华人民共和国法定计量</w:t>
      </w:r>
    </w:p>
    <w:p w14:paraId="2F5DBEF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标准单位。</w:t>
      </w:r>
    </w:p>
    <w:p w14:paraId="4AFFB1A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53" w:name="_Toc16349"/>
      <w:bookmarkStart w:id="154" w:name="_Toc31590"/>
      <w:bookmarkStart w:id="155" w:name="_Toc15754"/>
      <w:bookmarkStart w:id="156" w:name="_Toc16602"/>
      <w:bookmarkStart w:id="157" w:name="_Toc20160"/>
      <w:bookmarkStart w:id="158" w:name="_Toc23957"/>
      <w:bookmarkStart w:id="159" w:name="_Toc20117"/>
      <w:bookmarkStart w:id="160" w:name="_Toc23880"/>
      <w:bookmarkStart w:id="161" w:name="_Toc19923"/>
      <w:bookmarkStart w:id="162" w:name="_Toc4326"/>
      <w:bookmarkStart w:id="163" w:name="_Toc22110"/>
      <w:bookmarkStart w:id="164" w:name="_Toc111997223"/>
      <w:bookmarkStart w:id="165" w:name="_Toc4322"/>
      <w:bookmarkStart w:id="166" w:name="_Toc10538"/>
      <w:bookmarkStart w:id="167" w:name="_Toc13150048"/>
      <w:bookmarkStart w:id="168" w:name="_Toc12071"/>
      <w:r>
        <w:rPr>
          <w:rFonts w:hint="eastAsia" w:ascii="宋体" w:hAnsi="宋体" w:eastAsia="宋体" w:cs="宋体"/>
          <w:b/>
          <w:bCs/>
          <w:color w:val="000000"/>
          <w:sz w:val="21"/>
          <w:szCs w:val="21"/>
          <w:highlight w:val="none"/>
          <w:lang w:val="en-US" w:eastAsia="zh-CN"/>
        </w:rPr>
        <w:t>1.9</w:t>
      </w:r>
      <w:r>
        <w:rPr>
          <w:rFonts w:hint="eastAsia" w:ascii="宋体" w:hAnsi="宋体" w:eastAsia="宋体" w:cs="宋体"/>
          <w:b/>
          <w:bCs/>
          <w:color w:val="000000"/>
          <w:sz w:val="21"/>
          <w:szCs w:val="21"/>
          <w:highlight w:val="none"/>
        </w:rPr>
        <w:t>磋商货币</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2DECF9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除非另有规定，供应商提供的所有服务用人民币报价。</w:t>
      </w:r>
    </w:p>
    <w:p w14:paraId="7589607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color w:val="000000"/>
          <w:sz w:val="21"/>
          <w:szCs w:val="21"/>
          <w:highlight w:val="none"/>
        </w:rPr>
      </w:pPr>
      <w:bookmarkStart w:id="169" w:name="_Toc7123"/>
      <w:bookmarkStart w:id="170" w:name="_Toc111997224"/>
      <w:bookmarkStart w:id="171" w:name="_Toc141"/>
      <w:bookmarkStart w:id="172" w:name="_Toc30804"/>
      <w:bookmarkStart w:id="173" w:name="_Toc26021"/>
      <w:bookmarkStart w:id="174" w:name="_Toc19335"/>
      <w:bookmarkStart w:id="175" w:name="_Toc4030"/>
      <w:bookmarkStart w:id="176" w:name="_Toc4873"/>
      <w:bookmarkStart w:id="177" w:name="_Toc28184"/>
      <w:bookmarkStart w:id="178" w:name="_Toc13150049"/>
      <w:bookmarkStart w:id="179" w:name="_Toc16853"/>
      <w:bookmarkStart w:id="180" w:name="_Toc22325"/>
      <w:bookmarkStart w:id="181" w:name="_Toc12048"/>
      <w:bookmarkStart w:id="182" w:name="_Toc20536"/>
      <w:bookmarkStart w:id="183" w:name="_Toc10284"/>
      <w:bookmarkStart w:id="184" w:name="_Toc12030"/>
      <w:bookmarkStart w:id="185" w:name="_Toc31058"/>
      <w:bookmarkStart w:id="186" w:name="_Toc24561"/>
      <w:r>
        <w:rPr>
          <w:rFonts w:hint="eastAsia" w:ascii="宋体" w:hAnsi="宋体" w:eastAsia="宋体" w:cs="宋体"/>
          <w:b/>
          <w:bCs/>
          <w:color w:val="000000"/>
          <w:sz w:val="21"/>
          <w:szCs w:val="21"/>
          <w:highlight w:val="none"/>
          <w:lang w:val="en-US" w:eastAsia="zh-CN"/>
        </w:rPr>
        <w:t>1.10</w:t>
      </w:r>
      <w:r>
        <w:rPr>
          <w:rFonts w:hint="eastAsia" w:ascii="宋体" w:hAnsi="宋体" w:eastAsia="宋体" w:cs="宋体"/>
          <w:b/>
          <w:bCs/>
          <w:color w:val="000000"/>
          <w:sz w:val="21"/>
          <w:szCs w:val="21"/>
          <w:highlight w:val="none"/>
        </w:rPr>
        <w:t>保密</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4A60423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参与</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活动的各方应对竞争性磋商文件和响应文件中的商业和技术等秘密保密，否则应承担相应的法律责任。</w:t>
      </w:r>
    </w:p>
    <w:p w14:paraId="1848FE0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000000"/>
          <w:sz w:val="21"/>
          <w:szCs w:val="21"/>
          <w:highlight w:val="none"/>
        </w:rPr>
      </w:pPr>
      <w:bookmarkStart w:id="187" w:name="_Toc111997225"/>
      <w:r>
        <w:rPr>
          <w:rFonts w:hint="eastAsia" w:ascii="宋体" w:hAnsi="宋体" w:eastAsia="宋体" w:cs="宋体"/>
          <w:color w:val="000000"/>
          <w:sz w:val="21"/>
          <w:szCs w:val="21"/>
          <w:highlight w:val="none"/>
        </w:rPr>
        <w:t>1.11是否允许递交备选</w:t>
      </w: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方案：见供应商须知前附表。</w:t>
      </w:r>
      <w:bookmarkEnd w:id="187"/>
    </w:p>
    <w:p w14:paraId="6DE9CCE9">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bookmarkStart w:id="188" w:name="_Toc22953398"/>
      <w:bookmarkEnd w:id="188"/>
      <w:bookmarkStart w:id="189" w:name="_Toc22741"/>
      <w:bookmarkStart w:id="190" w:name="_Toc19127"/>
      <w:bookmarkStart w:id="191" w:name="_Toc28711"/>
      <w:bookmarkStart w:id="192" w:name="_Toc111997498"/>
      <w:bookmarkStart w:id="193" w:name="_Toc9688"/>
      <w:bookmarkStart w:id="194" w:name="_Toc14245"/>
      <w:bookmarkStart w:id="195" w:name="_Toc3815"/>
      <w:bookmarkStart w:id="196" w:name="_Toc10998"/>
      <w:bookmarkStart w:id="197" w:name="_Toc8988"/>
      <w:bookmarkStart w:id="198" w:name="_Toc11937"/>
      <w:bookmarkStart w:id="199" w:name="_Toc7859"/>
      <w:bookmarkStart w:id="200" w:name="_Toc9573"/>
      <w:bookmarkStart w:id="201" w:name="_Toc27532"/>
      <w:bookmarkStart w:id="202" w:name="_Toc114667871"/>
      <w:bookmarkStart w:id="203" w:name="_Toc111997226"/>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竞争性磋商文件</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2201C97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204" w:name="_Toc8809"/>
      <w:bookmarkStart w:id="205" w:name="_Toc12094"/>
      <w:bookmarkStart w:id="206" w:name="_Toc20718"/>
      <w:bookmarkStart w:id="207" w:name="_Toc17016"/>
      <w:bookmarkStart w:id="208" w:name="_Toc341"/>
      <w:bookmarkStart w:id="209" w:name="_Toc13150051"/>
      <w:bookmarkStart w:id="210" w:name="_Toc111997227"/>
      <w:bookmarkStart w:id="211" w:name="_Toc22684"/>
      <w:bookmarkStart w:id="212" w:name="_Toc16865"/>
      <w:bookmarkStart w:id="213" w:name="_Toc20374"/>
      <w:bookmarkStart w:id="214" w:name="_Toc27662"/>
      <w:bookmarkStart w:id="215" w:name="_Toc23916"/>
      <w:bookmarkStart w:id="216" w:name="_Toc16888"/>
      <w:bookmarkStart w:id="217" w:name="_Toc19082"/>
      <w:bookmarkStart w:id="218" w:name="_Toc22611"/>
      <w:bookmarkStart w:id="219" w:name="_Toc13820"/>
      <w:r>
        <w:rPr>
          <w:rFonts w:hint="eastAsia" w:ascii="宋体" w:hAnsi="宋体" w:eastAsia="宋体" w:cs="宋体"/>
          <w:color w:val="000000"/>
          <w:sz w:val="21"/>
          <w:szCs w:val="21"/>
          <w:highlight w:val="none"/>
          <w:lang w:val="en-US" w:eastAsia="zh-CN"/>
        </w:rPr>
        <w:t>2.1</w:t>
      </w:r>
      <w:r>
        <w:rPr>
          <w:rFonts w:hint="eastAsia" w:ascii="宋体" w:hAnsi="宋体" w:eastAsia="宋体" w:cs="宋体"/>
          <w:color w:val="000000"/>
          <w:sz w:val="21"/>
          <w:szCs w:val="21"/>
          <w:highlight w:val="none"/>
        </w:rPr>
        <w:t>竞争性磋商文件的构成</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7C4FBF6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2.1.1</w:t>
      </w:r>
      <w:r>
        <w:rPr>
          <w:rFonts w:hint="eastAsia" w:ascii="宋体" w:hAnsi="宋体" w:eastAsia="宋体" w:cs="宋体"/>
          <w:color w:val="000000"/>
          <w:sz w:val="21"/>
          <w:szCs w:val="21"/>
          <w:highlight w:val="none"/>
        </w:rPr>
        <w:t>竞争性磋商文件用以阐明本次磋商的服务要求、磋商程序和合同条件。</w:t>
      </w:r>
    </w:p>
    <w:p w14:paraId="1A29332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竞争性磋商文件由下述部分组成：</w:t>
      </w:r>
      <w:bookmarkStart w:id="220" w:name="_Toc14335"/>
      <w:bookmarkStart w:id="221" w:name="_Toc30758"/>
      <w:bookmarkStart w:id="222" w:name="_Toc10510"/>
      <w:bookmarkStart w:id="223" w:name="_Toc13997"/>
      <w:bookmarkStart w:id="224" w:name="_Toc8440"/>
      <w:bookmarkStart w:id="225" w:name="_Toc9503"/>
      <w:bookmarkStart w:id="226" w:name="_Toc31666"/>
      <w:bookmarkStart w:id="227" w:name="_Toc74"/>
      <w:bookmarkStart w:id="228" w:name="_Toc9788"/>
      <w:bookmarkStart w:id="229" w:name="_Toc7860"/>
      <w:bookmarkStart w:id="230" w:name="_Toc31045"/>
      <w:bookmarkStart w:id="231" w:name="_Toc18000"/>
      <w:bookmarkStart w:id="232" w:name="_Toc29748"/>
      <w:bookmarkStart w:id="233" w:name="_Toc13150052"/>
      <w:bookmarkStart w:id="234" w:name="_Toc29432"/>
      <w:r>
        <w:rPr>
          <w:rFonts w:hint="eastAsia" w:ascii="宋体" w:hAnsi="宋体" w:eastAsia="宋体" w:cs="宋体"/>
          <w:color w:val="000000"/>
          <w:sz w:val="21"/>
          <w:szCs w:val="21"/>
          <w:highlight w:val="none"/>
          <w:lang w:val="en-US" w:eastAsia="zh-CN"/>
        </w:rPr>
        <w:t>详</w:t>
      </w:r>
      <w:r>
        <w:rPr>
          <w:rFonts w:hint="eastAsia" w:ascii="宋体" w:hAnsi="宋体" w:eastAsia="宋体" w:cs="宋体"/>
          <w:color w:val="000000"/>
          <w:sz w:val="21"/>
          <w:szCs w:val="21"/>
          <w:highlight w:val="none"/>
        </w:rPr>
        <w:t>见</w:t>
      </w:r>
      <w:r>
        <w:rPr>
          <w:rFonts w:hint="eastAsia" w:ascii="宋体" w:hAnsi="宋体" w:eastAsia="宋体" w:cs="宋体"/>
          <w:color w:val="000000"/>
          <w:sz w:val="21"/>
          <w:szCs w:val="21"/>
          <w:highlight w:val="none"/>
          <w:lang w:val="en-US" w:eastAsia="zh-CN"/>
        </w:rPr>
        <w:t>磋商文件</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rPr>
        <w:tab/>
      </w:r>
    </w:p>
    <w:p w14:paraId="280FE34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2.1.2根据本章第2.2款和第2.3款对竞争性磋商文件所作的澄清、修改，构成竞争性磋</w:t>
      </w:r>
    </w:p>
    <w:p w14:paraId="035A35B1">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商文件的组成部分。</w:t>
      </w:r>
    </w:p>
    <w:p w14:paraId="6183B922">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35" w:name="_Toc111997228"/>
      <w:r>
        <w:rPr>
          <w:rFonts w:hint="eastAsia" w:ascii="宋体" w:hAnsi="宋体" w:eastAsia="宋体" w:cs="宋体"/>
          <w:b/>
          <w:bCs/>
          <w:color w:val="000000"/>
          <w:sz w:val="21"/>
          <w:szCs w:val="21"/>
          <w:highlight w:val="none"/>
          <w:lang w:val="en-US" w:eastAsia="zh-CN"/>
        </w:rPr>
        <w:t>2.2</w:t>
      </w:r>
      <w:r>
        <w:rPr>
          <w:rFonts w:hint="eastAsia" w:ascii="宋体" w:hAnsi="宋体" w:eastAsia="宋体" w:cs="宋体"/>
          <w:b/>
          <w:bCs/>
          <w:color w:val="000000"/>
          <w:sz w:val="21"/>
          <w:szCs w:val="21"/>
          <w:highlight w:val="none"/>
        </w:rPr>
        <w:t>竞争性磋商文件的澄清</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5EB40A1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2.2.1</w:t>
      </w:r>
      <w:r>
        <w:rPr>
          <w:rFonts w:hint="eastAsia" w:ascii="宋体" w:hAnsi="宋体" w:eastAsia="宋体" w:cs="宋体"/>
          <w:color w:val="000000"/>
          <w:sz w:val="21"/>
          <w:szCs w:val="21"/>
          <w:highlight w:val="none"/>
        </w:rPr>
        <w:t>供应商应仔细阅读和检查竞争性磋商文件的全部内容。如发现缺页或附件不全，应及时向采购代理代理机构提出，以便补齐。如有疑问，应按供应商须知前附表规定的时间和形式将提出的问题送达采购人，要求采购人对竞争性磋商文件予以澄清。</w:t>
      </w:r>
    </w:p>
    <w:p w14:paraId="1E6DF74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2.2.2</w:t>
      </w:r>
      <w:r>
        <w:rPr>
          <w:rFonts w:hint="eastAsia" w:ascii="宋体" w:hAnsi="宋体" w:eastAsia="宋体" w:cs="宋体"/>
          <w:color w:val="000000"/>
          <w:sz w:val="21"/>
          <w:szCs w:val="21"/>
          <w:highlight w:val="none"/>
        </w:rPr>
        <w:t>竞争性磋商文件的澄清以供应商须知前附表规定的形式在原公告媒体发布澄清公告，但不指明澄清问题的来源。澄清在提交响应文件截止时间至少5日前，以书面形式通知所有获取磋商文件的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；不足5日的，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采购代理机构</w:t>
      </w:r>
      <w:r>
        <w:rPr>
          <w:rFonts w:hint="eastAsia" w:ascii="宋体" w:hAnsi="宋体" w:eastAsia="宋体" w:cs="宋体"/>
          <w:color w:val="000000"/>
          <w:sz w:val="21"/>
          <w:szCs w:val="21"/>
          <w:highlight w:val="none"/>
        </w:rPr>
        <w:t>应当顺延提交响应文件截止时间。</w:t>
      </w:r>
    </w:p>
    <w:p w14:paraId="74A32EF7">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36" w:name="_Toc21811"/>
      <w:bookmarkStart w:id="237" w:name="_Toc12256"/>
      <w:bookmarkStart w:id="238" w:name="_Toc32016"/>
      <w:bookmarkStart w:id="239" w:name="_Toc111997229"/>
      <w:bookmarkStart w:id="240" w:name="_Toc5825"/>
      <w:bookmarkStart w:id="241" w:name="_Toc23306"/>
      <w:bookmarkStart w:id="242" w:name="_Toc30638"/>
      <w:bookmarkStart w:id="243" w:name="_Toc13150053"/>
      <w:bookmarkStart w:id="244" w:name="_Toc24"/>
      <w:bookmarkStart w:id="245" w:name="_Toc28275"/>
      <w:bookmarkStart w:id="246" w:name="_Toc15286"/>
      <w:bookmarkStart w:id="247" w:name="_Toc18772"/>
      <w:bookmarkStart w:id="248" w:name="_Toc334"/>
      <w:bookmarkStart w:id="249" w:name="_Toc6493"/>
      <w:bookmarkStart w:id="250" w:name="_Toc17409"/>
      <w:bookmarkStart w:id="251" w:name="_Toc16407"/>
      <w:r>
        <w:rPr>
          <w:rFonts w:hint="eastAsia" w:ascii="宋体" w:hAnsi="宋体" w:eastAsia="宋体" w:cs="宋体"/>
          <w:b/>
          <w:bCs/>
          <w:color w:val="000000"/>
          <w:sz w:val="21"/>
          <w:szCs w:val="21"/>
          <w:highlight w:val="none"/>
          <w:lang w:val="en-US" w:eastAsia="zh-CN"/>
        </w:rPr>
        <w:t>2.3</w:t>
      </w:r>
      <w:r>
        <w:rPr>
          <w:rFonts w:hint="eastAsia" w:ascii="宋体" w:hAnsi="宋体" w:eastAsia="宋体" w:cs="宋体"/>
          <w:b/>
          <w:bCs/>
          <w:color w:val="000000"/>
          <w:sz w:val="21"/>
          <w:szCs w:val="21"/>
          <w:highlight w:val="none"/>
        </w:rPr>
        <w:t>竞争性磋商文件的修改</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4F0062F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252" w:name="_Toc179632567"/>
      <w:bookmarkStart w:id="253" w:name="_Toc152045549"/>
      <w:bookmarkStart w:id="254" w:name="_Toc296602439"/>
      <w:bookmarkStart w:id="255" w:name="_Toc247085708"/>
      <w:bookmarkStart w:id="256" w:name="_Toc19907"/>
      <w:bookmarkStart w:id="257" w:name="_Toc144974517"/>
      <w:bookmarkStart w:id="258" w:name="_Toc152042325"/>
      <w:bookmarkStart w:id="259" w:name="_Toc246996937"/>
      <w:bookmarkStart w:id="260" w:name="_Toc246996194"/>
      <w:bookmarkStart w:id="261" w:name="_Toc25688"/>
      <w:bookmarkStart w:id="262" w:name="_Toc3866"/>
      <w:bookmarkStart w:id="263" w:name="_Toc10809"/>
      <w:bookmarkStart w:id="264" w:name="_Toc15120"/>
      <w:r>
        <w:rPr>
          <w:rFonts w:hint="eastAsia" w:ascii="宋体" w:hAnsi="宋体" w:eastAsia="宋体" w:cs="宋体"/>
          <w:color w:val="000000"/>
          <w:sz w:val="21"/>
          <w:szCs w:val="21"/>
          <w:highlight w:val="none"/>
        </w:rPr>
        <w:t>在提交响应文件截止时间至少5日前，</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可以以书面形式修改竞争性磋商文件，并通知所有已购买竞争性磋商文件的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。不足5日的，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采购代理机构</w:t>
      </w:r>
      <w:r>
        <w:rPr>
          <w:rFonts w:hint="eastAsia" w:ascii="宋体" w:hAnsi="宋体" w:eastAsia="宋体" w:cs="宋体"/>
          <w:color w:val="000000"/>
          <w:sz w:val="21"/>
          <w:szCs w:val="21"/>
          <w:highlight w:val="none"/>
        </w:rPr>
        <w:t>应当顺延响应文件</w:t>
      </w:r>
      <w:r>
        <w:rPr>
          <w:rFonts w:hint="eastAsia" w:ascii="宋体" w:hAnsi="宋体" w:eastAsia="宋体" w:cs="宋体"/>
          <w:color w:val="000000"/>
          <w:sz w:val="21"/>
          <w:szCs w:val="21"/>
          <w:highlight w:val="none"/>
          <w:lang w:eastAsia="zh-CN"/>
        </w:rPr>
        <w:t>递交的</w:t>
      </w:r>
      <w:r>
        <w:rPr>
          <w:rFonts w:hint="eastAsia" w:ascii="宋体" w:hAnsi="宋体" w:eastAsia="宋体" w:cs="宋体"/>
          <w:color w:val="000000"/>
          <w:sz w:val="21"/>
          <w:szCs w:val="21"/>
          <w:highlight w:val="none"/>
        </w:rPr>
        <w:t>截止时间。</w:t>
      </w:r>
    </w:p>
    <w:p w14:paraId="283D1704">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2.</w:t>
      </w:r>
      <w:r>
        <w:rPr>
          <w:rFonts w:hint="eastAsia" w:ascii="宋体" w:hAnsi="宋体" w:eastAsia="宋体" w:cs="宋体"/>
          <w:b/>
          <w:bCs/>
          <w:color w:val="000000"/>
          <w:sz w:val="21"/>
          <w:szCs w:val="21"/>
          <w:highlight w:val="none"/>
          <w:lang w:val="en-US" w:eastAsia="zh-CN"/>
        </w:rPr>
        <w:t>4</w:t>
      </w:r>
      <w:r>
        <w:rPr>
          <w:rFonts w:hint="eastAsia" w:ascii="宋体" w:hAnsi="宋体" w:eastAsia="宋体" w:cs="宋体"/>
          <w:b/>
          <w:bCs/>
          <w:color w:val="000000"/>
          <w:sz w:val="21"/>
          <w:szCs w:val="21"/>
          <w:highlight w:val="none"/>
        </w:rPr>
        <w:t xml:space="preserve"> 磋商有效期</w:t>
      </w:r>
      <w:bookmarkEnd w:id="252"/>
      <w:bookmarkEnd w:id="253"/>
      <w:bookmarkEnd w:id="254"/>
      <w:bookmarkEnd w:id="255"/>
      <w:bookmarkEnd w:id="256"/>
      <w:bookmarkEnd w:id="257"/>
      <w:bookmarkEnd w:id="258"/>
      <w:bookmarkEnd w:id="259"/>
      <w:bookmarkEnd w:id="260"/>
    </w:p>
    <w:p w14:paraId="2BB8CA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 xml:space="preserve">.1 </w:t>
      </w:r>
      <w:r>
        <w:rPr>
          <w:rFonts w:hint="eastAsia" w:ascii="宋体" w:hAnsi="宋体" w:eastAsia="宋体" w:cs="宋体"/>
          <w:color w:val="auto"/>
          <w:sz w:val="21"/>
          <w:szCs w:val="21"/>
          <w:highlight w:val="none"/>
        </w:rPr>
        <w:t>响应文件递交截止之日起60日历天</w:t>
      </w:r>
      <w:r>
        <w:rPr>
          <w:rFonts w:hint="eastAsia" w:ascii="宋体" w:hAnsi="宋体" w:eastAsia="宋体" w:cs="宋体"/>
          <w:color w:val="000000"/>
          <w:sz w:val="21"/>
          <w:szCs w:val="21"/>
          <w:highlight w:val="none"/>
        </w:rPr>
        <w:t>。</w:t>
      </w:r>
    </w:p>
    <w:p w14:paraId="074B208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.2在磋商有效期内，供应商撤销响应文件的，应承担磋商文件和法律规定的责任。</w:t>
      </w:r>
    </w:p>
    <w:p w14:paraId="60F9439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.3出现特殊情况需要延长</w:t>
      </w:r>
      <w:r>
        <w:rPr>
          <w:rFonts w:hint="eastAsia" w:ascii="宋体" w:hAnsi="宋体" w:eastAsia="宋体" w:cs="宋体"/>
          <w:color w:val="000000"/>
          <w:sz w:val="21"/>
          <w:szCs w:val="21"/>
          <w:highlight w:val="none"/>
          <w:lang w:eastAsia="zh-CN"/>
        </w:rPr>
        <w:t>磋商有效期</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以书面形式通知所有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延长</w:t>
      </w:r>
      <w:r>
        <w:rPr>
          <w:rFonts w:hint="eastAsia" w:ascii="宋体" w:hAnsi="宋体" w:eastAsia="宋体" w:cs="宋体"/>
          <w:color w:val="000000"/>
          <w:sz w:val="21"/>
          <w:szCs w:val="21"/>
          <w:highlight w:val="none"/>
          <w:lang w:eastAsia="zh-CN"/>
        </w:rPr>
        <w:t>磋商有效期</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同意延长的，不得要求或被允许修改或撤销其响应文件；</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拒绝延长的，其</w:t>
      </w:r>
      <w:r>
        <w:rPr>
          <w:rFonts w:hint="eastAsia" w:ascii="宋体" w:hAnsi="宋体" w:eastAsia="宋体" w:cs="宋体"/>
          <w:color w:val="000000"/>
          <w:sz w:val="21"/>
          <w:szCs w:val="21"/>
          <w:highlight w:val="none"/>
          <w:lang w:val="en-US" w:eastAsia="zh-CN"/>
        </w:rPr>
        <w:t>响应</w:t>
      </w:r>
      <w:r>
        <w:rPr>
          <w:rFonts w:hint="eastAsia" w:ascii="宋体" w:hAnsi="宋体" w:eastAsia="宋体" w:cs="宋体"/>
          <w:color w:val="000000"/>
          <w:sz w:val="21"/>
          <w:szCs w:val="21"/>
          <w:highlight w:val="none"/>
        </w:rPr>
        <w:t>失效。</w:t>
      </w:r>
    </w:p>
    <w:p w14:paraId="7DD0996C">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265" w:name="_Toc114667872"/>
      <w:bookmarkStart w:id="266" w:name="_Toc21947"/>
      <w:bookmarkStart w:id="267" w:name="_Toc32291"/>
      <w:bookmarkStart w:id="268" w:name="_Toc18906"/>
      <w:bookmarkStart w:id="269" w:name="_Toc6157"/>
      <w:bookmarkStart w:id="270" w:name="_Toc12138"/>
      <w:bookmarkStart w:id="271" w:name="_Toc111997230"/>
      <w:bookmarkStart w:id="272" w:name="_Toc27628"/>
      <w:bookmarkStart w:id="273" w:name="_Toc13670"/>
      <w:bookmarkStart w:id="274" w:name="_Toc9293"/>
      <w:bookmarkStart w:id="275" w:name="_Toc111997499"/>
      <w:r>
        <w:rPr>
          <w:rFonts w:hint="eastAsia" w:ascii="宋体" w:hAnsi="宋体" w:eastAsia="宋体" w:cs="宋体"/>
          <w:b/>
          <w:bCs/>
          <w:color w:val="000000"/>
          <w:sz w:val="21"/>
          <w:szCs w:val="21"/>
          <w:highlight w:val="none"/>
        </w:rPr>
        <w:t>3.响应文件</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163D2EA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zh-CN"/>
        </w:rPr>
      </w:pPr>
      <w:bookmarkStart w:id="276" w:name="_Toc28702"/>
      <w:bookmarkStart w:id="277" w:name="_Toc20318"/>
      <w:bookmarkStart w:id="278" w:name="_Toc18886"/>
      <w:bookmarkStart w:id="279" w:name="_Toc10184"/>
      <w:bookmarkStart w:id="280" w:name="_Toc3534"/>
      <w:bookmarkStart w:id="281" w:name="_Toc29146"/>
      <w:bookmarkStart w:id="282" w:name="_Toc32308"/>
      <w:bookmarkStart w:id="283" w:name="_Toc16815"/>
      <w:bookmarkStart w:id="284" w:name="_Toc27918"/>
      <w:bookmarkStart w:id="285" w:name="_Toc29160"/>
      <w:bookmarkStart w:id="286" w:name="_Toc26694"/>
      <w:bookmarkStart w:id="287" w:name="_Toc11643"/>
      <w:bookmarkStart w:id="288" w:name="_Toc11933"/>
      <w:bookmarkStart w:id="289" w:name="_Toc13150055"/>
      <w:bookmarkStart w:id="290" w:name="_Toc21684"/>
      <w:bookmarkStart w:id="291" w:name="_Toc111997231"/>
      <w:r>
        <w:rPr>
          <w:rFonts w:hint="eastAsia" w:ascii="宋体" w:hAnsi="宋体" w:eastAsia="宋体" w:cs="宋体"/>
          <w:color w:val="000000"/>
          <w:sz w:val="21"/>
          <w:szCs w:val="21"/>
          <w:highlight w:val="none"/>
        </w:rPr>
        <w:t>3.1响应文件的组成</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详见磋商文件内容</w:t>
      </w:r>
      <w:r>
        <w:rPr>
          <w:rFonts w:hint="eastAsia" w:ascii="宋体" w:hAnsi="宋体" w:eastAsia="宋体" w:cs="宋体"/>
          <w:color w:val="000000"/>
          <w:sz w:val="21"/>
          <w:szCs w:val="21"/>
          <w:highlight w:val="none"/>
        </w:rPr>
        <w:tab/>
      </w:r>
    </w:p>
    <w:p w14:paraId="22CC680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3.1.2竞争性磋商文件中的每个分包，是项目</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不可拆分的最小单元，供应商必须按此分包编制响应文件，提交相应的文件资料，拆包将视为漏项或非实质性响应予以认定为</w:t>
      </w:r>
      <w:r>
        <w:rPr>
          <w:rFonts w:hint="eastAsia" w:ascii="宋体" w:hAnsi="宋体" w:eastAsia="宋体" w:cs="宋体"/>
          <w:color w:val="000000"/>
          <w:sz w:val="21"/>
          <w:szCs w:val="21"/>
          <w:highlight w:val="none"/>
          <w:lang w:eastAsia="zh-CN"/>
        </w:rPr>
        <w:t>响应</w:t>
      </w:r>
      <w:r>
        <w:rPr>
          <w:rFonts w:hint="eastAsia" w:ascii="宋体" w:hAnsi="宋体" w:eastAsia="宋体" w:cs="宋体"/>
          <w:color w:val="000000"/>
          <w:sz w:val="21"/>
          <w:szCs w:val="21"/>
          <w:highlight w:val="none"/>
        </w:rPr>
        <w:t>无效。</w:t>
      </w:r>
    </w:p>
    <w:p w14:paraId="6DFE40DE">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lang w:eastAsia="zh-CN"/>
        </w:rPr>
      </w:pPr>
      <w:bookmarkStart w:id="292" w:name="_Toc28730"/>
      <w:bookmarkStart w:id="293" w:name="_Toc111997232"/>
      <w:bookmarkStart w:id="294" w:name="_Toc15089"/>
      <w:bookmarkStart w:id="295" w:name="_Toc29677"/>
      <w:r>
        <w:rPr>
          <w:rFonts w:hint="eastAsia" w:ascii="宋体" w:hAnsi="宋体" w:eastAsia="宋体" w:cs="宋体"/>
          <w:color w:val="000000"/>
          <w:sz w:val="21"/>
          <w:szCs w:val="21"/>
          <w:highlight w:val="none"/>
        </w:rPr>
        <w:t>3.2</w:t>
      </w:r>
      <w:bookmarkEnd w:id="292"/>
      <w:bookmarkEnd w:id="293"/>
      <w:bookmarkEnd w:id="294"/>
      <w:bookmarkEnd w:id="295"/>
      <w:r>
        <w:rPr>
          <w:rFonts w:hint="eastAsia" w:ascii="宋体" w:hAnsi="宋体" w:eastAsia="宋体" w:cs="宋体"/>
          <w:color w:val="000000"/>
          <w:sz w:val="21"/>
          <w:szCs w:val="21"/>
          <w:highlight w:val="none"/>
          <w:lang w:eastAsia="zh-CN"/>
        </w:rPr>
        <w:t>控制价</w:t>
      </w:r>
    </w:p>
    <w:p w14:paraId="2F0192E4">
      <w:pPr>
        <w:widowControl/>
        <w:spacing w:line="460" w:lineRule="exact"/>
        <w:ind w:firstLine="420" w:firstLineChars="200"/>
        <w:jc w:val="left"/>
        <w:rPr>
          <w:rFonts w:hint="eastAsia" w:ascii="宋体" w:hAnsi="宋体" w:eastAsia="宋体" w:cs="宋体"/>
          <w:color w:val="000000"/>
          <w:sz w:val="21"/>
          <w:szCs w:val="21"/>
          <w:highlight w:val="none"/>
          <w:lang w:val="en-US" w:eastAsia="zh-CN"/>
        </w:rPr>
      </w:pPr>
      <w:bookmarkStart w:id="296" w:name="_Toc27554"/>
      <w:bookmarkStart w:id="297" w:name="_Toc30724"/>
      <w:bookmarkStart w:id="298" w:name="_Toc13150057"/>
      <w:bookmarkStart w:id="299" w:name="_Toc21072"/>
      <w:bookmarkStart w:id="300" w:name="_Toc31617"/>
      <w:bookmarkStart w:id="301" w:name="_Toc20047"/>
      <w:bookmarkStart w:id="302" w:name="_Toc32562"/>
      <w:bookmarkStart w:id="303" w:name="_Toc12326"/>
      <w:bookmarkStart w:id="304" w:name="_Toc691"/>
      <w:bookmarkStart w:id="305" w:name="_Toc111997233"/>
      <w:bookmarkStart w:id="306" w:name="_Toc8364"/>
      <w:bookmarkStart w:id="307" w:name="_Toc26547"/>
      <w:bookmarkStart w:id="308" w:name="_Toc11716"/>
      <w:bookmarkStart w:id="309" w:name="_Toc19227"/>
      <w:bookmarkStart w:id="310" w:name="_Toc19375"/>
      <w:bookmarkStart w:id="311" w:name="_Toc22269"/>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大写：施工中标价的百分之壹点伍</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lang w:eastAsia="zh-CN"/>
        </w:rPr>
        <w:t>小写：施工中标价的</w:t>
      </w:r>
      <w:r>
        <w:rPr>
          <w:rFonts w:hint="eastAsia" w:ascii="宋体" w:hAnsi="宋体" w:eastAsia="宋体" w:cs="宋体"/>
          <w:color w:val="000000"/>
          <w:sz w:val="21"/>
          <w:szCs w:val="21"/>
          <w:highlight w:val="none"/>
          <w:lang w:val="en-US" w:eastAsia="zh-CN"/>
        </w:rPr>
        <w:t>1.5%</w:t>
      </w:r>
    </w:p>
    <w:p w14:paraId="25FACA7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供应商磋商报价超出“</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”（不含等于“</w:t>
      </w:r>
      <w:r>
        <w:rPr>
          <w:rFonts w:hint="eastAsia" w:ascii="宋体" w:hAnsi="宋体" w:eastAsia="宋体" w:cs="宋体"/>
          <w:color w:val="000000"/>
          <w:sz w:val="21"/>
          <w:szCs w:val="21"/>
          <w:highlight w:val="none"/>
          <w:lang w:eastAsia="zh-CN"/>
        </w:rPr>
        <w:t>控制价</w:t>
      </w:r>
      <w:r>
        <w:rPr>
          <w:rFonts w:hint="eastAsia" w:ascii="宋体" w:hAnsi="宋体" w:eastAsia="宋体" w:cs="宋体"/>
          <w:color w:val="000000"/>
          <w:sz w:val="21"/>
          <w:szCs w:val="21"/>
          <w:highlight w:val="none"/>
        </w:rPr>
        <w:t>”）的，该供应商的响应文件应作无效响应处理。</w:t>
      </w:r>
    </w:p>
    <w:p w14:paraId="204EE2EC">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3.3</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Fonts w:hint="eastAsia" w:ascii="宋体" w:hAnsi="宋体" w:eastAsia="宋体" w:cs="宋体"/>
          <w:b/>
          <w:bCs/>
          <w:color w:val="000000"/>
          <w:sz w:val="21"/>
          <w:szCs w:val="21"/>
          <w:highlight w:val="none"/>
          <w:lang w:eastAsia="zh-CN"/>
        </w:rPr>
        <w:t>履约保证金</w:t>
      </w:r>
      <w:r>
        <w:rPr>
          <w:rFonts w:hint="eastAsia" w:ascii="宋体" w:hAnsi="宋体" w:eastAsia="宋体" w:cs="宋体"/>
          <w:color w:val="000000"/>
          <w:sz w:val="21"/>
          <w:szCs w:val="21"/>
          <w:highlight w:val="none"/>
          <w:lang w:eastAsia="zh-CN"/>
        </w:rPr>
        <w:t>：不收取。</w:t>
      </w:r>
    </w:p>
    <w:p w14:paraId="1C2C58C8">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312" w:name="_Toc13150059"/>
      <w:bookmarkStart w:id="313" w:name="_Toc24295"/>
      <w:bookmarkStart w:id="314" w:name="_Toc24714"/>
      <w:bookmarkStart w:id="315" w:name="_Toc111997234"/>
      <w:bookmarkStart w:id="316" w:name="_Toc22106"/>
      <w:bookmarkStart w:id="317" w:name="_Toc10884"/>
      <w:bookmarkStart w:id="318" w:name="_Toc724"/>
      <w:bookmarkStart w:id="319" w:name="_Toc3318"/>
      <w:bookmarkStart w:id="320" w:name="_Toc24684"/>
      <w:bookmarkStart w:id="321" w:name="_Toc17110"/>
      <w:bookmarkStart w:id="322" w:name="_Toc30836"/>
      <w:bookmarkStart w:id="323" w:name="_Toc3169"/>
      <w:bookmarkStart w:id="324" w:name="_Toc14282"/>
      <w:bookmarkStart w:id="325" w:name="_Toc10542"/>
      <w:bookmarkStart w:id="326" w:name="_Toc16044"/>
      <w:bookmarkStart w:id="327" w:name="_Toc4082"/>
      <w:r>
        <w:rPr>
          <w:rFonts w:hint="eastAsia" w:ascii="宋体" w:hAnsi="宋体" w:eastAsia="宋体" w:cs="宋体"/>
          <w:b/>
          <w:bCs/>
          <w:color w:val="000000"/>
          <w:sz w:val="21"/>
          <w:szCs w:val="21"/>
          <w:highlight w:val="none"/>
          <w:lang w:eastAsia="zh-CN"/>
        </w:rPr>
        <w:t>3.4磋商保证金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6DCF07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按照《河南省财政厅关于优化政府采购营商环境有关问题的通知》（豫财购[2019]4号文）的要求本项目不再收取保证金。</w:t>
      </w:r>
    </w:p>
    <w:p w14:paraId="4D4D5373">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28" w:name="_Toc27913"/>
      <w:bookmarkStart w:id="329" w:name="_Toc111997235"/>
      <w:bookmarkStart w:id="330" w:name="_Toc630"/>
      <w:bookmarkStart w:id="331" w:name="_Toc650"/>
      <w:bookmarkStart w:id="332" w:name="_Toc24210"/>
      <w:bookmarkStart w:id="333" w:name="_Toc7496"/>
      <w:bookmarkStart w:id="334" w:name="_Toc21050"/>
      <w:bookmarkStart w:id="335" w:name="_Toc25186"/>
      <w:bookmarkStart w:id="336" w:name="_Toc10019"/>
      <w:bookmarkStart w:id="337" w:name="_Toc32415"/>
      <w:bookmarkStart w:id="338" w:name="_Toc14631"/>
      <w:bookmarkStart w:id="339" w:name="_Toc3838"/>
      <w:bookmarkStart w:id="340" w:name="_Toc15520"/>
      <w:bookmarkStart w:id="341" w:name="_Toc8554"/>
      <w:bookmarkStart w:id="342" w:name="_Toc13150061"/>
      <w:bookmarkStart w:id="343" w:name="_Toc1063"/>
      <w:r>
        <w:rPr>
          <w:rFonts w:hint="eastAsia" w:ascii="宋体" w:hAnsi="宋体" w:eastAsia="宋体" w:cs="宋体"/>
          <w:b/>
          <w:bCs/>
          <w:color w:val="000000"/>
          <w:sz w:val="21"/>
          <w:szCs w:val="21"/>
          <w:highlight w:val="none"/>
        </w:rPr>
        <w:t>3.5响应文件编制</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ACC033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3.5.1响应文件应按第六章 “响应文件格式”进行编写，如有必要，可以增加附页，作为响应文件的组成部分。其中，响应函附录在满足竞争性磋商文件实质性要求的基础上，可以提出比竞争性磋商文件要求更有利于采购人的承诺。</w:t>
      </w:r>
    </w:p>
    <w:p w14:paraId="0D5D0A8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44" w:name="_Toc13150063"/>
      <w:bookmarkStart w:id="345" w:name="_Toc4336"/>
      <w:bookmarkStart w:id="346" w:name="_Toc2029"/>
      <w:bookmarkStart w:id="347" w:name="_Toc22690"/>
      <w:bookmarkStart w:id="348" w:name="_Toc111997236"/>
      <w:bookmarkStart w:id="349" w:name="_Toc7201"/>
      <w:bookmarkStart w:id="350" w:name="_Toc11217"/>
      <w:bookmarkStart w:id="351" w:name="_Toc8909"/>
      <w:bookmarkStart w:id="352" w:name="_Toc17190"/>
      <w:bookmarkStart w:id="353" w:name="_Toc2541"/>
      <w:bookmarkStart w:id="354" w:name="_Toc7004"/>
      <w:bookmarkStart w:id="355" w:name="_Toc12292"/>
      <w:bookmarkStart w:id="356" w:name="_Toc21081"/>
      <w:bookmarkStart w:id="357" w:name="_Toc24089"/>
      <w:bookmarkStart w:id="358" w:name="_Toc15515"/>
      <w:bookmarkStart w:id="359" w:name="_Toc21288"/>
      <w:r>
        <w:rPr>
          <w:rFonts w:hint="eastAsia" w:ascii="宋体" w:hAnsi="宋体" w:eastAsia="宋体" w:cs="宋体"/>
          <w:color w:val="000000"/>
          <w:sz w:val="21"/>
          <w:szCs w:val="21"/>
          <w:highlight w:val="none"/>
          <w:lang w:val="en-US" w:eastAsia="zh-CN"/>
        </w:rPr>
        <w:t>3.5.2</w:t>
      </w:r>
      <w:r>
        <w:rPr>
          <w:rFonts w:hint="eastAsia" w:ascii="宋体" w:hAnsi="宋体" w:eastAsia="宋体" w:cs="宋体"/>
          <w:color w:val="000000"/>
          <w:sz w:val="21"/>
          <w:szCs w:val="21"/>
          <w:highlight w:val="none"/>
        </w:rPr>
        <w:t>供应商在生成电子化响应文件后，应对电子化响应文件进行签章，未进行签章的视为无效响应。</w:t>
      </w:r>
    </w:p>
    <w:p w14:paraId="3389955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3.5.</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 xml:space="preserve"> 资格评审部分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评审打分部分：以供应商自行上传到响应文件中的各类相应内容为准。</w:t>
      </w:r>
    </w:p>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14:paraId="34FBFF30">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60" w:name="_Toc28937"/>
      <w:bookmarkStart w:id="361" w:name="_Toc13150064"/>
      <w:bookmarkStart w:id="362" w:name="_Toc7202"/>
      <w:bookmarkStart w:id="363" w:name="_Toc111997237"/>
      <w:bookmarkStart w:id="364" w:name="_Toc17234"/>
      <w:bookmarkStart w:id="365" w:name="_Toc30292"/>
      <w:bookmarkStart w:id="366" w:name="_Toc2882"/>
      <w:bookmarkStart w:id="367" w:name="_Toc10448"/>
      <w:bookmarkStart w:id="368" w:name="_Toc14647"/>
      <w:bookmarkStart w:id="369" w:name="_Toc25206"/>
      <w:bookmarkStart w:id="370" w:name="_Toc13002"/>
      <w:bookmarkStart w:id="371" w:name="_Toc19523"/>
      <w:bookmarkStart w:id="372" w:name="_Toc2727"/>
      <w:bookmarkStart w:id="373" w:name="_Toc17164"/>
      <w:bookmarkStart w:id="374" w:name="_Toc8642"/>
      <w:bookmarkStart w:id="375" w:name="_Toc11445"/>
      <w:r>
        <w:rPr>
          <w:rFonts w:hint="eastAsia" w:ascii="宋体" w:hAnsi="宋体" w:eastAsia="宋体" w:cs="宋体"/>
          <w:b/>
          <w:bCs/>
          <w:color w:val="000000"/>
          <w:sz w:val="21"/>
          <w:szCs w:val="21"/>
          <w:highlight w:val="none"/>
          <w:lang w:val="en-US" w:eastAsia="zh-CN"/>
        </w:rPr>
        <w:t>3.6</w:t>
      </w:r>
      <w:r>
        <w:rPr>
          <w:rFonts w:hint="eastAsia" w:ascii="宋体" w:hAnsi="宋体" w:eastAsia="宋体" w:cs="宋体"/>
          <w:b/>
          <w:bCs/>
          <w:color w:val="000000"/>
          <w:sz w:val="21"/>
          <w:szCs w:val="21"/>
          <w:highlight w:val="none"/>
        </w:rPr>
        <w:t>电子化响应文件的签署</w:t>
      </w:r>
    </w:p>
    <w:p w14:paraId="4DC51C5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3.6.1</w:t>
      </w:r>
      <w:r>
        <w:rPr>
          <w:rFonts w:hint="eastAsia" w:ascii="宋体" w:hAnsi="宋体" w:eastAsia="宋体" w:cs="宋体"/>
          <w:color w:val="000000"/>
          <w:sz w:val="21"/>
          <w:szCs w:val="21"/>
          <w:highlight w:val="none"/>
        </w:rPr>
        <w:t>供应商在进行电子化响应文件签章时，竞争性磋商文件中要求供应商盖章的，以签盖</w:t>
      </w:r>
      <w:r>
        <w:rPr>
          <w:rFonts w:hint="eastAsia" w:ascii="宋体" w:hAnsi="宋体" w:eastAsia="宋体" w:cs="宋体"/>
          <w:color w:val="000000"/>
          <w:sz w:val="21"/>
          <w:szCs w:val="21"/>
          <w:highlight w:val="none"/>
          <w:lang w:eastAsia="zh-CN"/>
        </w:rPr>
        <w:t>单位公章</w:t>
      </w:r>
      <w:r>
        <w:rPr>
          <w:rFonts w:hint="eastAsia" w:ascii="宋体" w:hAnsi="宋体" w:eastAsia="宋体" w:cs="宋体"/>
          <w:color w:val="000000"/>
          <w:sz w:val="21"/>
          <w:szCs w:val="21"/>
          <w:highlight w:val="none"/>
        </w:rPr>
        <w:t>为准。</w:t>
      </w:r>
    </w:p>
    <w:p w14:paraId="339DA699">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rPr>
        <w:t>3.</w:t>
      </w:r>
      <w:r>
        <w:rPr>
          <w:rFonts w:hint="eastAsia" w:ascii="宋体" w:hAnsi="宋体" w:eastAsia="宋体" w:cs="宋体"/>
          <w:b/>
          <w:bCs/>
          <w:color w:val="000000"/>
          <w:sz w:val="21"/>
          <w:szCs w:val="21"/>
          <w:highlight w:val="none"/>
          <w:lang w:val="en-US" w:eastAsia="zh-CN"/>
        </w:rPr>
        <w:t>7</w:t>
      </w:r>
      <w:r>
        <w:rPr>
          <w:rFonts w:hint="eastAsia" w:ascii="宋体" w:hAnsi="宋体" w:eastAsia="宋体" w:cs="宋体"/>
          <w:b/>
          <w:bCs/>
          <w:color w:val="000000"/>
          <w:sz w:val="21"/>
          <w:szCs w:val="21"/>
          <w:highlight w:val="none"/>
        </w:rPr>
        <w:t>响应文件的</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hint="eastAsia" w:ascii="宋体" w:hAnsi="宋体" w:eastAsia="宋体" w:cs="宋体"/>
          <w:b/>
          <w:bCs/>
          <w:color w:val="000000"/>
          <w:sz w:val="21"/>
          <w:szCs w:val="21"/>
          <w:highlight w:val="none"/>
          <w:lang w:eastAsia="zh-CN"/>
        </w:rPr>
        <w:t>上传</w:t>
      </w:r>
    </w:p>
    <w:p w14:paraId="0E3C0FE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76" w:name="_Toc32365"/>
      <w:bookmarkStart w:id="377" w:name="_Toc19554"/>
      <w:bookmarkStart w:id="378" w:name="_Toc1408"/>
      <w:bookmarkStart w:id="379" w:name="_Toc21650"/>
      <w:bookmarkStart w:id="380" w:name="_Toc4271"/>
      <w:bookmarkStart w:id="381" w:name="_Toc13609"/>
      <w:bookmarkStart w:id="382" w:name="_Toc22212"/>
      <w:bookmarkStart w:id="383" w:name="_Toc23125"/>
      <w:bookmarkStart w:id="384" w:name="_Toc111997238"/>
      <w:bookmarkStart w:id="385" w:name="_Toc30004"/>
      <w:bookmarkStart w:id="386" w:name="_Toc6900"/>
      <w:bookmarkStart w:id="387" w:name="_Toc7423"/>
      <w:bookmarkStart w:id="388" w:name="_Toc3471"/>
      <w:bookmarkStart w:id="389" w:name="_Toc13150065"/>
      <w:bookmarkStart w:id="390" w:name="_Toc32713"/>
      <w:bookmarkStart w:id="391" w:name="_Toc31018"/>
      <w:r>
        <w:rPr>
          <w:rFonts w:hint="eastAsia" w:ascii="宋体" w:hAnsi="宋体" w:eastAsia="宋体" w:cs="宋体"/>
          <w:color w:val="000000"/>
          <w:sz w:val="21"/>
          <w:szCs w:val="21"/>
          <w:highlight w:val="none"/>
          <w:lang w:val="en-US" w:eastAsia="zh-CN"/>
        </w:rPr>
        <w:t>3.7</w:t>
      </w:r>
      <w:r>
        <w:rPr>
          <w:rFonts w:hint="eastAsia" w:ascii="宋体" w:hAnsi="宋体" w:eastAsia="宋体" w:cs="宋体"/>
          <w:color w:val="000000"/>
          <w:sz w:val="21"/>
          <w:szCs w:val="21"/>
          <w:highlight w:val="none"/>
        </w:rPr>
        <w:t>.1电子化响应文件应在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截止时间前成功上传至三门峡市公共资源电子化交易系统。至</w:t>
      </w:r>
      <w:r>
        <w:rPr>
          <w:rFonts w:hint="eastAsia" w:ascii="宋体" w:hAnsi="宋体" w:eastAsia="宋体" w:cs="宋体"/>
          <w:color w:val="000000"/>
          <w:sz w:val="21"/>
          <w:szCs w:val="21"/>
          <w:highlight w:val="none"/>
          <w:lang w:eastAsia="zh-CN"/>
        </w:rPr>
        <w:t>响提交首次响应文件截止时间</w:t>
      </w:r>
      <w:r>
        <w:rPr>
          <w:rFonts w:hint="eastAsia" w:ascii="宋体" w:hAnsi="宋体" w:eastAsia="宋体" w:cs="宋体"/>
          <w:color w:val="000000"/>
          <w:sz w:val="21"/>
          <w:szCs w:val="21"/>
          <w:highlight w:val="none"/>
        </w:rPr>
        <w:t>止，仍未上传成功的电子化响应文件将不予接收。</w:t>
      </w:r>
    </w:p>
    <w:p w14:paraId="1223B3F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注：如按照电子化投标操作教材制作完成的电子化响应文件无法上传的，供应商应在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截止时间前尽早的联系中心技术人员，以便有充分的时间进行处理。供应商应充分考虑到处理技术问题和上传数据等工作所需的时间问题，响应文件未在</w:t>
      </w:r>
      <w:r>
        <w:rPr>
          <w:rFonts w:hint="eastAsia" w:ascii="宋体" w:hAnsi="宋体" w:eastAsia="宋体" w:cs="宋体"/>
          <w:color w:val="000000"/>
          <w:sz w:val="21"/>
          <w:szCs w:val="21"/>
          <w:highlight w:val="none"/>
          <w:lang w:eastAsia="zh-CN"/>
        </w:rPr>
        <w:t>提交首次响应文件</w:t>
      </w:r>
      <w:r>
        <w:rPr>
          <w:rFonts w:hint="eastAsia" w:ascii="宋体" w:hAnsi="宋体" w:eastAsia="宋体" w:cs="宋体"/>
          <w:color w:val="000000"/>
          <w:sz w:val="21"/>
          <w:szCs w:val="21"/>
          <w:highlight w:val="none"/>
        </w:rPr>
        <w:t>截止时间前成功上传的，其响应文件不予接收。</w:t>
      </w:r>
    </w:p>
    <w:p w14:paraId="60BFB3F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3.8响应文件的修改和撤回</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1200E4F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392" w:name="_Toc312133547"/>
      <w:r>
        <w:rPr>
          <w:rFonts w:hint="eastAsia" w:ascii="宋体" w:hAnsi="宋体" w:eastAsia="宋体" w:cs="宋体"/>
          <w:color w:val="000000"/>
          <w:sz w:val="21"/>
          <w:szCs w:val="21"/>
          <w:highlight w:val="none"/>
        </w:rPr>
        <w:t>3.8.1在本章规定的</w:t>
      </w:r>
      <w:r>
        <w:rPr>
          <w:rFonts w:hint="eastAsia" w:ascii="宋体" w:hAnsi="宋体" w:eastAsia="宋体" w:cs="宋体"/>
          <w:color w:val="000000"/>
          <w:sz w:val="21"/>
          <w:szCs w:val="21"/>
          <w:highlight w:val="none"/>
          <w:lang w:eastAsia="zh-CN"/>
        </w:rPr>
        <w:t>提交响应文件截止时间</w:t>
      </w:r>
      <w:r>
        <w:rPr>
          <w:rFonts w:hint="eastAsia" w:ascii="宋体" w:hAnsi="宋体" w:eastAsia="宋体" w:cs="宋体"/>
          <w:color w:val="000000"/>
          <w:sz w:val="21"/>
          <w:szCs w:val="21"/>
          <w:highlight w:val="none"/>
        </w:rPr>
        <w:t>前，供应商可以补充、修改或撤回已递交的响应文件。</w:t>
      </w:r>
    </w:p>
    <w:p w14:paraId="58BFDDB6">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393" w:name="_Toc296602438"/>
      <w:bookmarkStart w:id="394" w:name="_Toc179632566"/>
      <w:bookmarkStart w:id="395" w:name="_Toc11967"/>
      <w:bookmarkStart w:id="396" w:name="_Toc144974516"/>
      <w:bookmarkStart w:id="397" w:name="_Toc152042324"/>
      <w:bookmarkStart w:id="398" w:name="_Toc246996936"/>
      <w:bookmarkStart w:id="399" w:name="_Toc152045548"/>
      <w:bookmarkStart w:id="400" w:name="_Toc247085707"/>
      <w:bookmarkStart w:id="401" w:name="_Toc246996193"/>
      <w:r>
        <w:rPr>
          <w:rFonts w:hint="eastAsia" w:ascii="宋体" w:hAnsi="宋体" w:eastAsia="宋体" w:cs="宋体"/>
          <w:b/>
          <w:bCs/>
          <w:color w:val="000000"/>
          <w:sz w:val="21"/>
          <w:szCs w:val="21"/>
          <w:highlight w:val="none"/>
        </w:rPr>
        <w:t>3.9 磋商报价</w:t>
      </w:r>
      <w:bookmarkEnd w:id="393"/>
      <w:bookmarkEnd w:id="394"/>
      <w:bookmarkEnd w:id="395"/>
      <w:bookmarkEnd w:id="396"/>
      <w:bookmarkEnd w:id="397"/>
      <w:bookmarkEnd w:id="398"/>
      <w:bookmarkEnd w:id="399"/>
      <w:bookmarkEnd w:id="400"/>
      <w:bookmarkEnd w:id="401"/>
    </w:p>
    <w:p w14:paraId="092ADEC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3.9.1磋商报价为本项目全过程所发生的全部费用；</w:t>
      </w:r>
    </w:p>
    <w:p w14:paraId="1E066AB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3.9.2</w:t>
      </w:r>
      <w:r>
        <w:rPr>
          <w:rFonts w:hint="eastAsia" w:ascii="宋体" w:hAnsi="宋体" w:eastAsia="宋体" w:cs="宋体"/>
          <w:color w:val="000000"/>
          <w:sz w:val="21"/>
          <w:szCs w:val="21"/>
          <w:highlight w:val="none"/>
          <w:lang w:val="en-US" w:eastAsia="zh-CN"/>
        </w:rPr>
        <w:t>本项目采用费率进行报价</w:t>
      </w:r>
      <w:r>
        <w:rPr>
          <w:rFonts w:hint="eastAsia" w:ascii="宋体" w:hAnsi="宋体" w:eastAsia="宋体" w:cs="宋体"/>
          <w:color w:val="000000"/>
          <w:sz w:val="21"/>
          <w:szCs w:val="21"/>
          <w:highlight w:val="none"/>
        </w:rPr>
        <w:t>，供应商应根据</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最高限价，结合本项目实际情况，提出不高于</w:t>
      </w: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最高限价的报价。任何有选择性的报价将不予接受，每轮只许有一个报价；</w:t>
      </w:r>
    </w:p>
    <w:p w14:paraId="410D3A7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3.9.3供应商应按照竞争性磋商文件提供的磋商报价表格式填写磋商报价；</w:t>
      </w:r>
    </w:p>
    <w:p w14:paraId="0B94BCD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3.9.4磋商过程供应商需二轮报价（首轮报价、最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报价。本项目进行两次报价，最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报价不能高于上次报价，高于上次报价视为无效</w:t>
      </w:r>
      <w:r>
        <w:rPr>
          <w:rFonts w:hint="eastAsia" w:ascii="宋体" w:hAnsi="宋体" w:eastAsia="宋体" w:cs="宋体"/>
          <w:color w:val="000000"/>
          <w:sz w:val="21"/>
          <w:szCs w:val="21"/>
          <w:highlight w:val="none"/>
          <w:lang w:eastAsia="zh-CN"/>
        </w:rPr>
        <w:t>报价</w:t>
      </w:r>
      <w:r>
        <w:rPr>
          <w:rFonts w:hint="eastAsia" w:ascii="宋体" w:hAnsi="宋体" w:eastAsia="宋体" w:cs="宋体"/>
          <w:color w:val="000000"/>
          <w:sz w:val="21"/>
          <w:szCs w:val="21"/>
          <w:highlight w:val="none"/>
        </w:rPr>
        <w:t>）；</w:t>
      </w:r>
    </w:p>
    <w:p w14:paraId="21FF097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3.9.5供应商任何有选择的报价（首轮报价、最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报价）将被拒绝，磋商报价不允许修正和涂改，出现错误或涂改的将以无效报价处理；供应商不得以他人名义磋商或者以其他方式弄虚作假，骗取中标；</w:t>
      </w:r>
    </w:p>
    <w:p w14:paraId="5F18BC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3.9.6响应文件应对竞争性磋商文件中各项做出实质性响应，否则该磋商将可能被拒绝。</w:t>
      </w:r>
    </w:p>
    <w:p w14:paraId="2385CF46">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供应商服务承诺书应按不低于竞争性磋商文件中的服务要求标准做出响应；</w:t>
      </w:r>
    </w:p>
    <w:p w14:paraId="66E018F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3.9.7磋商文件能够详细列明采购标的服务要求的，磋商结束后，磋商小组应当要求所有</w:t>
      </w:r>
    </w:p>
    <w:p w14:paraId="15B5161C">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实质性响应的供应商在规定时间内提交最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报价。最</w:t>
      </w:r>
      <w:r>
        <w:rPr>
          <w:rFonts w:hint="eastAsia" w:ascii="宋体" w:hAnsi="宋体" w:eastAsia="宋体" w:cs="宋体"/>
          <w:color w:val="000000"/>
          <w:sz w:val="21"/>
          <w:szCs w:val="21"/>
          <w:highlight w:val="none"/>
          <w:lang w:eastAsia="zh-CN"/>
        </w:rPr>
        <w:t>后</w:t>
      </w:r>
      <w:r>
        <w:rPr>
          <w:rFonts w:hint="eastAsia" w:ascii="宋体" w:hAnsi="宋体" w:eastAsia="宋体" w:cs="宋体"/>
          <w:color w:val="000000"/>
          <w:sz w:val="21"/>
          <w:szCs w:val="21"/>
          <w:highlight w:val="none"/>
        </w:rPr>
        <w:t>报价是供应商响应文件的有效组成部分。</w:t>
      </w:r>
    </w:p>
    <w:p w14:paraId="6CF3F3C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402" w:name="_Toc19974"/>
      <w:bookmarkStart w:id="403" w:name="_Toc5501"/>
      <w:bookmarkStart w:id="404" w:name="_Toc32729"/>
      <w:bookmarkStart w:id="405" w:name="_Toc31144"/>
      <w:bookmarkStart w:id="406" w:name="_Toc20187"/>
      <w:bookmarkStart w:id="407" w:name="_Toc12997"/>
      <w:bookmarkStart w:id="408" w:name="_Toc25246"/>
      <w:bookmarkStart w:id="409" w:name="_Toc111997239"/>
      <w:bookmarkStart w:id="410" w:name="_Toc16995"/>
      <w:bookmarkStart w:id="411" w:name="_Toc111997500"/>
      <w:bookmarkStart w:id="412" w:name="_Toc17947"/>
      <w:bookmarkStart w:id="413" w:name="_Toc114667873"/>
      <w:bookmarkStart w:id="414" w:name="_Toc21872"/>
      <w:bookmarkStart w:id="415" w:name="_Toc9369"/>
      <w:bookmarkStart w:id="416" w:name="_Toc19981"/>
      <w:r>
        <w:rPr>
          <w:rFonts w:hint="eastAsia" w:ascii="宋体" w:hAnsi="宋体" w:eastAsia="宋体" w:cs="宋体"/>
          <w:b/>
          <w:bCs/>
          <w:color w:val="000000"/>
          <w:sz w:val="21"/>
          <w:szCs w:val="21"/>
          <w:highlight w:val="none"/>
        </w:rPr>
        <w:t>4.</w:t>
      </w:r>
      <w:r>
        <w:rPr>
          <w:rFonts w:hint="eastAsia" w:ascii="宋体" w:hAnsi="宋体" w:eastAsia="宋体" w:cs="宋体"/>
          <w:b/>
          <w:bCs/>
          <w:color w:val="000000"/>
          <w:sz w:val="21"/>
          <w:szCs w:val="21"/>
          <w:highlight w:val="none"/>
          <w:lang w:eastAsia="zh-CN"/>
        </w:rPr>
        <w:t>响应文件开启</w:t>
      </w:r>
      <w:r>
        <w:rPr>
          <w:rFonts w:hint="eastAsia" w:ascii="宋体" w:hAnsi="宋体" w:eastAsia="宋体" w:cs="宋体"/>
          <w:b/>
          <w:bCs/>
          <w:color w:val="000000"/>
          <w:sz w:val="21"/>
          <w:szCs w:val="21"/>
          <w:highlight w:val="none"/>
        </w:rPr>
        <w:t>、资格审查与评</w:t>
      </w:r>
      <w:bookmarkEnd w:id="392"/>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Fonts w:hint="eastAsia" w:ascii="宋体" w:hAnsi="宋体" w:eastAsia="宋体" w:cs="宋体"/>
          <w:b/>
          <w:bCs/>
          <w:color w:val="000000"/>
          <w:sz w:val="21"/>
          <w:szCs w:val="21"/>
          <w:highlight w:val="none"/>
          <w:lang w:eastAsia="zh-CN"/>
        </w:rPr>
        <w:t>审</w:t>
      </w:r>
      <w:bookmarkEnd w:id="416"/>
    </w:p>
    <w:p w14:paraId="58A8B88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4.1响应文件开启时间和地点</w:t>
      </w:r>
    </w:p>
    <w:p w14:paraId="2E987E6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采购代理机构在供应商须知前附表中规定的时间和地点组织</w:t>
      </w:r>
      <w:r>
        <w:rPr>
          <w:rFonts w:hint="eastAsia" w:ascii="宋体" w:hAnsi="宋体" w:eastAsia="宋体" w:cs="宋体"/>
          <w:color w:val="000000"/>
          <w:sz w:val="21"/>
          <w:szCs w:val="21"/>
          <w:highlight w:val="none"/>
          <w:lang w:eastAsia="zh-CN"/>
        </w:rPr>
        <w:t>开启会议</w:t>
      </w:r>
      <w:r>
        <w:rPr>
          <w:rFonts w:hint="eastAsia" w:ascii="宋体" w:hAnsi="宋体" w:eastAsia="宋体" w:cs="宋体"/>
          <w:color w:val="000000"/>
          <w:sz w:val="21"/>
          <w:szCs w:val="21"/>
          <w:highlight w:val="none"/>
        </w:rPr>
        <w:t>。供应商不足3家的，不得开标。开标由采购人委托的采购代理机构主持。</w:t>
      </w:r>
    </w:p>
    <w:p w14:paraId="446B5311">
      <w:pPr>
        <w:keepNext w:val="0"/>
        <w:keepLines w:val="0"/>
        <w:pageBreakBefore w:val="0"/>
        <w:widowControl w:val="0"/>
        <w:numPr>
          <w:ilvl w:val="2"/>
          <w:numId w:val="0"/>
        </w:numPr>
        <w:kinsoku/>
        <w:wordWrap w:val="0"/>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417" w:name="_Toc22131"/>
      <w:bookmarkStart w:id="418" w:name="_Toc15735"/>
      <w:bookmarkStart w:id="419" w:name="_Toc11192"/>
      <w:bookmarkStart w:id="420" w:name="_Toc32207"/>
      <w:bookmarkStart w:id="421" w:name="_Toc3913"/>
      <w:bookmarkStart w:id="422" w:name="_Toc7616"/>
      <w:bookmarkStart w:id="423" w:name="_Toc29637"/>
      <w:bookmarkStart w:id="424" w:name="_Toc5716"/>
      <w:bookmarkStart w:id="425" w:name="_Toc18862"/>
      <w:bookmarkStart w:id="426" w:name="_Toc5363"/>
      <w:bookmarkStart w:id="427" w:name="_Toc24277"/>
      <w:bookmarkStart w:id="428" w:name="_Toc13150068"/>
      <w:bookmarkStart w:id="429" w:name="_Toc1972"/>
      <w:bookmarkStart w:id="430" w:name="_Toc29955"/>
      <w:bookmarkStart w:id="431" w:name="_Toc29315"/>
      <w:r>
        <w:rPr>
          <w:rFonts w:hint="eastAsia" w:ascii="宋体" w:hAnsi="宋体" w:eastAsia="宋体" w:cs="宋体"/>
          <w:color w:val="000000"/>
          <w:sz w:val="21"/>
          <w:szCs w:val="21"/>
          <w:highlight w:val="none"/>
        </w:rPr>
        <w:t>注：本项目为不见面开标项目，开标当日，供应商无需到开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现场参加开标会议，供应商应当在</w:t>
      </w:r>
      <w:r>
        <w:rPr>
          <w:rFonts w:hint="eastAsia" w:ascii="宋体" w:hAnsi="宋体" w:eastAsia="宋体" w:cs="宋体"/>
          <w:color w:val="000000"/>
          <w:sz w:val="21"/>
          <w:szCs w:val="21"/>
          <w:highlight w:val="none"/>
          <w:lang w:eastAsia="zh-CN"/>
        </w:rPr>
        <w:t>提交首次</w:t>
      </w:r>
      <w:r>
        <w:rPr>
          <w:rFonts w:hint="eastAsia" w:ascii="宋体" w:hAnsi="宋体" w:eastAsia="宋体" w:cs="宋体"/>
          <w:color w:val="000000"/>
          <w:sz w:val="21"/>
          <w:szCs w:val="21"/>
          <w:highlight w:val="none"/>
        </w:rPr>
        <w:t>响应文件截止时间前，登陆不见面开标大厅选择登陆三门峡市公共资源电子招投标系统进行登陆（网址为</w:t>
      </w:r>
      <w:r>
        <w:rPr>
          <w:rFonts w:hint="eastAsia" w:ascii="宋体" w:hAnsi="宋体" w:eastAsia="宋体" w:cs="宋体"/>
          <w:color w:val="000000"/>
          <w:sz w:val="21"/>
          <w:szCs w:val="21"/>
          <w:highlight w:val="none"/>
        </w:rPr>
        <w:fldChar w:fldCharType="begin"/>
      </w:r>
      <w:r>
        <w:rPr>
          <w:rFonts w:hint="eastAsia" w:ascii="宋体" w:hAnsi="宋体" w:eastAsia="宋体" w:cs="宋体"/>
          <w:color w:val="000000"/>
          <w:sz w:val="21"/>
          <w:szCs w:val="21"/>
          <w:highlight w:val="none"/>
        </w:rPr>
        <w:instrText xml:space="preserve"> HYPERLINK "http://120.194.249.36:10094/BidOpening/" </w:instrText>
      </w:r>
      <w:r>
        <w:rPr>
          <w:rFonts w:hint="eastAsia" w:ascii="宋体" w:hAnsi="宋体" w:eastAsia="宋体" w:cs="宋体"/>
          <w:color w:val="000000"/>
          <w:sz w:val="21"/>
          <w:szCs w:val="21"/>
          <w:highlight w:val="none"/>
        </w:rPr>
        <w:fldChar w:fldCharType="separate"/>
      </w:r>
      <w:r>
        <w:rPr>
          <w:rFonts w:hint="eastAsia" w:ascii="宋体" w:hAnsi="宋体" w:eastAsia="宋体" w:cs="宋体"/>
          <w:color w:val="000000"/>
          <w:sz w:val="21"/>
          <w:szCs w:val="21"/>
          <w:highlight w:val="none"/>
        </w:rPr>
        <w:t>http://120.194.249.36:10094/BidOpening/</w:t>
      </w:r>
      <w:r>
        <w:rPr>
          <w:rFonts w:hint="eastAsia" w:ascii="宋体" w:hAnsi="宋体" w:eastAsia="宋体" w:cs="宋体"/>
          <w:color w:val="000000"/>
          <w:sz w:val="21"/>
          <w:szCs w:val="21"/>
          <w:highlight w:val="none"/>
        </w:rPr>
        <w:fldChar w:fldCharType="end"/>
      </w:r>
      <w:r>
        <w:rPr>
          <w:rFonts w:hint="eastAsia" w:ascii="宋体" w:hAnsi="宋体" w:eastAsia="宋体" w:cs="宋体"/>
          <w:color w:val="000000"/>
          <w:sz w:val="21"/>
          <w:szCs w:val="21"/>
          <w:highlight w:val="none"/>
        </w:rPr>
        <w:t>bidopeninghallaction/hall/login）</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在线准时参加开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活动并进行响应文件解密等。每位供应商的解密时间为开</w:t>
      </w:r>
      <w:r>
        <w:rPr>
          <w:rFonts w:hint="eastAsia" w:ascii="宋体" w:hAnsi="宋体" w:eastAsia="宋体" w:cs="宋体"/>
          <w:color w:val="000000"/>
          <w:sz w:val="21"/>
          <w:szCs w:val="21"/>
          <w:highlight w:val="none"/>
          <w:lang w:eastAsia="zh-CN"/>
        </w:rPr>
        <w:t>启</w:t>
      </w:r>
      <w:r>
        <w:rPr>
          <w:rFonts w:hint="eastAsia" w:ascii="宋体" w:hAnsi="宋体" w:eastAsia="宋体" w:cs="宋体"/>
          <w:color w:val="000000"/>
          <w:sz w:val="21"/>
          <w:szCs w:val="21"/>
          <w:highlight w:val="none"/>
        </w:rPr>
        <w:t>时间起30分钟内完成。因供应商原因未能解密、解密失败或解密超时的将被拒绝。</w:t>
      </w:r>
    </w:p>
    <w:p w14:paraId="66D9C6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4.2</w:t>
      </w:r>
      <w:r>
        <w:rPr>
          <w:rFonts w:hint="eastAsia" w:ascii="宋体" w:hAnsi="宋体" w:eastAsia="宋体" w:cs="宋体"/>
          <w:color w:val="000000"/>
          <w:sz w:val="21"/>
          <w:szCs w:val="21"/>
          <w:highlight w:val="none"/>
          <w:lang w:eastAsia="zh-CN"/>
        </w:rPr>
        <w:t>响应文件开启</w:t>
      </w:r>
      <w:r>
        <w:rPr>
          <w:rFonts w:hint="eastAsia" w:ascii="宋体" w:hAnsi="宋体" w:eastAsia="宋体" w:cs="宋体"/>
          <w:color w:val="000000"/>
          <w:sz w:val="21"/>
          <w:szCs w:val="21"/>
          <w:highlight w:val="none"/>
        </w:rPr>
        <w:t>程序</w:t>
      </w:r>
    </w:p>
    <w:p w14:paraId="44B1AD2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宣布</w:t>
      </w:r>
      <w:r>
        <w:rPr>
          <w:rFonts w:hint="eastAsia" w:ascii="宋体" w:hAnsi="宋体" w:eastAsia="宋体" w:cs="宋体"/>
          <w:color w:val="000000"/>
          <w:sz w:val="21"/>
          <w:szCs w:val="21"/>
          <w:highlight w:val="none"/>
          <w:lang w:eastAsia="zh-CN"/>
        </w:rPr>
        <w:t>会议</w:t>
      </w:r>
      <w:r>
        <w:rPr>
          <w:rFonts w:hint="eastAsia" w:ascii="宋体" w:hAnsi="宋体" w:eastAsia="宋体" w:cs="宋体"/>
          <w:color w:val="000000"/>
          <w:sz w:val="21"/>
          <w:szCs w:val="21"/>
          <w:highlight w:val="none"/>
        </w:rPr>
        <w:t>纪律；</w:t>
      </w:r>
    </w:p>
    <w:p w14:paraId="365C399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供应商通过电子招标投标交易服务平台对已递交的电子响应文件进行解密；</w:t>
      </w:r>
    </w:p>
    <w:p w14:paraId="72E6017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电子唱标</w:t>
      </w:r>
      <w:r>
        <w:rPr>
          <w:rFonts w:hint="eastAsia" w:ascii="宋体" w:hAnsi="宋体" w:eastAsia="宋体" w:cs="宋体"/>
          <w:color w:val="000000"/>
          <w:sz w:val="21"/>
          <w:szCs w:val="21"/>
          <w:highlight w:val="none"/>
          <w:lang w:eastAsia="zh-CN"/>
        </w:rPr>
        <w:t>；</w:t>
      </w:r>
    </w:p>
    <w:p w14:paraId="6EB1E43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）开启会议</w:t>
      </w:r>
      <w:r>
        <w:rPr>
          <w:rFonts w:hint="eastAsia" w:ascii="宋体" w:hAnsi="宋体" w:eastAsia="宋体" w:cs="宋体"/>
          <w:color w:val="000000"/>
          <w:sz w:val="21"/>
          <w:szCs w:val="21"/>
          <w:highlight w:val="none"/>
        </w:rPr>
        <w:t>结束。</w:t>
      </w:r>
    </w:p>
    <w:p w14:paraId="0EC6395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.资格审查</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6E62CB0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.1开标结束后，磋商小组依法对</w:t>
      </w:r>
      <w:r>
        <w:rPr>
          <w:rFonts w:hint="eastAsia" w:ascii="宋体" w:hAnsi="宋体" w:eastAsia="宋体" w:cs="宋体"/>
          <w:color w:val="000000"/>
          <w:sz w:val="21"/>
          <w:szCs w:val="21"/>
          <w:highlight w:val="none"/>
          <w:lang w:eastAsia="zh-CN"/>
        </w:rPr>
        <w:t>各</w:t>
      </w:r>
      <w:r>
        <w:rPr>
          <w:rFonts w:hint="eastAsia" w:ascii="宋体" w:hAnsi="宋体" w:eastAsia="宋体" w:cs="宋体"/>
          <w:color w:val="000000"/>
          <w:sz w:val="21"/>
          <w:szCs w:val="21"/>
          <w:highlight w:val="none"/>
        </w:rPr>
        <w:t>供应商进行</w:t>
      </w:r>
      <w:r>
        <w:rPr>
          <w:rFonts w:hint="eastAsia" w:ascii="宋体" w:hAnsi="宋体" w:eastAsia="宋体" w:cs="宋体"/>
          <w:color w:val="000000"/>
          <w:sz w:val="21"/>
          <w:szCs w:val="21"/>
          <w:highlight w:val="none"/>
          <w:lang w:eastAsia="zh-CN"/>
        </w:rPr>
        <w:t>资格</w:t>
      </w:r>
      <w:r>
        <w:rPr>
          <w:rFonts w:hint="eastAsia" w:ascii="宋体" w:hAnsi="宋体" w:eastAsia="宋体" w:cs="宋体"/>
          <w:color w:val="000000"/>
          <w:sz w:val="21"/>
          <w:szCs w:val="21"/>
          <w:highlight w:val="none"/>
        </w:rPr>
        <w:t>审查。</w:t>
      </w:r>
      <w:r>
        <w:rPr>
          <w:rFonts w:hint="eastAsia" w:ascii="宋体" w:hAnsi="宋体" w:eastAsia="宋体" w:cs="宋体"/>
          <w:color w:val="000000"/>
          <w:sz w:val="21"/>
          <w:szCs w:val="21"/>
          <w:highlight w:val="none"/>
          <w:lang w:eastAsia="zh-CN"/>
        </w:rPr>
        <w:t>通过</w:t>
      </w:r>
      <w:r>
        <w:rPr>
          <w:rFonts w:hint="eastAsia" w:ascii="宋体" w:hAnsi="宋体" w:eastAsia="宋体" w:cs="宋体"/>
          <w:color w:val="000000"/>
          <w:sz w:val="21"/>
          <w:szCs w:val="21"/>
          <w:highlight w:val="none"/>
        </w:rPr>
        <w:t>资格</w:t>
      </w:r>
      <w:r>
        <w:rPr>
          <w:rFonts w:hint="eastAsia" w:ascii="宋体" w:hAnsi="宋体" w:eastAsia="宋体" w:cs="宋体"/>
          <w:color w:val="000000"/>
          <w:sz w:val="21"/>
          <w:szCs w:val="21"/>
          <w:highlight w:val="none"/>
          <w:lang w:eastAsia="zh-CN"/>
        </w:rPr>
        <w:t>审查</w:t>
      </w:r>
      <w:r>
        <w:rPr>
          <w:rFonts w:hint="eastAsia" w:ascii="宋体" w:hAnsi="宋体" w:eastAsia="宋体" w:cs="宋体"/>
          <w:color w:val="000000"/>
          <w:sz w:val="21"/>
          <w:szCs w:val="21"/>
          <w:highlight w:val="none"/>
        </w:rPr>
        <w:t>的供应商</w:t>
      </w:r>
      <w:r>
        <w:rPr>
          <w:rFonts w:hint="eastAsia" w:ascii="宋体" w:hAnsi="宋体" w:eastAsia="宋体" w:cs="宋体"/>
          <w:color w:val="000000"/>
          <w:sz w:val="21"/>
          <w:szCs w:val="21"/>
          <w:highlight w:val="none"/>
          <w:lang w:eastAsia="zh-CN"/>
        </w:rPr>
        <w:t>不足</w:t>
      </w:r>
      <w:r>
        <w:rPr>
          <w:rFonts w:hint="eastAsia" w:ascii="宋体" w:hAnsi="宋体" w:eastAsia="宋体" w:cs="宋体"/>
          <w:color w:val="000000"/>
          <w:sz w:val="21"/>
          <w:szCs w:val="21"/>
          <w:highlight w:val="none"/>
        </w:rPr>
        <w:t>3</w:t>
      </w:r>
    </w:p>
    <w:p w14:paraId="79BA0841">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家</w:t>
      </w:r>
      <w:r>
        <w:rPr>
          <w:rFonts w:hint="eastAsia" w:ascii="宋体" w:hAnsi="宋体" w:eastAsia="宋体" w:cs="宋体"/>
          <w:color w:val="000000"/>
          <w:sz w:val="21"/>
          <w:szCs w:val="21"/>
          <w:highlight w:val="none"/>
          <w:lang w:eastAsia="zh-CN"/>
        </w:rPr>
        <w:t>的，不得进入下一阶段评审。</w:t>
      </w:r>
    </w:p>
    <w:p w14:paraId="58002AE0">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432" w:name="_Toc16180"/>
      <w:bookmarkStart w:id="433" w:name="_Toc26746"/>
      <w:bookmarkStart w:id="434" w:name="_Toc32305"/>
      <w:bookmarkStart w:id="435" w:name="_Toc21027"/>
      <w:bookmarkStart w:id="436" w:name="_Toc10528"/>
      <w:bookmarkStart w:id="437" w:name="_Toc16143"/>
      <w:bookmarkStart w:id="438" w:name="_Toc12598"/>
      <w:bookmarkStart w:id="439" w:name="_Toc2042"/>
      <w:bookmarkStart w:id="440" w:name="_Toc111997240"/>
      <w:bookmarkStart w:id="441" w:name="_Toc13150069"/>
      <w:bookmarkStart w:id="442" w:name="_Toc19513"/>
      <w:bookmarkStart w:id="443" w:name="_Toc25889"/>
      <w:bookmarkStart w:id="444" w:name="_Toc611"/>
      <w:bookmarkStart w:id="445" w:name="_Toc31474"/>
      <w:bookmarkStart w:id="446" w:name="_Toc4884"/>
      <w:bookmarkStart w:id="447" w:name="_Toc22182"/>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7A516EE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.1磋商小组</w:t>
      </w:r>
    </w:p>
    <w:p w14:paraId="57072BA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工作由采购人依法组建的磋商小组负责，对所有供应商的响应文件进行评审，并按</w:t>
      </w:r>
      <w:r>
        <w:rPr>
          <w:rFonts w:hint="eastAsia" w:ascii="宋体" w:hAnsi="宋体" w:eastAsia="宋体" w:cs="宋体"/>
          <w:color w:val="000000"/>
          <w:sz w:val="21"/>
          <w:szCs w:val="21"/>
          <w:highlight w:val="none"/>
          <w:lang w:eastAsia="zh-CN"/>
        </w:rPr>
        <w:t>评审办法</w:t>
      </w:r>
      <w:r>
        <w:rPr>
          <w:rFonts w:hint="eastAsia" w:ascii="宋体" w:hAnsi="宋体" w:eastAsia="宋体" w:cs="宋体"/>
          <w:color w:val="000000"/>
          <w:sz w:val="21"/>
          <w:szCs w:val="21"/>
          <w:highlight w:val="none"/>
        </w:rPr>
        <w:t>规定的方式推荐出供应商须知前附表中载明数量的成交候选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p>
    <w:p w14:paraId="17D128D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磋商小组由采购人代表和评审专家共3人以上单数组成，其中评审专家人数不得少于磋商小组成员总数的2/3。</w:t>
      </w:r>
    </w:p>
    <w:p w14:paraId="3D1D3D1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磋商小组对本单位的采购项目只能作为采购人代表参与评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，对技术复杂、专业性强的采购项目，通过随机方式难以确定合适评审专家的情形除外。</w:t>
      </w:r>
    </w:p>
    <w:p w14:paraId="2A01F84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采购代理机构工作人员不得参加由本机构代理的政府采购项目的评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w:t>
      </w:r>
    </w:p>
    <w:p w14:paraId="771D2B8E">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磋商小组成员名单在</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结果公告前应当保密。</w:t>
      </w:r>
    </w:p>
    <w:p w14:paraId="4A069DE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.2磋商小组及其成员不得有下列行为：</w:t>
      </w:r>
    </w:p>
    <w:p w14:paraId="017A1C4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确定参与</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至</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结束前私自接触供应商；</w:t>
      </w:r>
    </w:p>
    <w:p w14:paraId="092C56E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接受供应商提出的与响应文件不一致的澄清或者说明（对于响应文件中含义不明确、同类问题表述不一致或者有明显文字和计算错误的内容，磋商小组以书面形式要求供应商作出必要的澄清、说明或者补正的除外）；</w:t>
      </w:r>
    </w:p>
    <w:p w14:paraId="3AF51B9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违反评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纪律发表倾向性意见或者征询采购人的倾向性意见；</w:t>
      </w:r>
    </w:p>
    <w:p w14:paraId="70EEC40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对需要专业判断的主观评审因素协商评分；</w:t>
      </w:r>
    </w:p>
    <w:p w14:paraId="23E7881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过程中擅离职守，影响</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程序正常进行的；</w:t>
      </w:r>
    </w:p>
    <w:p w14:paraId="0521647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记录、复制或者带走任何</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资料；</w:t>
      </w:r>
    </w:p>
    <w:p w14:paraId="6F9A4E3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其他不遵守</w:t>
      </w:r>
      <w:r>
        <w:rPr>
          <w:rFonts w:hint="eastAsia" w:ascii="宋体" w:hAnsi="宋体" w:eastAsia="宋体" w:cs="宋体"/>
          <w:color w:val="000000"/>
          <w:sz w:val="21"/>
          <w:szCs w:val="21"/>
          <w:highlight w:val="none"/>
          <w:lang w:eastAsia="zh-CN"/>
        </w:rPr>
        <w:t>评审</w:t>
      </w:r>
      <w:r>
        <w:rPr>
          <w:rFonts w:hint="eastAsia" w:ascii="宋体" w:hAnsi="宋体" w:eastAsia="宋体" w:cs="宋体"/>
          <w:color w:val="000000"/>
          <w:sz w:val="21"/>
          <w:szCs w:val="21"/>
          <w:highlight w:val="none"/>
        </w:rPr>
        <w:t>纪律的行为。</w:t>
      </w:r>
    </w:p>
    <w:p w14:paraId="4FC8FC0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磋商小组成员有本章第4.5.1项第（1）至（5）行为之一的，其评审意见无效，并不得获取评审劳务报酬和报销异地评审差旅费。</w:t>
      </w:r>
    </w:p>
    <w:p w14:paraId="041EA0A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.3磋商小组成员对需要共同认定的事项存在争议的，应当按照少数服从多数的原则作出结论。持不同意见的磋商小组成员应当在评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报告上签署不同意见及理由，否则视为同意评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报告。</w:t>
      </w:r>
    </w:p>
    <w:p w14:paraId="421D2A3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eastAsia="zh-CN"/>
        </w:rPr>
        <w:t>评审原则</w:t>
      </w:r>
    </w:p>
    <w:p w14:paraId="61C2142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磋商小组成员应当按照客观、公正、审慎的原则，根据竞争性磋商文件规定的评审程序、评审方法和评审标准进行独立评审。竞争性磋商文件中没有规定的评审方法、评审标准，不作为评审依据。</w:t>
      </w:r>
      <w:bookmarkStart w:id="448" w:name="_Toc9518"/>
      <w:bookmarkStart w:id="449" w:name="_Toc111997241"/>
      <w:bookmarkStart w:id="450" w:name="_Toc27962"/>
      <w:bookmarkStart w:id="451" w:name="_Toc5813"/>
      <w:bookmarkStart w:id="452" w:name="_Toc28834"/>
      <w:bookmarkStart w:id="453" w:name="_Toc886"/>
      <w:bookmarkStart w:id="454" w:name="_Toc25530"/>
      <w:bookmarkStart w:id="455" w:name="_Toc12131"/>
      <w:bookmarkStart w:id="456" w:name="_Toc13138"/>
      <w:bookmarkStart w:id="457" w:name="_Toc18846"/>
      <w:bookmarkStart w:id="458" w:name="_Toc608"/>
      <w:bookmarkStart w:id="459" w:name="_Toc25755"/>
      <w:bookmarkStart w:id="460" w:name="_Toc13150070"/>
      <w:bookmarkStart w:id="461" w:name="_Toc7396"/>
      <w:bookmarkStart w:id="462" w:name="_Toc10927"/>
      <w:bookmarkStart w:id="463" w:name="_Toc12609"/>
    </w:p>
    <w:p w14:paraId="30E7DF0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保密及其它注意事项</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Start w:id="464" w:name="_Toc25463"/>
      <w:bookmarkStart w:id="465" w:name="_Toc20935"/>
      <w:bookmarkStart w:id="466" w:name="_Toc28869"/>
      <w:bookmarkStart w:id="467" w:name="_Toc11172"/>
      <w:bookmarkStart w:id="468" w:name="_Toc16677"/>
      <w:bookmarkStart w:id="469" w:name="_Toc30177"/>
      <w:bookmarkStart w:id="470" w:name="_Toc24743"/>
      <w:bookmarkStart w:id="471" w:name="_Toc9665"/>
      <w:bookmarkStart w:id="472" w:name="_Toc7446"/>
      <w:bookmarkStart w:id="473" w:name="_Toc312133548"/>
    </w:p>
    <w:p w14:paraId="51A8E37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4.5.1</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工作在磋商小组内独立进行</w:t>
      </w:r>
      <w:r>
        <w:rPr>
          <w:rFonts w:hint="eastAsia" w:ascii="宋体" w:hAnsi="宋体" w:eastAsia="宋体" w:cs="宋体"/>
          <w:color w:val="000000"/>
          <w:sz w:val="21"/>
          <w:szCs w:val="21"/>
          <w:highlight w:val="none"/>
          <w:lang w:eastAsia="zh-CN"/>
        </w:rPr>
        <w:t>。</w:t>
      </w:r>
    </w:p>
    <w:p w14:paraId="09A32341">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4.5.2</w:t>
      </w:r>
      <w:r>
        <w:rPr>
          <w:rFonts w:hint="eastAsia" w:ascii="宋体" w:hAnsi="宋体" w:eastAsia="宋体" w:cs="宋体"/>
          <w:color w:val="000000"/>
          <w:sz w:val="21"/>
          <w:szCs w:val="21"/>
          <w:highlight w:val="none"/>
        </w:rPr>
        <w:t>响应文件的审查、澄清和比较的有关资料以及</w:t>
      </w:r>
      <w:r>
        <w:rPr>
          <w:rFonts w:hint="eastAsia" w:ascii="宋体" w:hAnsi="宋体" w:eastAsia="宋体" w:cs="宋体"/>
          <w:color w:val="000000"/>
          <w:sz w:val="21"/>
          <w:szCs w:val="21"/>
          <w:highlight w:val="none"/>
          <w:lang w:eastAsia="zh-CN"/>
        </w:rPr>
        <w:t>成交候选供应商</w:t>
      </w:r>
      <w:r>
        <w:rPr>
          <w:rFonts w:hint="eastAsia" w:ascii="宋体" w:hAnsi="宋体" w:eastAsia="宋体" w:cs="宋体"/>
          <w:color w:val="000000"/>
          <w:sz w:val="21"/>
          <w:szCs w:val="21"/>
          <w:highlight w:val="none"/>
        </w:rPr>
        <w:t>的推荐情况，与评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有关的其他任何情况均应严格保密。</w:t>
      </w:r>
    </w:p>
    <w:p w14:paraId="17750F6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4.5.3</w:t>
      </w:r>
      <w:r>
        <w:rPr>
          <w:rFonts w:hint="eastAsia" w:ascii="宋体" w:hAnsi="宋体" w:eastAsia="宋体" w:cs="宋体"/>
          <w:color w:val="000000"/>
          <w:sz w:val="21"/>
          <w:szCs w:val="21"/>
          <w:highlight w:val="none"/>
        </w:rPr>
        <w:t>在响应文件的评审和比较、</w:t>
      </w:r>
      <w:r>
        <w:rPr>
          <w:rFonts w:hint="eastAsia" w:ascii="宋体" w:hAnsi="宋体" w:eastAsia="宋体" w:cs="宋体"/>
          <w:color w:val="000000"/>
          <w:sz w:val="21"/>
          <w:szCs w:val="21"/>
          <w:highlight w:val="none"/>
          <w:lang w:eastAsia="zh-CN"/>
        </w:rPr>
        <w:t>成交候选供应商</w:t>
      </w:r>
      <w:r>
        <w:rPr>
          <w:rFonts w:hint="eastAsia" w:ascii="宋体" w:hAnsi="宋体" w:eastAsia="宋体" w:cs="宋体"/>
          <w:color w:val="000000"/>
          <w:sz w:val="21"/>
          <w:szCs w:val="21"/>
          <w:highlight w:val="none"/>
        </w:rPr>
        <w:t>推荐以及授予合同的过程中，</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和磋商小组施加影响的任何行为，都将会导致其</w:t>
      </w:r>
      <w:r>
        <w:rPr>
          <w:rFonts w:hint="eastAsia" w:ascii="宋体" w:hAnsi="宋体" w:eastAsia="宋体" w:cs="宋体"/>
          <w:color w:val="000000"/>
          <w:sz w:val="21"/>
          <w:szCs w:val="21"/>
          <w:highlight w:val="none"/>
          <w:lang w:eastAsia="zh-CN"/>
        </w:rPr>
        <w:t>响应</w:t>
      </w:r>
      <w:r>
        <w:rPr>
          <w:rFonts w:hint="eastAsia" w:ascii="宋体" w:hAnsi="宋体" w:eastAsia="宋体" w:cs="宋体"/>
          <w:color w:val="000000"/>
          <w:sz w:val="21"/>
          <w:szCs w:val="21"/>
          <w:highlight w:val="none"/>
        </w:rPr>
        <w:t>被拒绝。</w:t>
      </w:r>
    </w:p>
    <w:p w14:paraId="76E39AD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4.5.4</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不对未成交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就评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过程以及未能成交原因作出任何解释。未成交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不得向磋商小组成员和其他有关人员索问评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过程的情况和资料。</w:t>
      </w:r>
    </w:p>
    <w:p w14:paraId="18477EDD">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4.5.5</w:t>
      </w:r>
      <w:r>
        <w:rPr>
          <w:rFonts w:hint="eastAsia" w:ascii="宋体" w:hAnsi="宋体" w:eastAsia="宋体" w:cs="宋体"/>
          <w:color w:val="000000"/>
          <w:sz w:val="21"/>
          <w:szCs w:val="21"/>
          <w:highlight w:val="none"/>
        </w:rPr>
        <w:t>在评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工作结束后，凡与评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情况有接触的任何人不得擅自将评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情况扩散出评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人员之外</w:t>
      </w:r>
      <w:r>
        <w:rPr>
          <w:rFonts w:hint="eastAsia" w:ascii="宋体" w:hAnsi="宋体" w:eastAsia="宋体" w:cs="宋体"/>
          <w:color w:val="000000"/>
          <w:sz w:val="21"/>
          <w:szCs w:val="21"/>
          <w:highlight w:val="none"/>
          <w:lang w:eastAsia="zh-CN"/>
        </w:rPr>
        <w:t>。</w:t>
      </w:r>
    </w:p>
    <w:p w14:paraId="101E01E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4.5.6</w:t>
      </w:r>
      <w:r>
        <w:rPr>
          <w:rFonts w:hint="eastAsia" w:ascii="宋体" w:hAnsi="宋体" w:eastAsia="宋体" w:cs="宋体"/>
          <w:color w:val="000000"/>
          <w:sz w:val="21"/>
          <w:szCs w:val="21"/>
          <w:highlight w:val="none"/>
        </w:rPr>
        <w:t>评</w:t>
      </w:r>
      <w:r>
        <w:rPr>
          <w:rFonts w:hint="eastAsia" w:ascii="宋体" w:hAnsi="宋体" w:eastAsia="宋体" w:cs="宋体"/>
          <w:color w:val="000000"/>
          <w:sz w:val="21"/>
          <w:szCs w:val="21"/>
          <w:highlight w:val="none"/>
          <w:lang w:eastAsia="zh-CN"/>
        </w:rPr>
        <w:t>审</w:t>
      </w:r>
      <w:r>
        <w:rPr>
          <w:rFonts w:hint="eastAsia" w:ascii="宋体" w:hAnsi="宋体" w:eastAsia="宋体" w:cs="宋体"/>
          <w:color w:val="000000"/>
          <w:sz w:val="21"/>
          <w:szCs w:val="21"/>
          <w:highlight w:val="none"/>
        </w:rPr>
        <w:t>结束后，响应文件概不退还。</w:t>
      </w:r>
    </w:p>
    <w:p w14:paraId="37716BAB">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lang w:eastAsia="zh-CN"/>
        </w:rPr>
      </w:pPr>
      <w:bookmarkStart w:id="474" w:name="_Toc18716"/>
      <w:r>
        <w:rPr>
          <w:rFonts w:hint="eastAsia" w:ascii="宋体" w:hAnsi="宋体" w:eastAsia="宋体" w:cs="宋体"/>
          <w:b/>
          <w:bCs/>
          <w:color w:val="000000"/>
          <w:sz w:val="21"/>
          <w:szCs w:val="21"/>
          <w:highlight w:val="none"/>
          <w:lang w:eastAsia="zh-CN"/>
        </w:rPr>
        <w:t>5</w:t>
      </w:r>
      <w:bookmarkEnd w:id="464"/>
      <w:bookmarkEnd w:id="465"/>
      <w:bookmarkEnd w:id="466"/>
      <w:bookmarkEnd w:id="467"/>
      <w:bookmarkEnd w:id="468"/>
      <w:bookmarkEnd w:id="469"/>
      <w:bookmarkEnd w:id="470"/>
      <w:bookmarkEnd w:id="471"/>
      <w:bookmarkEnd w:id="472"/>
      <w:bookmarkEnd w:id="473"/>
      <w:bookmarkStart w:id="475" w:name="_Toc13150072"/>
      <w:bookmarkStart w:id="476" w:name="_Toc22971"/>
      <w:bookmarkStart w:id="477" w:name="_Toc25368"/>
      <w:bookmarkStart w:id="478" w:name="_Toc14048"/>
      <w:bookmarkStart w:id="479" w:name="_Toc3574"/>
      <w:bookmarkStart w:id="480" w:name="_Toc6320"/>
      <w:bookmarkStart w:id="481" w:name="_Toc32241"/>
      <w:bookmarkStart w:id="482" w:name="_Toc26787"/>
      <w:bookmarkStart w:id="483" w:name="_Toc4415"/>
      <w:bookmarkStart w:id="484" w:name="_Toc13599"/>
      <w:bookmarkStart w:id="485" w:name="_Toc22539"/>
      <w:bookmarkStart w:id="486" w:name="_Toc22245"/>
      <w:bookmarkStart w:id="487" w:name="_Toc20199"/>
      <w:bookmarkStart w:id="488" w:name="_Toc21756"/>
      <w:bookmarkStart w:id="489" w:name="_Toc20851"/>
      <w:bookmarkStart w:id="490" w:name="_Toc30644"/>
      <w:bookmarkStart w:id="491" w:name="_Toc22457"/>
      <w:bookmarkStart w:id="492" w:name="_Toc23900"/>
      <w:bookmarkStart w:id="493" w:name="_Toc17818"/>
      <w:bookmarkStart w:id="494" w:name="_Toc26604"/>
      <w:bookmarkStart w:id="495" w:name="_Toc22088"/>
      <w:r>
        <w:rPr>
          <w:rFonts w:hint="eastAsia" w:ascii="宋体" w:hAnsi="宋体" w:eastAsia="宋体" w:cs="宋体"/>
          <w:b/>
          <w:bCs/>
          <w:color w:val="000000"/>
          <w:sz w:val="21"/>
          <w:szCs w:val="21"/>
          <w:highlight w:val="none"/>
          <w:lang w:eastAsia="zh-CN"/>
        </w:rPr>
        <w:t>、确定成交供应商</w:t>
      </w:r>
      <w:bookmarkEnd w:id="474"/>
    </w:p>
    <w:p w14:paraId="2BCB33F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采购</w:t>
      </w:r>
      <w:r>
        <w:rPr>
          <w:rFonts w:hint="eastAsia" w:ascii="宋体" w:hAnsi="宋体" w:eastAsia="宋体" w:cs="宋体"/>
          <w:color w:val="000000"/>
          <w:sz w:val="21"/>
          <w:szCs w:val="21"/>
          <w:highlight w:val="none"/>
        </w:rPr>
        <w:t>代理机构应当自评审结束之日起2个工作日内将评审报告送交</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应当自收到评审报告之日起5个工作日内在评审报告推荐的成交候选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中按顺序确定成交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评审得分相同的，按照最后报价由低到高的顺序推荐。评审得分且最后报价相同的，按照技术指标优劣顺序推荐。</w:t>
      </w:r>
    </w:p>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14:paraId="1FB68DCD">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496" w:name="_Toc20045"/>
      <w:r>
        <w:rPr>
          <w:rFonts w:hint="eastAsia" w:ascii="宋体" w:hAnsi="宋体" w:eastAsia="宋体" w:cs="宋体"/>
          <w:b/>
          <w:bCs/>
          <w:color w:val="000000"/>
          <w:sz w:val="21"/>
          <w:szCs w:val="21"/>
          <w:highlight w:val="none"/>
          <w:lang w:val="en-US" w:eastAsia="zh-CN"/>
        </w:rPr>
        <w:t>6、</w:t>
      </w:r>
      <w:r>
        <w:rPr>
          <w:rFonts w:hint="eastAsia" w:ascii="宋体" w:hAnsi="宋体" w:eastAsia="宋体" w:cs="宋体"/>
          <w:b/>
          <w:bCs/>
          <w:color w:val="000000"/>
          <w:sz w:val="21"/>
          <w:szCs w:val="21"/>
          <w:highlight w:val="none"/>
        </w:rPr>
        <w:t>成交结果公告</w:t>
      </w:r>
      <w:bookmarkEnd w:id="496"/>
    </w:p>
    <w:p w14:paraId="7521889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代理机构应当自成交供应商确定之日起2个工作日内，在省级以上财政部门指定的媒体上公告成交结果，竞争性磋商文件应当随成交结果同时公告。公告期限为1个工作日。</w:t>
      </w:r>
    </w:p>
    <w:p w14:paraId="1E40F3C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成交通知书发出后，采购人不得违法改变成交结果，成交供应商无正当理由不得放弃中标。</w:t>
      </w:r>
    </w:p>
    <w:p w14:paraId="7541B2A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各有关当事人对成交结果有异议的，可以在成交结果公告期限届满之日起七个工作日内，按政府采购质疑和投诉办法（中华人民共和国财政部令第94号）要求以书面形式同时向代理机构提出质疑，逾期提交或未按照要求提交的质疑函将不予受理。</w:t>
      </w:r>
    </w:p>
    <w:bookmarkEnd w:id="490"/>
    <w:bookmarkEnd w:id="491"/>
    <w:bookmarkEnd w:id="492"/>
    <w:bookmarkEnd w:id="493"/>
    <w:bookmarkEnd w:id="494"/>
    <w:bookmarkEnd w:id="495"/>
    <w:p w14:paraId="3E535ABC">
      <w:pPr>
        <w:keepNext w:val="0"/>
        <w:keepLines w:val="0"/>
        <w:pageBreakBefore w:val="0"/>
        <w:widowControl w:val="0"/>
        <w:numPr>
          <w:ilvl w:val="2"/>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000000"/>
          <w:sz w:val="21"/>
          <w:szCs w:val="21"/>
          <w:highlight w:val="none"/>
        </w:rPr>
      </w:pPr>
      <w:bookmarkStart w:id="497" w:name="_Toc2339"/>
      <w:bookmarkStart w:id="498" w:name="_Toc15356"/>
      <w:bookmarkStart w:id="499" w:name="_Toc12174"/>
      <w:bookmarkStart w:id="500" w:name="_Toc26351"/>
      <w:bookmarkStart w:id="501" w:name="_Toc19371"/>
      <w:bookmarkStart w:id="502" w:name="_Toc12305"/>
      <w:bookmarkStart w:id="503" w:name="_Toc8095"/>
      <w:bookmarkStart w:id="504" w:name="_Toc24223"/>
      <w:bookmarkStart w:id="505" w:name="_Toc29785"/>
      <w:bookmarkStart w:id="506" w:name="_Toc13150074"/>
      <w:bookmarkStart w:id="507" w:name="_Toc26213"/>
      <w:bookmarkStart w:id="508" w:name="_Toc20626"/>
      <w:bookmarkStart w:id="509" w:name="_Toc13392"/>
      <w:bookmarkStart w:id="510" w:name="_Toc3846"/>
      <w:bookmarkStart w:id="511" w:name="_Toc5799"/>
      <w:bookmarkStart w:id="512" w:name="_Toc111997244"/>
      <w:bookmarkStart w:id="513" w:name="_Toc14610"/>
      <w:bookmarkStart w:id="514" w:name="_Toc23610"/>
      <w:bookmarkStart w:id="515" w:name="_Toc25621"/>
      <w:bookmarkStart w:id="516" w:name="_Toc22911"/>
      <w:bookmarkStart w:id="517" w:name="_Toc22373"/>
      <w:bookmarkStart w:id="518" w:name="_Toc12224"/>
      <w:bookmarkStart w:id="519" w:name="_Toc29117"/>
      <w:bookmarkStart w:id="520" w:name="_Toc21786"/>
      <w:r>
        <w:rPr>
          <w:rFonts w:hint="eastAsia" w:ascii="宋体" w:hAnsi="宋体" w:eastAsia="宋体" w:cs="宋体"/>
          <w:b/>
          <w:bCs/>
          <w:color w:val="000000"/>
          <w:sz w:val="21"/>
          <w:szCs w:val="21"/>
          <w:highlight w:val="none"/>
          <w:lang w:val="en-US" w:eastAsia="zh-CN"/>
        </w:rPr>
        <w:t>7、</w:t>
      </w:r>
      <w:r>
        <w:rPr>
          <w:rFonts w:hint="eastAsia" w:ascii="宋体" w:hAnsi="宋体" w:eastAsia="宋体" w:cs="宋体"/>
          <w:b/>
          <w:bCs/>
          <w:color w:val="000000"/>
          <w:sz w:val="21"/>
          <w:szCs w:val="21"/>
          <w:highlight w:val="none"/>
        </w:rPr>
        <w:t>成交通知书</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2C3B4F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7.1</w:t>
      </w:r>
      <w:r>
        <w:rPr>
          <w:rFonts w:hint="eastAsia" w:ascii="宋体" w:hAnsi="宋体" w:eastAsia="宋体" w:cs="宋体"/>
          <w:color w:val="000000"/>
          <w:sz w:val="21"/>
          <w:szCs w:val="21"/>
          <w:highlight w:val="none"/>
        </w:rPr>
        <w:t>在公告成交结果的同时，采购人或者采购代理机构应当向成交供应商发出成交通知书，成交通知书将作为进行合同谈判和签订合同的依据。</w:t>
      </w:r>
    </w:p>
    <w:p w14:paraId="5ED6DC78">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成交通知书</w:t>
      </w:r>
      <w:r>
        <w:rPr>
          <w:rFonts w:hint="eastAsia" w:ascii="宋体" w:hAnsi="宋体" w:eastAsia="宋体" w:cs="宋体"/>
          <w:color w:val="000000"/>
          <w:sz w:val="21"/>
          <w:szCs w:val="21"/>
          <w:highlight w:val="none"/>
        </w:rPr>
        <w:t>是</w:t>
      </w:r>
      <w:r>
        <w:rPr>
          <w:rFonts w:hint="eastAsia" w:ascii="宋体" w:hAnsi="宋体" w:eastAsia="宋体" w:cs="宋体"/>
          <w:color w:val="000000"/>
          <w:sz w:val="21"/>
          <w:szCs w:val="21"/>
          <w:highlight w:val="none"/>
          <w:lang w:eastAsia="zh-CN"/>
        </w:rPr>
        <w:t>签订</w:t>
      </w:r>
      <w:r>
        <w:rPr>
          <w:rFonts w:hint="eastAsia" w:ascii="宋体" w:hAnsi="宋体" w:eastAsia="宋体" w:cs="宋体"/>
          <w:color w:val="000000"/>
          <w:sz w:val="21"/>
          <w:szCs w:val="21"/>
          <w:highlight w:val="none"/>
        </w:rPr>
        <w:t>合同的组成部分。</w:t>
      </w:r>
    </w:p>
    <w:p w14:paraId="496C0B1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将在发出</w:t>
      </w:r>
      <w:r>
        <w:rPr>
          <w:rFonts w:hint="eastAsia" w:ascii="宋体" w:hAnsi="宋体" w:eastAsia="宋体" w:cs="宋体"/>
          <w:color w:val="000000"/>
          <w:sz w:val="21"/>
          <w:szCs w:val="21"/>
          <w:highlight w:val="none"/>
          <w:lang w:eastAsia="zh-CN"/>
        </w:rPr>
        <w:t>成交通知书</w:t>
      </w:r>
      <w:r>
        <w:rPr>
          <w:rFonts w:hint="eastAsia" w:ascii="宋体" w:hAnsi="宋体" w:eastAsia="宋体" w:cs="宋体"/>
          <w:color w:val="000000"/>
          <w:sz w:val="21"/>
          <w:szCs w:val="21"/>
          <w:highlight w:val="none"/>
        </w:rPr>
        <w:t>的同时，将</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结果通知所有未</w:t>
      </w:r>
      <w:r>
        <w:rPr>
          <w:rFonts w:hint="eastAsia" w:ascii="宋体" w:hAnsi="宋体" w:eastAsia="宋体" w:cs="宋体"/>
          <w:color w:val="000000"/>
          <w:sz w:val="21"/>
          <w:szCs w:val="21"/>
          <w:highlight w:val="none"/>
          <w:lang w:eastAsia="zh-CN"/>
        </w:rPr>
        <w:t>成交</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w:t>
      </w:r>
      <w:bookmarkEnd w:id="514"/>
      <w:bookmarkEnd w:id="515"/>
      <w:bookmarkEnd w:id="516"/>
      <w:bookmarkEnd w:id="517"/>
      <w:bookmarkEnd w:id="518"/>
      <w:bookmarkEnd w:id="519"/>
      <w:bookmarkEnd w:id="520"/>
      <w:bookmarkStart w:id="521" w:name="_Toc13150076"/>
      <w:bookmarkStart w:id="522" w:name="_Toc6766"/>
      <w:bookmarkStart w:id="523" w:name="_Toc15061"/>
      <w:bookmarkStart w:id="524" w:name="_Toc1226"/>
      <w:bookmarkStart w:id="525" w:name="_Toc22392"/>
      <w:bookmarkStart w:id="526" w:name="_Toc12530"/>
      <w:bookmarkStart w:id="527" w:name="_Toc26471"/>
      <w:bookmarkStart w:id="528" w:name="_Toc21638"/>
      <w:bookmarkStart w:id="529" w:name="_Toc11221"/>
      <w:bookmarkStart w:id="530" w:name="_Toc111997246"/>
      <w:bookmarkStart w:id="531" w:name="_Toc10361"/>
      <w:bookmarkStart w:id="532" w:name="_Toc3376"/>
      <w:bookmarkStart w:id="533" w:name="_Toc8166"/>
      <w:bookmarkStart w:id="534" w:name="_Toc21533"/>
      <w:bookmarkStart w:id="535" w:name="_Toc28203"/>
      <w:bookmarkStart w:id="536" w:name="_Toc15128"/>
      <w:bookmarkStart w:id="537" w:name="_Toc22384"/>
    </w:p>
    <w:p w14:paraId="4BCB9280">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8.</w:t>
      </w:r>
      <w:r>
        <w:rPr>
          <w:rFonts w:hint="eastAsia" w:ascii="宋体" w:hAnsi="宋体" w:eastAsia="宋体" w:cs="宋体"/>
          <w:b/>
          <w:bCs/>
          <w:color w:val="000000"/>
          <w:sz w:val="21"/>
          <w:szCs w:val="21"/>
          <w:highlight w:val="none"/>
        </w:rPr>
        <w:t>签订合同</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Start w:id="538" w:name="_Toc26749"/>
      <w:bookmarkStart w:id="539" w:name="_Toc5672"/>
      <w:bookmarkStart w:id="540" w:name="_Toc8361"/>
      <w:bookmarkStart w:id="541" w:name="_Toc1417"/>
      <w:bookmarkStart w:id="542" w:name="_Toc21963"/>
    </w:p>
    <w:p w14:paraId="12ED5C3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8.1</w:t>
      </w:r>
      <w:bookmarkEnd w:id="538"/>
      <w:bookmarkEnd w:id="539"/>
      <w:bookmarkEnd w:id="540"/>
      <w:bookmarkStart w:id="543" w:name="_Toc26954"/>
      <w:r>
        <w:rPr>
          <w:rFonts w:hint="eastAsia" w:ascii="宋体" w:hAnsi="宋体" w:eastAsia="宋体" w:cs="宋体"/>
          <w:color w:val="000000"/>
          <w:sz w:val="21"/>
          <w:szCs w:val="21"/>
          <w:highlight w:val="none"/>
          <w:lang w:val="en-US" w:eastAsia="zh-CN"/>
        </w:rPr>
        <w:t>采购人与成交供应商应当在成交通知书发出之日起30日内签订合同。</w:t>
      </w:r>
    </w:p>
    <w:p w14:paraId="720D804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8.2采购人不得向成交供应商提出超出竞争性磋商文件以外的任何要求作为签订合同的条件，不得与成交供应商订立背离竞争性磋商文件确定的合同文本以及采购标的、采购金额、技术和服务要求等实质性内容的协议。</w:t>
      </w:r>
    </w:p>
    <w:bookmarkEnd w:id="543"/>
    <w:p w14:paraId="224E7C9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44" w:name="_Toc12834"/>
      <w:bookmarkStart w:id="545" w:name="_Toc21772"/>
      <w:bookmarkStart w:id="546" w:name="_Toc10652"/>
      <w:bookmarkStart w:id="547" w:name="_Toc14039"/>
      <w:r>
        <w:rPr>
          <w:rFonts w:hint="eastAsia" w:ascii="宋体" w:hAnsi="宋体" w:eastAsia="宋体" w:cs="宋体"/>
          <w:color w:val="000000"/>
          <w:sz w:val="21"/>
          <w:szCs w:val="21"/>
          <w:highlight w:val="none"/>
          <w:lang w:val="en-US" w:eastAsia="zh-CN"/>
        </w:rPr>
        <w:t>8.3</w:t>
      </w:r>
      <w:r>
        <w:rPr>
          <w:rFonts w:hint="eastAsia" w:ascii="宋体" w:hAnsi="宋体" w:eastAsia="宋体" w:cs="宋体"/>
          <w:color w:val="000000"/>
          <w:sz w:val="21"/>
          <w:szCs w:val="21"/>
          <w:highlight w:val="none"/>
        </w:rPr>
        <w:t>竞争性磋商文件、成交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的响应文件和澄清文件等，均应作为签约的合同文本的基础。</w:t>
      </w:r>
      <w:bookmarkEnd w:id="544"/>
      <w:bookmarkEnd w:id="545"/>
      <w:bookmarkEnd w:id="546"/>
      <w:bookmarkEnd w:id="547"/>
    </w:p>
    <w:p w14:paraId="19D7FD6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48" w:name="_Toc6035"/>
      <w:bookmarkStart w:id="549" w:name="_Toc5311"/>
      <w:bookmarkStart w:id="550" w:name="_Toc7717"/>
      <w:bookmarkStart w:id="551" w:name="_Toc18078"/>
      <w:r>
        <w:rPr>
          <w:rFonts w:hint="eastAsia" w:ascii="宋体" w:hAnsi="宋体" w:eastAsia="宋体" w:cs="宋体"/>
          <w:color w:val="000000"/>
          <w:sz w:val="21"/>
          <w:szCs w:val="21"/>
          <w:highlight w:val="none"/>
          <w:lang w:val="en-US" w:eastAsia="zh-CN"/>
        </w:rPr>
        <w:t>8.4</w:t>
      </w:r>
      <w:r>
        <w:rPr>
          <w:rFonts w:hint="eastAsia" w:ascii="宋体" w:hAnsi="宋体" w:eastAsia="宋体" w:cs="宋体"/>
          <w:color w:val="000000"/>
          <w:sz w:val="21"/>
          <w:szCs w:val="21"/>
          <w:highlight w:val="none"/>
        </w:rPr>
        <w:t>如成交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不按本章第</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.1项约定签订合同，</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将取消其成交决定，</w:t>
      </w:r>
      <w:r>
        <w:rPr>
          <w:rFonts w:hint="eastAsia" w:ascii="宋体" w:hAnsi="宋体" w:eastAsia="宋体" w:cs="宋体"/>
          <w:color w:val="000000"/>
          <w:sz w:val="21"/>
          <w:szCs w:val="21"/>
          <w:highlight w:val="none"/>
          <w:lang w:eastAsia="zh-CN"/>
        </w:rPr>
        <w:t>给采购人造成的损失应承担赔偿责任</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可按照磋商小组推荐的成交候选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名单排序，确定下一候选</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为成交</w:t>
      </w:r>
      <w:r>
        <w:rPr>
          <w:rFonts w:hint="eastAsia" w:ascii="宋体" w:hAnsi="宋体" w:eastAsia="宋体" w:cs="宋体"/>
          <w:color w:val="000000"/>
          <w:sz w:val="21"/>
          <w:szCs w:val="21"/>
          <w:highlight w:val="none"/>
          <w:lang w:eastAsia="zh-CN"/>
        </w:rPr>
        <w:t>供应商</w:t>
      </w:r>
      <w:r>
        <w:rPr>
          <w:rFonts w:hint="eastAsia" w:ascii="宋体" w:hAnsi="宋体" w:eastAsia="宋体" w:cs="宋体"/>
          <w:color w:val="000000"/>
          <w:sz w:val="21"/>
          <w:szCs w:val="21"/>
          <w:highlight w:val="none"/>
        </w:rPr>
        <w:t>或者重新采购。</w:t>
      </w:r>
      <w:bookmarkEnd w:id="548"/>
      <w:bookmarkEnd w:id="549"/>
      <w:bookmarkEnd w:id="550"/>
      <w:bookmarkEnd w:id="551"/>
    </w:p>
    <w:p w14:paraId="5BE18BCF">
      <w:pPr>
        <w:keepNext w:val="0"/>
        <w:keepLines w:val="0"/>
        <w:pageBreakBefore w:val="0"/>
        <w:widowControl w:val="0"/>
        <w:numPr>
          <w:ilvl w:val="2"/>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1"/>
          <w:szCs w:val="21"/>
          <w:highlight w:val="none"/>
        </w:rPr>
      </w:pPr>
      <w:bookmarkStart w:id="552" w:name="_Toc3226"/>
      <w:r>
        <w:rPr>
          <w:rFonts w:hint="eastAsia" w:ascii="宋体" w:hAnsi="宋体" w:eastAsia="宋体" w:cs="宋体"/>
          <w:b/>
          <w:bCs/>
          <w:color w:val="000000"/>
          <w:sz w:val="21"/>
          <w:szCs w:val="21"/>
          <w:highlight w:val="none"/>
          <w:lang w:val="en-US" w:eastAsia="zh-CN"/>
        </w:rPr>
        <w:t>9</w:t>
      </w:r>
      <w:r>
        <w:rPr>
          <w:rFonts w:hint="eastAsia" w:ascii="宋体" w:hAnsi="宋体" w:eastAsia="宋体" w:cs="宋体"/>
          <w:b/>
          <w:bCs/>
          <w:color w:val="000000"/>
          <w:sz w:val="21"/>
          <w:szCs w:val="21"/>
          <w:highlight w:val="none"/>
        </w:rPr>
        <w:t>、询问、质疑和投诉</w:t>
      </w:r>
      <w:bookmarkEnd w:id="541"/>
      <w:bookmarkEnd w:id="542"/>
      <w:bookmarkEnd w:id="552"/>
    </w:p>
    <w:p w14:paraId="1A834C67">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.1、供应商或有关当事人对磋商过程、成交结果有异议的，可以向采购人或者采购代理机构提出询问</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566B82D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.2、采购人或者采购代理机构应当在</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个工作日内对供应商依法提出的询问作出答复。</w:t>
      </w:r>
    </w:p>
    <w:p w14:paraId="35A2298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.3、供应商认为竞争性磋商文件、采购过程使自己的权益受到损害的，可以在知道或者应知其权益受到损害之日起七个工作日内，以书面形式向采购人、采购代理机构提出质疑</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7988E0E4">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4、供应商认为成交结果使自己的权益受到损害的，可以在成交结果公告期限届满之日起七个工作日内，以书面形式向采购人、采购代理机构提出质疑，接收质疑函联系部门、电话及地址详见竞争性磋商公告。在法定质疑期内供应商针对同一采购程序环节的质疑应当一次性提出</w:t>
      </w:r>
      <w:r>
        <w:rPr>
          <w:rFonts w:hint="eastAsia" w:ascii="宋体" w:hAnsi="宋体" w:eastAsia="宋体" w:cs="宋体"/>
          <w:b/>
          <w:bCs/>
          <w:color w:val="000000"/>
          <w:sz w:val="21"/>
          <w:szCs w:val="21"/>
          <w:highlight w:val="none"/>
          <w:lang w:eastAsia="zh-CN"/>
        </w:rPr>
        <w:t>（如在交易系统中提出，供应商须电话联系采购代理机构）</w:t>
      </w:r>
      <w:r>
        <w:rPr>
          <w:rFonts w:hint="eastAsia" w:ascii="宋体" w:hAnsi="宋体" w:eastAsia="宋体" w:cs="宋体"/>
          <w:color w:val="000000"/>
          <w:sz w:val="21"/>
          <w:szCs w:val="21"/>
          <w:highlight w:val="none"/>
        </w:rPr>
        <w:t>。</w:t>
      </w:r>
    </w:p>
    <w:p w14:paraId="39BDD453">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.5、采购人或者采购代理机构应当在收到供应商的书面质疑后七个工作日内作出答复，并以书面形式通知质疑供应商和其他有关供应商，但答复的内容不得涉及商业秘密。</w:t>
      </w:r>
    </w:p>
    <w:p w14:paraId="1FB7CF72">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.6、质疑单位对采购人、采购代理机构的答复不满意或者采购人、采购代理机构未在规定的时间内作出答复的，可以在答复期满后十五个工作日内向</w:t>
      </w:r>
      <w:r>
        <w:rPr>
          <w:rFonts w:hint="eastAsia" w:ascii="宋体" w:hAnsi="宋体" w:eastAsia="宋体" w:cs="宋体"/>
          <w:color w:val="000000"/>
          <w:sz w:val="21"/>
          <w:szCs w:val="21"/>
          <w:highlight w:val="none"/>
          <w:lang w:eastAsia="zh-CN"/>
        </w:rPr>
        <w:t>相关</w:t>
      </w:r>
      <w:r>
        <w:rPr>
          <w:rFonts w:hint="eastAsia" w:ascii="宋体" w:hAnsi="宋体" w:eastAsia="宋体" w:cs="宋体"/>
          <w:color w:val="000000"/>
          <w:sz w:val="21"/>
          <w:szCs w:val="21"/>
          <w:highlight w:val="none"/>
        </w:rPr>
        <w:t>监督管理部门投诉。</w:t>
      </w:r>
    </w:p>
    <w:p w14:paraId="0FE0CC2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.7、供应商质疑、投诉应当有明确的请求和必要的证明材料。供应商投诉的事项不得超出已质疑事项的范围。</w:t>
      </w:r>
    </w:p>
    <w:p w14:paraId="01035446">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.8、供应商应知其权益受到损害之日，是指：</w:t>
      </w:r>
    </w:p>
    <w:p w14:paraId="55987CB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.8.1对可以质疑的</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文件提出质疑的，为收到</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文件之日或者</w:t>
      </w:r>
      <w:r>
        <w:rPr>
          <w:rFonts w:hint="eastAsia" w:ascii="宋体" w:hAnsi="宋体" w:eastAsia="宋体" w:cs="宋体"/>
          <w:color w:val="000000"/>
          <w:sz w:val="21"/>
          <w:szCs w:val="21"/>
          <w:highlight w:val="none"/>
          <w:lang w:eastAsia="zh-CN"/>
        </w:rPr>
        <w:t>竞争性磋商</w:t>
      </w:r>
      <w:r>
        <w:rPr>
          <w:rFonts w:hint="eastAsia" w:ascii="宋体" w:hAnsi="宋体" w:eastAsia="宋体" w:cs="宋体"/>
          <w:color w:val="000000"/>
          <w:sz w:val="21"/>
          <w:szCs w:val="21"/>
          <w:highlight w:val="none"/>
        </w:rPr>
        <w:t>公告期限届满之日；</w:t>
      </w:r>
    </w:p>
    <w:p w14:paraId="3D5DD0CA">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.8.2对采购过程提出质疑的，为各采购程序环节结束之日；</w:t>
      </w:r>
    </w:p>
    <w:p w14:paraId="79C7AD0C">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.8.3对中标或者成交结果提出质疑的，为中标或者成交结果公告期限届满之日。</w:t>
      </w:r>
    </w:p>
    <w:p w14:paraId="20613F3F">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.9、询问或者质疑事项可能影响中标，成交结果的，采购人应当暂停签订合同，已经签订合同的，应当中止</w:t>
      </w:r>
      <w:r>
        <w:rPr>
          <w:rFonts w:hint="eastAsia" w:ascii="宋体" w:hAnsi="宋体" w:eastAsia="宋体" w:cs="宋体"/>
          <w:color w:val="000000"/>
          <w:sz w:val="21"/>
          <w:szCs w:val="21"/>
          <w:highlight w:val="none"/>
          <w:lang w:eastAsia="zh-CN"/>
        </w:rPr>
        <w:t>履</w:t>
      </w:r>
      <w:r>
        <w:rPr>
          <w:rFonts w:hint="eastAsia" w:ascii="宋体" w:hAnsi="宋体" w:eastAsia="宋体" w:cs="宋体"/>
          <w:color w:val="000000"/>
          <w:sz w:val="21"/>
          <w:szCs w:val="21"/>
          <w:highlight w:val="none"/>
        </w:rPr>
        <w:t>行合同。</w:t>
      </w:r>
    </w:p>
    <w:p w14:paraId="76978745">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bookmarkStart w:id="553" w:name="_Toc30421"/>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需要补充的其他内容</w:t>
      </w:r>
      <w:bookmarkEnd w:id="553"/>
    </w:p>
    <w:p w14:paraId="521AD239">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详见供应商须知前附表</w:t>
      </w:r>
    </w:p>
    <w:p w14:paraId="77543B09">
      <w:pPr>
        <w:keepNext w:val="0"/>
        <w:keepLines w:val="0"/>
        <w:pageBreakBefore w:val="0"/>
        <w:widowControl w:val="0"/>
        <w:kinsoku/>
        <w:wordWrap/>
        <w:overflowPunct/>
        <w:topLinePunct w:val="0"/>
        <w:autoSpaceDE/>
        <w:autoSpaceDN/>
        <w:bidi w:val="0"/>
        <w:adjustRightInd/>
        <w:snapToGrid/>
        <w:spacing w:line="500" w:lineRule="exact"/>
        <w:ind w:firstLine="2891" w:firstLineChars="800"/>
        <w:textAlignment w:val="auto"/>
        <w:outlineLvl w:val="0"/>
        <w:rPr>
          <w:rFonts w:hint="eastAsia" w:ascii="宋体" w:hAnsi="宋体" w:eastAsia="宋体" w:cs="宋体"/>
          <w:b/>
          <w:bCs/>
          <w:sz w:val="32"/>
          <w:szCs w:val="32"/>
          <w:highlight w:val="none"/>
        </w:rPr>
      </w:pPr>
      <w:r>
        <w:rPr>
          <w:rFonts w:hint="eastAsia" w:ascii="宋体" w:hAnsi="宋体" w:eastAsia="宋体" w:cs="宋体"/>
          <w:b/>
          <w:sz w:val="36"/>
          <w:szCs w:val="36"/>
          <w:highlight w:val="none"/>
        </w:rPr>
        <w:br w:type="page"/>
      </w:r>
      <w:bookmarkStart w:id="554" w:name="_Toc103592355"/>
      <w:bookmarkStart w:id="555" w:name="_Toc32315"/>
      <w:bookmarkStart w:id="556" w:name="_Toc25852"/>
      <w:bookmarkStart w:id="557" w:name="_Toc16924"/>
      <w:r>
        <w:rPr>
          <w:rFonts w:hint="eastAsia" w:ascii="宋体" w:hAnsi="宋体" w:eastAsia="宋体" w:cs="宋体"/>
          <w:b/>
          <w:sz w:val="32"/>
          <w:szCs w:val="32"/>
          <w:highlight w:val="none"/>
        </w:rPr>
        <w:t xml:space="preserve">第三章 </w:t>
      </w:r>
      <w:bookmarkEnd w:id="554"/>
      <w:bookmarkEnd w:id="555"/>
      <w:bookmarkEnd w:id="556"/>
      <w:r>
        <w:rPr>
          <w:rFonts w:hint="eastAsia" w:ascii="宋体" w:hAnsi="宋体" w:eastAsia="宋体" w:cs="宋体"/>
          <w:b/>
          <w:bCs/>
          <w:color w:val="auto"/>
          <w:kern w:val="44"/>
          <w:sz w:val="32"/>
          <w:szCs w:val="44"/>
          <w:highlight w:val="none"/>
        </w:rPr>
        <w:t>监理任务范围及监理大纲</w:t>
      </w:r>
      <w:bookmarkEnd w:id="557"/>
    </w:p>
    <w:p w14:paraId="0904FB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（一）监理任务范围</w:t>
      </w:r>
    </w:p>
    <w:p w14:paraId="26F65CEC">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本工程建设监理的主要内容是控制工程建设的投资、工程质量、安全和建设工期。进行工程建设合同管理和信息管理，协调有关单位间的工作关系。监理单位受项目法人委托服务范围如下：</w:t>
      </w:r>
    </w:p>
    <w:p w14:paraId="4154B2A3">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1、施工监理</w:t>
      </w:r>
    </w:p>
    <w:p w14:paraId="7A5A6D0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参与分项、分部工程、关键工序和隐蔽工程的质量检查和验收。</w:t>
      </w:r>
    </w:p>
    <w:p w14:paraId="44E352C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审查施工单位选择的分包单位、试验单位的资质并认可。</w:t>
      </w:r>
    </w:p>
    <w:p w14:paraId="73264962">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审查施工单位提交的施工组织设计、施工技术方案。</w:t>
      </w:r>
    </w:p>
    <w:p w14:paraId="6A4EB5C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审查施工单位制定的网络计划，定期检查网络计划执行情况。根据实际情况督促审查施工单位调整网络计划，使其能够按期完工。</w:t>
      </w:r>
    </w:p>
    <w:p w14:paraId="0A3E8F86">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审查施工单位开工申请报告。</w:t>
      </w:r>
    </w:p>
    <w:p w14:paraId="6BEA993F">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审查施工单位质保体系和质保手册并监督实施。</w:t>
      </w:r>
    </w:p>
    <w:p w14:paraId="37214C9B">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检查现场施工人员中特殊工种持证上岗情况。</w:t>
      </w:r>
    </w:p>
    <w:p w14:paraId="3640596E">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检查施工现场原材料、构件的采购、入库、保管、领用等管理制度及其执行情况。</w:t>
      </w:r>
    </w:p>
    <w:p w14:paraId="5604A25D">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参加主要设备的现场开箱检查。对设备保管提出监理意见。</w:t>
      </w:r>
    </w:p>
    <w:p w14:paraId="2CBAC4D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 遇到威胁安全的重大问题时,有权下达“暂停施工”的通知,并通报业主.</w:t>
      </w:r>
    </w:p>
    <w:p w14:paraId="4A15D06E">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审查施工单位工程结算书.工程付款必须有总监理工程师签字.</w:t>
      </w:r>
    </w:p>
    <w:p w14:paraId="2C8E2BAB">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监督施工合同的履行,维护业主和施工单位的正当权益.</w:t>
      </w:r>
    </w:p>
    <w:p w14:paraId="2F76FBEA">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当发现工程设计不符合国家颁布的建设工程质量标准时,应书面报告业主并提出建议.</w:t>
      </w:r>
    </w:p>
    <w:p w14:paraId="5EFAD708">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2、监理资料的整理</w:t>
      </w:r>
    </w:p>
    <w:p w14:paraId="59036F5C">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编制整理监理工作的各种文件、通知、记录、检测资料、图纸等,合同完成或终止时移交给业主. </w:t>
      </w:r>
    </w:p>
    <w:p w14:paraId="3FDD5F4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4"/>
          <w:szCs w:val="24"/>
          <w:highlight w:val="none"/>
        </w:rPr>
      </w:pPr>
      <w:bookmarkStart w:id="558" w:name="_Toc148782776"/>
      <w:bookmarkEnd w:id="558"/>
      <w:bookmarkStart w:id="559" w:name="_Toc76438890"/>
      <w:bookmarkEnd w:id="559"/>
      <w:bookmarkStart w:id="560" w:name="_Toc287171997"/>
      <w:r>
        <w:rPr>
          <w:rFonts w:hint="eastAsia" w:ascii="宋体" w:hAnsi="宋体" w:eastAsia="宋体" w:cs="宋体"/>
          <w:b/>
          <w:bCs/>
          <w:color w:val="auto"/>
          <w:sz w:val="24"/>
          <w:szCs w:val="24"/>
          <w:highlight w:val="none"/>
        </w:rPr>
        <w:t>（二）监理工作大纲</w:t>
      </w:r>
      <w:bookmarkEnd w:id="560"/>
    </w:p>
    <w:p w14:paraId="74DF3D88">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1、工程质量控制：</w:t>
      </w:r>
    </w:p>
    <w:p w14:paraId="0CF6E00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监理单位必须对工程质量进行严格控制。要求从原材料进场到成品完成全过程的进程质量控制。对材料、设备、施工工艺、施工技术等方面进行全面检查，杜绝不合格产品出现。</w:t>
      </w:r>
    </w:p>
    <w:p w14:paraId="23FC3BC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2、工程工期控制：</w:t>
      </w:r>
    </w:p>
    <w:p w14:paraId="5553A187">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严格按合同工期控制工程施工工期，负责审查施工单位制定的网络计划，定期检查网络计划执行情况。根据实际情况督促审查施工单位调整网络计划，使其能够按期完工。</w:t>
      </w:r>
    </w:p>
    <w:p w14:paraId="5523C230">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3、工程投资控制：</w:t>
      </w:r>
    </w:p>
    <w:p w14:paraId="57156F91">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严格控制各项工程变更，审查工程变更的合理性。一般不得突破工程预算，负责合格项目的验收签证，以此作为业主审查承包商工程量支付其工程款的基本依据。</w:t>
      </w:r>
    </w:p>
    <w:p w14:paraId="51699903">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4、工程安全控制：</w:t>
      </w:r>
    </w:p>
    <w:p w14:paraId="55A03359">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工程安全控制措施得力，不留隐患。</w:t>
      </w:r>
    </w:p>
    <w:p w14:paraId="18D83E2A">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5、工程合同管理、信息管理及协调有关单位的工作关系：</w:t>
      </w:r>
    </w:p>
    <w:p w14:paraId="4682E1B2">
      <w:pPr>
        <w:keepNext w:val="0"/>
        <w:keepLines w:val="0"/>
        <w:pageBreakBefore w:val="0"/>
        <w:widowControl w:val="0"/>
        <w:kinsoku/>
        <w:wordWrap/>
        <w:overflowPunct/>
        <w:topLinePunct w:val="0"/>
        <w:autoSpaceDE/>
        <w:autoSpaceDN/>
        <w:bidi w:val="0"/>
        <w:adjustRightInd/>
        <w:snapToGrid/>
        <w:spacing w:line="500" w:lineRule="exact"/>
        <w:ind w:firstLine="592" w:firstLineChars="24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工程现场的施工单位必须接受监理单位的监督管理。要求监理单位协调好现场各有关单位的关系，处理解决各单位之间因工程施工而出现的矛盾和问题，协助业主办理与工程相关的所有手续。</w:t>
      </w:r>
    </w:p>
    <w:p w14:paraId="2FB9A36B">
      <w:pPr>
        <w:keepNext w:val="0"/>
        <w:keepLines w:val="0"/>
        <w:pageBreakBefore w:val="0"/>
        <w:widowControl w:val="0"/>
        <w:numPr>
          <w:ilvl w:val="2"/>
          <w:numId w:val="0"/>
        </w:numPr>
        <w:kinsoku/>
        <w:wordWrap/>
        <w:overflowPunct/>
        <w:topLinePunct w:val="0"/>
        <w:autoSpaceDE/>
        <w:autoSpaceDN/>
        <w:bidi w:val="0"/>
        <w:adjustRightInd/>
        <w:snapToGrid/>
        <w:spacing w:line="460" w:lineRule="exact"/>
        <w:ind w:left="0" w:leftChars="0" w:firstLine="420" w:firstLineChars="200"/>
        <w:textAlignment w:val="auto"/>
        <w:rPr>
          <w:rFonts w:hint="eastAsia" w:ascii="宋体" w:hAnsi="宋体" w:eastAsia="宋体" w:cs="宋体"/>
          <w:color w:val="000000"/>
          <w:sz w:val="21"/>
          <w:szCs w:val="21"/>
          <w:highlight w:val="none"/>
          <w:lang w:eastAsia="zh-CN"/>
        </w:rPr>
      </w:pPr>
    </w:p>
    <w:p w14:paraId="034073D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hint="eastAsia" w:ascii="宋体" w:hAnsi="宋体" w:eastAsia="宋体" w:cs="宋体"/>
          <w:bCs/>
          <w:kern w:val="0"/>
          <w:sz w:val="32"/>
          <w:szCs w:val="32"/>
          <w:highlight w:val="none"/>
          <w:shd w:val="clear" w:color="auto" w:fill="FFFFFF"/>
          <w:lang w:eastAsia="zh-CN"/>
        </w:rPr>
      </w:pPr>
      <w:r>
        <w:rPr>
          <w:rFonts w:hint="eastAsia" w:ascii="宋体" w:hAnsi="宋体" w:eastAsia="宋体" w:cs="宋体"/>
          <w:kern w:val="0"/>
          <w:sz w:val="24"/>
          <w:szCs w:val="24"/>
          <w:highlight w:val="none"/>
        </w:rPr>
        <w:br w:type="page"/>
      </w:r>
      <w:bookmarkStart w:id="561" w:name="_Toc103592356"/>
      <w:bookmarkStart w:id="562" w:name="_Toc13276"/>
      <w:bookmarkStart w:id="563" w:name="_Toc671"/>
      <w:r>
        <w:rPr>
          <w:rFonts w:hint="eastAsia" w:ascii="宋体" w:hAnsi="宋体" w:eastAsia="宋体" w:cs="宋体"/>
          <w:b/>
          <w:bCs w:val="0"/>
          <w:kern w:val="0"/>
          <w:sz w:val="32"/>
          <w:szCs w:val="32"/>
          <w:highlight w:val="none"/>
          <w:shd w:val="clear" w:fill="FFFFFF"/>
          <w:lang w:val="en-US" w:eastAsia="zh-CN" w:bidi="ar-SA"/>
        </w:rPr>
        <w:t xml:space="preserve">第四章 </w:t>
      </w:r>
      <w:r>
        <w:rPr>
          <w:rFonts w:hint="eastAsia" w:ascii="宋体" w:hAnsi="宋体" w:eastAsia="宋体" w:cs="宋体"/>
          <w:b/>
          <w:bCs w:val="0"/>
          <w:kern w:val="0"/>
          <w:sz w:val="32"/>
          <w:szCs w:val="32"/>
          <w:highlight w:val="none"/>
          <w:shd w:val="clear" w:color="auto" w:fill="FFFFFF"/>
        </w:rPr>
        <w:t>评审办法</w:t>
      </w:r>
      <w:bookmarkEnd w:id="561"/>
      <w:r>
        <w:rPr>
          <w:rFonts w:hint="eastAsia" w:ascii="宋体" w:hAnsi="宋体" w:eastAsia="宋体" w:cs="宋体"/>
          <w:b/>
          <w:bCs w:val="0"/>
          <w:kern w:val="0"/>
          <w:sz w:val="32"/>
          <w:szCs w:val="32"/>
          <w:highlight w:val="none"/>
          <w:shd w:val="clear" w:color="auto" w:fill="FFFFFF"/>
          <w:lang w:eastAsia="zh-CN"/>
        </w:rPr>
        <w:t>（综合评分法）</w:t>
      </w:r>
      <w:bookmarkEnd w:id="562"/>
      <w:bookmarkEnd w:id="563"/>
    </w:p>
    <w:tbl>
      <w:tblPr>
        <w:tblStyle w:val="27"/>
        <w:tblW w:w="10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790"/>
        <w:gridCol w:w="590"/>
        <w:gridCol w:w="1501"/>
        <w:gridCol w:w="6549"/>
      </w:tblGrid>
      <w:tr w14:paraId="3BDF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66A1756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bookmarkStart w:id="564" w:name="_Toc9836"/>
            <w:r>
              <w:rPr>
                <w:rFonts w:hint="eastAsia" w:ascii="宋体" w:hAnsi="宋体" w:eastAsia="宋体" w:cs="宋体"/>
                <w:color w:val="000000"/>
                <w:sz w:val="21"/>
                <w:szCs w:val="21"/>
                <w:highlight w:val="none"/>
              </w:rPr>
              <w:t>条款号</w:t>
            </w:r>
          </w:p>
        </w:tc>
        <w:tc>
          <w:tcPr>
            <w:tcW w:w="2091" w:type="dxa"/>
            <w:gridSpan w:val="2"/>
            <w:noWrap w:val="0"/>
            <w:vAlign w:val="center"/>
          </w:tcPr>
          <w:p w14:paraId="727B678D">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评审因素</w:t>
            </w:r>
          </w:p>
        </w:tc>
        <w:tc>
          <w:tcPr>
            <w:tcW w:w="6549" w:type="dxa"/>
            <w:noWrap w:val="0"/>
            <w:vAlign w:val="center"/>
          </w:tcPr>
          <w:p w14:paraId="298B4CF1">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评审标准</w:t>
            </w:r>
          </w:p>
        </w:tc>
      </w:tr>
      <w:tr w14:paraId="64C1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18332CD3">
            <w:pPr>
              <w:pStyle w:val="26"/>
              <w:keepNext w:val="0"/>
              <w:keepLines w:val="0"/>
              <w:pageBreakBefore w:val="0"/>
              <w:kinsoku/>
              <w:wordWrap/>
              <w:overflowPunct/>
              <w:topLinePunct w:val="0"/>
              <w:bidi w:val="0"/>
              <w:spacing w:line="400" w:lineRule="exact"/>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790" w:type="dxa"/>
            <w:vMerge w:val="restart"/>
            <w:noWrap w:val="0"/>
            <w:vAlign w:val="center"/>
          </w:tcPr>
          <w:p w14:paraId="469E9C0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符合性评审</w:t>
            </w:r>
          </w:p>
        </w:tc>
        <w:tc>
          <w:tcPr>
            <w:tcW w:w="2091" w:type="dxa"/>
            <w:gridSpan w:val="2"/>
            <w:noWrap w:val="0"/>
            <w:vAlign w:val="center"/>
          </w:tcPr>
          <w:p w14:paraId="21ABCBC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供应商名称</w:t>
            </w:r>
          </w:p>
        </w:tc>
        <w:tc>
          <w:tcPr>
            <w:tcW w:w="6549" w:type="dxa"/>
            <w:noWrap w:val="0"/>
            <w:vAlign w:val="center"/>
          </w:tcPr>
          <w:p w14:paraId="08DAB61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与营业执照</w:t>
            </w:r>
            <w:r>
              <w:rPr>
                <w:rFonts w:hint="eastAsia" w:ascii="宋体" w:hAnsi="宋体" w:eastAsia="宋体" w:cs="宋体"/>
                <w:color w:val="000000"/>
                <w:sz w:val="21"/>
                <w:szCs w:val="21"/>
                <w:highlight w:val="none"/>
                <w:lang w:eastAsia="zh-CN"/>
              </w:rPr>
              <w:t>、资质证书</w:t>
            </w:r>
            <w:r>
              <w:rPr>
                <w:rFonts w:hint="eastAsia" w:ascii="宋体" w:hAnsi="宋体" w:eastAsia="宋体" w:cs="宋体"/>
                <w:color w:val="000000"/>
                <w:sz w:val="21"/>
                <w:szCs w:val="21"/>
                <w:highlight w:val="none"/>
              </w:rPr>
              <w:t>一致</w:t>
            </w:r>
          </w:p>
        </w:tc>
      </w:tr>
      <w:tr w14:paraId="09B1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21BB8AC">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51F85DD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FABA2E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报价唯一</w:t>
            </w:r>
          </w:p>
        </w:tc>
        <w:tc>
          <w:tcPr>
            <w:tcW w:w="6549" w:type="dxa"/>
            <w:noWrap w:val="0"/>
            <w:vAlign w:val="center"/>
          </w:tcPr>
          <w:p w14:paraId="5D5A61B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只有一个有效报价，且</w:t>
            </w:r>
            <w:r>
              <w:rPr>
                <w:rFonts w:hint="eastAsia" w:ascii="宋体" w:hAnsi="宋体" w:eastAsia="宋体" w:cs="宋体"/>
                <w:color w:val="000000"/>
                <w:kern w:val="0"/>
                <w:sz w:val="21"/>
                <w:szCs w:val="21"/>
                <w:highlight w:val="none"/>
              </w:rPr>
              <w:t>不超过采购最高限价，</w:t>
            </w:r>
            <w:r>
              <w:rPr>
                <w:rFonts w:hint="eastAsia" w:ascii="宋体" w:hAnsi="宋体" w:eastAsia="宋体" w:cs="宋体"/>
                <w:color w:val="000000"/>
                <w:kern w:val="0"/>
                <w:sz w:val="21"/>
                <w:szCs w:val="21"/>
                <w:highlight w:val="none"/>
                <w:lang w:eastAsia="zh-CN"/>
              </w:rPr>
              <w:t>超出采购最高限价的供应商</w:t>
            </w:r>
            <w:r>
              <w:rPr>
                <w:rFonts w:hint="eastAsia" w:ascii="宋体" w:hAnsi="宋体" w:eastAsia="宋体" w:cs="宋体"/>
                <w:color w:val="000000"/>
                <w:kern w:val="0"/>
                <w:sz w:val="21"/>
                <w:szCs w:val="21"/>
                <w:highlight w:val="none"/>
              </w:rPr>
              <w:t>其</w:t>
            </w:r>
            <w:r>
              <w:rPr>
                <w:rFonts w:hint="eastAsia" w:ascii="宋体" w:hAnsi="宋体" w:eastAsia="宋体" w:cs="宋体"/>
                <w:color w:val="000000"/>
                <w:kern w:val="0"/>
                <w:sz w:val="21"/>
                <w:szCs w:val="21"/>
                <w:highlight w:val="none"/>
                <w:lang w:eastAsia="zh-CN"/>
              </w:rPr>
              <w:t>响应文件按无效响应处理</w:t>
            </w:r>
          </w:p>
        </w:tc>
      </w:tr>
      <w:tr w14:paraId="6AA0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B3CE770">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697ACBC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76E375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响应文件签署、盖章</w:t>
            </w:r>
          </w:p>
        </w:tc>
        <w:tc>
          <w:tcPr>
            <w:tcW w:w="6549" w:type="dxa"/>
            <w:noWrap w:val="0"/>
            <w:vAlign w:val="center"/>
          </w:tcPr>
          <w:p w14:paraId="6911111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响应文件按竞争性磋商文件要求签署、盖章的</w:t>
            </w:r>
          </w:p>
        </w:tc>
      </w:tr>
      <w:tr w14:paraId="7BEB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73C9272">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E7F31B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E917180">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磋商</w:t>
            </w:r>
            <w:r>
              <w:rPr>
                <w:rFonts w:hint="eastAsia" w:ascii="宋体" w:hAnsi="宋体" w:eastAsia="宋体" w:cs="宋体"/>
                <w:color w:val="000000"/>
                <w:sz w:val="21"/>
                <w:szCs w:val="21"/>
                <w:highlight w:val="none"/>
              </w:rPr>
              <w:t>范围</w:t>
            </w:r>
          </w:p>
        </w:tc>
        <w:tc>
          <w:tcPr>
            <w:tcW w:w="6549" w:type="dxa"/>
            <w:noWrap w:val="0"/>
            <w:vAlign w:val="center"/>
          </w:tcPr>
          <w:p w14:paraId="55C9C7C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总投资范围内的工程施工阶段及缺陷责任期（24个月）阶段监理</w:t>
            </w:r>
          </w:p>
        </w:tc>
      </w:tr>
      <w:tr w14:paraId="5955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3D50703">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203E61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3BF479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质量控制目标</w:t>
            </w:r>
          </w:p>
        </w:tc>
        <w:tc>
          <w:tcPr>
            <w:tcW w:w="6549" w:type="dxa"/>
            <w:noWrap w:val="0"/>
            <w:vAlign w:val="center"/>
          </w:tcPr>
          <w:p w14:paraId="42E78CA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达到现行国家及地方现行工程施工质量验收规范合格标准</w:t>
            </w:r>
            <w:r>
              <w:rPr>
                <w:rFonts w:hint="eastAsia" w:ascii="宋体" w:hAnsi="宋体" w:eastAsia="宋体" w:cs="宋体"/>
                <w:color w:val="000000"/>
                <w:sz w:val="21"/>
                <w:szCs w:val="21"/>
                <w:highlight w:val="none"/>
                <w:lang w:eastAsia="zh-CN"/>
              </w:rPr>
              <w:t>。</w:t>
            </w:r>
          </w:p>
        </w:tc>
      </w:tr>
      <w:tr w14:paraId="47D2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61AA9DB">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3B6633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8B28DDD">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安全控制目标</w:t>
            </w:r>
          </w:p>
        </w:tc>
        <w:tc>
          <w:tcPr>
            <w:tcW w:w="6549" w:type="dxa"/>
            <w:noWrap w:val="0"/>
            <w:vAlign w:val="center"/>
          </w:tcPr>
          <w:p w14:paraId="39A25DF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无安全事故</w:t>
            </w:r>
          </w:p>
        </w:tc>
      </w:tr>
      <w:tr w14:paraId="77B4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FE81E4B">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AEB247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6A0E1D9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监理期限</w:t>
            </w:r>
          </w:p>
        </w:tc>
        <w:tc>
          <w:tcPr>
            <w:tcW w:w="6549" w:type="dxa"/>
            <w:noWrap w:val="0"/>
            <w:vAlign w:val="center"/>
          </w:tcPr>
          <w:p w14:paraId="2E5C83A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同施工工期及缺陷责任期</w:t>
            </w:r>
            <w:r>
              <w:rPr>
                <w:rFonts w:hint="eastAsia" w:ascii="宋体" w:hAnsi="宋体" w:eastAsia="宋体" w:cs="宋体"/>
                <w:color w:val="000000"/>
                <w:sz w:val="21"/>
                <w:szCs w:val="21"/>
                <w:highlight w:val="none"/>
                <w:lang w:eastAsia="zh-CN"/>
              </w:rPr>
              <w:t>。</w:t>
            </w:r>
          </w:p>
        </w:tc>
      </w:tr>
      <w:tr w14:paraId="51CB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FABD0E6">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57E64BE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95D446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磋商有效期</w:t>
            </w:r>
          </w:p>
        </w:tc>
        <w:tc>
          <w:tcPr>
            <w:tcW w:w="6549" w:type="dxa"/>
            <w:noWrap w:val="0"/>
            <w:vAlign w:val="center"/>
          </w:tcPr>
          <w:p w14:paraId="03F2911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响应文件递交截止之日起60日历天</w:t>
            </w:r>
          </w:p>
        </w:tc>
      </w:tr>
      <w:tr w14:paraId="77C8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B22935C">
            <w:pPr>
              <w:pStyle w:val="26"/>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0A6114B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shd w:val="clear" w:color="auto" w:fill="auto"/>
            <w:noWrap w:val="0"/>
            <w:vAlign w:val="center"/>
          </w:tcPr>
          <w:p w14:paraId="78D5725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其他实质性内容</w:t>
            </w:r>
          </w:p>
        </w:tc>
        <w:tc>
          <w:tcPr>
            <w:tcW w:w="6549" w:type="dxa"/>
            <w:shd w:val="clear" w:color="auto" w:fill="auto"/>
            <w:noWrap w:val="0"/>
            <w:vAlign w:val="center"/>
          </w:tcPr>
          <w:p w14:paraId="432307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highlight w:val="none"/>
                <w:lang w:val="en-US" w:eastAsia="zh-CN"/>
              </w:rPr>
              <w:t>符合磋商文件要求</w:t>
            </w:r>
          </w:p>
        </w:tc>
      </w:tr>
      <w:tr w14:paraId="2851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0C937F47">
            <w:pPr>
              <w:pStyle w:val="26"/>
              <w:keepNext w:val="0"/>
              <w:keepLines w:val="0"/>
              <w:pageBreakBefore w:val="0"/>
              <w:kinsoku/>
              <w:wordWrap/>
              <w:overflowPunct/>
              <w:topLinePunct w:val="0"/>
              <w:bidi w:val="0"/>
              <w:spacing w:line="400" w:lineRule="exact"/>
              <w:ind w:left="0" w:leftChars="0" w:firstLine="0" w:firstLineChars="0"/>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c>
          <w:tcPr>
            <w:tcW w:w="790" w:type="dxa"/>
            <w:vMerge w:val="restart"/>
            <w:noWrap w:val="0"/>
            <w:vAlign w:val="center"/>
          </w:tcPr>
          <w:p w14:paraId="081F806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资格评审标准</w:t>
            </w:r>
          </w:p>
        </w:tc>
        <w:tc>
          <w:tcPr>
            <w:tcW w:w="2091" w:type="dxa"/>
            <w:gridSpan w:val="2"/>
            <w:noWrap w:val="0"/>
            <w:vAlign w:val="center"/>
          </w:tcPr>
          <w:p w14:paraId="0ABF703A">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p>
        </w:tc>
        <w:tc>
          <w:tcPr>
            <w:tcW w:w="6549" w:type="dxa"/>
            <w:noWrap w:val="0"/>
            <w:vAlign w:val="center"/>
          </w:tcPr>
          <w:p w14:paraId="41B38C4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提供资格承诺声明函（</w:t>
            </w:r>
            <w:r>
              <w:rPr>
                <w:rFonts w:hint="eastAsia" w:ascii="宋体" w:hAnsi="宋体" w:eastAsia="宋体" w:cs="宋体"/>
                <w:color w:val="000000"/>
                <w:kern w:val="0"/>
                <w:sz w:val="21"/>
                <w:szCs w:val="21"/>
                <w:highlight w:val="none"/>
                <w:lang w:val="en-US" w:eastAsia="zh-CN"/>
              </w:rPr>
              <w:t>格式详见磋商文件</w:t>
            </w:r>
            <w:r>
              <w:rPr>
                <w:rFonts w:hint="eastAsia" w:ascii="宋体" w:hAnsi="宋体" w:eastAsia="宋体" w:cs="宋体"/>
                <w:color w:val="000000"/>
                <w:kern w:val="0"/>
                <w:sz w:val="21"/>
                <w:szCs w:val="21"/>
                <w:highlight w:val="none"/>
                <w:lang w:eastAsia="zh-CN"/>
              </w:rPr>
              <w:t>）</w:t>
            </w:r>
          </w:p>
        </w:tc>
      </w:tr>
      <w:tr w14:paraId="4BCC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03C53343">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6FE79BD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353E57C">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lang w:eastAsia="zh-CN"/>
              </w:rPr>
              <w:t>中小企业声明函</w:t>
            </w:r>
          </w:p>
        </w:tc>
        <w:tc>
          <w:tcPr>
            <w:tcW w:w="6549" w:type="dxa"/>
            <w:noWrap w:val="0"/>
            <w:vAlign w:val="center"/>
          </w:tcPr>
          <w:p w14:paraId="6ED0884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提供</w:t>
            </w:r>
            <w:r>
              <w:rPr>
                <w:rFonts w:hint="eastAsia" w:ascii="宋体" w:hAnsi="宋体" w:eastAsia="宋体" w:cs="宋体"/>
                <w:color w:val="000000"/>
                <w:sz w:val="21"/>
                <w:szCs w:val="21"/>
                <w:highlight w:val="none"/>
                <w:lang w:eastAsia="zh-CN"/>
              </w:rPr>
              <w:t>中小企业声明函</w:t>
            </w:r>
          </w:p>
        </w:tc>
      </w:tr>
      <w:tr w14:paraId="6234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DB663A7">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3D80B84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17FCA9B">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营业执照</w:t>
            </w:r>
          </w:p>
        </w:tc>
        <w:tc>
          <w:tcPr>
            <w:tcW w:w="6549" w:type="dxa"/>
            <w:noWrap w:val="0"/>
            <w:vAlign w:val="center"/>
          </w:tcPr>
          <w:p w14:paraId="6317398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val="en-US" w:eastAsia="zh-CN"/>
              </w:rPr>
              <w:t>具有有效的营业执照</w:t>
            </w:r>
          </w:p>
        </w:tc>
      </w:tr>
      <w:tr w14:paraId="76CB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E3EFBC6">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541471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0042E360">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资质证书</w:t>
            </w:r>
          </w:p>
        </w:tc>
        <w:tc>
          <w:tcPr>
            <w:tcW w:w="6549" w:type="dxa"/>
            <w:noWrap w:val="0"/>
            <w:vAlign w:val="center"/>
          </w:tcPr>
          <w:p w14:paraId="2153C7F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供应商应具备房屋建筑工程专业监理乙级及以上资质或市政公用工程监理乙级及以上资质或具有工程监理综合资质。</w:t>
            </w:r>
          </w:p>
        </w:tc>
      </w:tr>
      <w:tr w14:paraId="347A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62EAFDAF">
            <w:pPr>
              <w:pStyle w:val="26"/>
              <w:keepNext w:val="0"/>
              <w:keepLines w:val="0"/>
              <w:pageBreakBefore w:val="0"/>
              <w:kinsoku/>
              <w:wordWrap/>
              <w:overflowPunct/>
              <w:topLinePunct w:val="0"/>
              <w:bidi w:val="0"/>
              <w:spacing w:line="400" w:lineRule="exact"/>
              <w:ind w:firstLine="0" w:firstLineChars="0"/>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798A408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E9AD223">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项目总监理工程师资格</w:t>
            </w:r>
          </w:p>
        </w:tc>
        <w:tc>
          <w:tcPr>
            <w:tcW w:w="6549" w:type="dxa"/>
            <w:noWrap w:val="0"/>
            <w:vAlign w:val="center"/>
          </w:tcPr>
          <w:p w14:paraId="297306CC">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拟派项目总监理工程师具有房屋建筑专业注册监理工程师执业资格证书或市政公用工程注册监理工程师执业资格证书，出具单位养老保险缴费证明，以证明其养老保险账户在本单位。</w:t>
            </w:r>
          </w:p>
        </w:tc>
      </w:tr>
      <w:tr w14:paraId="136A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A799C2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0C36337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3042804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sz w:val="21"/>
                <w:szCs w:val="21"/>
                <w:highlight w:val="none"/>
                <w:lang w:eastAsia="zh-CN"/>
              </w:rPr>
              <w:t>相关网站</w:t>
            </w:r>
            <w:r>
              <w:rPr>
                <w:rFonts w:hint="eastAsia" w:ascii="宋体" w:hAnsi="宋体" w:eastAsia="宋体" w:cs="宋体"/>
                <w:color w:val="000000"/>
                <w:kern w:val="0"/>
                <w:sz w:val="21"/>
                <w:szCs w:val="21"/>
                <w:highlight w:val="none"/>
                <w:lang w:eastAsia="zh-CN"/>
              </w:rPr>
              <w:t>查询</w:t>
            </w:r>
          </w:p>
        </w:tc>
        <w:tc>
          <w:tcPr>
            <w:tcW w:w="6549" w:type="dxa"/>
            <w:noWrap w:val="0"/>
            <w:vAlign w:val="center"/>
          </w:tcPr>
          <w:p w14:paraId="465F4AF8">
            <w:pPr>
              <w:keepNext w:val="0"/>
              <w:keepLines w:val="0"/>
              <w:pageBreakBefore w:val="0"/>
              <w:widowControl w:val="0"/>
              <w:kinsoku/>
              <w:wordWrap w:val="0"/>
              <w:overflowPunct/>
              <w:topLinePunct w:val="0"/>
              <w:autoSpaceDE w:val="0"/>
              <w:autoSpaceDN w:val="0"/>
              <w:bidi w:val="0"/>
              <w:adjustRightInd w:val="0"/>
              <w:snapToGrid/>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根据《关于在政府采购活动中查询及使用信用记录有关问题的通知》(财库[2016]125号) 和豫财购【2016】15号的规定，对列入失信被执行人、重大税收违法失信主体、政府采购严重违法失信行为记录名单的供应商，拒绝参与本项目政府采购活动。【开标时由采购人或采购代理机构通过</w:t>
            </w:r>
            <w:r>
              <w:rPr>
                <w:rFonts w:hint="eastAsia" w:ascii="宋体" w:hAnsi="宋体" w:eastAsia="宋体" w:cs="宋体"/>
                <w:color w:val="000000"/>
                <w:kern w:val="0"/>
                <w:sz w:val="21"/>
                <w:szCs w:val="21"/>
                <w:highlight w:val="none"/>
                <w:lang w:eastAsia="zh-CN"/>
              </w:rPr>
              <w:t>“中国执行信息公开网（zxgk.court.gov.cn/shixin）、</w:t>
            </w:r>
            <w:r>
              <w:rPr>
                <w:rFonts w:hint="eastAsia" w:ascii="宋体" w:hAnsi="宋体" w:eastAsia="宋体" w:cs="宋体"/>
                <w:color w:val="000000"/>
                <w:kern w:val="0"/>
                <w:sz w:val="21"/>
                <w:szCs w:val="21"/>
                <w:highlight w:val="none"/>
                <w:lang w:val="en-US" w:eastAsia="zh-CN"/>
              </w:rPr>
              <w:t>“信用中国”网站（www.creditchina.gov.cn）、中国政府采购网（http://www.ccgp.gov.cn）等渠道查询相关主体信用记录,信用信息查询记录及相关证据与其他采购文件一并保存。查询时间：本项目评审结束之前（相关网站有最新规定的，按最新规定执行）】。</w:t>
            </w:r>
          </w:p>
        </w:tc>
      </w:tr>
      <w:tr w14:paraId="5D85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ED32081">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DB3BC8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7C93DB66">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单位负责人为同一人或者存在控股、管理关系的不同单位，不得同时参加本项目的采购</w:t>
            </w:r>
          </w:p>
        </w:tc>
        <w:tc>
          <w:tcPr>
            <w:tcW w:w="6549" w:type="dxa"/>
            <w:noWrap w:val="0"/>
            <w:vAlign w:val="center"/>
          </w:tcPr>
          <w:p w14:paraId="689EB32B">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提供响应承诺函（</w:t>
            </w:r>
            <w:r>
              <w:rPr>
                <w:rFonts w:hint="eastAsia" w:ascii="宋体" w:hAnsi="宋体" w:eastAsia="宋体" w:cs="宋体"/>
                <w:color w:val="000000"/>
                <w:kern w:val="0"/>
                <w:sz w:val="21"/>
                <w:szCs w:val="21"/>
                <w:highlight w:val="none"/>
                <w:lang w:val="en-US" w:eastAsia="zh-CN"/>
              </w:rPr>
              <w:t>格式详见磋商文件</w:t>
            </w:r>
            <w:r>
              <w:rPr>
                <w:rFonts w:hint="eastAsia" w:ascii="宋体" w:hAnsi="宋体" w:eastAsia="宋体" w:cs="宋体"/>
                <w:color w:val="000000"/>
                <w:kern w:val="0"/>
                <w:sz w:val="21"/>
                <w:szCs w:val="21"/>
                <w:highlight w:val="none"/>
                <w:lang w:eastAsia="zh-CN"/>
              </w:rPr>
              <w:t>）</w:t>
            </w:r>
          </w:p>
        </w:tc>
      </w:tr>
      <w:tr w14:paraId="0B98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47F8257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条款号</w:t>
            </w:r>
          </w:p>
        </w:tc>
        <w:tc>
          <w:tcPr>
            <w:tcW w:w="2091" w:type="dxa"/>
            <w:gridSpan w:val="2"/>
            <w:noWrap w:val="0"/>
            <w:vAlign w:val="center"/>
          </w:tcPr>
          <w:p w14:paraId="657205B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条款内容</w:t>
            </w:r>
          </w:p>
        </w:tc>
        <w:tc>
          <w:tcPr>
            <w:tcW w:w="6549" w:type="dxa"/>
            <w:noWrap w:val="0"/>
            <w:vAlign w:val="center"/>
          </w:tcPr>
          <w:p w14:paraId="4EE3831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编列内容</w:t>
            </w:r>
          </w:p>
        </w:tc>
      </w:tr>
      <w:tr w14:paraId="12DE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56DEFED9">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w:t>
            </w:r>
          </w:p>
        </w:tc>
        <w:tc>
          <w:tcPr>
            <w:tcW w:w="2091" w:type="dxa"/>
            <w:gridSpan w:val="2"/>
            <w:noWrap w:val="0"/>
            <w:vAlign w:val="center"/>
          </w:tcPr>
          <w:p w14:paraId="64E36F72">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分值构成(总分100分)</w:t>
            </w:r>
          </w:p>
        </w:tc>
        <w:tc>
          <w:tcPr>
            <w:tcW w:w="6549" w:type="dxa"/>
            <w:noWrap w:val="0"/>
            <w:vAlign w:val="center"/>
          </w:tcPr>
          <w:p w14:paraId="21BA814C">
            <w:pPr>
              <w:keepNext w:val="0"/>
              <w:keepLines w:val="0"/>
              <w:pageBreakBefore w:val="0"/>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eastAsia="zh-CN"/>
              </w:rPr>
              <w:t>磋商</w:t>
            </w:r>
            <w:r>
              <w:rPr>
                <w:rFonts w:hint="eastAsia" w:ascii="宋体" w:hAnsi="宋体" w:eastAsia="宋体" w:cs="宋体"/>
                <w:b/>
                <w:color w:val="000000"/>
                <w:sz w:val="21"/>
                <w:szCs w:val="21"/>
                <w:highlight w:val="none"/>
              </w:rPr>
              <w:t>报价：</w:t>
            </w:r>
            <w:r>
              <w:rPr>
                <w:rFonts w:hint="eastAsia" w:ascii="宋体" w:hAnsi="宋体" w:eastAsia="宋体" w:cs="宋体"/>
                <w:b/>
                <w:color w:val="000000"/>
                <w:sz w:val="21"/>
                <w:szCs w:val="21"/>
                <w:highlight w:val="none"/>
                <w:lang w:val="en-US" w:eastAsia="zh-CN"/>
              </w:rPr>
              <w:t>30</w:t>
            </w:r>
            <w:r>
              <w:rPr>
                <w:rFonts w:hint="eastAsia" w:ascii="宋体" w:hAnsi="宋体" w:eastAsia="宋体" w:cs="宋体"/>
                <w:b/>
                <w:color w:val="000000"/>
                <w:sz w:val="21"/>
                <w:szCs w:val="21"/>
                <w:highlight w:val="none"/>
              </w:rPr>
              <w:t>分</w:t>
            </w:r>
          </w:p>
          <w:p w14:paraId="3A73D9FB">
            <w:pPr>
              <w:keepNext w:val="0"/>
              <w:keepLines w:val="0"/>
              <w:pageBreakBefore w:val="0"/>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val="en-US" w:eastAsia="zh-CN"/>
              </w:rPr>
              <w:t>技术部分（监理大纲）</w:t>
            </w:r>
            <w:r>
              <w:rPr>
                <w:rFonts w:hint="eastAsia" w:ascii="宋体" w:hAnsi="宋体" w:eastAsia="宋体" w:cs="宋体"/>
                <w:b/>
                <w:color w:val="000000"/>
                <w:sz w:val="21"/>
                <w:szCs w:val="21"/>
                <w:highlight w:val="none"/>
              </w:rPr>
              <w:t>：</w:t>
            </w:r>
            <w:r>
              <w:rPr>
                <w:rFonts w:hint="eastAsia" w:ascii="宋体" w:hAnsi="宋体" w:eastAsia="宋体" w:cs="宋体"/>
                <w:b/>
                <w:color w:val="000000"/>
                <w:sz w:val="21"/>
                <w:szCs w:val="21"/>
                <w:highlight w:val="none"/>
                <w:lang w:val="en-US" w:eastAsia="zh-CN"/>
              </w:rPr>
              <w:t>50</w:t>
            </w:r>
            <w:r>
              <w:rPr>
                <w:rFonts w:hint="eastAsia" w:ascii="宋体" w:hAnsi="宋体" w:eastAsia="宋体" w:cs="宋体"/>
                <w:b/>
                <w:color w:val="000000"/>
                <w:sz w:val="21"/>
                <w:szCs w:val="21"/>
                <w:highlight w:val="none"/>
              </w:rPr>
              <w:t>分</w:t>
            </w:r>
          </w:p>
          <w:p w14:paraId="01A5A1AC">
            <w:pPr>
              <w:keepNext w:val="0"/>
              <w:keepLines w:val="0"/>
              <w:pageBreakBefore w:val="0"/>
              <w:tabs>
                <w:tab w:val="left" w:pos="2046"/>
              </w:tabs>
              <w:kinsoku/>
              <w:wordWrap/>
              <w:overflowPunct/>
              <w:topLinePunct w:val="0"/>
              <w:autoSpaceDE w:val="0"/>
              <w:autoSpaceDN w:val="0"/>
              <w:bidi w:val="0"/>
              <w:adjustRightInd w:val="0"/>
              <w:spacing w:line="400" w:lineRule="exact"/>
              <w:ind w:left="38" w:leftChars="18"/>
              <w:jc w:val="left"/>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eastAsia="zh-CN"/>
              </w:rPr>
              <w:t>商务</w:t>
            </w:r>
            <w:r>
              <w:rPr>
                <w:rFonts w:hint="eastAsia" w:ascii="宋体" w:hAnsi="宋体" w:eastAsia="宋体" w:cs="宋体"/>
                <w:b/>
                <w:color w:val="000000"/>
                <w:sz w:val="21"/>
                <w:szCs w:val="21"/>
                <w:highlight w:val="none"/>
              </w:rPr>
              <w:t>部分：</w:t>
            </w:r>
            <w:r>
              <w:rPr>
                <w:rFonts w:hint="eastAsia" w:ascii="宋体" w:hAnsi="宋体" w:eastAsia="宋体" w:cs="宋体"/>
                <w:b/>
                <w:color w:val="000000"/>
                <w:sz w:val="21"/>
                <w:szCs w:val="21"/>
                <w:highlight w:val="none"/>
                <w:lang w:val="en-US" w:eastAsia="zh-CN"/>
              </w:rPr>
              <w:t>20</w:t>
            </w:r>
            <w:r>
              <w:rPr>
                <w:rFonts w:hint="eastAsia" w:ascii="宋体" w:hAnsi="宋体" w:eastAsia="宋体" w:cs="宋体"/>
                <w:b/>
                <w:color w:val="000000"/>
                <w:sz w:val="21"/>
                <w:szCs w:val="21"/>
                <w:highlight w:val="none"/>
              </w:rPr>
              <w:t>分</w:t>
            </w:r>
          </w:p>
        </w:tc>
      </w:tr>
      <w:tr w14:paraId="3AA8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70" w:type="dxa"/>
            <w:gridSpan w:val="2"/>
            <w:noWrap w:val="0"/>
            <w:vAlign w:val="center"/>
          </w:tcPr>
          <w:p w14:paraId="2BF9F63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条款号</w:t>
            </w:r>
          </w:p>
        </w:tc>
        <w:tc>
          <w:tcPr>
            <w:tcW w:w="2091" w:type="dxa"/>
            <w:gridSpan w:val="2"/>
            <w:noWrap w:val="0"/>
            <w:vAlign w:val="center"/>
          </w:tcPr>
          <w:p w14:paraId="550EC516">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评分因素</w:t>
            </w:r>
          </w:p>
        </w:tc>
        <w:tc>
          <w:tcPr>
            <w:tcW w:w="6549" w:type="dxa"/>
            <w:noWrap w:val="0"/>
            <w:vAlign w:val="center"/>
          </w:tcPr>
          <w:p w14:paraId="18FEE788">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b/>
                <w:color w:val="000000"/>
                <w:sz w:val="21"/>
                <w:szCs w:val="21"/>
                <w:highlight w:val="none"/>
              </w:rPr>
            </w:pPr>
            <w:r>
              <w:rPr>
                <w:rFonts w:hint="eastAsia" w:ascii="宋体" w:hAnsi="宋体" w:eastAsia="宋体" w:cs="宋体"/>
                <w:color w:val="000000"/>
                <w:kern w:val="0"/>
                <w:sz w:val="21"/>
                <w:szCs w:val="21"/>
                <w:highlight w:val="none"/>
              </w:rPr>
              <w:t>评分标准</w:t>
            </w:r>
          </w:p>
        </w:tc>
      </w:tr>
      <w:tr w14:paraId="5B2D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noWrap w:val="0"/>
            <w:vAlign w:val="center"/>
          </w:tcPr>
          <w:p w14:paraId="27DE82DA">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1.2.2（1）</w:t>
            </w:r>
          </w:p>
        </w:tc>
        <w:tc>
          <w:tcPr>
            <w:tcW w:w="1380" w:type="dxa"/>
            <w:gridSpan w:val="2"/>
            <w:noWrap w:val="0"/>
            <w:vAlign w:val="center"/>
          </w:tcPr>
          <w:p w14:paraId="52D56E35">
            <w:pPr>
              <w:keepNext w:val="0"/>
              <w:keepLines w:val="0"/>
              <w:pageBreakBefore w:val="0"/>
              <w:kinsoku/>
              <w:wordWrap/>
              <w:overflowPunct/>
              <w:topLinePunct w:val="0"/>
              <w:autoSpaceDE w:val="0"/>
              <w:autoSpaceDN w:val="0"/>
              <w:bidi w:val="0"/>
              <w:adjustRightInd w:val="0"/>
              <w:spacing w:line="400" w:lineRule="exact"/>
              <w:ind w:left="38" w:leftChars="18"/>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lang w:eastAsia="zh-CN"/>
              </w:rPr>
              <w:t>磋商</w:t>
            </w:r>
            <w:r>
              <w:rPr>
                <w:rFonts w:hint="eastAsia" w:ascii="宋体" w:hAnsi="宋体" w:eastAsia="宋体" w:cs="宋体"/>
                <w:b/>
                <w:bCs/>
                <w:color w:val="000000"/>
                <w:kern w:val="0"/>
                <w:sz w:val="21"/>
                <w:szCs w:val="21"/>
                <w:highlight w:val="none"/>
              </w:rPr>
              <w:t>报价（</w:t>
            </w:r>
            <w:r>
              <w:rPr>
                <w:rFonts w:hint="eastAsia" w:ascii="宋体" w:hAnsi="宋体" w:eastAsia="宋体" w:cs="宋体"/>
                <w:b/>
                <w:bCs/>
                <w:color w:val="000000"/>
                <w:kern w:val="0"/>
                <w:sz w:val="21"/>
                <w:szCs w:val="21"/>
                <w:highlight w:val="none"/>
                <w:lang w:val="en-US" w:eastAsia="zh-CN"/>
              </w:rPr>
              <w:t>30</w:t>
            </w:r>
            <w:r>
              <w:rPr>
                <w:rFonts w:hint="eastAsia" w:ascii="宋体" w:hAnsi="宋体" w:eastAsia="宋体" w:cs="宋体"/>
                <w:b/>
                <w:bCs/>
                <w:color w:val="000000"/>
                <w:kern w:val="0"/>
                <w:sz w:val="21"/>
                <w:szCs w:val="21"/>
                <w:highlight w:val="none"/>
              </w:rPr>
              <w:t>分）</w:t>
            </w:r>
          </w:p>
        </w:tc>
        <w:tc>
          <w:tcPr>
            <w:tcW w:w="8050" w:type="dxa"/>
            <w:gridSpan w:val="2"/>
            <w:noWrap w:val="0"/>
            <w:vAlign w:val="center"/>
          </w:tcPr>
          <w:p w14:paraId="52D1FD7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kern w:val="0"/>
                <w:sz w:val="21"/>
                <w:szCs w:val="21"/>
                <w:highlight w:val="none"/>
              </w:rPr>
              <w:t>综合评分法中的价格分统一采用低价优先法计算，即满足磋商文件要求且最后报价最低的供应商的价格为磋商基准价，其价格分为满分。其他供应商的价格分统一按照下列公式计算：磋商报价得分=（磋商基准价/最后磋商报价）×30</w:t>
            </w:r>
          </w:p>
        </w:tc>
      </w:tr>
      <w:tr w14:paraId="596B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580" w:type="dxa"/>
            <w:vMerge w:val="restart"/>
            <w:noWrap w:val="0"/>
            <w:vAlign w:val="center"/>
          </w:tcPr>
          <w:p w14:paraId="7E40089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1.2.2（2）</w:t>
            </w:r>
          </w:p>
        </w:tc>
        <w:tc>
          <w:tcPr>
            <w:tcW w:w="790" w:type="dxa"/>
            <w:vMerge w:val="restart"/>
            <w:noWrap w:val="0"/>
            <w:vAlign w:val="center"/>
          </w:tcPr>
          <w:p w14:paraId="42496FC0">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lang w:val="en-US" w:eastAsia="zh-CN"/>
              </w:rPr>
              <w:t>技术部分（监理大纲）</w:t>
            </w: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50</w:t>
            </w:r>
            <w:r>
              <w:rPr>
                <w:rFonts w:hint="eastAsia" w:ascii="宋体" w:hAnsi="宋体" w:eastAsia="宋体" w:cs="宋体"/>
                <w:b/>
                <w:bCs/>
                <w:color w:val="000000"/>
                <w:sz w:val="21"/>
                <w:szCs w:val="21"/>
                <w:highlight w:val="none"/>
              </w:rPr>
              <w:t>分）</w:t>
            </w:r>
          </w:p>
        </w:tc>
        <w:tc>
          <w:tcPr>
            <w:tcW w:w="2091" w:type="dxa"/>
            <w:gridSpan w:val="2"/>
            <w:noWrap w:val="0"/>
            <w:vAlign w:val="center"/>
          </w:tcPr>
          <w:p w14:paraId="70A1197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组织机构（</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4E79AFDE">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1.有现场监理组织机构图得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分；机构设置中考虑公司对现场监理机构监督管理的得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分，此项最多得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3605BD50">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2.有明确的各级监理人员（包括总监理工程师、总监代表、专业监理工程师、监理员、资料员、见证员）岗位职责，得3分，缺一个岗位职责扣0.5分，未提供不得分。</w:t>
            </w:r>
          </w:p>
        </w:tc>
      </w:tr>
      <w:tr w14:paraId="15E0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9703B4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A0A7F35">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FABAB06">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质量控制的措施和方法（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7134656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1.对质量控制目标明确，质量保证体系健全；制定的预控措施针对性强，对常见质量通病有具体的防治手段，检测方法科学合理，得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 2.有明确的质量控制目标和体系；有质量控制措施和通病防治手段，但内容较为常规，针对性一般，基本满足规范要求，得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24A84814">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3.质量控制措施不完整得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13B0C71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0D9C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882813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32CF254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20617015">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进度控制的措施和方法（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483D649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1.进度计划编排科学，符合项目工期要求；针对本项目特点制定了具体可行的工期保障措施和纠偏预案，得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7930362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2.有进度计划安排，符合工期要求；有基本的工期保障措施，但未充分考虑项目具体难点，预案不够完善，得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5169315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3.进度计划不合理得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1E7190A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4.未提供相关内容，得0分。</w:t>
            </w:r>
          </w:p>
        </w:tc>
      </w:tr>
      <w:tr w14:paraId="126D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3D4FD2B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62B3F7F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C3BD9B0">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投资控制的措施和方法（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149DCAD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1.工程计量支付审核流程清晰规范；针对本项目特点，对工程量确认、现场签证有严格、具体的控制手段和管理制度，得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47EBCB7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2.有工程计量支付审核流程和变更管理制度；有投资控制措施，但内容较为通用，缺少针对本项目的具体管控细节，得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7D1C3CC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3.投资控制措施不合理得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2FA6A2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tc>
      </w:tr>
      <w:tr w14:paraId="453EF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7889FCEE">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E70A87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89FED1E">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旁站监理措施 </w:t>
            </w:r>
          </w:p>
          <w:p w14:paraId="2B00D2AD">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0E76386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1.准确界定本项目关键工序作为旁站部位；旁站监理人员职责分工明确，旁站记录表格规范，突发情况处理程序完善，得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231176C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2.有旁站监理部位设定，基本涵盖关键工序；有基本的旁站职责和程序，但不够细化，得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18B2AF9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3.旁站部位设定不全，得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0B4E32B">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 未提供相关内容，得</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tc>
      </w:tr>
      <w:tr w14:paraId="609E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F12A76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7FACCB4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356B173">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组织协调的措施和方法（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tc>
        <w:tc>
          <w:tcPr>
            <w:tcW w:w="6549" w:type="dxa"/>
            <w:noWrap w:val="0"/>
            <w:vAlign w:val="center"/>
          </w:tcPr>
          <w:p w14:paraId="1980B7B5">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1.项目工作协调的内容、原则和程序详细明确，设置科学合理，措施得当可行、工作协调内容针对性强的，得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09D436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2.项目工作协调的内容、原则和程序基本明 确、措施可行性、针对性符合项目基本要求的，得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04C7C3F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3.项目工作协调的内容、原则和程序不完整明确，措施不得当的，没有针对性的对项目进行阐述，得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4EA569C0">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3BB0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0B481FA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712A60F3">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04E0C26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000000"/>
                <w:sz w:val="21"/>
                <w:szCs w:val="21"/>
                <w:highlight w:val="none"/>
              </w:rPr>
            </w:pPr>
            <w:r>
              <w:rPr>
                <w:rFonts w:hint="eastAsia" w:ascii="宋体" w:hAnsi="宋体" w:eastAsia="宋体" w:cs="宋体"/>
                <w:kern w:val="0"/>
                <w:sz w:val="21"/>
                <w:szCs w:val="21"/>
                <w:highlight w:val="none"/>
              </w:rPr>
              <w:t>合同管理、信息管理的措施和方法（</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分）</w:t>
            </w:r>
          </w:p>
        </w:tc>
        <w:tc>
          <w:tcPr>
            <w:tcW w:w="6549" w:type="dxa"/>
            <w:noWrap w:val="0"/>
            <w:vAlign w:val="center"/>
          </w:tcPr>
          <w:p w14:paraId="4C49439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1.合同管理台账清晰，索赔反索赔程序规范；信息管理手段先进，档案资料分类归档方案详细，能够保证资料与工程进度同步，得</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 xml:space="preserve">分； </w:t>
            </w:r>
          </w:p>
          <w:p w14:paraId="513654F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2.有合同管理和信息管理制度；有基本的档案管理要求，但不够详细或手段单一，得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分；</w:t>
            </w:r>
          </w:p>
          <w:p w14:paraId="192B6DE8">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3.管理制度不符合要求，得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 xml:space="preserve">分； </w:t>
            </w:r>
          </w:p>
          <w:p w14:paraId="2B5E6D27">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ED0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53A859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320CFAF">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vMerge w:val="restart"/>
            <w:noWrap w:val="0"/>
            <w:vAlign w:val="center"/>
          </w:tcPr>
          <w:p w14:paraId="5E75D494">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安全、文明控制的措施和方法（</w:t>
            </w:r>
            <w:r>
              <w:rPr>
                <w:rFonts w:hint="eastAsia" w:ascii="宋体" w:hAnsi="宋体" w:eastAsia="宋体" w:cs="宋体"/>
                <w:kern w:val="0"/>
                <w:sz w:val="21"/>
                <w:szCs w:val="21"/>
                <w:highlight w:val="none"/>
                <w:lang w:val="en-US" w:eastAsia="zh-CN"/>
              </w:rPr>
              <w:t>6</w:t>
            </w:r>
            <w:r>
              <w:rPr>
                <w:rFonts w:hint="eastAsia" w:ascii="宋体" w:hAnsi="宋体" w:eastAsia="宋体" w:cs="宋体"/>
                <w:kern w:val="0"/>
                <w:sz w:val="21"/>
                <w:szCs w:val="21"/>
                <w:highlight w:val="none"/>
              </w:rPr>
              <w:t xml:space="preserve"> 分）</w:t>
            </w:r>
          </w:p>
        </w:tc>
        <w:tc>
          <w:tcPr>
            <w:tcW w:w="6549" w:type="dxa"/>
            <w:noWrap w:val="0"/>
            <w:vAlign w:val="center"/>
          </w:tcPr>
          <w:p w14:paraId="6B6C1B0D">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1.安全及文明施工管理工作方法方案齐全完善</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详细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切实可行，科学合理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全面有效</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针对性强的，能明显改善文明及安全施工</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分；</w:t>
            </w:r>
          </w:p>
          <w:p w14:paraId="3ABCFC26">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2.安全及文明施工管理工作方法方案齐全、可行、较为科学合理，提升改善效果不明确，得2分； </w:t>
            </w:r>
          </w:p>
          <w:p w14:paraId="642FCD5E">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3.安全及文明施工管理工作方法方案基本可行、缺 乏针对性和科学合理性，得1分。 </w:t>
            </w:r>
          </w:p>
          <w:p w14:paraId="52422C1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D33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13B3DDB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17EDAED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vMerge w:val="continue"/>
            <w:noWrap w:val="0"/>
            <w:vAlign w:val="center"/>
          </w:tcPr>
          <w:p w14:paraId="1196205A">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p>
        </w:tc>
        <w:tc>
          <w:tcPr>
            <w:tcW w:w="6549" w:type="dxa"/>
            <w:noWrap w:val="0"/>
            <w:vAlign w:val="center"/>
          </w:tcPr>
          <w:p w14:paraId="650B97DA">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1.监理措施详细，技术措施、组织措施、 经济措施、合同措施齐全完善、详细、切实可行，科学合理、保证措施得当的，对监理工作的认知程度深入透彻，得</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rPr>
              <w:t xml:space="preserve">分； </w:t>
            </w:r>
          </w:p>
          <w:p w14:paraId="7A718E3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2.监理措施详细，技术措施、组织措施、经济措施、合同措施基本合理</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可行的</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70C9C49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3.监理措施详细，技术措施、组织措施、经济 措施、合同措施内容不完整、措施要求简单，不能满足项目需求，得</w:t>
            </w: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分。</w:t>
            </w:r>
          </w:p>
          <w:p w14:paraId="6079F91F">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3110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9541CF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4F03F745">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1D2B8C12">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监理部投、 入的检测设 备、仪器 （5）</w:t>
            </w:r>
          </w:p>
        </w:tc>
        <w:tc>
          <w:tcPr>
            <w:tcW w:w="6549" w:type="dxa"/>
            <w:noWrap w:val="0"/>
            <w:vAlign w:val="center"/>
          </w:tcPr>
          <w:p w14:paraId="544D0F4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1.设备清单及检测方法准备齐全、技术工艺水平先进、满足工程试验检测需要，显著提升检测效果，得5分</w:t>
            </w:r>
            <w:r>
              <w:rPr>
                <w:rFonts w:hint="eastAsia" w:ascii="宋体" w:hAnsi="宋体" w:eastAsia="宋体" w:cs="宋体"/>
                <w:kern w:val="0"/>
                <w:sz w:val="21"/>
                <w:szCs w:val="21"/>
                <w:highlight w:val="none"/>
                <w:lang w:eastAsia="zh-CN"/>
              </w:rPr>
              <w:t>；</w:t>
            </w:r>
          </w:p>
          <w:p w14:paraId="50594EB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rPr>
              <w:t>2.设备清单及检测方法基本满足项目需求、技术工艺水平能完成工程试验检测，得3分</w:t>
            </w:r>
            <w:r>
              <w:rPr>
                <w:rFonts w:hint="eastAsia" w:ascii="宋体" w:hAnsi="宋体" w:eastAsia="宋体" w:cs="宋体"/>
                <w:kern w:val="0"/>
                <w:sz w:val="21"/>
                <w:szCs w:val="21"/>
                <w:highlight w:val="none"/>
                <w:lang w:eastAsia="zh-CN"/>
              </w:rPr>
              <w:t>；</w:t>
            </w:r>
          </w:p>
          <w:p w14:paraId="371DDA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3.设备清单及检测方法不齐全、技术工艺水平不能完全满足工程试验检测需要，不利于施工进度提升得1分。 </w:t>
            </w:r>
          </w:p>
          <w:p w14:paraId="33B6EB82">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72D2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4E00E33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sz w:val="21"/>
                <w:szCs w:val="21"/>
                <w:highlight w:val="none"/>
              </w:rPr>
            </w:pPr>
          </w:p>
        </w:tc>
        <w:tc>
          <w:tcPr>
            <w:tcW w:w="790" w:type="dxa"/>
            <w:vMerge w:val="continue"/>
            <w:noWrap w:val="0"/>
            <w:vAlign w:val="center"/>
          </w:tcPr>
          <w:p w14:paraId="2E91E6CD">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sz w:val="21"/>
                <w:szCs w:val="21"/>
                <w:highlight w:val="none"/>
              </w:rPr>
            </w:pPr>
          </w:p>
        </w:tc>
        <w:tc>
          <w:tcPr>
            <w:tcW w:w="2091" w:type="dxa"/>
            <w:gridSpan w:val="2"/>
            <w:noWrap w:val="0"/>
            <w:vAlign w:val="center"/>
          </w:tcPr>
          <w:p w14:paraId="4F451405">
            <w:pPr>
              <w:keepNext w:val="0"/>
              <w:keepLines w:val="0"/>
              <w:pageBreakBefore w:val="0"/>
              <w:kinsoku/>
              <w:wordWrap/>
              <w:overflowPunct/>
              <w:topLinePunct w:val="0"/>
              <w:bidi w:val="0"/>
              <w:spacing w:line="400" w:lineRule="exact"/>
              <w:jc w:val="center"/>
              <w:textAlignment w:val="auto"/>
              <w:rPr>
                <w:rFonts w:ascii="宋体" w:hAnsi="宋体" w:eastAsia="宋体" w:cs="宋体"/>
                <w:sz w:val="24"/>
                <w:szCs w:val="24"/>
              </w:rPr>
            </w:pPr>
            <w:r>
              <w:rPr>
                <w:rFonts w:hint="eastAsia" w:ascii="宋体" w:hAnsi="宋体" w:eastAsia="宋体" w:cs="宋体"/>
                <w:kern w:val="0"/>
                <w:sz w:val="21"/>
                <w:szCs w:val="21"/>
                <w:highlight w:val="none"/>
              </w:rPr>
              <w:t>工程重点、难点及监理措施（</w:t>
            </w:r>
            <w:r>
              <w:rPr>
                <w:rFonts w:hint="eastAsia" w:ascii="宋体" w:hAnsi="宋体" w:eastAsia="宋体" w:cs="宋体"/>
                <w:kern w:val="0"/>
                <w:sz w:val="21"/>
                <w:szCs w:val="21"/>
                <w:highlight w:val="none"/>
                <w:lang w:val="en-US" w:eastAsia="zh-CN"/>
              </w:rPr>
              <w:t>4</w:t>
            </w:r>
            <w:r>
              <w:rPr>
                <w:rFonts w:hint="eastAsia" w:ascii="宋体" w:hAnsi="宋体" w:eastAsia="宋体" w:cs="宋体"/>
                <w:kern w:val="0"/>
                <w:sz w:val="21"/>
                <w:szCs w:val="21"/>
                <w:highlight w:val="none"/>
              </w:rPr>
              <w:t xml:space="preserve">分） </w:t>
            </w:r>
          </w:p>
        </w:tc>
        <w:tc>
          <w:tcPr>
            <w:tcW w:w="6549" w:type="dxa"/>
            <w:noWrap w:val="0"/>
            <w:vAlign w:val="center"/>
          </w:tcPr>
          <w:p w14:paraId="1701DD4D">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1.对本项目重点难点分析透彻、准确；提出的监理对策技术先进、逻辑清晰、操作性强，有完善的应急预案，得</w:t>
            </w:r>
            <w:r>
              <w:rPr>
                <w:rFonts w:hint="eastAsia" w:ascii="宋体" w:hAnsi="宋体" w:eastAsia="宋体" w:cs="宋体"/>
                <w:kern w:val="0"/>
                <w:sz w:val="21"/>
                <w:szCs w:val="21"/>
                <w:highlight w:val="none"/>
                <w:lang w:val="en-US" w:eastAsia="zh-CN"/>
              </w:rPr>
              <w:t>4</w:t>
            </w:r>
            <w:r>
              <w:rPr>
                <w:rFonts w:hint="eastAsia" w:ascii="宋体" w:hAnsi="宋体" w:eastAsia="宋体" w:cs="宋体"/>
                <w:kern w:val="0"/>
                <w:sz w:val="21"/>
                <w:szCs w:val="21"/>
                <w:highlight w:val="none"/>
              </w:rPr>
              <w:t>分；</w:t>
            </w:r>
          </w:p>
          <w:p w14:paraId="46641549">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2.对工程重点难点有分析，但不够深入；有相应的监理对策，但较为常规，应急预案一般，得</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rPr>
              <w:t xml:space="preserve">分； </w:t>
            </w:r>
          </w:p>
          <w:p w14:paraId="484CEC3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3.重点难点分析错误，或无针对性对策，得1分； </w:t>
            </w:r>
          </w:p>
          <w:p w14:paraId="184DBC43">
            <w:pPr>
              <w:keepNext w:val="0"/>
              <w:keepLines w:val="0"/>
              <w:pageBreakBefore w:val="0"/>
              <w:widowControl/>
              <w:kinsoku/>
              <w:wordWrap/>
              <w:overflowPunct/>
              <w:topLinePunct w:val="0"/>
              <w:bidi w:val="0"/>
              <w:adjustRightInd w:val="0"/>
              <w:snapToGrid w:val="0"/>
              <w:spacing w:line="400" w:lineRule="exact"/>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4.未提供相关内容，得0分。</w:t>
            </w:r>
          </w:p>
        </w:tc>
      </w:tr>
      <w:tr w14:paraId="183D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restart"/>
            <w:noWrap w:val="0"/>
            <w:vAlign w:val="center"/>
          </w:tcPr>
          <w:p w14:paraId="7F887B4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1.2.2（3）</w:t>
            </w:r>
          </w:p>
        </w:tc>
        <w:tc>
          <w:tcPr>
            <w:tcW w:w="790" w:type="dxa"/>
            <w:vMerge w:val="restart"/>
            <w:noWrap w:val="0"/>
            <w:vAlign w:val="center"/>
          </w:tcPr>
          <w:p w14:paraId="0B34F0A8">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商务部分（</w:t>
            </w:r>
            <w:r>
              <w:rPr>
                <w:rFonts w:hint="eastAsia" w:ascii="宋体" w:hAnsi="宋体" w:eastAsia="宋体" w:cs="宋体"/>
                <w:b/>
                <w:bCs/>
                <w:color w:val="000000"/>
                <w:kern w:val="0"/>
                <w:sz w:val="21"/>
                <w:szCs w:val="21"/>
                <w:highlight w:val="none"/>
                <w:lang w:val="en-US" w:eastAsia="zh-CN"/>
              </w:rPr>
              <w:t>20</w:t>
            </w:r>
            <w:r>
              <w:rPr>
                <w:rFonts w:hint="eastAsia" w:ascii="宋体" w:hAnsi="宋体" w:eastAsia="宋体" w:cs="宋体"/>
                <w:b/>
                <w:bCs/>
                <w:color w:val="000000"/>
                <w:kern w:val="0"/>
                <w:sz w:val="21"/>
                <w:szCs w:val="21"/>
                <w:highlight w:val="none"/>
              </w:rPr>
              <w:t>分）</w:t>
            </w:r>
          </w:p>
        </w:tc>
        <w:tc>
          <w:tcPr>
            <w:tcW w:w="2091" w:type="dxa"/>
            <w:gridSpan w:val="2"/>
            <w:noWrap w:val="0"/>
            <w:vAlign w:val="center"/>
          </w:tcPr>
          <w:p w14:paraId="254CB4F7">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kern w:val="0"/>
                <w:sz w:val="21"/>
                <w:szCs w:val="21"/>
                <w:highlight w:val="none"/>
                <w:lang w:val="zh-CN" w:eastAsia="zh-CN" w:bidi="ar"/>
              </w:rPr>
            </w:pPr>
            <w:r>
              <w:rPr>
                <w:rFonts w:hint="eastAsia" w:ascii="宋体" w:hAnsi="宋体" w:eastAsia="宋体" w:cs="宋体"/>
                <w:kern w:val="0"/>
                <w:sz w:val="21"/>
                <w:szCs w:val="21"/>
                <w:highlight w:val="none"/>
                <w:lang w:val="zh-CN" w:bidi="ar"/>
              </w:rPr>
              <w:t>企业业绩(</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val="zh-CN" w:bidi="ar"/>
              </w:rPr>
              <w:t>分）</w:t>
            </w:r>
          </w:p>
        </w:tc>
        <w:tc>
          <w:tcPr>
            <w:tcW w:w="6549" w:type="dxa"/>
            <w:noWrap w:val="0"/>
            <w:vAlign w:val="center"/>
          </w:tcPr>
          <w:p w14:paraId="3CBC1293">
            <w:pPr>
              <w:keepNext w:val="0"/>
              <w:keepLines w:val="0"/>
              <w:pageBreakBefore w:val="0"/>
              <w:kinsoku/>
              <w:wordWrap/>
              <w:overflowPunct/>
              <w:topLinePunct w:val="0"/>
              <w:bidi w:val="0"/>
              <w:spacing w:line="400" w:lineRule="exact"/>
              <w:textAlignment w:val="auto"/>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zh-CN" w:bidi="ar"/>
              </w:rPr>
              <w:t>自202</w:t>
            </w:r>
            <w:r>
              <w:rPr>
                <w:rFonts w:hint="eastAsia" w:ascii="宋体" w:hAnsi="宋体" w:eastAsia="宋体" w:cs="宋体"/>
                <w:kern w:val="0"/>
                <w:sz w:val="21"/>
                <w:szCs w:val="21"/>
                <w:highlight w:val="none"/>
                <w:lang w:val="en-US" w:eastAsia="zh-CN" w:bidi="ar"/>
              </w:rPr>
              <w:t>3</w:t>
            </w:r>
            <w:r>
              <w:rPr>
                <w:rFonts w:hint="eastAsia" w:ascii="宋体" w:hAnsi="宋体" w:eastAsia="宋体" w:cs="宋体"/>
                <w:kern w:val="0"/>
                <w:sz w:val="21"/>
                <w:szCs w:val="21"/>
                <w:highlight w:val="none"/>
                <w:lang w:val="zh-CN" w:bidi="ar"/>
              </w:rPr>
              <w:t>年1月1日以来本企业承担过类似项目的监理业绩，每提供一项得2分，最多得</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val="zh-CN" w:bidi="ar"/>
              </w:rPr>
              <w:t>分。（注：须提供中标通知书或合同协议书的原件扫描件并加盖单位公章，否则不得分。）</w:t>
            </w:r>
          </w:p>
        </w:tc>
      </w:tr>
      <w:tr w14:paraId="1BC3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6D837B7F">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bookmarkStart w:id="565" w:name="_Toc26309"/>
            <w:bookmarkStart w:id="566" w:name="_Toc3589"/>
            <w:bookmarkStart w:id="567" w:name="_Toc111997250"/>
            <w:bookmarkStart w:id="568" w:name="_Toc30301"/>
            <w:bookmarkStart w:id="569" w:name="_Toc3242"/>
            <w:bookmarkStart w:id="570" w:name="_Toc13371"/>
            <w:bookmarkStart w:id="571" w:name="_Toc711"/>
            <w:bookmarkStart w:id="572" w:name="_Toc5114"/>
            <w:bookmarkStart w:id="573" w:name="_Toc25637"/>
            <w:bookmarkStart w:id="574" w:name="_Toc5251"/>
            <w:bookmarkStart w:id="575" w:name="_Toc31078"/>
          </w:p>
        </w:tc>
        <w:tc>
          <w:tcPr>
            <w:tcW w:w="790" w:type="dxa"/>
            <w:vMerge w:val="continue"/>
            <w:noWrap w:val="0"/>
            <w:vAlign w:val="center"/>
          </w:tcPr>
          <w:p w14:paraId="675D7534">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039CC8CF">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项目总监理工程师业绩（2分）</w:t>
            </w:r>
          </w:p>
        </w:tc>
        <w:tc>
          <w:tcPr>
            <w:tcW w:w="6549" w:type="dxa"/>
            <w:noWrap w:val="0"/>
            <w:vAlign w:val="center"/>
          </w:tcPr>
          <w:p w14:paraId="0521020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拟派项目总监理工程师自202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年1月1日以来在本企业承担过</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类似项目的监理业绩得</w:t>
            </w:r>
            <w:r>
              <w:rPr>
                <w:rFonts w:hint="eastAsia" w:ascii="宋体" w:hAnsi="宋体" w:eastAsia="宋体" w:cs="宋体"/>
                <w:sz w:val="21"/>
                <w:szCs w:val="21"/>
                <w:highlight w:val="none"/>
                <w:lang w:val="en-US"/>
              </w:rPr>
              <w:t>2</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val="en-US" w:eastAsia="zh-CN"/>
              </w:rPr>
              <w:t>没有不得分</w:t>
            </w:r>
            <w:r>
              <w:rPr>
                <w:rFonts w:hint="eastAsia" w:ascii="宋体" w:hAnsi="宋体" w:eastAsia="宋体" w:cs="宋体"/>
                <w:sz w:val="21"/>
                <w:szCs w:val="21"/>
                <w:highlight w:val="none"/>
              </w:rPr>
              <w:t>。（注：须提供中标通知书</w:t>
            </w:r>
            <w:r>
              <w:rPr>
                <w:rFonts w:hint="eastAsia" w:ascii="宋体" w:hAnsi="宋体" w:eastAsia="宋体" w:cs="宋体"/>
                <w:sz w:val="21"/>
                <w:szCs w:val="21"/>
                <w:highlight w:val="none"/>
                <w:lang w:eastAsia="zh-CN"/>
              </w:rPr>
              <w:t>或</w:t>
            </w:r>
            <w:r>
              <w:rPr>
                <w:rFonts w:hint="eastAsia" w:ascii="宋体" w:hAnsi="宋体" w:eastAsia="宋体" w:cs="宋体"/>
                <w:sz w:val="21"/>
                <w:szCs w:val="21"/>
                <w:highlight w:val="none"/>
              </w:rPr>
              <w:t>合同协议书的原件扫描件并加盖单位公章，</w:t>
            </w:r>
            <w:r>
              <w:rPr>
                <w:rFonts w:hint="eastAsia" w:ascii="宋体" w:hAnsi="宋体" w:eastAsia="宋体" w:cs="宋体"/>
                <w:sz w:val="21"/>
                <w:szCs w:val="21"/>
                <w:highlight w:val="none"/>
                <w:lang w:eastAsia="zh-CN"/>
              </w:rPr>
              <w:t>提供的证明材料中需体现总监理工程师的名字，</w:t>
            </w:r>
            <w:r>
              <w:rPr>
                <w:rFonts w:hint="eastAsia" w:ascii="宋体" w:hAnsi="宋体" w:eastAsia="宋体" w:cs="宋体"/>
                <w:sz w:val="21"/>
                <w:szCs w:val="21"/>
                <w:highlight w:val="none"/>
              </w:rPr>
              <w:t xml:space="preserve">否则不得分。） </w:t>
            </w:r>
          </w:p>
          <w:p w14:paraId="6FC4319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lang w:val="zh-CN"/>
              </w:rPr>
            </w:pPr>
            <w:r>
              <w:rPr>
                <w:rFonts w:hint="eastAsia" w:ascii="宋体" w:hAnsi="宋体" w:eastAsia="宋体" w:cs="宋体"/>
                <w:sz w:val="21"/>
                <w:szCs w:val="21"/>
                <w:highlight w:val="none"/>
                <w:lang w:val="zh-CN"/>
              </w:rPr>
              <w:t>注：企业业绩与项目总监理工程师业绩不可以重复计取。</w:t>
            </w:r>
          </w:p>
        </w:tc>
      </w:tr>
      <w:tr w14:paraId="21CE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5146BB6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130ADAE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438A28BD">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项目管理机构</w:t>
            </w:r>
          </w:p>
          <w:p w14:paraId="5C0D5A26">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549" w:type="dxa"/>
            <w:noWrap w:val="0"/>
            <w:vAlign w:val="center"/>
          </w:tcPr>
          <w:p w14:paraId="5ABF5751">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项目管理机构成员中（不包括总监理工程师）具有房屋建筑专业或市政公用工程专业国家注册监理工程师的，每有1人得1</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zh-CN"/>
              </w:rPr>
              <w:t>分；最高得6分。</w:t>
            </w:r>
          </w:p>
          <w:p w14:paraId="5D709AEE">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注：须通过相关证件原件扫描件</w:t>
            </w:r>
            <w:r>
              <w:rPr>
                <w:rFonts w:hint="eastAsia" w:ascii="宋体" w:hAnsi="宋体" w:eastAsia="宋体" w:cs="宋体"/>
                <w:sz w:val="21"/>
                <w:szCs w:val="21"/>
                <w:highlight w:val="none"/>
              </w:rPr>
              <w:t>并加盖单位公章</w:t>
            </w:r>
            <w:r>
              <w:rPr>
                <w:rFonts w:hint="eastAsia" w:ascii="宋体" w:hAnsi="宋体" w:eastAsia="宋体" w:cs="宋体"/>
                <w:sz w:val="21"/>
                <w:szCs w:val="21"/>
                <w:highlight w:val="none"/>
                <w:lang w:val="zh-CN"/>
              </w:rPr>
              <w:t>，否则不得分。</w:t>
            </w:r>
          </w:p>
        </w:tc>
      </w:tr>
      <w:tr w14:paraId="0207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0" w:type="dxa"/>
            <w:vMerge w:val="continue"/>
            <w:noWrap w:val="0"/>
            <w:vAlign w:val="center"/>
          </w:tcPr>
          <w:p w14:paraId="263769AD">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rPr>
            </w:pPr>
          </w:p>
        </w:tc>
        <w:tc>
          <w:tcPr>
            <w:tcW w:w="790" w:type="dxa"/>
            <w:vMerge w:val="continue"/>
            <w:noWrap w:val="0"/>
            <w:vAlign w:val="center"/>
          </w:tcPr>
          <w:p w14:paraId="030BEB4A">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color w:val="000000"/>
                <w:kern w:val="0"/>
                <w:sz w:val="21"/>
                <w:szCs w:val="21"/>
                <w:highlight w:val="none"/>
              </w:rPr>
            </w:pPr>
          </w:p>
        </w:tc>
        <w:tc>
          <w:tcPr>
            <w:tcW w:w="2091" w:type="dxa"/>
            <w:gridSpan w:val="2"/>
            <w:noWrap w:val="0"/>
            <w:vAlign w:val="center"/>
          </w:tcPr>
          <w:p w14:paraId="28855C75">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sz w:val="21"/>
                <w:szCs w:val="21"/>
                <w:highlight w:val="none"/>
                <w:lang w:eastAsia="zh-CN"/>
              </w:rPr>
              <w:t>履职尽责承诺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549" w:type="dxa"/>
            <w:noWrap w:val="0"/>
            <w:vAlign w:val="center"/>
          </w:tcPr>
          <w:p w14:paraId="17B3335B">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具有全面、详实、可行、合法有效的履职尽责承诺</w:t>
            </w:r>
            <w:r>
              <w:rPr>
                <w:rFonts w:hint="eastAsia" w:ascii="宋体" w:hAnsi="宋体" w:eastAsia="宋体" w:cs="宋体"/>
                <w:sz w:val="21"/>
                <w:szCs w:val="21"/>
                <w:highlight w:val="none"/>
                <w:lang w:eastAsia="zh-CN"/>
              </w:rPr>
              <w:t>（包括但不限于</w:t>
            </w:r>
            <w:r>
              <w:rPr>
                <w:rFonts w:hint="eastAsia" w:ascii="宋体" w:hAnsi="宋体" w:eastAsia="宋体" w:cs="宋体"/>
                <w:sz w:val="21"/>
                <w:szCs w:val="21"/>
                <w:highlight w:val="none"/>
              </w:rPr>
              <w:t>1、针对本项目为采购人服务、排忧解难提出的承诺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2、承诺监理单位未经建设单位同意，不得更换项目总监；项目总监要常驻工地，每周不少于5天，且工程关键部位的隐蔽工程施工在岗在位</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3、缺陷责任期内服务承诺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4、优惠服务承诺及其他实质性服务承诺。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t>
            </w:r>
          </w:p>
          <w:p w14:paraId="5745BFF4">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由磋商小组根据供应商提供的方案进行打分，内容完整详细、科学合理、针对性强的得</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内容较完整详细、针对性一般，较科学合理的得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内容较完整、针对性较弱的得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没有不得分。</w:t>
            </w:r>
          </w:p>
        </w:tc>
      </w:tr>
      <w:tr w14:paraId="0375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010" w:type="dxa"/>
            <w:gridSpan w:val="5"/>
            <w:noWrap w:val="0"/>
            <w:vAlign w:val="center"/>
          </w:tcPr>
          <w:p w14:paraId="0477F6BF">
            <w:pPr>
              <w:widowControl/>
              <w:wordWrap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注:评标打分部分仍按照100分制原则进行，涉及到资格审查、企业业绩等计分部分时，以</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自行上传到</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文件中的相应内容为准。</w:t>
            </w:r>
          </w:p>
        </w:tc>
      </w:tr>
      <w:bookmarkEnd w:id="564"/>
      <w:bookmarkEnd w:id="565"/>
      <w:bookmarkEnd w:id="566"/>
      <w:bookmarkEnd w:id="567"/>
      <w:bookmarkEnd w:id="568"/>
      <w:bookmarkEnd w:id="569"/>
      <w:bookmarkEnd w:id="570"/>
      <w:bookmarkEnd w:id="571"/>
      <w:bookmarkEnd w:id="572"/>
      <w:bookmarkEnd w:id="573"/>
      <w:bookmarkEnd w:id="574"/>
      <w:bookmarkEnd w:id="575"/>
    </w:tbl>
    <w:p w14:paraId="243126A2">
      <w:pPr>
        <w:rPr>
          <w:rFonts w:hint="eastAsia" w:ascii="宋体" w:hAnsi="宋体" w:eastAsia="宋体" w:cs="宋体"/>
          <w:b/>
          <w:bCs/>
          <w:kern w:val="44"/>
          <w:sz w:val="32"/>
          <w:szCs w:val="32"/>
          <w:highlight w:val="none"/>
        </w:rPr>
      </w:pPr>
      <w:r>
        <w:rPr>
          <w:rFonts w:hint="eastAsia" w:ascii="宋体" w:hAnsi="宋体" w:eastAsia="宋体" w:cs="宋体"/>
          <w:b/>
          <w:bCs/>
          <w:kern w:val="44"/>
          <w:sz w:val="32"/>
          <w:szCs w:val="32"/>
          <w:highlight w:val="none"/>
        </w:rPr>
        <w:br w:type="page"/>
      </w:r>
    </w:p>
    <w:p w14:paraId="7BBE9703">
      <w:pPr>
        <w:spacing w:line="500" w:lineRule="exact"/>
        <w:jc w:val="both"/>
        <w:outlineLvl w:val="9"/>
        <w:rPr>
          <w:rFonts w:hint="eastAsia" w:ascii="宋体" w:hAnsi="宋体" w:eastAsia="宋体" w:cs="宋体"/>
          <w:b/>
          <w:bCs/>
          <w:sz w:val="24"/>
          <w:szCs w:val="20"/>
          <w:highlight w:val="none"/>
        </w:rPr>
      </w:pPr>
      <w:bookmarkStart w:id="576" w:name="_Toc27568"/>
      <w:bookmarkStart w:id="577" w:name="_Toc155634918"/>
      <w:bookmarkStart w:id="578" w:name="_Toc12636"/>
      <w:r>
        <w:rPr>
          <w:rFonts w:hint="eastAsia" w:ascii="宋体" w:hAnsi="宋体" w:eastAsia="宋体" w:cs="宋体"/>
          <w:b/>
          <w:bCs/>
          <w:sz w:val="24"/>
          <w:szCs w:val="20"/>
          <w:highlight w:val="none"/>
        </w:rPr>
        <w:t>附表一：政府采购政策中小企业价格扣除办法</w:t>
      </w:r>
      <w:bookmarkEnd w:id="576"/>
      <w:bookmarkEnd w:id="577"/>
      <w:bookmarkEnd w:id="578"/>
    </w:p>
    <w:tbl>
      <w:tblPr>
        <w:tblStyle w:val="27"/>
        <w:tblW w:w="9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6821"/>
      </w:tblGrid>
      <w:tr w14:paraId="3F65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184220F9">
            <w:pPr>
              <w:spacing w:line="360" w:lineRule="auto"/>
              <w:jc w:val="center"/>
              <w:rPr>
                <w:rFonts w:hint="eastAsia" w:ascii="宋体" w:hAnsi="宋体" w:eastAsia="宋体" w:cs="宋体"/>
                <w:highlight w:val="none"/>
              </w:rPr>
            </w:pPr>
            <w:r>
              <w:rPr>
                <w:rFonts w:hint="eastAsia" w:ascii="宋体" w:hAnsi="宋体" w:eastAsia="宋体" w:cs="宋体"/>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F6A6396">
            <w:pPr>
              <w:spacing w:line="360" w:lineRule="auto"/>
              <w:jc w:val="center"/>
              <w:rPr>
                <w:rFonts w:hint="eastAsia" w:ascii="宋体" w:hAnsi="宋体" w:eastAsia="宋体" w:cs="宋体"/>
                <w:highlight w:val="none"/>
              </w:rPr>
            </w:pPr>
            <w:r>
              <w:rPr>
                <w:rFonts w:hint="eastAsia" w:ascii="宋体" w:hAnsi="宋体" w:eastAsia="宋体" w:cs="宋体"/>
                <w:highlight w:val="none"/>
              </w:rPr>
              <w:t>项目</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1CE78175">
            <w:pPr>
              <w:spacing w:line="360" w:lineRule="auto"/>
              <w:jc w:val="center"/>
              <w:rPr>
                <w:rFonts w:hint="eastAsia" w:ascii="宋体" w:hAnsi="宋体" w:eastAsia="宋体" w:cs="宋体"/>
                <w:highlight w:val="none"/>
              </w:rPr>
            </w:pPr>
            <w:r>
              <w:rPr>
                <w:rFonts w:hint="eastAsia" w:ascii="宋体" w:hAnsi="宋体" w:eastAsia="宋体" w:cs="宋体"/>
                <w:highlight w:val="none"/>
              </w:rPr>
              <w:t>具体内容</w:t>
            </w:r>
          </w:p>
        </w:tc>
      </w:tr>
      <w:tr w14:paraId="14B9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7C7B29D1">
            <w:pPr>
              <w:spacing w:line="360" w:lineRule="auto"/>
              <w:jc w:val="center"/>
              <w:rPr>
                <w:rFonts w:hint="eastAsia" w:ascii="宋体" w:hAnsi="宋体" w:eastAsia="宋体" w:cs="宋体"/>
                <w:highlight w:val="none"/>
              </w:rPr>
            </w:pPr>
            <w:r>
              <w:rPr>
                <w:rFonts w:hint="eastAsia" w:ascii="宋体" w:hAnsi="宋体" w:eastAsia="宋体" w:cs="宋体"/>
                <w:highlight w:val="none"/>
              </w:rPr>
              <w:t>1</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2E6F71B">
            <w:pPr>
              <w:spacing w:line="360" w:lineRule="auto"/>
              <w:jc w:val="center"/>
              <w:rPr>
                <w:rFonts w:hint="eastAsia" w:ascii="宋体" w:hAnsi="宋体" w:eastAsia="宋体" w:cs="宋体"/>
                <w:highlight w:val="none"/>
              </w:rPr>
            </w:pPr>
            <w:r>
              <w:rPr>
                <w:rFonts w:hint="eastAsia" w:ascii="宋体" w:hAnsi="宋体" w:eastAsia="宋体" w:cs="宋体"/>
                <w:highlight w:val="none"/>
              </w:rPr>
              <w:t>本项目是否属于专门面向中小企业的政府采购活动</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4E07C0C7">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eastAsia="zh-CN"/>
              </w:rPr>
              <w:t>是</w:t>
            </w:r>
          </w:p>
        </w:tc>
      </w:tr>
      <w:tr w14:paraId="754F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46B0108A">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B731494">
            <w:pPr>
              <w:keepNext w:val="0"/>
              <w:keepLines w:val="0"/>
              <w:pageBreakBefore w:val="0"/>
              <w:kinsoku/>
              <w:wordWrap/>
              <w:overflowPunct/>
              <w:topLinePunct w:val="0"/>
              <w:autoSpaceDE/>
              <w:autoSpaceDN/>
              <w:bidi w:val="0"/>
              <w:snapToGrid/>
              <w:spacing w:line="420" w:lineRule="exact"/>
              <w:jc w:val="center"/>
              <w:textAlignment w:val="auto"/>
              <w:rPr>
                <w:rFonts w:hint="eastAsia" w:ascii="宋体" w:hAnsi="宋体" w:eastAsia="宋体" w:cs="宋体"/>
                <w:highlight w:val="none"/>
              </w:rPr>
            </w:pPr>
            <w:r>
              <w:rPr>
                <w:rFonts w:hint="eastAsia" w:ascii="宋体" w:hAnsi="宋体" w:eastAsia="宋体" w:cs="宋体"/>
                <w:color w:val="auto"/>
                <w:sz w:val="21"/>
                <w:szCs w:val="21"/>
                <w:highlight w:val="none"/>
                <w:lang w:val="en-US" w:eastAsia="zh-CN"/>
              </w:rPr>
              <w:t>本项目中小企业所属行业</w:t>
            </w:r>
          </w:p>
        </w:tc>
        <w:tc>
          <w:tcPr>
            <w:tcW w:w="6821" w:type="dxa"/>
            <w:tcBorders>
              <w:top w:val="single" w:color="auto" w:sz="4" w:space="0"/>
              <w:left w:val="single" w:color="auto" w:sz="4" w:space="0"/>
              <w:bottom w:val="single" w:color="auto" w:sz="4" w:space="0"/>
              <w:right w:val="single" w:color="auto" w:sz="4" w:space="0"/>
            </w:tcBorders>
            <w:noWrap w:val="0"/>
            <w:vAlign w:val="center"/>
          </w:tcPr>
          <w:p w14:paraId="446A3C64">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highlight w:val="none"/>
                <w:lang w:eastAsia="zh-CN"/>
              </w:rPr>
            </w:pPr>
            <w:r>
              <w:rPr>
                <w:rFonts w:hint="eastAsia" w:ascii="宋体" w:hAnsi="宋体" w:eastAsia="宋体" w:cs="宋体"/>
                <w:color w:val="auto"/>
                <w:sz w:val="21"/>
                <w:szCs w:val="21"/>
                <w:highlight w:val="none"/>
                <w:lang w:eastAsia="zh-CN"/>
              </w:rPr>
              <w:t>其他未列明行业</w:t>
            </w:r>
          </w:p>
        </w:tc>
      </w:tr>
      <w:tr w14:paraId="1242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85" w:type="dxa"/>
            <w:vMerge w:val="restart"/>
            <w:tcBorders>
              <w:top w:val="single" w:color="auto" w:sz="4" w:space="0"/>
              <w:left w:val="single" w:color="auto" w:sz="4" w:space="0"/>
              <w:right w:val="single" w:color="auto" w:sz="4" w:space="0"/>
            </w:tcBorders>
            <w:noWrap w:val="0"/>
            <w:vAlign w:val="center"/>
          </w:tcPr>
          <w:p w14:paraId="027342BE">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0E3C5A20">
            <w:pPr>
              <w:spacing w:line="360" w:lineRule="auto"/>
              <w:jc w:val="center"/>
              <w:rPr>
                <w:rFonts w:hint="eastAsia" w:ascii="宋体" w:hAnsi="宋体" w:eastAsia="宋体" w:cs="宋体"/>
                <w:highlight w:val="none"/>
              </w:rPr>
            </w:pPr>
            <w:r>
              <w:rPr>
                <w:rFonts w:hint="eastAsia" w:ascii="宋体" w:hAnsi="宋体" w:eastAsia="宋体" w:cs="宋体"/>
                <w:highlight w:val="none"/>
              </w:rPr>
              <w:t>中小企业的</w:t>
            </w:r>
          </w:p>
          <w:p w14:paraId="7C0C2A63">
            <w:pPr>
              <w:spacing w:line="360" w:lineRule="auto"/>
              <w:jc w:val="center"/>
              <w:rPr>
                <w:rFonts w:hint="eastAsia" w:ascii="宋体" w:hAnsi="宋体" w:eastAsia="宋体" w:cs="宋体"/>
                <w:highlight w:val="none"/>
              </w:rPr>
            </w:pPr>
            <w:r>
              <w:rPr>
                <w:rFonts w:hint="eastAsia" w:ascii="宋体" w:hAnsi="宋体" w:eastAsia="宋体" w:cs="宋体"/>
                <w:highlight w:val="none"/>
              </w:rPr>
              <w:t>认定标准</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0C629E9F">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供应商须同时满足以下两个条件，才能认定为中小企业（含中型、小型、微型企业，下同）：</w:t>
            </w:r>
          </w:p>
          <w:p w14:paraId="2C3A7E6D">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一、符合《工业和信息化部、国家统计局、国家发展和改革委员会、财政部关于印发中小企业划型标准规定的通知》（工信部联企业〔2011〕300号）规定的中小企业划分标准；</w:t>
            </w:r>
          </w:p>
          <w:p w14:paraId="57139676">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二、根据《中华人民共和国政府采购法实施条例》第六条和《关于印发《政府采购促进中小企业发展管理办法》的通知》（财库〔2020〕46号，以下简称46号文）第二条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tc>
      </w:tr>
      <w:tr w14:paraId="1E2A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vMerge w:val="continue"/>
            <w:tcBorders>
              <w:left w:val="single" w:color="auto" w:sz="4" w:space="0"/>
              <w:bottom w:val="single" w:color="auto" w:sz="4" w:space="0"/>
              <w:right w:val="single" w:color="auto" w:sz="4" w:space="0"/>
            </w:tcBorders>
            <w:noWrap w:val="0"/>
            <w:vAlign w:val="center"/>
          </w:tcPr>
          <w:p w14:paraId="20841382">
            <w:pPr>
              <w:spacing w:line="360" w:lineRule="auto"/>
              <w:jc w:val="center"/>
              <w:rPr>
                <w:rFonts w:hint="eastAsia" w:ascii="宋体" w:hAnsi="宋体" w:eastAsia="宋体" w:cs="宋体"/>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7FFA3A9">
            <w:pPr>
              <w:spacing w:line="360" w:lineRule="auto"/>
              <w:jc w:val="center"/>
              <w:rPr>
                <w:rFonts w:hint="eastAsia" w:ascii="宋体" w:hAnsi="宋体" w:eastAsia="宋体" w:cs="宋体"/>
                <w:highlight w:val="none"/>
              </w:rPr>
            </w:pPr>
            <w:r>
              <w:rPr>
                <w:rFonts w:hint="eastAsia" w:ascii="宋体" w:hAnsi="宋体" w:eastAsia="宋体" w:cs="宋体"/>
                <w:highlight w:val="none"/>
              </w:rPr>
              <w:t>价格扣除办法</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07D10A27">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价格扣除：对于非专门面向中小企业的项目，根据《中华人民共和国政府采购法实施条例》第六条、财库〔2020〕46号和财库〔2022〕19号文的规定，当符合条件规定的小微企业报价给予</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r>
              <w:rPr>
                <w:rFonts w:hint="eastAsia" w:ascii="宋体" w:hAnsi="宋体" w:eastAsia="宋体" w:cs="宋体"/>
                <w:highlight w:val="none"/>
              </w:rPr>
              <w:t>的扣除，用扣除后的价格参加评审。</w:t>
            </w:r>
          </w:p>
          <w:p w14:paraId="0D310907">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根据财政部司法部《关于政府采购支持监狱企业发展有关问题的通知》（财库〔2014〕68号）规定，本项目对监狱企业作为供应商的价格视为小型、微型企业享受价格扣除，用扣除后的价格参与评审。</w:t>
            </w:r>
          </w:p>
          <w:p w14:paraId="3E67D9B5">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根据《财政部 民政部 中国残疾人联合会关于促进残疾人就业政府采购政策的通知》（财库[2017]141号）的规定，残疾人福利性单位视为小型、微型企业享受价格扣除，用扣除后的价格作为评标价格参与评审。</w:t>
            </w:r>
          </w:p>
          <w:p w14:paraId="45B3D732">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监狱企业参加政府采购活动时，应当提供省级以上监狱管理局、戒毒管理局（含新疆生产建设兵团）出具的属于监狱企业的证明文件。</w:t>
            </w:r>
          </w:p>
          <w:p w14:paraId="11E682A4">
            <w:pPr>
              <w:spacing w:line="360" w:lineRule="auto"/>
              <w:ind w:firstLine="329" w:firstLineChars="157"/>
              <w:rPr>
                <w:rFonts w:hint="eastAsia" w:ascii="宋体" w:hAnsi="宋体" w:eastAsia="宋体" w:cs="宋体"/>
                <w:highlight w:val="none"/>
              </w:rPr>
            </w:pPr>
            <w:r>
              <w:rPr>
                <w:rFonts w:hint="eastAsia" w:ascii="宋体" w:hAnsi="宋体" w:eastAsia="宋体" w:cs="宋体"/>
                <w:highlight w:val="none"/>
              </w:rPr>
              <w:t>同一供应商，小微企业产品、残疾人福利性企业和监狱企业产品价格扣除优惠只享受一次，不得重复享受。响应文件中需附“中小企业声明函”，否则</w:t>
            </w:r>
            <w:r>
              <w:rPr>
                <w:rFonts w:hint="eastAsia" w:ascii="宋体" w:hAnsi="宋体" w:eastAsia="宋体" w:cs="宋体"/>
                <w:highlight w:val="none"/>
                <w:lang w:eastAsia="zh-CN"/>
              </w:rPr>
              <w:t>磋商小组</w:t>
            </w:r>
            <w:r>
              <w:rPr>
                <w:rFonts w:hint="eastAsia" w:ascii="宋体" w:hAnsi="宋体" w:eastAsia="宋体" w:cs="宋体"/>
                <w:highlight w:val="none"/>
              </w:rPr>
              <w:t>将不予认定中小微型企业。</w:t>
            </w:r>
          </w:p>
          <w:p w14:paraId="7D6CAF29">
            <w:pPr>
              <w:spacing w:line="360" w:lineRule="auto"/>
              <w:ind w:firstLine="331" w:firstLineChars="157"/>
              <w:rPr>
                <w:rFonts w:hint="eastAsia" w:ascii="宋体" w:hAnsi="宋体" w:eastAsia="宋体" w:cs="宋体"/>
                <w:highlight w:val="none"/>
                <w:lang w:eastAsia="zh-CN"/>
              </w:rPr>
            </w:pPr>
            <w:r>
              <w:rPr>
                <w:rFonts w:hint="eastAsia" w:ascii="宋体" w:hAnsi="宋体" w:eastAsia="宋体" w:cs="宋体"/>
                <w:b/>
                <w:bCs/>
                <w:color w:val="auto"/>
                <w:highlight w:val="none"/>
                <w:lang w:eastAsia="zh-CN"/>
              </w:rPr>
              <w:t>注：本项目为</w:t>
            </w:r>
            <w:r>
              <w:rPr>
                <w:rFonts w:hint="eastAsia" w:ascii="宋体" w:hAnsi="宋体" w:eastAsia="宋体" w:cs="宋体"/>
                <w:b/>
                <w:bCs/>
                <w:color w:val="auto"/>
                <w:highlight w:val="none"/>
              </w:rPr>
              <w:t>专门面向中小企业的政府采购，不再执行价格评审优惠的扶持政策。</w:t>
            </w:r>
          </w:p>
        </w:tc>
      </w:tr>
      <w:tr w14:paraId="2626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6F6F9EC9">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002984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highlight w:val="none"/>
              </w:rPr>
            </w:pPr>
            <w:r>
              <w:rPr>
                <w:rFonts w:hint="eastAsia" w:ascii="宋体" w:hAnsi="宋体" w:eastAsia="宋体" w:cs="宋体"/>
                <w:color w:val="auto"/>
                <w:highlight w:val="none"/>
                <w:lang w:eastAsia="zh-CN"/>
              </w:rPr>
              <w:t>异常低价问题</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7D6DCF0D">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根据财政部《关于推动解决政府采购异常低价问题的通知》（财库〔2026〕2号），评审中出现下列情形之一的，评审委员会应当启动异常低价投标（响应）审查程序：</w:t>
            </w:r>
          </w:p>
          <w:p w14:paraId="28073C25">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1.投标（响应）报价低于全部通过符合性审查供应商投标（响应）报价平均值50%的，即投标（响应）报价&lt;全部通过符合性审查供应商投标（响应）报价平均值×50%；</w:t>
            </w:r>
          </w:p>
          <w:p w14:paraId="57E72D8B">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2.投标（响应）报价低于通过符合性审查的次低报价供应商投标（响应）报价50%的，即投标（响应）报价&lt;通过符合性审查的次低报价供应商投标（响应）报价×50%；</w:t>
            </w:r>
          </w:p>
          <w:p w14:paraId="23BF02B4">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3.投标（响应）报价低于采购项目最高限价45%的，即投标（响应）报价&lt;采购项目最高限价×45%；</w:t>
            </w:r>
          </w:p>
          <w:p w14:paraId="3B0DB14E">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4.评审委员会基于专业判断，认为供应商报价过低，有可能影响产品质量或者不能诚信履约的其他情形。</w:t>
            </w:r>
          </w:p>
          <w:p w14:paraId="1FA68CDE">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DB0C336">
            <w:pPr>
              <w:keepNext w:val="0"/>
              <w:keepLines w:val="0"/>
              <w:pageBreakBefore w:val="0"/>
              <w:widowControl w:val="0"/>
              <w:kinsoku/>
              <w:wordWrap/>
              <w:overflowPunct/>
              <w:topLinePunct w:val="0"/>
              <w:autoSpaceDE/>
              <w:autoSpaceDN/>
              <w:bidi w:val="0"/>
              <w:adjustRightInd/>
              <w:snapToGrid/>
              <w:spacing w:line="400" w:lineRule="exact"/>
              <w:ind w:firstLine="329" w:firstLineChars="157"/>
              <w:jc w:val="left"/>
              <w:textAlignment w:val="auto"/>
              <w:rPr>
                <w:rFonts w:hint="eastAsia" w:ascii="宋体" w:hAnsi="宋体" w:eastAsia="宋体" w:cs="宋体"/>
                <w:b/>
                <w:bCs/>
                <w:color w:val="auto"/>
                <w:highlight w:val="none"/>
                <w:lang w:eastAsia="zh-CN"/>
              </w:rPr>
            </w:pPr>
            <w:r>
              <w:rPr>
                <w:rFonts w:hint="eastAsia" w:ascii="宋体" w:hAnsi="宋体" w:eastAsia="宋体" w:cs="宋体"/>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254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0C0DA827">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lang w:val="en-US" w:eastAsia="zh-CN"/>
              </w:rPr>
              <w:t>5</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B6ED9ED">
            <w:pPr>
              <w:spacing w:line="360" w:lineRule="auto"/>
              <w:jc w:val="center"/>
              <w:rPr>
                <w:rFonts w:hint="eastAsia" w:ascii="宋体" w:hAnsi="宋体" w:eastAsia="宋体" w:cs="宋体"/>
                <w:highlight w:val="none"/>
              </w:rPr>
            </w:pPr>
            <w:r>
              <w:rPr>
                <w:rFonts w:hint="eastAsia" w:ascii="宋体" w:hAnsi="宋体" w:eastAsia="宋体" w:cs="宋体"/>
                <w:highlight w:val="none"/>
              </w:rPr>
              <w:t>相关风险</w:t>
            </w:r>
          </w:p>
        </w:tc>
        <w:tc>
          <w:tcPr>
            <w:tcW w:w="6821" w:type="dxa"/>
            <w:tcBorders>
              <w:top w:val="single" w:color="auto" w:sz="4" w:space="0"/>
              <w:left w:val="single" w:color="auto" w:sz="4" w:space="0"/>
              <w:bottom w:val="single" w:color="auto" w:sz="4" w:space="0"/>
              <w:right w:val="single" w:color="auto" w:sz="4" w:space="0"/>
            </w:tcBorders>
            <w:noWrap w:val="0"/>
            <w:vAlign w:val="top"/>
          </w:tcPr>
          <w:p w14:paraId="6521964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提供虚假证明材料后果：供应商为取得中小企业身份而提供虚假证明材料，在评审过程中发现的，按无效</w:t>
            </w:r>
            <w:r>
              <w:rPr>
                <w:rFonts w:hint="eastAsia" w:ascii="宋体" w:hAnsi="宋体" w:eastAsia="宋体" w:cs="宋体"/>
                <w:highlight w:val="none"/>
                <w:lang w:eastAsia="zh-CN"/>
              </w:rPr>
              <w:t>响应</w:t>
            </w:r>
            <w:r>
              <w:rPr>
                <w:rFonts w:hint="eastAsia" w:ascii="宋体" w:hAnsi="宋体" w:eastAsia="宋体" w:cs="宋体"/>
                <w:highlight w:val="none"/>
              </w:rPr>
              <w:t>处理；已取得</w:t>
            </w:r>
            <w:r>
              <w:rPr>
                <w:rFonts w:hint="eastAsia" w:ascii="宋体" w:hAnsi="宋体" w:eastAsia="宋体" w:cs="宋体"/>
                <w:highlight w:val="none"/>
                <w:lang w:eastAsia="zh-CN"/>
              </w:rPr>
              <w:t>成交候选</w:t>
            </w:r>
            <w:r>
              <w:rPr>
                <w:rFonts w:hint="eastAsia" w:ascii="宋体" w:hAnsi="宋体" w:eastAsia="宋体" w:cs="宋体"/>
                <w:highlight w:val="none"/>
              </w:rPr>
              <w:t>资格的，无论该行为是否影响</w:t>
            </w:r>
            <w:r>
              <w:rPr>
                <w:rFonts w:hint="eastAsia" w:ascii="宋体" w:hAnsi="宋体" w:eastAsia="宋体" w:cs="宋体"/>
                <w:highlight w:val="none"/>
                <w:lang w:eastAsia="zh-CN"/>
              </w:rPr>
              <w:t>成交</w:t>
            </w:r>
            <w:r>
              <w:rPr>
                <w:rFonts w:hint="eastAsia" w:ascii="宋体" w:hAnsi="宋体" w:eastAsia="宋体" w:cs="宋体"/>
                <w:highlight w:val="none"/>
              </w:rPr>
              <w:t>，均取消其</w:t>
            </w:r>
            <w:r>
              <w:rPr>
                <w:rFonts w:hint="eastAsia" w:ascii="宋体" w:hAnsi="宋体" w:eastAsia="宋体" w:cs="宋体"/>
                <w:highlight w:val="none"/>
                <w:lang w:eastAsia="zh-CN"/>
              </w:rPr>
              <w:t>成交候选</w:t>
            </w:r>
            <w:r>
              <w:rPr>
                <w:rFonts w:hint="eastAsia" w:ascii="宋体" w:hAnsi="宋体" w:eastAsia="宋体" w:cs="宋体"/>
                <w:highlight w:val="none"/>
              </w:rPr>
              <w:t>资格；该供应商还应承担由此引起的其他经济、法律责任。出现此种情形时，</w:t>
            </w:r>
            <w:r>
              <w:rPr>
                <w:rFonts w:hint="eastAsia" w:ascii="宋体" w:hAnsi="宋体" w:eastAsia="宋体" w:cs="宋体"/>
                <w:highlight w:val="none"/>
                <w:lang w:eastAsia="zh-CN"/>
              </w:rPr>
              <w:t>采购</w:t>
            </w:r>
            <w:r>
              <w:rPr>
                <w:rFonts w:hint="eastAsia" w:ascii="宋体" w:hAnsi="宋体" w:eastAsia="宋体" w:cs="宋体"/>
                <w:highlight w:val="none"/>
              </w:rPr>
              <w:t>人、采购代理机构将有关情况上报政府采购监管部门，由监管部门按有关规定对其进行相应处罚。</w:t>
            </w:r>
          </w:p>
        </w:tc>
      </w:tr>
    </w:tbl>
    <w:p w14:paraId="1C2296FE">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sz w:val="21"/>
          <w:szCs w:val="21"/>
          <w:highlight w:val="none"/>
          <w:lang w:eastAsia="zh-CN"/>
        </w:rPr>
      </w:pPr>
      <w:bookmarkStart w:id="579" w:name="_Toc5658"/>
      <w:bookmarkStart w:id="580" w:name="_Toc11935"/>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lang w:eastAsia="zh-CN"/>
        </w:rPr>
        <w:t>评审办法</w:t>
      </w:r>
      <w:bookmarkEnd w:id="579"/>
      <w:bookmarkEnd w:id="580"/>
    </w:p>
    <w:p w14:paraId="5C17E09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本次磋商采用综合评分法评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，响应文件满足竞争性磋商文件全部实质性要求，且按照评审因素的量化指标评审得分由高到低选取成交候选</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方法。</w:t>
      </w:r>
    </w:p>
    <w:p w14:paraId="29F990BD">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sz w:val="21"/>
          <w:szCs w:val="21"/>
          <w:highlight w:val="none"/>
        </w:rPr>
      </w:pPr>
      <w:bookmarkStart w:id="581" w:name="_Toc3315"/>
      <w:bookmarkStart w:id="582" w:name="_Toc32213"/>
      <w:bookmarkStart w:id="583" w:name="_Toc11771"/>
      <w:bookmarkStart w:id="584" w:name="_Toc111997251"/>
      <w:bookmarkStart w:id="585" w:name="_Toc11999"/>
      <w:bookmarkStart w:id="586" w:name="_Toc29522"/>
      <w:bookmarkStart w:id="587" w:name="_Toc31065"/>
      <w:bookmarkStart w:id="588" w:name="_Toc13150088"/>
      <w:bookmarkStart w:id="589" w:name="_Toc24500"/>
      <w:bookmarkStart w:id="590" w:name="_Toc14806"/>
      <w:bookmarkStart w:id="591" w:name="_Toc2783"/>
      <w:bookmarkStart w:id="592" w:name="_Toc26533"/>
      <w:bookmarkStart w:id="593" w:name="_Toc32637"/>
      <w:bookmarkStart w:id="594" w:name="_Toc21995"/>
      <w:bookmarkStart w:id="595" w:name="_Toc4003"/>
      <w:bookmarkStart w:id="596" w:name="_Toc5920"/>
      <w:bookmarkStart w:id="597" w:name="_Toc25789"/>
      <w:bookmarkStart w:id="598" w:name="_Toc7898"/>
      <w:bookmarkStart w:id="599" w:name="_Toc3406"/>
      <w:bookmarkStart w:id="600" w:name="_Toc13619"/>
      <w:bookmarkStart w:id="601" w:name="_Toc4877"/>
      <w:bookmarkStart w:id="602" w:name="_Toc22368"/>
      <w:bookmarkStart w:id="603" w:name="_Toc6135"/>
      <w:bookmarkStart w:id="604" w:name="_Toc1402"/>
      <w:bookmarkStart w:id="605" w:name="_Toc15517"/>
      <w:bookmarkStart w:id="606" w:name="_Toc9594"/>
      <w:bookmarkStart w:id="607" w:name="_Toc1316"/>
      <w:bookmarkStart w:id="608" w:name="_Toc70"/>
      <w:r>
        <w:rPr>
          <w:rFonts w:hint="eastAsia" w:ascii="宋体" w:hAnsi="宋体" w:eastAsia="宋体" w:cs="宋体"/>
          <w:b/>
          <w:bCs/>
          <w:sz w:val="21"/>
          <w:szCs w:val="21"/>
          <w:highlight w:val="none"/>
          <w:lang w:val="en-US" w:eastAsia="zh-CN"/>
        </w:rPr>
        <w:t>2.</w:t>
      </w:r>
      <w:r>
        <w:rPr>
          <w:rFonts w:hint="eastAsia" w:ascii="宋体" w:hAnsi="宋体" w:eastAsia="宋体" w:cs="宋体"/>
          <w:b/>
          <w:bCs/>
          <w:sz w:val="21"/>
          <w:szCs w:val="21"/>
          <w:highlight w:val="none"/>
        </w:rPr>
        <w:t>评审标准</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38DA952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09" w:name="_Toc12847"/>
      <w:bookmarkStart w:id="610" w:name="_Toc19624"/>
      <w:bookmarkStart w:id="611" w:name="_Toc20701"/>
      <w:bookmarkStart w:id="612" w:name="_Toc4247"/>
      <w:bookmarkStart w:id="613" w:name="_Toc13150089"/>
      <w:bookmarkStart w:id="614" w:name="_Toc6998"/>
      <w:bookmarkStart w:id="615" w:name="_Toc6703"/>
      <w:bookmarkStart w:id="616" w:name="_Toc21651"/>
      <w:bookmarkStart w:id="617" w:name="_Toc21567"/>
      <w:bookmarkStart w:id="618" w:name="_Toc27379"/>
      <w:bookmarkStart w:id="619" w:name="_Toc24699"/>
      <w:bookmarkStart w:id="620" w:name="_Toc7259"/>
      <w:bookmarkStart w:id="621" w:name="_Toc29139"/>
      <w:bookmarkStart w:id="622" w:name="_Toc17437"/>
      <w:bookmarkStart w:id="623" w:name="_Toc29190"/>
      <w:bookmarkStart w:id="624" w:name="_Toc17735"/>
      <w:bookmarkStart w:id="625" w:name="_Toc111997252"/>
      <w:bookmarkStart w:id="626" w:name="_Toc18343"/>
      <w:bookmarkStart w:id="627" w:name="_Toc13150090"/>
      <w:bookmarkStart w:id="628" w:name="_Toc3482"/>
      <w:bookmarkStart w:id="629" w:name="_Toc31413"/>
      <w:bookmarkStart w:id="630" w:name="_Toc28336"/>
      <w:bookmarkStart w:id="631" w:name="_Toc6495"/>
      <w:bookmarkStart w:id="632" w:name="_Toc31651"/>
      <w:bookmarkStart w:id="633" w:name="_Toc30052"/>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.1 符合性审查标准：见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0B2B934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.2 资格性审查标准：见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bookmarkEnd w:id="609"/>
    <w:bookmarkEnd w:id="610"/>
    <w:bookmarkEnd w:id="611"/>
    <w:bookmarkEnd w:id="612"/>
    <w:bookmarkEnd w:id="613"/>
    <w:bookmarkEnd w:id="614"/>
    <w:bookmarkEnd w:id="615"/>
    <w:bookmarkEnd w:id="616"/>
    <w:bookmarkEnd w:id="617"/>
    <w:bookmarkEnd w:id="618"/>
    <w:bookmarkEnd w:id="619"/>
    <w:p w14:paraId="18D150F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分值构成与评分标准</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4AF07A4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w:t>
      </w:r>
      <w:r>
        <w:rPr>
          <w:rFonts w:hint="eastAsia" w:ascii="宋体" w:hAnsi="宋体" w:eastAsia="宋体" w:cs="宋体"/>
          <w:sz w:val="21"/>
          <w:szCs w:val="21"/>
          <w:highlight w:val="none"/>
        </w:rPr>
        <w:t>.1 分值构成</w:t>
      </w:r>
    </w:p>
    <w:p w14:paraId="55FD341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磋商报价</w:t>
      </w:r>
      <w:r>
        <w:rPr>
          <w:rFonts w:hint="eastAsia" w:ascii="宋体" w:hAnsi="宋体" w:eastAsia="宋体" w:cs="宋体"/>
          <w:sz w:val="21"/>
          <w:szCs w:val="21"/>
          <w:highlight w:val="none"/>
        </w:rPr>
        <w:t>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6E668B8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0BA20D1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部分：见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FCC7A1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w:t>
      </w:r>
      <w:r>
        <w:rPr>
          <w:rFonts w:hint="eastAsia" w:ascii="宋体" w:hAnsi="宋体" w:eastAsia="宋体" w:cs="宋体"/>
          <w:sz w:val="21"/>
          <w:szCs w:val="21"/>
          <w:highlight w:val="none"/>
        </w:rPr>
        <w:t>.2 评分标准</w:t>
      </w:r>
    </w:p>
    <w:p w14:paraId="735F39E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eastAsia="zh-CN"/>
        </w:rPr>
        <w:t>磋商报价</w:t>
      </w:r>
      <w:r>
        <w:rPr>
          <w:rFonts w:hint="eastAsia" w:ascii="宋体" w:hAnsi="宋体" w:eastAsia="宋体" w:cs="宋体"/>
          <w:sz w:val="21"/>
          <w:szCs w:val="21"/>
          <w:highlight w:val="none"/>
        </w:rPr>
        <w:t>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7EA50D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（2）技术评分标准：见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E9BAD3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评分标准：见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10968FBB">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sz w:val="21"/>
          <w:szCs w:val="21"/>
          <w:highlight w:val="none"/>
        </w:rPr>
      </w:pPr>
      <w:bookmarkStart w:id="634" w:name="_Toc14268"/>
      <w:bookmarkStart w:id="635" w:name="_Toc23144"/>
      <w:bookmarkStart w:id="636" w:name="_Toc6786"/>
      <w:bookmarkStart w:id="637" w:name="_Toc2244"/>
      <w:bookmarkStart w:id="638" w:name="_Toc13372"/>
      <w:bookmarkStart w:id="639" w:name="_Toc24556"/>
      <w:bookmarkStart w:id="640" w:name="_Toc21254"/>
      <w:bookmarkStart w:id="641" w:name="_Toc27262"/>
      <w:bookmarkStart w:id="642" w:name="_Toc16356"/>
      <w:bookmarkStart w:id="643" w:name="_Toc32064"/>
      <w:bookmarkStart w:id="644" w:name="_Toc4603"/>
      <w:bookmarkStart w:id="645" w:name="_Toc30199"/>
      <w:bookmarkStart w:id="646" w:name="_Toc28724"/>
      <w:bookmarkStart w:id="647" w:name="_Toc111997253"/>
      <w:bookmarkStart w:id="648" w:name="_Toc4338"/>
      <w:bookmarkStart w:id="649" w:name="_Toc26726"/>
      <w:bookmarkStart w:id="650" w:name="_Toc5255"/>
      <w:bookmarkStart w:id="651" w:name="_Toc3161"/>
      <w:bookmarkStart w:id="652" w:name="_Toc31277"/>
      <w:bookmarkStart w:id="653" w:name="_Toc24392"/>
      <w:bookmarkStart w:id="654" w:name="_Toc21732"/>
      <w:bookmarkStart w:id="655" w:name="_Toc18009"/>
      <w:bookmarkStart w:id="656" w:name="_Toc4929"/>
      <w:bookmarkStart w:id="657" w:name="_Toc25973"/>
      <w:bookmarkStart w:id="658" w:name="_Toc13150091"/>
      <w:bookmarkStart w:id="659" w:name="_Toc8295"/>
      <w:bookmarkStart w:id="660" w:name="_Toc32653"/>
      <w:bookmarkStart w:id="661" w:name="_Toc11872"/>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lang w:eastAsia="zh-CN"/>
        </w:rPr>
        <w:t>评审</w:t>
      </w:r>
      <w:r>
        <w:rPr>
          <w:rFonts w:hint="eastAsia" w:ascii="宋体" w:hAnsi="宋体" w:eastAsia="宋体" w:cs="宋体"/>
          <w:b/>
          <w:bCs/>
          <w:sz w:val="21"/>
          <w:szCs w:val="21"/>
          <w:highlight w:val="none"/>
        </w:rPr>
        <w:t>程序</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AAC2A9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62" w:name="_Toc111997254"/>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.1资格审查</w:t>
      </w:r>
      <w:bookmarkEnd w:id="662"/>
    </w:p>
    <w:p w14:paraId="6C8377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3.1.1</w:t>
      </w:r>
      <w:r>
        <w:rPr>
          <w:rFonts w:hint="eastAsia" w:ascii="宋体" w:hAnsi="宋体" w:eastAsia="宋体" w:cs="宋体"/>
          <w:sz w:val="21"/>
          <w:szCs w:val="21"/>
          <w:highlight w:val="none"/>
        </w:rPr>
        <w:t>依据法律法规和竞争性磋商文件的规定，</w:t>
      </w:r>
      <w:r>
        <w:rPr>
          <w:rFonts w:hint="eastAsia" w:ascii="宋体" w:hAnsi="宋体" w:eastAsia="宋体" w:cs="宋体"/>
          <w:sz w:val="21"/>
          <w:szCs w:val="21"/>
          <w:highlight w:val="none"/>
          <w:lang w:eastAsia="zh-CN"/>
        </w:rPr>
        <w:t>磋商小组</w:t>
      </w:r>
      <w:r>
        <w:rPr>
          <w:rFonts w:hint="eastAsia" w:ascii="宋体" w:hAnsi="宋体" w:eastAsia="宋体" w:cs="宋体"/>
          <w:sz w:val="21"/>
          <w:szCs w:val="21"/>
          <w:highlight w:val="none"/>
        </w:rPr>
        <w:t>对响应文件中的资格证明等进行审查，以确定供应商是否具备投标资格。详见</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w:t>
      </w:r>
    </w:p>
    <w:p w14:paraId="7BA85E3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3.1.2</w:t>
      </w:r>
      <w:r>
        <w:rPr>
          <w:rFonts w:hint="eastAsia" w:ascii="宋体" w:hAnsi="宋体" w:eastAsia="宋体" w:cs="宋体"/>
          <w:sz w:val="21"/>
          <w:szCs w:val="21"/>
          <w:highlight w:val="none"/>
        </w:rPr>
        <w:t>通过上述资格性检查，可初步判定供应商的响应文件是否符合磋商文件的要求。对于上述审查内容，供应商必须响应，否则其响应文件无效。</w:t>
      </w:r>
    </w:p>
    <w:p w14:paraId="7623C41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663" w:name="_Toc16287"/>
      <w:bookmarkStart w:id="664" w:name="_Toc4311"/>
      <w:bookmarkStart w:id="665" w:name="_Toc1654"/>
      <w:bookmarkStart w:id="666" w:name="_Toc9443"/>
      <w:bookmarkStart w:id="667" w:name="_Toc12112"/>
      <w:bookmarkStart w:id="668" w:name="_Toc32083"/>
      <w:bookmarkStart w:id="669" w:name="_Toc13150092"/>
      <w:bookmarkStart w:id="670" w:name="_Toc13097"/>
      <w:bookmarkStart w:id="671" w:name="_Toc111997255"/>
      <w:bookmarkStart w:id="672" w:name="_Toc5708"/>
      <w:bookmarkStart w:id="673" w:name="_Toc10682"/>
      <w:bookmarkStart w:id="674" w:name="_Toc32038"/>
      <w:bookmarkStart w:id="675" w:name="_Toc1174"/>
      <w:bookmarkStart w:id="676" w:name="_Toc2597"/>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.2 符合性审查</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746D6A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3.2.1</w:t>
      </w:r>
      <w:r>
        <w:rPr>
          <w:rFonts w:hint="eastAsia" w:ascii="宋体" w:hAnsi="宋体" w:eastAsia="宋体" w:cs="宋体"/>
          <w:sz w:val="21"/>
          <w:szCs w:val="21"/>
          <w:highlight w:val="none"/>
        </w:rPr>
        <w:t>磋商小组依据本章评</w:t>
      </w:r>
      <w:r>
        <w:rPr>
          <w:rFonts w:hint="eastAsia" w:ascii="宋体" w:hAnsi="宋体" w:eastAsia="宋体" w:cs="宋体"/>
          <w:sz w:val="21"/>
          <w:szCs w:val="21"/>
          <w:highlight w:val="none"/>
          <w:lang w:eastAsia="zh-CN"/>
        </w:rPr>
        <w:t>评审办法</w:t>
      </w:r>
      <w:r>
        <w:rPr>
          <w:rFonts w:hint="eastAsia" w:ascii="宋体" w:hAnsi="宋体" w:eastAsia="宋体" w:cs="宋体"/>
          <w:sz w:val="21"/>
          <w:szCs w:val="21"/>
          <w:highlight w:val="none"/>
        </w:rPr>
        <w:t>前附表规定的标准，对通过资格评审的供应商的响应文件进行</w:t>
      </w:r>
      <w:r>
        <w:rPr>
          <w:rFonts w:hint="eastAsia" w:ascii="宋体" w:hAnsi="宋体" w:eastAsia="宋体" w:cs="宋体"/>
          <w:sz w:val="21"/>
          <w:szCs w:val="21"/>
          <w:highlight w:val="none"/>
          <w:lang w:eastAsia="zh-CN"/>
        </w:rPr>
        <w:t>符合性审查</w:t>
      </w:r>
      <w:r>
        <w:rPr>
          <w:rFonts w:hint="eastAsia" w:ascii="宋体" w:hAnsi="宋体" w:eastAsia="宋体" w:cs="宋体"/>
          <w:sz w:val="21"/>
          <w:szCs w:val="21"/>
          <w:highlight w:val="none"/>
        </w:rPr>
        <w:t>，以确定其是否满足竞争性磋商文件的实质性要求，有一项不符合评审标准的</w:t>
      </w:r>
      <w:r>
        <w:rPr>
          <w:rFonts w:hint="eastAsia" w:ascii="宋体" w:hAnsi="宋体" w:eastAsia="宋体" w:cs="宋体"/>
          <w:sz w:val="21"/>
          <w:szCs w:val="21"/>
          <w:highlight w:val="none"/>
          <w:lang w:eastAsia="zh-CN"/>
        </w:rPr>
        <w:t>，其响应无效</w:t>
      </w:r>
      <w:r>
        <w:rPr>
          <w:rFonts w:hint="eastAsia" w:ascii="宋体" w:hAnsi="宋体" w:eastAsia="宋体" w:cs="宋体"/>
          <w:sz w:val="21"/>
          <w:szCs w:val="21"/>
          <w:highlight w:val="none"/>
        </w:rPr>
        <w:t>。</w:t>
      </w:r>
    </w:p>
    <w:p w14:paraId="3A08E5B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bookmarkStart w:id="677" w:name="_Toc13150093"/>
      <w:bookmarkStart w:id="678" w:name="_Toc1221"/>
      <w:bookmarkStart w:id="679" w:name="_Toc5425"/>
      <w:bookmarkStart w:id="680" w:name="_Toc18705"/>
      <w:bookmarkStart w:id="681" w:name="_Toc14717"/>
      <w:bookmarkStart w:id="682" w:name="_Toc111997256"/>
      <w:bookmarkStart w:id="683" w:name="_Toc29056"/>
      <w:bookmarkStart w:id="684" w:name="_Toc10132"/>
      <w:bookmarkStart w:id="685" w:name="_Toc30428"/>
      <w:bookmarkStart w:id="686" w:name="_Toc4232"/>
      <w:bookmarkStart w:id="687" w:name="_Toc13336"/>
      <w:bookmarkStart w:id="688" w:name="_Toc23593"/>
      <w:bookmarkStart w:id="689" w:name="_Toc25601"/>
      <w:bookmarkStart w:id="690" w:name="_Toc12596"/>
      <w:r>
        <w:rPr>
          <w:rFonts w:hint="eastAsia" w:ascii="宋体" w:hAnsi="宋体" w:eastAsia="宋体" w:cs="宋体"/>
          <w:sz w:val="21"/>
          <w:szCs w:val="21"/>
          <w:highlight w:val="none"/>
          <w:lang w:val="en-US" w:eastAsia="zh-CN"/>
        </w:rPr>
        <w:t>3.2.2供应商或响应文件有以下情形之一的，按无效响应文件处理：</w:t>
      </w:r>
    </w:p>
    <w:p w14:paraId="74EFB76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（1）有串通投标或弄虚作假或有其他违法行为的；</w:t>
      </w:r>
    </w:p>
    <w:p w14:paraId="33606DB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（2）不按磋商小组要求澄清、说明或补正的；</w:t>
      </w:r>
    </w:p>
    <w:p w14:paraId="2AE6B45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（3）供应商自身原因导致其响应文件无法正常采用电子开标的。</w:t>
      </w:r>
    </w:p>
    <w:p w14:paraId="55828AB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3.2.3响应报价有算术错误的，评审小组按以下原则对响应报价进行修正，修正的价格经供应商书面确认后具有约束力。供应商不接受修正价格的，其投标作投标无效处理。</w:t>
      </w:r>
    </w:p>
    <w:p w14:paraId="77FE21B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bookmarkStart w:id="691" w:name="_Toc300584156"/>
      <w:bookmarkStart w:id="692" w:name="_Toc301884883"/>
      <w:bookmarkStart w:id="693" w:name="_Toc299978164"/>
      <w:bookmarkStart w:id="694" w:name="_Toc299811412"/>
      <w:bookmarkStart w:id="695" w:name="_Toc300247672"/>
      <w:bookmarkStart w:id="696" w:name="_Toc300583928"/>
      <w:bookmarkStart w:id="697" w:name="_Toc299965516"/>
      <w:bookmarkStart w:id="698" w:name="_Toc300509859"/>
      <w:bookmarkStart w:id="699" w:name="_Toc299977047"/>
      <w:bookmarkStart w:id="700" w:name="_Toc299811194"/>
      <w:bookmarkStart w:id="701" w:name="_Toc299980118"/>
      <w:r>
        <w:rPr>
          <w:rFonts w:hint="eastAsia" w:ascii="宋体" w:hAnsi="宋体" w:eastAsia="宋体" w:cs="宋体"/>
          <w:sz w:val="21"/>
          <w:szCs w:val="21"/>
          <w:highlight w:val="none"/>
          <w:lang w:val="en-US" w:eastAsia="zh-CN"/>
        </w:rPr>
        <w:t>（1）响应文件中响应函附录内容与响应文件中相应内容不一致的，以响应函附录为准；</w:t>
      </w:r>
    </w:p>
    <w:p w14:paraId="46C38B1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（2）大写金额和小写金额不一致的，以大写金额为准；</w:t>
      </w:r>
    </w:p>
    <w:p w14:paraId="7CC791B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（3）单价金额小数点或者百分比有明显错位的，以响应函附录的总价为准，并修改单价；</w:t>
      </w:r>
    </w:p>
    <w:p w14:paraId="221391D4">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（4）总价金额与按单价汇总金额不一致的，以单价金额计算结果为准。</w:t>
      </w:r>
      <w:bookmarkEnd w:id="691"/>
      <w:bookmarkEnd w:id="692"/>
      <w:bookmarkEnd w:id="693"/>
      <w:bookmarkEnd w:id="694"/>
      <w:bookmarkEnd w:id="695"/>
      <w:bookmarkEnd w:id="696"/>
      <w:bookmarkEnd w:id="697"/>
      <w:bookmarkEnd w:id="698"/>
      <w:bookmarkEnd w:id="699"/>
      <w:bookmarkEnd w:id="700"/>
      <w:bookmarkEnd w:id="701"/>
    </w:p>
    <w:p w14:paraId="2998C87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 详细评审</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14:paraId="39E860E3">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0"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sz w:val="21"/>
          <w:szCs w:val="21"/>
          <w:highlight w:val="none"/>
          <w:lang w:val="en-US" w:eastAsia="zh-CN"/>
        </w:rPr>
        <w:t>3.3.1 根据</w:t>
      </w:r>
      <w:r>
        <w:rPr>
          <w:rFonts w:hint="eastAsia" w:ascii="宋体" w:hAnsi="宋体" w:eastAsia="宋体" w:cs="宋体"/>
          <w:sz w:val="21"/>
          <w:szCs w:val="21"/>
          <w:highlight w:val="none"/>
        </w:rPr>
        <w:t>《政府采购竞争性磋商采购方式管理暂行办法》</w:t>
      </w:r>
      <w:r>
        <w:rPr>
          <w:rFonts w:hint="eastAsia" w:ascii="宋体" w:hAnsi="宋体" w:eastAsia="宋体" w:cs="宋体"/>
          <w:sz w:val="21"/>
          <w:szCs w:val="21"/>
          <w:highlight w:val="none"/>
          <w:lang w:eastAsia="zh-CN"/>
        </w:rPr>
        <w:t>的规定，</w:t>
      </w:r>
      <w:r>
        <w:rPr>
          <w:rFonts w:hint="eastAsia" w:ascii="宋体" w:hAnsi="宋体" w:eastAsia="宋体" w:cs="宋体"/>
          <w:sz w:val="21"/>
          <w:szCs w:val="21"/>
          <w:highlight w:val="none"/>
          <w:lang w:val="en-US" w:eastAsia="zh-CN"/>
        </w:rPr>
        <w:t>磋商小组应当要求所有实质性响应的供应商在规定时间内提交最后报价；</w:t>
      </w:r>
      <w:r>
        <w:rPr>
          <w:rFonts w:hint="eastAsia" w:ascii="宋体" w:hAnsi="宋体" w:eastAsia="宋体" w:cs="宋体"/>
          <w:sz w:val="21"/>
          <w:szCs w:val="21"/>
          <w:highlight w:val="none"/>
        </w:rPr>
        <w:t>最后报价（二轮报价）是供应商响应文件的有效组成部分【</w:t>
      </w:r>
      <w:r>
        <w:rPr>
          <w:rFonts w:hint="eastAsia" w:ascii="宋体" w:hAnsi="宋体" w:eastAsia="宋体" w:cs="宋体"/>
          <w:b/>
          <w:bCs/>
          <w:color w:val="auto"/>
          <w:sz w:val="21"/>
          <w:szCs w:val="21"/>
          <w:highlight w:val="none"/>
        </w:rPr>
        <w:t>注：根据财政部《关于推动解决政府采购异常低价问题的通知》（财库〔2026〕2号），评审中出现下列情形之一的，评审委员会应当启动异常低价投标（响应）审查程序：</w:t>
      </w:r>
    </w:p>
    <w:p w14:paraId="3CE3A8CB">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1.投标（响应）报价低于全部通过符合性审查供应商投标（响应）报价平均值50%的，即投标（响应）报价&lt;全部通过符合性审查供应商投标（响应）报价平均值×50%；</w:t>
      </w:r>
    </w:p>
    <w:p w14:paraId="15BB752B">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2.投标（响应）报价低于通过符合性审查的次低报价供应商投标（响应）报价50%的，即投标（响应）报价&lt;通过符合性审查的次低报价供应商投标（响应）报价×50%；</w:t>
      </w:r>
    </w:p>
    <w:p w14:paraId="60952AC4">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3.投标（响应）报价低于采购项目最高限价45%的，即投标（响应）报价&lt;采购项目最高限价×45%；</w:t>
      </w:r>
    </w:p>
    <w:p w14:paraId="3AB903DA">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4.评审委员会基于专业判断，认为供应商报价过低，有可能影响产品质量或者不能诚信履约的其他情形。</w:t>
      </w:r>
    </w:p>
    <w:p w14:paraId="5C346FDC">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ECDC4D">
      <w:pPr>
        <w:pageBreakBefore w:val="0"/>
        <w:widowControl w:val="0"/>
        <w:numPr>
          <w:ilvl w:val="2"/>
          <w:numId w:val="0"/>
        </w:numPr>
        <w:kinsoku/>
        <w:wordWrap/>
        <w:overflowPunct/>
        <w:topLinePunct w:val="0"/>
        <w:autoSpaceDE w:val="0"/>
        <w:autoSpaceDN w:val="0"/>
        <w:bidi w:val="0"/>
        <w:adjustRightInd w:val="0"/>
        <w:snapToGrid/>
        <w:spacing w:line="500" w:lineRule="exact"/>
        <w:ind w:left="0" w:leftChars="0" w:right="0" w:rightChars="0" w:firstLine="422"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bCs/>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bCs/>
          <w:color w:val="auto"/>
          <w:kern w:val="0"/>
          <w:sz w:val="21"/>
          <w:szCs w:val="21"/>
          <w:highlight w:val="none"/>
        </w:rPr>
        <w:t>】。</w:t>
      </w:r>
    </w:p>
    <w:p w14:paraId="283FC70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3.3.2 </w:t>
      </w:r>
      <w:r>
        <w:rPr>
          <w:rFonts w:hint="eastAsia" w:ascii="宋体" w:hAnsi="宋体" w:eastAsia="宋体" w:cs="宋体"/>
          <w:sz w:val="21"/>
          <w:szCs w:val="21"/>
          <w:highlight w:val="none"/>
        </w:rPr>
        <w:t>情况特殊</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经磋商小组根据磋商现场情况，可以要求供应商适当进行多轮报价。</w:t>
      </w:r>
    </w:p>
    <w:p w14:paraId="6B71D44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3.3.3 </w:t>
      </w:r>
      <w:r>
        <w:rPr>
          <w:rFonts w:hint="eastAsia" w:ascii="宋体" w:hAnsi="宋体" w:eastAsia="宋体" w:cs="宋体"/>
          <w:sz w:val="21"/>
          <w:szCs w:val="21"/>
          <w:highlight w:val="none"/>
        </w:rPr>
        <w:t>经磋商确定最终采购需求和提交最后报价的供应商后，由磋商小组采用综合评分法对提交最后报价的供应商的响应文件和最后报价进行综合评分。</w:t>
      </w:r>
    </w:p>
    <w:p w14:paraId="6DF3EA5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 xml:space="preserve"> 磋商小组按本章</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方法规定的量化因素和分值进行打分计算出综合得分，</w:t>
      </w:r>
    </w:p>
    <w:p w14:paraId="543169E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按本章第1.2.2（1）目规定的评审因素和分值对</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报价部分计算出得分A；</w:t>
      </w:r>
    </w:p>
    <w:p w14:paraId="63AAAD3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按本章第1.2.2（2）目规定的评审因素和分值对技术部分计算出得分B：</w:t>
      </w:r>
    </w:p>
    <w:p w14:paraId="4EC867E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按本章第1.2.2（3）目规定的评审因素和分值对</w:t>
      </w:r>
      <w:r>
        <w:rPr>
          <w:rFonts w:hint="eastAsia" w:ascii="宋体" w:hAnsi="宋体" w:eastAsia="宋体" w:cs="宋体"/>
          <w:sz w:val="21"/>
          <w:szCs w:val="21"/>
          <w:highlight w:val="none"/>
          <w:lang w:eastAsia="zh-CN"/>
        </w:rPr>
        <w:t>商务</w:t>
      </w:r>
      <w:r>
        <w:rPr>
          <w:rFonts w:hint="eastAsia" w:ascii="宋体" w:hAnsi="宋体" w:eastAsia="宋体" w:cs="宋体"/>
          <w:sz w:val="21"/>
          <w:szCs w:val="21"/>
          <w:highlight w:val="none"/>
        </w:rPr>
        <w:t>部分计算出得分C。</w:t>
      </w:r>
    </w:p>
    <w:p w14:paraId="2EBEDC6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5 </w:t>
      </w:r>
      <w:r>
        <w:rPr>
          <w:rFonts w:hint="eastAsia" w:ascii="宋体" w:hAnsi="宋体" w:eastAsia="宋体" w:cs="宋体"/>
          <w:sz w:val="21"/>
          <w:szCs w:val="21"/>
          <w:highlight w:val="none"/>
        </w:rPr>
        <w:t>评分分值计算保留小数点后两位，小数点后第三位“四舍五入”。</w:t>
      </w:r>
    </w:p>
    <w:p w14:paraId="736A20BF">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 xml:space="preserve">6 </w:t>
      </w:r>
      <w:r>
        <w:rPr>
          <w:rFonts w:hint="eastAsia" w:ascii="宋体" w:hAnsi="宋体" w:eastAsia="宋体" w:cs="宋体"/>
          <w:sz w:val="21"/>
          <w:szCs w:val="21"/>
          <w:highlight w:val="none"/>
        </w:rPr>
        <w:t>供应商综合得分=A+B+C。</w:t>
      </w:r>
    </w:p>
    <w:p w14:paraId="10EC31B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3.3.7供应商最终得分=磋商小组全体成员评分结果的算术平均值，并以此计算各个供应商的最终得分</w:t>
      </w:r>
      <w:r>
        <w:rPr>
          <w:rFonts w:hint="eastAsia" w:ascii="宋体" w:hAnsi="宋体" w:eastAsia="宋体" w:cs="宋体"/>
          <w:sz w:val="21"/>
          <w:szCs w:val="21"/>
          <w:highlight w:val="none"/>
        </w:rPr>
        <w:t>。</w:t>
      </w:r>
    </w:p>
    <w:p w14:paraId="0466D01D">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 xml:space="preserve">3.3.8 </w:t>
      </w:r>
      <w:r>
        <w:rPr>
          <w:rFonts w:hint="eastAsia" w:ascii="宋体" w:hAnsi="宋体" w:eastAsia="宋体" w:cs="宋体"/>
          <w:sz w:val="21"/>
          <w:szCs w:val="21"/>
          <w:highlight w:val="none"/>
        </w:rPr>
        <w:t>在确定成交</w:t>
      </w:r>
      <w:r>
        <w:rPr>
          <w:rFonts w:hint="eastAsia" w:ascii="宋体" w:hAnsi="宋体" w:eastAsia="宋体" w:cs="宋体"/>
          <w:sz w:val="21"/>
          <w:szCs w:val="21"/>
          <w:highlight w:val="none"/>
          <w:lang w:eastAsia="zh-CN"/>
        </w:rPr>
        <w:t>候选</w:t>
      </w:r>
      <w:r>
        <w:rPr>
          <w:rFonts w:hint="eastAsia" w:ascii="宋体" w:hAnsi="宋体" w:eastAsia="宋体" w:cs="宋体"/>
          <w:sz w:val="21"/>
          <w:szCs w:val="21"/>
          <w:highlight w:val="none"/>
        </w:rPr>
        <w:t>供应商之前，磋商小组认为排在前面的成交候选</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rPr>
        <w:t>的最低报价</w:t>
      </w:r>
    </w:p>
    <w:p w14:paraId="4DD50FA9">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或某些分项报价明显不合理或者明显低于其他供应商，有可能影响质量和不能诚信履约的，应当要求其在规定的期限内提供书面文件予以解释说明，并提交相关证明村料。</w:t>
      </w:r>
      <w:bookmarkStart w:id="702" w:name="_Toc13854"/>
      <w:bookmarkStart w:id="703" w:name="_Toc11722"/>
      <w:bookmarkStart w:id="704" w:name="_Toc7845"/>
      <w:bookmarkStart w:id="705" w:name="_Toc111997257"/>
      <w:bookmarkStart w:id="706" w:name="_Toc18469"/>
      <w:bookmarkStart w:id="707" w:name="_Toc5640"/>
      <w:bookmarkStart w:id="708" w:name="_Toc19568"/>
      <w:bookmarkStart w:id="709" w:name="_Toc3021"/>
      <w:bookmarkStart w:id="710" w:name="_Toc31327"/>
      <w:bookmarkStart w:id="711" w:name="_Toc18083"/>
      <w:bookmarkStart w:id="712" w:name="_Toc11785"/>
      <w:bookmarkStart w:id="713" w:name="_Toc13150094"/>
      <w:bookmarkStart w:id="714" w:name="_Toc18738"/>
      <w:bookmarkStart w:id="715" w:name="_Toc25051"/>
      <w:r>
        <w:rPr>
          <w:rFonts w:hint="eastAsia" w:ascii="宋体" w:hAnsi="宋体" w:eastAsia="宋体" w:cs="宋体"/>
          <w:sz w:val="21"/>
          <w:szCs w:val="21"/>
          <w:highlight w:val="none"/>
        </w:rPr>
        <w:t>供应商不能证明其报价合理性的，</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小组成员应当将其作为无效响应处理。</w:t>
      </w:r>
    </w:p>
    <w:p w14:paraId="336A144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3.9</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小组成员对需要共同认定的事项存在争议的，应当按照少数服从多数的原则作出结论。</w:t>
      </w:r>
    </w:p>
    <w:p w14:paraId="58AF270C">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 响应文件的澄清</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Fonts w:hint="eastAsia" w:ascii="宋体" w:hAnsi="宋体" w:eastAsia="宋体" w:cs="宋体"/>
          <w:sz w:val="21"/>
          <w:szCs w:val="21"/>
          <w:highlight w:val="none"/>
        </w:rPr>
        <w:t>和补正</w:t>
      </w:r>
    </w:p>
    <w:p w14:paraId="072C47C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.4.1 在评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过程中，磋商小组可以书面形式要求供应商对响应文件中含义不明确、对同类问题表述不一致或者有明显文字和计算错误的内容作必要的澄清、说明或补正。澄清、说明或补正应以书面方式进行，并加盖公章，或者由法定代表人或其授权的代表签字。磋商小组不接受供应商主动提出的澄清、说明或补正。</w:t>
      </w:r>
    </w:p>
    <w:p w14:paraId="33F00E5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.4.22澄清、说明和补正不得改变响应文件的实质性内容（算术性错误修正的除外）。供应商的书面澄清、说明和补正属于响应文件的组成部分。</w:t>
      </w:r>
    </w:p>
    <w:p w14:paraId="26A4E543">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.4.3 磋商小组对供应商提交的澄清、说明或补正有疑问的，可以要求供应商进一步澄清、说明或补正，直至满足磋商小组的要求。</w:t>
      </w:r>
    </w:p>
    <w:p w14:paraId="2BE2C2BA">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bookmarkStart w:id="716" w:name="_Toc25388"/>
      <w:bookmarkStart w:id="717" w:name="_Toc27845"/>
      <w:bookmarkStart w:id="718" w:name="_Toc25857"/>
      <w:bookmarkStart w:id="719" w:name="_Toc19426"/>
      <w:bookmarkStart w:id="720" w:name="_Toc11237"/>
      <w:bookmarkStart w:id="721" w:name="_Toc17538"/>
      <w:bookmarkStart w:id="722" w:name="_Toc16166"/>
      <w:bookmarkStart w:id="723" w:name="_Toc12108"/>
      <w:bookmarkStart w:id="724" w:name="_Toc30334"/>
      <w:bookmarkStart w:id="725" w:name="_Toc26739"/>
      <w:bookmarkStart w:id="726" w:name="_Toc111997258"/>
      <w:bookmarkStart w:id="727" w:name="_Toc4217"/>
      <w:bookmarkStart w:id="728" w:name="_Toc13150095"/>
      <w:bookmarkStart w:id="729" w:name="_Toc10336"/>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 xml:space="preserve">.5 </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结果</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0EF59A1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.1 除采购人授权直接确定成交供应商外，</w:t>
      </w:r>
      <w:r>
        <w:rPr>
          <w:rFonts w:hint="eastAsia" w:ascii="宋体" w:hAnsi="宋体" w:eastAsia="宋体" w:cs="宋体"/>
          <w:sz w:val="21"/>
          <w:szCs w:val="21"/>
          <w:highlight w:val="none"/>
          <w:lang w:val="en-US" w:eastAsia="zh-CN"/>
        </w:rPr>
        <w:t>磋商小组应当根据综合评分情况，按照评审得分由高到低顺序推荐3名成交候选供应商，并编写评审报告。评审得分相同的，按照最后报价由低到高的顺序推荐。评审得分且最后报价相同的，按照技术指标优劣顺序推荐。</w:t>
      </w:r>
    </w:p>
    <w:p w14:paraId="618F7801">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.2磋商小组完成评</w:t>
      </w:r>
      <w:r>
        <w:rPr>
          <w:rFonts w:hint="eastAsia" w:ascii="宋体" w:hAnsi="宋体" w:eastAsia="宋体" w:cs="宋体"/>
          <w:sz w:val="21"/>
          <w:szCs w:val="21"/>
          <w:highlight w:val="none"/>
          <w:lang w:eastAsia="zh-CN"/>
        </w:rPr>
        <w:t>审</w:t>
      </w:r>
      <w:r>
        <w:rPr>
          <w:rFonts w:hint="eastAsia" w:ascii="宋体" w:hAnsi="宋体" w:eastAsia="宋体" w:cs="宋体"/>
          <w:sz w:val="21"/>
          <w:szCs w:val="21"/>
          <w:highlight w:val="none"/>
        </w:rPr>
        <w:t>后，应当向采购人提交书面</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报告和</w:t>
      </w:r>
      <w:r>
        <w:rPr>
          <w:rFonts w:hint="eastAsia" w:ascii="宋体" w:hAnsi="宋体" w:eastAsia="宋体" w:cs="宋体"/>
          <w:sz w:val="21"/>
          <w:szCs w:val="21"/>
          <w:highlight w:val="none"/>
          <w:lang w:eastAsia="zh-CN"/>
        </w:rPr>
        <w:t>成交候选供应商</w:t>
      </w:r>
      <w:r>
        <w:rPr>
          <w:rFonts w:hint="eastAsia" w:ascii="宋体" w:hAnsi="宋体" w:eastAsia="宋体" w:cs="宋体"/>
          <w:sz w:val="21"/>
          <w:szCs w:val="21"/>
          <w:highlight w:val="none"/>
        </w:rPr>
        <w:t>名单</w:t>
      </w:r>
      <w:r>
        <w:rPr>
          <w:rFonts w:hint="eastAsia" w:ascii="宋体" w:hAnsi="宋体" w:eastAsia="宋体" w:cs="宋体"/>
          <w:sz w:val="21"/>
          <w:szCs w:val="21"/>
          <w:highlight w:val="none"/>
          <w:lang w:eastAsia="zh-CN"/>
        </w:rPr>
        <w:t>。</w:t>
      </w:r>
    </w:p>
    <w:p w14:paraId="68CBB681">
      <w:pPr>
        <w:spacing w:line="500" w:lineRule="exact"/>
        <w:jc w:val="center"/>
        <w:outlineLvl w:val="0"/>
        <w:rPr>
          <w:rFonts w:hint="eastAsia" w:ascii="宋体" w:hAnsi="宋体" w:eastAsia="宋体" w:cs="宋体"/>
          <w:b/>
          <w:bCs/>
          <w:kern w:val="44"/>
          <w:sz w:val="44"/>
          <w:szCs w:val="44"/>
          <w:highlight w:val="none"/>
        </w:rPr>
      </w:pPr>
      <w:r>
        <w:rPr>
          <w:rFonts w:hint="eastAsia" w:ascii="宋体" w:hAnsi="宋体" w:eastAsia="宋体" w:cs="宋体"/>
          <w:b/>
          <w:bCs/>
          <w:kern w:val="44"/>
          <w:sz w:val="32"/>
          <w:szCs w:val="32"/>
          <w:highlight w:val="none"/>
        </w:rPr>
        <w:br w:type="page"/>
      </w:r>
      <w:bookmarkStart w:id="730" w:name="_Toc103592363"/>
      <w:bookmarkStart w:id="731" w:name="_Toc23665"/>
      <w:bookmarkStart w:id="732" w:name="_Toc18555"/>
      <w:bookmarkStart w:id="733" w:name="_Toc8946"/>
      <w:r>
        <w:rPr>
          <w:rFonts w:hint="eastAsia" w:ascii="宋体" w:hAnsi="宋体" w:eastAsia="宋体" w:cs="宋体"/>
          <w:b/>
          <w:bCs/>
          <w:kern w:val="44"/>
          <w:sz w:val="32"/>
          <w:szCs w:val="32"/>
          <w:highlight w:val="none"/>
        </w:rPr>
        <w:t>第五章</w:t>
      </w:r>
      <w:bookmarkStart w:id="734" w:name="_Toc7902"/>
      <w:bookmarkEnd w:id="734"/>
      <w:bookmarkStart w:id="735" w:name="_Toc269828235"/>
      <w:bookmarkEnd w:id="735"/>
      <w:bookmarkStart w:id="736" w:name="_Toc331669567"/>
      <w:bookmarkEnd w:id="736"/>
      <w:bookmarkStart w:id="737" w:name="_Toc269828236"/>
      <w:r>
        <w:rPr>
          <w:rFonts w:hint="eastAsia" w:ascii="宋体" w:hAnsi="宋体" w:eastAsia="宋体" w:cs="宋体"/>
          <w:b/>
          <w:bCs/>
          <w:kern w:val="44"/>
          <w:sz w:val="32"/>
          <w:szCs w:val="32"/>
          <w:highlight w:val="none"/>
          <w:lang w:val="en-US" w:eastAsia="zh-CN"/>
        </w:rPr>
        <w:t xml:space="preserve"> </w:t>
      </w:r>
      <w:r>
        <w:rPr>
          <w:rFonts w:hint="eastAsia" w:ascii="宋体" w:hAnsi="宋体" w:eastAsia="宋体" w:cs="宋体"/>
          <w:b/>
          <w:bCs/>
          <w:kern w:val="44"/>
          <w:sz w:val="32"/>
          <w:szCs w:val="32"/>
          <w:highlight w:val="none"/>
        </w:rPr>
        <w:t>合同主要条款</w:t>
      </w:r>
      <w:bookmarkEnd w:id="737"/>
      <w:r>
        <w:rPr>
          <w:rFonts w:hint="eastAsia" w:ascii="宋体" w:hAnsi="宋体" w:eastAsia="宋体" w:cs="宋体"/>
          <w:b/>
          <w:bCs/>
          <w:kern w:val="44"/>
          <w:sz w:val="32"/>
          <w:szCs w:val="32"/>
          <w:highlight w:val="none"/>
        </w:rPr>
        <w:t>及格式</w:t>
      </w:r>
      <w:bookmarkEnd w:id="730"/>
      <w:bookmarkEnd w:id="731"/>
      <w:bookmarkEnd w:id="732"/>
      <w:bookmarkEnd w:id="733"/>
    </w:p>
    <w:p w14:paraId="6A255072">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（以双方最终签订合同为准）</w:t>
      </w:r>
    </w:p>
    <w:p w14:paraId="2E8579EC">
      <w:pPr>
        <w:spacing w:line="360" w:lineRule="auto"/>
        <w:jc w:val="right"/>
        <w:rPr>
          <w:rFonts w:hint="eastAsia" w:ascii="宋体" w:hAnsi="宋体" w:eastAsia="宋体" w:cs="宋体"/>
          <w:b/>
          <w:bCs/>
          <w:sz w:val="24"/>
          <w:szCs w:val="24"/>
          <w:highlight w:val="none"/>
        </w:rPr>
      </w:pPr>
      <w:bookmarkStart w:id="738" w:name="_Toc14587"/>
      <w:bookmarkStart w:id="739" w:name="_Toc2952"/>
      <w:bookmarkStart w:id="740" w:name="_Toc103592364"/>
      <w:r>
        <w:rPr>
          <w:rFonts w:hint="eastAsia" w:ascii="宋体" w:hAnsi="宋体" w:eastAsia="宋体" w:cs="宋体"/>
          <w:b/>
          <w:bCs/>
          <w:sz w:val="24"/>
          <w:szCs w:val="24"/>
          <w:highlight w:val="none"/>
        </w:rPr>
        <w:t>（ＧＦ－2012－0202）</w:t>
      </w:r>
    </w:p>
    <w:p w14:paraId="287E2351">
      <w:pPr>
        <w:spacing w:line="360" w:lineRule="auto"/>
        <w:jc w:val="center"/>
        <w:rPr>
          <w:rFonts w:hint="eastAsia" w:ascii="宋体" w:hAnsi="宋体" w:eastAsia="宋体" w:cs="宋体"/>
          <w:b/>
          <w:bCs/>
          <w:sz w:val="48"/>
          <w:szCs w:val="48"/>
          <w:highlight w:val="none"/>
        </w:rPr>
      </w:pPr>
    </w:p>
    <w:p w14:paraId="745E27A8">
      <w:pPr>
        <w:spacing w:line="360" w:lineRule="auto"/>
        <w:jc w:val="center"/>
        <w:rPr>
          <w:rFonts w:hint="eastAsia" w:ascii="宋体" w:hAnsi="宋体" w:eastAsia="宋体" w:cs="宋体"/>
          <w:b/>
          <w:bCs/>
          <w:sz w:val="48"/>
          <w:szCs w:val="48"/>
          <w:highlight w:val="none"/>
        </w:rPr>
      </w:pPr>
    </w:p>
    <w:p w14:paraId="497838C5">
      <w:pPr>
        <w:spacing w:line="360" w:lineRule="auto"/>
        <w:jc w:val="center"/>
        <w:rPr>
          <w:rFonts w:hint="eastAsia" w:ascii="宋体" w:hAnsi="宋体" w:eastAsia="宋体" w:cs="宋体"/>
          <w:b/>
          <w:bCs/>
          <w:sz w:val="52"/>
          <w:szCs w:val="52"/>
          <w:highlight w:val="none"/>
        </w:rPr>
      </w:pPr>
      <w:r>
        <w:rPr>
          <w:rFonts w:hint="eastAsia" w:ascii="宋体" w:hAnsi="宋体" w:eastAsia="宋体" w:cs="宋体"/>
          <w:b/>
          <w:bCs/>
          <w:sz w:val="52"/>
          <w:szCs w:val="52"/>
          <w:highlight w:val="none"/>
        </w:rPr>
        <w:t>建设工程监理合同</w:t>
      </w:r>
    </w:p>
    <w:p w14:paraId="66AB218D">
      <w:pPr>
        <w:spacing w:line="360" w:lineRule="auto"/>
        <w:jc w:val="center"/>
        <w:rPr>
          <w:rFonts w:hint="eastAsia" w:ascii="宋体" w:hAnsi="宋体" w:eastAsia="宋体" w:cs="宋体"/>
          <w:b/>
          <w:bCs/>
          <w:sz w:val="52"/>
          <w:szCs w:val="52"/>
          <w:highlight w:val="none"/>
        </w:rPr>
      </w:pPr>
      <w:r>
        <w:rPr>
          <w:rFonts w:hint="eastAsia" w:ascii="宋体" w:hAnsi="宋体" w:eastAsia="宋体" w:cs="宋体"/>
          <w:b/>
          <w:bCs/>
          <w:sz w:val="52"/>
          <w:szCs w:val="52"/>
          <w:highlight w:val="none"/>
        </w:rPr>
        <w:t>（示范文本）</w:t>
      </w:r>
    </w:p>
    <w:p w14:paraId="1013C9F1">
      <w:pPr>
        <w:spacing w:line="360" w:lineRule="auto"/>
        <w:jc w:val="center"/>
        <w:rPr>
          <w:rFonts w:hint="eastAsia" w:ascii="宋体" w:hAnsi="宋体" w:eastAsia="宋体" w:cs="宋体"/>
          <w:sz w:val="48"/>
          <w:szCs w:val="48"/>
          <w:highlight w:val="none"/>
        </w:rPr>
      </w:pPr>
    </w:p>
    <w:p w14:paraId="7AD7060C">
      <w:pPr>
        <w:spacing w:line="360" w:lineRule="auto"/>
        <w:jc w:val="center"/>
        <w:rPr>
          <w:rFonts w:hint="eastAsia" w:ascii="宋体" w:hAnsi="宋体" w:eastAsia="宋体" w:cs="宋体"/>
          <w:b/>
          <w:bCs/>
          <w:sz w:val="24"/>
          <w:szCs w:val="24"/>
          <w:highlight w:val="none"/>
        </w:rPr>
      </w:pPr>
    </w:p>
    <w:p w14:paraId="49B2B99C">
      <w:pPr>
        <w:spacing w:line="360" w:lineRule="auto"/>
        <w:rPr>
          <w:rFonts w:hint="eastAsia" w:ascii="宋体" w:hAnsi="宋体" w:eastAsia="宋体" w:cs="宋体"/>
          <w:b/>
          <w:bCs/>
          <w:sz w:val="24"/>
          <w:szCs w:val="24"/>
          <w:highlight w:val="none"/>
        </w:rPr>
      </w:pPr>
    </w:p>
    <w:p w14:paraId="55312DC4">
      <w:pPr>
        <w:spacing w:line="360" w:lineRule="auto"/>
        <w:rPr>
          <w:rFonts w:hint="eastAsia" w:ascii="宋体" w:hAnsi="宋体" w:eastAsia="宋体" w:cs="宋体"/>
          <w:b/>
          <w:bCs/>
          <w:sz w:val="24"/>
          <w:szCs w:val="24"/>
          <w:highlight w:val="none"/>
        </w:rPr>
      </w:pPr>
    </w:p>
    <w:p w14:paraId="4AF2E3A6">
      <w:pPr>
        <w:spacing w:line="360" w:lineRule="auto"/>
        <w:rPr>
          <w:rFonts w:hint="eastAsia" w:ascii="宋体" w:hAnsi="宋体" w:eastAsia="宋体" w:cs="宋体"/>
          <w:b/>
          <w:bCs/>
          <w:sz w:val="24"/>
          <w:szCs w:val="24"/>
          <w:highlight w:val="none"/>
        </w:rPr>
      </w:pPr>
    </w:p>
    <w:p w14:paraId="0B4831DF">
      <w:pPr>
        <w:spacing w:line="360" w:lineRule="auto"/>
        <w:rPr>
          <w:rFonts w:hint="eastAsia" w:ascii="宋体" w:hAnsi="宋体" w:eastAsia="宋体" w:cs="宋体"/>
          <w:b/>
          <w:bCs/>
          <w:sz w:val="24"/>
          <w:szCs w:val="24"/>
          <w:highlight w:val="none"/>
        </w:rPr>
      </w:pPr>
    </w:p>
    <w:p w14:paraId="60EAC335">
      <w:pPr>
        <w:spacing w:line="360" w:lineRule="auto"/>
        <w:jc w:val="center"/>
        <w:rPr>
          <w:rFonts w:hint="eastAsia" w:ascii="宋体" w:hAnsi="宋体" w:eastAsia="宋体" w:cs="宋体"/>
          <w:b/>
          <w:bCs/>
          <w:sz w:val="32"/>
          <w:szCs w:val="32"/>
          <w:highlight w:val="none"/>
        </w:rPr>
      </w:pPr>
    </w:p>
    <w:p w14:paraId="46ED5C99">
      <w:pPr>
        <w:pStyle w:val="25"/>
        <w:rPr>
          <w:rFonts w:hint="eastAsia" w:ascii="宋体" w:hAnsi="宋体" w:eastAsia="宋体" w:cs="宋体"/>
          <w:color w:val="auto"/>
          <w:highlight w:val="none"/>
        </w:rPr>
      </w:pPr>
    </w:p>
    <w:p w14:paraId="777FC5EE">
      <w:pPr>
        <w:spacing w:line="360" w:lineRule="auto"/>
        <w:jc w:val="center"/>
        <w:rPr>
          <w:rFonts w:hint="eastAsia" w:ascii="宋体" w:hAnsi="宋体" w:eastAsia="宋体" w:cs="宋体"/>
          <w:b/>
          <w:bCs/>
          <w:sz w:val="32"/>
          <w:szCs w:val="32"/>
          <w:highlight w:val="none"/>
        </w:rPr>
      </w:pPr>
    </w:p>
    <w:p w14:paraId="11F1CE22">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住房和城乡建设部制定</w:t>
      </w:r>
    </w:p>
    <w:p w14:paraId="31ADE549">
      <w:pPr>
        <w:spacing w:line="360" w:lineRule="auto"/>
        <w:jc w:val="center"/>
        <w:rPr>
          <w:rFonts w:hint="eastAsia" w:ascii="宋体" w:hAnsi="宋体" w:eastAsia="宋体" w:cs="宋体"/>
          <w:b/>
          <w:bCs/>
          <w:sz w:val="32"/>
          <w:szCs w:val="32"/>
          <w:highlight w:val="none"/>
        </w:rPr>
      </w:pPr>
    </w:p>
    <w:p w14:paraId="52A56B95">
      <w:pPr>
        <w:spacing w:line="360" w:lineRule="auto"/>
        <w:jc w:val="center"/>
        <w:rPr>
          <w:rFonts w:hint="eastAsia" w:ascii="宋体" w:hAnsi="宋体" w:eastAsia="宋体" w:cs="宋体"/>
          <w:b/>
          <w:bCs/>
          <w:highlight w:val="none"/>
        </w:rPr>
      </w:pPr>
      <w:r>
        <w:rPr>
          <w:rFonts w:hint="eastAsia" w:ascii="宋体" w:hAnsi="宋体" w:eastAsia="宋体" w:cs="宋体"/>
          <w:b/>
          <w:bCs/>
          <w:sz w:val="32"/>
          <w:szCs w:val="32"/>
          <w:highlight w:val="none"/>
        </w:rPr>
        <w:t xml:space="preserve"> 国家工商行政管理总局</w:t>
      </w:r>
    </w:p>
    <w:p w14:paraId="45A0D136">
      <w:pPr>
        <w:spacing w:before="312" w:beforeLines="100" w:line="360" w:lineRule="auto"/>
        <w:jc w:val="center"/>
        <w:rPr>
          <w:rFonts w:hint="eastAsia" w:ascii="宋体" w:hAnsi="宋体" w:eastAsia="宋体" w:cs="宋体"/>
          <w:b/>
          <w:bCs/>
          <w:sz w:val="32"/>
          <w:szCs w:val="32"/>
          <w:highlight w:val="none"/>
        </w:rPr>
      </w:pPr>
    </w:p>
    <w:p w14:paraId="59C19F4F">
      <w:pPr>
        <w:spacing w:before="312" w:beforeLines="100" w:line="360" w:lineRule="auto"/>
        <w:jc w:val="center"/>
        <w:rPr>
          <w:rFonts w:hint="eastAsia" w:ascii="宋体" w:hAnsi="宋体" w:eastAsia="宋体" w:cs="宋体"/>
          <w:b/>
          <w:bCs/>
          <w:sz w:val="32"/>
          <w:szCs w:val="32"/>
          <w:highlight w:val="none"/>
        </w:rPr>
      </w:pPr>
    </w:p>
    <w:p w14:paraId="13A969C5">
      <w:pPr>
        <w:spacing w:before="312" w:beforeLines="100" w:line="360" w:lineRule="auto"/>
        <w:jc w:val="center"/>
        <w:rPr>
          <w:rFonts w:hint="eastAsia" w:ascii="宋体" w:hAnsi="宋体" w:eastAsia="宋体" w:cs="宋体"/>
          <w:b/>
          <w:bCs/>
          <w:sz w:val="32"/>
          <w:szCs w:val="32"/>
          <w:highlight w:val="none"/>
        </w:rPr>
      </w:pPr>
    </w:p>
    <w:p w14:paraId="202B9879">
      <w:pPr>
        <w:spacing w:before="312" w:beforeLines="100"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第一部分  协议书</w:t>
      </w:r>
    </w:p>
    <w:p w14:paraId="6F3A7A0C">
      <w:pPr>
        <w:adjustRightInd w:val="0"/>
        <w:snapToGrid w:val="0"/>
        <w:spacing w:line="360" w:lineRule="auto"/>
        <w:ind w:firstLine="326" w:firstLineChars="250"/>
        <w:rPr>
          <w:rFonts w:hint="eastAsia" w:ascii="宋体" w:hAnsi="宋体" w:eastAsia="宋体" w:cs="宋体"/>
          <w:b/>
          <w:bCs/>
          <w:sz w:val="13"/>
          <w:szCs w:val="13"/>
          <w:highlight w:val="none"/>
        </w:rPr>
      </w:pPr>
    </w:p>
    <w:p w14:paraId="55900B67">
      <w:pPr>
        <w:adjustRightInd w:val="0"/>
        <w:snapToGrid w:val="0"/>
        <w:spacing w:line="360" w:lineRule="auto"/>
        <w:ind w:firstLine="422" w:firstLineChars="200"/>
        <w:rPr>
          <w:rFonts w:hint="eastAsia" w:ascii="宋体" w:hAnsi="宋体" w:eastAsia="宋体" w:cs="宋体"/>
          <w:b/>
          <w:bCs/>
          <w:sz w:val="21"/>
          <w:szCs w:val="21"/>
          <w:highlight w:val="none"/>
          <w:u w:val="single"/>
          <w:lang w:val="en-US" w:eastAsia="zh-CN"/>
        </w:rPr>
      </w:pPr>
      <w:r>
        <w:rPr>
          <w:rFonts w:hint="eastAsia" w:ascii="宋体" w:hAnsi="宋体" w:eastAsia="宋体" w:cs="宋体"/>
          <w:b/>
          <w:bCs/>
          <w:sz w:val="21"/>
          <w:szCs w:val="21"/>
          <w:highlight w:val="none"/>
        </w:rPr>
        <w:t>委托人（全称）：</w:t>
      </w:r>
      <w:r>
        <w:rPr>
          <w:rFonts w:hint="eastAsia" w:ascii="宋体" w:hAnsi="宋体" w:eastAsia="宋体" w:cs="宋体"/>
          <w:b/>
          <w:bCs/>
          <w:sz w:val="21"/>
          <w:szCs w:val="21"/>
          <w:highlight w:val="none"/>
          <w:u w:val="single"/>
          <w:lang w:val="en-US" w:eastAsia="zh-CN"/>
        </w:rPr>
        <w:t xml:space="preserve">                           </w:t>
      </w:r>
    </w:p>
    <w:p w14:paraId="795E9C9C">
      <w:pPr>
        <w:adjustRightInd w:val="0"/>
        <w:snapToGrid w:val="0"/>
        <w:spacing w:line="360" w:lineRule="auto"/>
        <w:ind w:firstLine="422" w:firstLineChars="200"/>
        <w:rPr>
          <w:rFonts w:hint="eastAsia" w:ascii="宋体" w:hAnsi="宋体" w:eastAsia="宋体" w:cs="宋体"/>
          <w:sz w:val="21"/>
          <w:szCs w:val="21"/>
          <w:highlight w:val="none"/>
          <w:u w:val="single"/>
          <w:lang w:val="en-US" w:eastAsia="zh-CN"/>
        </w:rPr>
      </w:pPr>
      <w:r>
        <w:rPr>
          <w:rFonts w:hint="eastAsia" w:ascii="宋体" w:hAnsi="宋体" w:eastAsia="宋体" w:cs="宋体"/>
          <w:b/>
          <w:bCs/>
          <w:sz w:val="21"/>
          <w:szCs w:val="21"/>
          <w:highlight w:val="none"/>
        </w:rPr>
        <w:t>监理人（全称）：</w:t>
      </w:r>
      <w:r>
        <w:rPr>
          <w:rFonts w:hint="eastAsia" w:ascii="宋体" w:hAnsi="宋体" w:eastAsia="宋体" w:cs="宋体"/>
          <w:b/>
          <w:bCs/>
          <w:sz w:val="21"/>
          <w:szCs w:val="21"/>
          <w:highlight w:val="none"/>
          <w:u w:val="single"/>
          <w:lang w:val="en-US" w:eastAsia="zh-CN"/>
        </w:rPr>
        <w:t xml:space="preserve">                           </w:t>
      </w:r>
    </w:p>
    <w:p w14:paraId="62681746">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根据《中华人民共和国</w:t>
      </w:r>
      <w:r>
        <w:rPr>
          <w:rFonts w:hint="eastAsia" w:ascii="宋体" w:hAnsi="宋体" w:eastAsia="宋体" w:cs="宋体"/>
          <w:sz w:val="21"/>
          <w:szCs w:val="21"/>
          <w:highlight w:val="none"/>
          <w:lang w:val="en-US" w:eastAsia="zh-CN"/>
        </w:rPr>
        <w:t>民法典</w:t>
      </w:r>
      <w:r>
        <w:rPr>
          <w:rFonts w:hint="eastAsia" w:ascii="宋体" w:hAnsi="宋体" w:eastAsia="宋体" w:cs="宋体"/>
          <w:sz w:val="21"/>
          <w:szCs w:val="21"/>
          <w:highlight w:val="none"/>
        </w:rPr>
        <w:t>》、《中华人民共和国建筑法》及其他有关法律、法规，遵循平等、自愿、公平和诚信的原则，双方就下述工程委托监理与相关服务事项协商一致，订立本合同。</w:t>
      </w:r>
    </w:p>
    <w:p w14:paraId="0F29F51F">
      <w:pPr>
        <w:adjustRightInd w:val="0"/>
        <w:snapToGrid w:val="0"/>
        <w:spacing w:line="360" w:lineRule="auto"/>
        <w:ind w:firstLine="420" w:firstLineChars="200"/>
        <w:rPr>
          <w:rFonts w:hint="eastAsia" w:ascii="宋体" w:hAnsi="宋体" w:eastAsia="宋体" w:cs="宋体"/>
          <w:sz w:val="21"/>
          <w:szCs w:val="21"/>
          <w:highlight w:val="none"/>
        </w:rPr>
      </w:pPr>
      <w:bookmarkStart w:id="741" w:name="_Toc456102378"/>
      <w:bookmarkEnd w:id="741"/>
      <w:bookmarkStart w:id="742" w:name="_Toc32235"/>
      <w:r>
        <w:rPr>
          <w:rFonts w:hint="eastAsia" w:ascii="宋体" w:hAnsi="宋体" w:eastAsia="宋体" w:cs="宋体"/>
          <w:sz w:val="21"/>
          <w:szCs w:val="21"/>
          <w:highlight w:val="none"/>
        </w:rPr>
        <w:t>一、工程概况</w:t>
      </w:r>
      <w:bookmarkEnd w:id="742"/>
    </w:p>
    <w:p w14:paraId="2878615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工程名称：</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5E1DEBE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工程地点：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46AF086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工程规模：</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0BC4E73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工程概算投资额或建筑安装工程费：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万元 。 </w:t>
      </w:r>
    </w:p>
    <w:p w14:paraId="2EC24FE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二、词语限定</w:t>
      </w:r>
    </w:p>
    <w:p w14:paraId="7A18A0A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协议书中相关词语的含义与通用条件中的定义与解释相同。</w:t>
      </w:r>
    </w:p>
    <w:p w14:paraId="3F2BBE30">
      <w:pPr>
        <w:adjustRightInd w:val="0"/>
        <w:snapToGrid w:val="0"/>
        <w:spacing w:line="360" w:lineRule="auto"/>
        <w:ind w:firstLine="420" w:firstLineChars="200"/>
        <w:rPr>
          <w:rFonts w:hint="eastAsia" w:ascii="宋体" w:hAnsi="宋体" w:eastAsia="宋体" w:cs="宋体"/>
          <w:sz w:val="21"/>
          <w:szCs w:val="21"/>
          <w:highlight w:val="none"/>
        </w:rPr>
      </w:pPr>
      <w:bookmarkStart w:id="743" w:name="_Toc456102379"/>
      <w:bookmarkEnd w:id="743"/>
      <w:bookmarkStart w:id="744" w:name="_Toc2701"/>
      <w:r>
        <w:rPr>
          <w:rFonts w:hint="eastAsia" w:ascii="宋体" w:hAnsi="宋体" w:eastAsia="宋体" w:cs="宋体"/>
          <w:sz w:val="21"/>
          <w:szCs w:val="21"/>
          <w:highlight w:val="none"/>
        </w:rPr>
        <w:t>三、组成本合同的文件</w:t>
      </w:r>
      <w:bookmarkEnd w:id="744"/>
    </w:p>
    <w:p w14:paraId="74C21C6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协议书；</w:t>
      </w:r>
    </w:p>
    <w:p w14:paraId="41B4F73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中标通知书；</w:t>
      </w:r>
    </w:p>
    <w:p w14:paraId="77A54DF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投标文件；</w:t>
      </w:r>
    </w:p>
    <w:p w14:paraId="24123C1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专用条件；</w:t>
      </w:r>
    </w:p>
    <w:p w14:paraId="67349A4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通用条件；</w:t>
      </w:r>
    </w:p>
    <w:p w14:paraId="2692A23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 附录，即：</w:t>
      </w:r>
    </w:p>
    <w:p w14:paraId="2FF6E66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附录A  相关服务的范围和内容</w:t>
      </w:r>
    </w:p>
    <w:p w14:paraId="64672B7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附录B  委托人派遣的人员和提供的房屋、资料、设备</w:t>
      </w:r>
    </w:p>
    <w:p w14:paraId="227CEF4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本合同签订后，双方依法签订的补充协议也是本合同文件的组成部分。</w:t>
      </w:r>
    </w:p>
    <w:p w14:paraId="3D1F4140">
      <w:pPr>
        <w:adjustRightInd w:val="0"/>
        <w:snapToGrid w:val="0"/>
        <w:spacing w:line="360" w:lineRule="auto"/>
        <w:ind w:firstLine="420" w:firstLineChars="200"/>
        <w:rPr>
          <w:rFonts w:hint="eastAsia" w:ascii="宋体" w:hAnsi="宋体" w:eastAsia="宋体" w:cs="宋体"/>
          <w:sz w:val="21"/>
          <w:szCs w:val="21"/>
          <w:highlight w:val="none"/>
        </w:rPr>
      </w:pPr>
      <w:bookmarkStart w:id="745" w:name="_Toc456102380"/>
      <w:bookmarkEnd w:id="745"/>
      <w:bookmarkStart w:id="746" w:name="_Toc19449"/>
      <w:r>
        <w:rPr>
          <w:rFonts w:hint="eastAsia" w:ascii="宋体" w:hAnsi="宋体" w:eastAsia="宋体" w:cs="宋体"/>
          <w:sz w:val="21"/>
          <w:szCs w:val="21"/>
          <w:highlight w:val="none"/>
        </w:rPr>
        <w:t>四、总监理工程师</w:t>
      </w:r>
      <w:bookmarkEnd w:id="746"/>
    </w:p>
    <w:p w14:paraId="5A67611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总监理工程师姓名：</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，注册号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529D6C5B">
      <w:pPr>
        <w:adjustRightInd w:val="0"/>
        <w:snapToGrid w:val="0"/>
        <w:spacing w:line="360" w:lineRule="auto"/>
        <w:ind w:firstLine="420" w:firstLineChars="200"/>
        <w:rPr>
          <w:rFonts w:hint="eastAsia" w:ascii="宋体" w:hAnsi="宋体" w:eastAsia="宋体" w:cs="宋体"/>
          <w:sz w:val="21"/>
          <w:szCs w:val="21"/>
          <w:highlight w:val="none"/>
        </w:rPr>
      </w:pPr>
      <w:bookmarkStart w:id="747" w:name="_Toc456102381"/>
      <w:bookmarkEnd w:id="747"/>
      <w:bookmarkStart w:id="748" w:name="_Toc21994"/>
      <w:r>
        <w:rPr>
          <w:rFonts w:hint="eastAsia" w:ascii="宋体" w:hAnsi="宋体" w:eastAsia="宋体" w:cs="宋体"/>
          <w:sz w:val="21"/>
          <w:szCs w:val="21"/>
          <w:highlight w:val="none"/>
        </w:rPr>
        <w:t>五、签约酬金</w:t>
      </w:r>
      <w:bookmarkEnd w:id="748"/>
    </w:p>
    <w:p w14:paraId="081F9B2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签约酬金</w:t>
      </w:r>
    </w:p>
    <w:p w14:paraId="38C4906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按监理范围内全部</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（大写百分之</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C79D88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该费率为固定费率，固定费率中包括的风险范围为：投标人未考虑到或漏算的项目，合同执行期间人员费用、设备价格的变动；委托人提供的资料与现场实际情况不符；因各种原因施工工期延长；其他风险因素。</w:t>
      </w:r>
    </w:p>
    <w:p w14:paraId="5D2D969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包括：</w:t>
      </w:r>
    </w:p>
    <w:p w14:paraId="233260C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监理酬金：</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07E02BF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相关服务酬金：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59C0F43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p w14:paraId="0FC677A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（1）勘察阶段服务酬金：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02D0972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（2）设计阶段服务酬金：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0BE4BAA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（3）保修阶段服务酬金：</w:t>
      </w:r>
      <w:r>
        <w:rPr>
          <w:rFonts w:hint="eastAsia" w:ascii="宋体" w:hAnsi="宋体" w:eastAsia="宋体" w:cs="宋体"/>
          <w:sz w:val="21"/>
          <w:szCs w:val="21"/>
          <w:highlight w:val="none"/>
          <w:u w:val="single"/>
        </w:rPr>
        <w:t xml:space="preserve">          已包括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530E8B6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（4）其他相关服务酬金：</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B68104D">
      <w:pPr>
        <w:adjustRightInd w:val="0"/>
        <w:snapToGrid w:val="0"/>
        <w:spacing w:line="360" w:lineRule="auto"/>
        <w:ind w:firstLine="420" w:firstLineChars="200"/>
        <w:rPr>
          <w:rFonts w:hint="eastAsia" w:ascii="宋体" w:hAnsi="宋体" w:eastAsia="宋体" w:cs="宋体"/>
          <w:sz w:val="21"/>
          <w:szCs w:val="21"/>
          <w:highlight w:val="none"/>
        </w:rPr>
      </w:pPr>
      <w:bookmarkStart w:id="749" w:name="_Toc456102382"/>
      <w:bookmarkEnd w:id="749"/>
      <w:bookmarkStart w:id="750" w:name="_Toc230"/>
      <w:r>
        <w:rPr>
          <w:rFonts w:hint="eastAsia" w:ascii="宋体" w:hAnsi="宋体" w:eastAsia="宋体" w:cs="宋体"/>
          <w:sz w:val="21"/>
          <w:szCs w:val="21"/>
          <w:highlight w:val="none"/>
        </w:rPr>
        <w:t>六、期限</w:t>
      </w:r>
      <w:bookmarkEnd w:id="750"/>
    </w:p>
    <w:p w14:paraId="691B1FC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监理期限：</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2356070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相关服务期限：</w:t>
      </w:r>
    </w:p>
    <w:p w14:paraId="10B5E94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（1）勘察阶段服务期限自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49230E6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（2）设计阶段服务期限自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22A7CA1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（3）保修阶段服务期限自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4858984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（4）其他相关服务期限自</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日始，至</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 月 日止。</w:t>
      </w:r>
    </w:p>
    <w:p w14:paraId="11F299E6">
      <w:pPr>
        <w:adjustRightInd w:val="0"/>
        <w:snapToGrid w:val="0"/>
        <w:spacing w:line="360" w:lineRule="auto"/>
        <w:ind w:firstLine="420" w:firstLineChars="200"/>
        <w:rPr>
          <w:rFonts w:hint="eastAsia" w:ascii="宋体" w:hAnsi="宋体" w:eastAsia="宋体" w:cs="宋体"/>
          <w:sz w:val="21"/>
          <w:szCs w:val="21"/>
          <w:highlight w:val="none"/>
        </w:rPr>
      </w:pPr>
      <w:bookmarkStart w:id="751" w:name="_Toc456102383"/>
      <w:bookmarkEnd w:id="751"/>
      <w:bookmarkStart w:id="752" w:name="_Toc19257"/>
      <w:r>
        <w:rPr>
          <w:rFonts w:hint="eastAsia" w:ascii="宋体" w:hAnsi="宋体" w:eastAsia="宋体" w:cs="宋体"/>
          <w:sz w:val="21"/>
          <w:szCs w:val="21"/>
          <w:highlight w:val="none"/>
        </w:rPr>
        <w:t>七、双方承诺</w:t>
      </w:r>
      <w:bookmarkEnd w:id="752"/>
    </w:p>
    <w:p w14:paraId="441B3BD0">
      <w:pPr>
        <w:adjustRightInd w:val="0"/>
        <w:snapToGrid w:val="0"/>
        <w:spacing w:line="360" w:lineRule="auto"/>
        <w:ind w:firstLine="420" w:firstLineChars="200"/>
        <w:rPr>
          <w:rFonts w:hint="eastAsia" w:ascii="宋体" w:hAnsi="宋体" w:eastAsia="宋体" w:cs="宋体"/>
          <w:sz w:val="21"/>
          <w:szCs w:val="21"/>
          <w:highlight w:val="none"/>
        </w:rPr>
      </w:pPr>
      <w:bookmarkStart w:id="753" w:name="_Toc456102384"/>
      <w:bookmarkEnd w:id="753"/>
      <w:bookmarkStart w:id="754" w:name="_Toc22874"/>
      <w:r>
        <w:rPr>
          <w:rFonts w:hint="eastAsia" w:ascii="宋体" w:hAnsi="宋体" w:eastAsia="宋体" w:cs="宋体"/>
          <w:sz w:val="21"/>
          <w:szCs w:val="21"/>
          <w:highlight w:val="none"/>
        </w:rPr>
        <w:t>1. 监理人向委托人承诺，按照本合同约定提供监理与相关服务。</w:t>
      </w:r>
      <w:bookmarkEnd w:id="754"/>
    </w:p>
    <w:p w14:paraId="545068F4">
      <w:pPr>
        <w:adjustRightInd w:val="0"/>
        <w:snapToGrid w:val="0"/>
        <w:spacing w:line="360" w:lineRule="auto"/>
        <w:ind w:firstLine="420" w:firstLineChars="200"/>
        <w:rPr>
          <w:rFonts w:hint="eastAsia" w:ascii="宋体" w:hAnsi="宋体" w:eastAsia="宋体" w:cs="宋体"/>
          <w:sz w:val="21"/>
          <w:szCs w:val="21"/>
          <w:highlight w:val="none"/>
        </w:rPr>
      </w:pPr>
      <w:bookmarkStart w:id="755" w:name="_Toc456102385"/>
      <w:bookmarkEnd w:id="755"/>
      <w:bookmarkStart w:id="756" w:name="_Toc15064"/>
      <w:r>
        <w:rPr>
          <w:rFonts w:hint="eastAsia" w:ascii="宋体" w:hAnsi="宋体" w:eastAsia="宋体" w:cs="宋体"/>
          <w:sz w:val="21"/>
          <w:szCs w:val="21"/>
          <w:highlight w:val="none"/>
        </w:rPr>
        <w:t>2. 委托人向监理人承诺，按照本合同约定派遣相应的人员，提供房屋、资料、设备，并按本合同约定支付酬金。</w:t>
      </w:r>
      <w:bookmarkEnd w:id="756"/>
    </w:p>
    <w:p w14:paraId="7D311B05">
      <w:pPr>
        <w:adjustRightInd w:val="0"/>
        <w:snapToGrid w:val="0"/>
        <w:spacing w:line="360" w:lineRule="auto"/>
        <w:ind w:firstLine="420" w:firstLineChars="200"/>
        <w:rPr>
          <w:rFonts w:hint="eastAsia" w:ascii="宋体" w:hAnsi="宋体" w:eastAsia="宋体" w:cs="宋体"/>
          <w:sz w:val="21"/>
          <w:szCs w:val="21"/>
          <w:highlight w:val="none"/>
        </w:rPr>
      </w:pPr>
      <w:bookmarkStart w:id="757" w:name="_Toc456102386"/>
      <w:bookmarkEnd w:id="757"/>
      <w:bookmarkStart w:id="758" w:name="_Toc14641"/>
      <w:r>
        <w:rPr>
          <w:rFonts w:hint="eastAsia" w:ascii="宋体" w:hAnsi="宋体" w:eastAsia="宋体" w:cs="宋体"/>
          <w:sz w:val="21"/>
          <w:szCs w:val="21"/>
          <w:highlight w:val="none"/>
        </w:rPr>
        <w:t>八、合同订立</w:t>
      </w:r>
      <w:bookmarkEnd w:id="758"/>
    </w:p>
    <w:p w14:paraId="3591A7F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订立时间：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日</w:t>
      </w:r>
      <w:r>
        <w:rPr>
          <w:rFonts w:hint="eastAsia" w:ascii="宋体" w:hAnsi="宋体" w:eastAsia="宋体" w:cs="宋体"/>
          <w:sz w:val="21"/>
          <w:szCs w:val="21"/>
          <w:highlight w:val="none"/>
        </w:rPr>
        <w:t>。</w:t>
      </w:r>
    </w:p>
    <w:p w14:paraId="3B8B95E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订立地点：。</w:t>
      </w:r>
    </w:p>
    <w:p w14:paraId="3147D02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本合同一式份，具有同等法律效力，双方各执份。</w:t>
      </w:r>
    </w:p>
    <w:p w14:paraId="663F6547">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委托人：</w:t>
      </w:r>
      <w:r>
        <w:rPr>
          <w:rFonts w:hint="eastAsia" w:ascii="宋体" w:hAnsi="宋体" w:eastAsia="宋体" w:cs="宋体"/>
          <w:sz w:val="21"/>
          <w:szCs w:val="21"/>
          <w:highlight w:val="none"/>
          <w:u w:val="single"/>
        </w:rPr>
        <w:t xml:space="preserve">   （盖章）     </w:t>
      </w:r>
      <w:r>
        <w:rPr>
          <w:rFonts w:hint="eastAsia" w:ascii="宋体" w:hAnsi="宋体" w:eastAsia="宋体" w:cs="宋体"/>
          <w:sz w:val="21"/>
          <w:szCs w:val="21"/>
          <w:highlight w:val="none"/>
        </w:rPr>
        <w:t xml:space="preserve">            监理人：</w:t>
      </w:r>
      <w:r>
        <w:rPr>
          <w:rFonts w:hint="eastAsia" w:ascii="宋体" w:hAnsi="宋体" w:eastAsia="宋体" w:cs="宋体"/>
          <w:sz w:val="21"/>
          <w:szCs w:val="21"/>
          <w:highlight w:val="none"/>
          <w:u w:val="single"/>
        </w:rPr>
        <w:t xml:space="preserve">   （盖章）    </w:t>
      </w:r>
    </w:p>
    <w:p w14:paraId="31BFAA82">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住所：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住所： </w:t>
      </w:r>
    </w:p>
    <w:p w14:paraId="11828AD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邮政编码：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邮政编码：</w:t>
      </w:r>
    </w:p>
    <w:p w14:paraId="572D06B2">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法定代表人或其授权                  法定代表人或其授权</w:t>
      </w:r>
    </w:p>
    <w:p w14:paraId="7F048AE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的代理人：</w:t>
      </w:r>
      <w:r>
        <w:rPr>
          <w:rFonts w:hint="eastAsia" w:ascii="宋体" w:hAnsi="宋体" w:eastAsia="宋体" w:cs="宋体"/>
          <w:sz w:val="21"/>
          <w:szCs w:val="21"/>
          <w:highlight w:val="none"/>
          <w:u w:val="single"/>
        </w:rPr>
        <w:t xml:space="preserve">（签字）       </w:t>
      </w:r>
      <w:r>
        <w:rPr>
          <w:rFonts w:hint="eastAsia" w:ascii="宋体" w:hAnsi="宋体" w:eastAsia="宋体" w:cs="宋体"/>
          <w:sz w:val="21"/>
          <w:szCs w:val="21"/>
          <w:highlight w:val="none"/>
        </w:rPr>
        <w:t xml:space="preserve">           的代理人：</w:t>
      </w:r>
      <w:r>
        <w:rPr>
          <w:rFonts w:hint="eastAsia" w:ascii="宋体" w:hAnsi="宋体" w:eastAsia="宋体" w:cs="宋体"/>
          <w:sz w:val="21"/>
          <w:szCs w:val="21"/>
          <w:highlight w:val="none"/>
          <w:u w:val="single"/>
        </w:rPr>
        <w:t xml:space="preserve">（签字）          </w:t>
      </w:r>
    </w:p>
    <w:p w14:paraId="7706ED1A">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开户银行：                          开户银行：</w:t>
      </w:r>
    </w:p>
    <w:p w14:paraId="1FA59C1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账号：                              账号：</w:t>
      </w:r>
    </w:p>
    <w:p w14:paraId="618B97C5">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电话：                              电话：</w:t>
      </w:r>
    </w:p>
    <w:p w14:paraId="2AC6D430">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传真：                              传真：</w:t>
      </w:r>
    </w:p>
    <w:p w14:paraId="78FB6CB0">
      <w:pPr>
        <w:adjustRightInd w:val="0"/>
        <w:snapToGrid w:val="0"/>
        <w:spacing w:line="360" w:lineRule="auto"/>
        <w:ind w:firstLine="415" w:firstLineChars="198"/>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电子邮箱：                          电子邮箱：</w:t>
      </w:r>
    </w:p>
    <w:p w14:paraId="3693CCC5">
      <w:pPr>
        <w:spacing w:before="312" w:beforeLines="100" w:line="360" w:lineRule="auto"/>
        <w:jc w:val="center"/>
        <w:rPr>
          <w:rFonts w:hint="eastAsia" w:ascii="宋体" w:hAnsi="宋体" w:eastAsia="宋体" w:cs="宋体"/>
          <w:b/>
          <w:bCs/>
          <w:sz w:val="32"/>
          <w:szCs w:val="32"/>
          <w:highlight w:val="none"/>
        </w:rPr>
      </w:pPr>
    </w:p>
    <w:p w14:paraId="72CD55A3">
      <w:pPr>
        <w:spacing w:before="312" w:beforeLines="100" w:line="360" w:lineRule="auto"/>
        <w:jc w:val="center"/>
        <w:rPr>
          <w:rFonts w:hint="eastAsia" w:ascii="宋体" w:hAnsi="宋体" w:eastAsia="宋体" w:cs="宋体"/>
          <w:b/>
          <w:bCs/>
          <w:sz w:val="32"/>
          <w:szCs w:val="32"/>
          <w:highlight w:val="none"/>
        </w:rPr>
      </w:pPr>
    </w:p>
    <w:p w14:paraId="766281A7">
      <w:pPr>
        <w:rPr>
          <w:rFonts w:hint="eastAsia"/>
        </w:rPr>
      </w:pPr>
    </w:p>
    <w:p w14:paraId="7C76C5D6">
      <w:pPr>
        <w:spacing w:before="312" w:beforeLines="100" w:line="360" w:lineRule="auto"/>
        <w:jc w:val="center"/>
        <w:rPr>
          <w:rFonts w:hint="eastAsia" w:ascii="宋体" w:hAnsi="宋体" w:eastAsia="宋体" w:cs="宋体"/>
          <w:b/>
          <w:bCs/>
          <w:sz w:val="24"/>
          <w:szCs w:val="24"/>
          <w:highlight w:val="none"/>
        </w:rPr>
      </w:pPr>
      <w:r>
        <w:rPr>
          <w:rFonts w:hint="eastAsia" w:ascii="宋体" w:hAnsi="宋体" w:eastAsia="宋体" w:cs="宋体"/>
          <w:b/>
          <w:bCs/>
          <w:sz w:val="32"/>
          <w:szCs w:val="32"/>
          <w:highlight w:val="none"/>
        </w:rPr>
        <w:t>第二部分  通用条件</w:t>
      </w:r>
    </w:p>
    <w:p w14:paraId="70EDCB54">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 定义与解释</w:t>
      </w:r>
    </w:p>
    <w:p w14:paraId="4FC4B8AA">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1.1 定义</w:t>
      </w:r>
    </w:p>
    <w:p w14:paraId="35BF8ED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除根据上下文另有其意义外，组成本合同的全部文件中的下列名词和用语应具有本款所赋予的含义：</w:t>
      </w:r>
    </w:p>
    <w:p w14:paraId="49F3647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 “工程”是指按照本合同约定实施监理与相关服务的建设工程。</w:t>
      </w:r>
    </w:p>
    <w:p w14:paraId="4611F6A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1.1.2 “委托人”是指本合同中委托监理与相关服务的一方，及其合法的继承人或受让人。</w:t>
      </w:r>
    </w:p>
    <w:p w14:paraId="106C3B5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1.1.3 “监理人”是指本合同中提供监理与相关服务的一方，及其合法的继承人。</w:t>
      </w:r>
    </w:p>
    <w:p w14:paraId="7257106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1.1.4 “承包人”是指在工程范围内与委托人签订勘察、设计、施工等有关合同的当事人，及其合法的继承人。</w:t>
      </w:r>
    </w:p>
    <w:p w14:paraId="6D991660">
      <w:pPr>
        <w:pStyle w:val="13"/>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2711851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1.1.6 “相关服务”是指监理人受委托人的委托 ，按照本合同约定，在勘察、设计、保修等阶段提供的服务活动。</w:t>
      </w:r>
    </w:p>
    <w:p w14:paraId="3FF4660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1.1.7 “正常工作”指本合同订立时通用条件和专用条件中约定的监理人的工作。</w:t>
      </w:r>
    </w:p>
    <w:p w14:paraId="5B0E2A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1.1.8 “附加工作”是指本合同约定的正常工作以外监理人的工作。</w:t>
      </w:r>
    </w:p>
    <w:p w14:paraId="324B43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1.1.9 “项目监理机构”是指监理人派驻工程负责履行本合同的组织机构。</w:t>
      </w:r>
    </w:p>
    <w:p w14:paraId="3E75CF5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1.1.10 “总监理工程师”是指由监理人的法定代表人书面授权，全面负责履行本合同、主持项目监理机构工作的注册监理工程师。</w:t>
      </w:r>
    </w:p>
    <w:p w14:paraId="5C71A2BF">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1.1.11 “酬金”是指监理人履行本合同义务，委托人按照本合同约定给付监理人的金额。</w:t>
      </w:r>
    </w:p>
    <w:p w14:paraId="16D264E3">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1.1.12 “正常工作</w:t>
      </w:r>
      <w:r>
        <w:rPr>
          <w:rFonts w:hint="eastAsia" w:ascii="宋体" w:hAnsi="宋体" w:eastAsia="宋体" w:cs="宋体"/>
          <w:kern w:val="0"/>
          <w:sz w:val="21"/>
          <w:szCs w:val="21"/>
          <w:highlight w:val="none"/>
        </w:rPr>
        <w:t>酬金”</w:t>
      </w:r>
      <w:r>
        <w:rPr>
          <w:rFonts w:hint="eastAsia" w:ascii="宋体" w:hAnsi="宋体" w:eastAsia="宋体" w:cs="宋体"/>
          <w:sz w:val="21"/>
          <w:szCs w:val="21"/>
          <w:highlight w:val="none"/>
        </w:rPr>
        <w:t>是指监理人完成正常工作，委托人应给付监理人并在协议书中载明的签约</w:t>
      </w:r>
      <w:r>
        <w:rPr>
          <w:rFonts w:hint="eastAsia" w:ascii="宋体" w:hAnsi="宋体" w:eastAsia="宋体" w:cs="宋体"/>
          <w:kern w:val="0"/>
          <w:sz w:val="21"/>
          <w:szCs w:val="21"/>
          <w:highlight w:val="none"/>
        </w:rPr>
        <w:t>酬金额</w:t>
      </w:r>
      <w:r>
        <w:rPr>
          <w:rFonts w:hint="eastAsia" w:ascii="宋体" w:hAnsi="宋体" w:eastAsia="宋体" w:cs="宋体"/>
          <w:sz w:val="21"/>
          <w:szCs w:val="21"/>
          <w:highlight w:val="none"/>
        </w:rPr>
        <w:t>。</w:t>
      </w:r>
    </w:p>
    <w:p w14:paraId="7A32D095">
      <w:pPr>
        <w:adjustRightInd w:val="0"/>
        <w:snapToGrid w:val="0"/>
        <w:spacing w:line="360" w:lineRule="auto"/>
        <w:ind w:firstLine="415" w:firstLineChars="198"/>
        <w:rPr>
          <w:rFonts w:hint="eastAsia" w:ascii="宋体" w:hAnsi="宋体" w:eastAsia="宋体" w:cs="宋体"/>
          <w:sz w:val="21"/>
          <w:szCs w:val="21"/>
          <w:highlight w:val="none"/>
        </w:rPr>
      </w:pPr>
      <w:r>
        <w:rPr>
          <w:rFonts w:hint="eastAsia" w:ascii="宋体" w:hAnsi="宋体" w:eastAsia="宋体" w:cs="宋体"/>
          <w:sz w:val="21"/>
          <w:szCs w:val="21"/>
          <w:highlight w:val="none"/>
        </w:rPr>
        <w:t>1.1.13 “附加工作酬金”是指监理人完成附加工作，委托人应给付监理人的金额。</w:t>
      </w:r>
    </w:p>
    <w:p w14:paraId="34570CE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1.1.14 “一方”是指委托人或监理人；“双方”是指委托人和监理人；“第三方”是指除委托人和监理人以外的有关方。</w:t>
      </w:r>
    </w:p>
    <w:p w14:paraId="61C549E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1.1.15 “书面形式”是指合同书、信件和数据电文（包括电报、电传、传真、电子数据交换和电子邮件）等可以有形地表现所载内容的形式。</w:t>
      </w:r>
    </w:p>
    <w:p w14:paraId="018FF38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1.1.16 “天”是指第一天零时至第二天零时的时间。</w:t>
      </w:r>
    </w:p>
    <w:p w14:paraId="672CACE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1.1.17“月”是指按公历从一个月中任何一天开始的一个公历月时间。</w:t>
      </w:r>
    </w:p>
    <w:p w14:paraId="24EA863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1.1.18 “不可抗力”是指委托人和监理人在订立本合同时不可预见，在工程施工过程中不可避免发生并不能克服的自然灾害和社会性突发事件，如地震、海啸、瘟疫、水灾、骚乱、暴动、战争和专用条件约定的其他情形。</w:t>
      </w:r>
    </w:p>
    <w:p w14:paraId="4A884404">
      <w:pPr>
        <w:adjustRightInd w:val="0"/>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1.2 解释</w:t>
      </w:r>
    </w:p>
    <w:p w14:paraId="0B9CF03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1.2.1本合同使用中文书写、解释和说明。如专用条件约定使用两种及以上语言文字时，应以中文为准。</w:t>
      </w:r>
    </w:p>
    <w:p w14:paraId="3013DF8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1.2.2 组成本合同的下列文件彼此应能相互解释、互为说明。除专用条件另有约定外，本合同文件的解释顺序如下：</w:t>
      </w:r>
    </w:p>
    <w:p w14:paraId="37B0E8F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（1）协议书；</w:t>
      </w:r>
    </w:p>
    <w:p w14:paraId="29EE4A7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（2）中标通知书（适用于招标工程）或委托书（适用于非招标工程）；</w:t>
      </w:r>
    </w:p>
    <w:p w14:paraId="4EB6CCB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（3）专用条件及附录A、附录B；</w:t>
      </w:r>
    </w:p>
    <w:p w14:paraId="166D8B7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（4）通用条件；</w:t>
      </w:r>
    </w:p>
    <w:p w14:paraId="5F338D0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（5）投标文件（适用于招标工程）或监理与相关服务建议书（适用于非招标工程）。</w:t>
      </w:r>
    </w:p>
    <w:p w14:paraId="2475479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双方签订的补充协议与其他文件发生矛盾或歧义时，属于同一类内容的文件，应以最新签署的为准。</w:t>
      </w:r>
    </w:p>
    <w:p w14:paraId="22F8B2B0">
      <w:pPr>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 监理人的义务</w:t>
      </w:r>
    </w:p>
    <w:p w14:paraId="177C1BAB">
      <w:pPr>
        <w:adjustRightInd w:val="0"/>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2.1 监理的范围和工作内容</w:t>
      </w:r>
    </w:p>
    <w:p w14:paraId="27278CAA">
      <w:pPr>
        <w:adjustRightInd w:val="0"/>
        <w:snapToGrid w:val="0"/>
        <w:spacing w:line="360" w:lineRule="auto"/>
        <w:ind w:left="420" w:leftChars="200"/>
        <w:rPr>
          <w:rFonts w:hint="eastAsia" w:ascii="宋体" w:hAnsi="宋体" w:eastAsia="宋体" w:cs="宋体"/>
          <w:sz w:val="21"/>
          <w:szCs w:val="21"/>
          <w:highlight w:val="none"/>
        </w:rPr>
      </w:pPr>
      <w:r>
        <w:rPr>
          <w:rFonts w:hint="eastAsia" w:ascii="宋体" w:hAnsi="宋体" w:eastAsia="宋体" w:cs="宋体"/>
          <w:sz w:val="21"/>
          <w:szCs w:val="21"/>
          <w:highlight w:val="none"/>
        </w:rPr>
        <w:t>2.1.1 监理范围在专用条件中约定。</w:t>
      </w:r>
    </w:p>
    <w:p w14:paraId="2F5A2E33">
      <w:pPr>
        <w:adjustRightInd w:val="0"/>
        <w:snapToGrid w:val="0"/>
        <w:spacing w:line="360" w:lineRule="auto"/>
        <w:ind w:left="420" w:leftChars="200"/>
        <w:rPr>
          <w:rFonts w:hint="eastAsia" w:ascii="宋体" w:hAnsi="宋体" w:eastAsia="宋体" w:cs="宋体"/>
          <w:sz w:val="21"/>
          <w:szCs w:val="21"/>
          <w:highlight w:val="none"/>
        </w:rPr>
      </w:pPr>
      <w:r>
        <w:rPr>
          <w:rFonts w:hint="eastAsia" w:ascii="宋体" w:hAnsi="宋体" w:eastAsia="宋体" w:cs="宋体"/>
          <w:sz w:val="21"/>
          <w:szCs w:val="21"/>
          <w:highlight w:val="none"/>
        </w:rPr>
        <w:t>2.1.2 除专用条件另有约定外，监理工作内容包括：</w:t>
      </w:r>
    </w:p>
    <w:p w14:paraId="3E6D7F0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（1）收到工程设计文件后编制监理规划，并在第一次工地会议7天前报委托人。根据有关规定和监理工作需要，编制监理实施细则；</w:t>
      </w:r>
    </w:p>
    <w:p w14:paraId="1FE774F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（2）熟悉工程设计文件，并参加由委托人主持的图纸会审和设计交底会议；</w:t>
      </w:r>
    </w:p>
    <w:p w14:paraId="1252EFA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（3）参加由委托人主持的第一次工地会议；主持监理例会并根据工程需要主持或参加专题会议；</w:t>
      </w:r>
    </w:p>
    <w:p w14:paraId="00FC4D0A">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（4）审查施工承包人提交的施工组织设计，重点审查其中的质量安全技术措施、专项施工方案与工程建设强制性标准的符合性；</w:t>
      </w:r>
    </w:p>
    <w:p w14:paraId="03172AB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（5）检查施工承包人工程质量、安全生产管理制度及组织机构和人员资格； </w:t>
      </w:r>
    </w:p>
    <w:p w14:paraId="43FB55D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（6）检查施工承包人专职安全生产管理人员的配备情况；</w:t>
      </w:r>
    </w:p>
    <w:p w14:paraId="2C8C93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（7）审查施工承包人提交的施工进度计划，核查承包人对施工进度计划的调整；</w:t>
      </w:r>
    </w:p>
    <w:p w14:paraId="462D1FA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（8）检查施工承包人的试验室；</w:t>
      </w:r>
    </w:p>
    <w:p w14:paraId="5A82095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（9）审核施工分包人资质条件；</w:t>
      </w:r>
    </w:p>
    <w:p w14:paraId="2F3824E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（10）查验施工承包人的施工测量放线成果；</w:t>
      </w:r>
    </w:p>
    <w:p w14:paraId="26B4CAA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（11）审查工程开工条件，对条件具备的签发开工令；</w:t>
      </w:r>
    </w:p>
    <w:p w14:paraId="15C784E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（12）审查施工承包人报送的工程材料、构配件、设备质量证明文件的有效性和符合性，并按规定对用于工程的材料采取平行检验或见证取样方式进行抽检；</w:t>
      </w:r>
    </w:p>
    <w:p w14:paraId="4C8CEC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（13）审核施工承包人提交的工程款支付申请，签发或出具工程款支付证书，并报委托人审核、批准；</w:t>
      </w:r>
    </w:p>
    <w:p w14:paraId="00D4B88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（14）在巡视、旁站和检验过程中，发现工程质量、施工安全存在事故隐患的，要求施工承包人整改并报委托人；</w:t>
      </w:r>
    </w:p>
    <w:p w14:paraId="3C891B3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（15）经委托人同意，签发工程暂停令和复工令；</w:t>
      </w:r>
    </w:p>
    <w:p w14:paraId="452FD89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（16）审查施工承包人提交的采用新材料、新工艺、新技术、新设备的论证材料及相关验收标准；</w:t>
      </w:r>
    </w:p>
    <w:p w14:paraId="79DA113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（17）验收隐蔽工程、分部分项工程；</w:t>
      </w:r>
    </w:p>
    <w:p w14:paraId="30DD335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（18）审查施工承包人提交的工程变更申请，协调处理施工进度调整、费用索赔、合同争议等事项；</w:t>
      </w:r>
    </w:p>
    <w:p w14:paraId="62B0DAC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（19）审查施工承包人提交的竣工验收申请，编写工程质量评估报告；</w:t>
      </w:r>
    </w:p>
    <w:p w14:paraId="5F389F5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（20）参加工程竣工验收，签署竣工验收意见；</w:t>
      </w:r>
    </w:p>
    <w:p w14:paraId="55FF98A8">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（21）审查施工承包人提交的竣工结算申请并报委托人；</w:t>
      </w:r>
    </w:p>
    <w:p w14:paraId="0EC21CC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（22）编制、整理工程监理归档文件并报委托人。</w:t>
      </w:r>
    </w:p>
    <w:p w14:paraId="2C2FE982">
      <w:pPr>
        <w:spacing w:line="360" w:lineRule="auto"/>
        <w:ind w:left="420" w:leftChars="200"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2.1.3 相关服务的范围和内容在附录A中约定。</w:t>
      </w:r>
    </w:p>
    <w:p w14:paraId="127BF84E">
      <w:pPr>
        <w:spacing w:line="360" w:lineRule="auto"/>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2.2 监理与相关服务依据</w:t>
      </w:r>
    </w:p>
    <w:p w14:paraId="56019AB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2.2.1 监理依据包括：</w:t>
      </w:r>
    </w:p>
    <w:p w14:paraId="3FAF6F17">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（1）适用的法律、行政法规及部门规章；</w:t>
      </w:r>
    </w:p>
    <w:p w14:paraId="0FF6BC7D">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（2）与工程有关的标准；</w:t>
      </w:r>
    </w:p>
    <w:p w14:paraId="1C40773F">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（3）工程设计及有关文件；</w:t>
      </w:r>
    </w:p>
    <w:p w14:paraId="12415226">
      <w:pPr>
        <w:adjustRightInd w:val="0"/>
        <w:snapToGrid w:val="0"/>
        <w:spacing w:line="360" w:lineRule="auto"/>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（4）本合同及委托人与第三方签订的与实施工程有关的其他合同。</w:t>
      </w:r>
    </w:p>
    <w:p w14:paraId="27FDBF46">
      <w:pPr>
        <w:spacing w:line="360" w:lineRule="auto"/>
        <w:ind w:left="210" w:leftChars="10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双方根据工程的行业和地域特点，在专用条件中具体约定监理依据。</w:t>
      </w:r>
    </w:p>
    <w:p w14:paraId="5B31174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2.2.2 相关服务依据在专用条件中约定。</w:t>
      </w:r>
    </w:p>
    <w:p w14:paraId="29160271">
      <w:pPr>
        <w:spacing w:line="360" w:lineRule="auto"/>
        <w:ind w:firstLine="210" w:firstLine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 项目监理机构和人员</w:t>
      </w:r>
    </w:p>
    <w:p w14:paraId="7B822FB6">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2.3.1 监理人应组建满足工作需要的项目监理机构，配备必要的检测设备。项目监理机构的主要人员应具有相应的资格条件。</w:t>
      </w:r>
    </w:p>
    <w:p w14:paraId="59F1D71D">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2.3.2本合同履行过程中，总监理工程师及重要岗位监理人员应保持相对稳定，以保证监理工作正常进行。</w:t>
      </w:r>
    </w:p>
    <w:p w14:paraId="2A1D9C23">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14:paraId="76D233E7">
      <w:pPr>
        <w:adjustRightInd w:val="0"/>
        <w:snapToGrid w:val="0"/>
        <w:spacing w:line="360" w:lineRule="auto"/>
        <w:ind w:firstLine="645"/>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2.3.4 监理人应及时更换有下列情形之一的监理人员：</w:t>
      </w:r>
    </w:p>
    <w:p w14:paraId="0B4601BA">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（1）严重过失行为的；</w:t>
      </w:r>
    </w:p>
    <w:p w14:paraId="004F2ECD">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（2）有违法行为不能履行职责的；</w:t>
      </w:r>
    </w:p>
    <w:p w14:paraId="3B7D097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（3）涉嫌犯罪的；</w:t>
      </w:r>
    </w:p>
    <w:p w14:paraId="0F8E8534">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（4）不能胜任岗位职责的；</w:t>
      </w:r>
    </w:p>
    <w:p w14:paraId="12FD3FFC">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（5）严重违反职业道德的；</w:t>
      </w:r>
    </w:p>
    <w:p w14:paraId="3D3500F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（6）专用条件约定的其他情形。</w:t>
      </w:r>
    </w:p>
    <w:p w14:paraId="058CA8E1">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2.3.5 委托人可要求监理人更换不能胜任本职工作的项目监理机构人员。</w:t>
      </w:r>
    </w:p>
    <w:p w14:paraId="6EA9168B">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 履行职责</w:t>
      </w:r>
    </w:p>
    <w:p w14:paraId="143BFB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监理人应遵循职业道德准则和行为规范，严格按照法律法规、工程建设有关标准及本合同履行职责。</w:t>
      </w:r>
    </w:p>
    <w:p w14:paraId="019DD72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2.4.1 在监理与相关服务范围内，委托人和承包人提出的意见和要求，监理人应及时提出处置意见。当委托人与承包人之间发生合同争议时，监理人应协助委托人、承包人协商解决。</w:t>
      </w:r>
    </w:p>
    <w:p w14:paraId="024470BB">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2.4.2 当委托人与承包人之间的合同争议提交仲裁机构仲裁或人民法院审理时，监理人应提供必要的证明资料。</w:t>
      </w:r>
    </w:p>
    <w:p w14:paraId="26362647">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2.4.3 监理人应在专用条件约定的授权范围内，处理委托人与承包人所签订合同的变更事宜。如果变更超过授权范围，应以书面形式报委托人批准。</w:t>
      </w:r>
    </w:p>
    <w:p w14:paraId="42C23F58">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在紧急情况下，为了保护财产和人身安全，监理人所发出的指令未能事先报委托人批准时，应在发出指令后的24小时内以书面形式报委托人。</w:t>
      </w:r>
    </w:p>
    <w:p w14:paraId="0BF637AF">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2.4.4 除专用条件另有约定外，监理人发现承包人的人员不能胜任本职工作的，有权要求承包人予以调换。</w:t>
      </w:r>
    </w:p>
    <w:p w14:paraId="462AA9DA">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2.5 提交报告</w:t>
      </w:r>
    </w:p>
    <w:p w14:paraId="1B67FB6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监理人应按专用条件约定的种类、时间和份数向委托人提交监理与相关服务的报告。</w:t>
      </w:r>
    </w:p>
    <w:p w14:paraId="2964DDB3">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2.6 文件资料</w:t>
      </w:r>
    </w:p>
    <w:p w14:paraId="68EA698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在本合同履行期内，监理人应在现场保留工作所用的图纸、报告及记录监理工</w:t>
      </w:r>
      <w:r>
        <w:rPr>
          <w:rFonts w:hint="eastAsia" w:ascii="宋体" w:hAnsi="宋体" w:eastAsia="宋体" w:cs="宋体"/>
          <w:sz w:val="21"/>
          <w:szCs w:val="21"/>
          <w:highlight w:val="none"/>
        </w:rPr>
        <w:t>作的相关文件。工程竣工后，应当按照档案管理规定将监理有关文件归档。</w:t>
      </w:r>
    </w:p>
    <w:p w14:paraId="55AE00AC">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2.7 使用委托人的财产</w:t>
      </w:r>
    </w:p>
    <w:p w14:paraId="7668BD8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69F7D430">
      <w:pPr>
        <w:spacing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3．委托人的义务</w:t>
      </w:r>
    </w:p>
    <w:p w14:paraId="1FF9E6FF">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3.1 告知</w:t>
      </w:r>
    </w:p>
    <w:p w14:paraId="04477D1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委托人应在委托人与承包人签订的合同中明确监理人、总监理工程师和授予项目监理机构的权限。如有变更，应及时通知承包人。</w:t>
      </w:r>
    </w:p>
    <w:p w14:paraId="06A4EBD3">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3.2 提供资料</w:t>
      </w:r>
    </w:p>
    <w:p w14:paraId="43D803A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委托人应按照附录B约定，无偿向监理人提供工程有关的资料。</w:t>
      </w:r>
      <w:r>
        <w:rPr>
          <w:rFonts w:hint="eastAsia" w:ascii="宋体" w:hAnsi="宋体" w:eastAsia="宋体" w:cs="宋体"/>
          <w:sz w:val="21"/>
          <w:szCs w:val="21"/>
          <w:highlight w:val="none"/>
        </w:rPr>
        <w:t>在本合同履行过程中，委托人应及时向监理人提供最新的与工程有关的资料。</w:t>
      </w:r>
    </w:p>
    <w:p w14:paraId="62A456EB">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3.3 提供工作条件</w:t>
      </w:r>
    </w:p>
    <w:p w14:paraId="737687B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委托人应为监理人完成监理与相关服务提供必要的条件。</w:t>
      </w:r>
    </w:p>
    <w:p w14:paraId="1933517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3.3.1 </w:t>
      </w:r>
      <w:r>
        <w:rPr>
          <w:rFonts w:hint="eastAsia" w:ascii="宋体" w:hAnsi="宋体" w:eastAsia="宋体" w:cs="宋体"/>
          <w:sz w:val="21"/>
          <w:szCs w:val="21"/>
          <w:highlight w:val="none"/>
        </w:rPr>
        <w:t>委托人应按照附录B约定，派遣相应的人员，提供房屋、设备，供监理人</w:t>
      </w:r>
      <w:r>
        <w:rPr>
          <w:rFonts w:hint="eastAsia" w:ascii="宋体" w:hAnsi="宋体" w:eastAsia="宋体" w:cs="宋体"/>
          <w:kern w:val="0"/>
          <w:sz w:val="21"/>
          <w:szCs w:val="21"/>
          <w:highlight w:val="none"/>
        </w:rPr>
        <w:t>无偿</w:t>
      </w:r>
      <w:r>
        <w:rPr>
          <w:rFonts w:hint="eastAsia" w:ascii="宋体" w:hAnsi="宋体" w:eastAsia="宋体" w:cs="宋体"/>
          <w:sz w:val="21"/>
          <w:szCs w:val="21"/>
          <w:highlight w:val="none"/>
        </w:rPr>
        <w:t>使用。</w:t>
      </w:r>
    </w:p>
    <w:p w14:paraId="7D41521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3.3.2 </w:t>
      </w:r>
      <w:r>
        <w:rPr>
          <w:rFonts w:hint="eastAsia" w:ascii="宋体" w:hAnsi="宋体" w:eastAsia="宋体" w:cs="宋体"/>
          <w:sz w:val="21"/>
          <w:szCs w:val="21"/>
          <w:highlight w:val="none"/>
        </w:rPr>
        <w:t>委托人应负责协调工程建设中所有外部关系，为监理人履行本合同提供必要的外部条件。</w:t>
      </w:r>
    </w:p>
    <w:p w14:paraId="5D6A6082">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3.4 委托人代表</w:t>
      </w:r>
    </w:p>
    <w:p w14:paraId="31EFA342">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委托人应授权一名熟悉工程情况的代表，负责与监理人联系。委托人应在双方签订本合同后7天内，将委托人代表的姓名和职责书面告知监理人。当委托人更换委托人代表时，应提前7天通知监理人。</w:t>
      </w:r>
    </w:p>
    <w:p w14:paraId="59209FDD">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3.5 委托人意见或要求</w:t>
      </w:r>
    </w:p>
    <w:p w14:paraId="42C2EB1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在本合同约定的监理与相关服务工作范围内，委托人对承包人的任何意见或要求应通知监理人，由监理人向承包人发出相应指令。</w:t>
      </w:r>
    </w:p>
    <w:p w14:paraId="05D34B8D">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0AF940B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委托人应在专用条件约定的时间内，对监理人以书面形式提交并要求作出决定的事宜，给予书面答复。逾期未答复的，视为委托人认可。</w:t>
      </w:r>
    </w:p>
    <w:p w14:paraId="70A9FAEE">
      <w:pPr>
        <w:snapToGrid w:val="0"/>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3.7 支付</w:t>
      </w:r>
    </w:p>
    <w:p w14:paraId="1088812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委托人应按本合同约定，向监理人支付酬金。</w:t>
      </w:r>
    </w:p>
    <w:p w14:paraId="2262B1E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6A6C9297">
      <w:pPr>
        <w:spacing w:line="360" w:lineRule="auto"/>
        <w:ind w:left="210" w:left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 监理人的违约责任</w:t>
      </w:r>
    </w:p>
    <w:p w14:paraId="0755FFE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监理人未履行本合同义务的，应承担相应的责任。</w:t>
      </w:r>
    </w:p>
    <w:p w14:paraId="69B4898D">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4.1.1 因监理人违反本合同约定</w:t>
      </w:r>
      <w:r>
        <w:rPr>
          <w:rFonts w:hint="eastAsia" w:ascii="宋体" w:hAnsi="宋体" w:eastAsia="宋体" w:cs="宋体"/>
          <w:sz w:val="21"/>
          <w:szCs w:val="21"/>
          <w:highlight w:val="none"/>
        </w:rPr>
        <w:t>给委托人造成损失的，监理人应当赔偿委托人损失</w:t>
      </w:r>
      <w:r>
        <w:rPr>
          <w:rFonts w:hint="eastAsia" w:ascii="宋体" w:hAnsi="宋体" w:eastAsia="宋体" w:cs="宋体"/>
          <w:kern w:val="0"/>
          <w:sz w:val="21"/>
          <w:szCs w:val="21"/>
          <w:highlight w:val="none"/>
        </w:rPr>
        <w:t>。赔偿金额的确定方法在专用条件中约定。监理人承担部分赔偿责任的，其承担赔偿金额由双方协商确定。</w:t>
      </w:r>
    </w:p>
    <w:p w14:paraId="5AB58005">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4.1.2 监理人向委托人的索赔不成立时，监理人应赔偿委托人由此发生的费用。</w:t>
      </w:r>
    </w:p>
    <w:p w14:paraId="5B6A023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 委托人的违约责任</w:t>
      </w:r>
    </w:p>
    <w:p w14:paraId="3E52CA46">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委托人未履行本合同义务的，应承担相应的责任。</w:t>
      </w:r>
    </w:p>
    <w:p w14:paraId="5E7F3768">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4.2.1 委托人违反本合同约定造成监理人损失的，委托人应予以赔偿。</w:t>
      </w:r>
    </w:p>
    <w:p w14:paraId="37CAEE31">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4.2.2 委托人向监理人的索赔不成立时，应赔偿监理人由此引起的费用。</w:t>
      </w:r>
    </w:p>
    <w:p w14:paraId="593A009A">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 xml:space="preserve">4.2.3 </w:t>
      </w:r>
      <w:r>
        <w:rPr>
          <w:rFonts w:hint="eastAsia" w:ascii="宋体" w:hAnsi="宋体" w:eastAsia="宋体" w:cs="宋体"/>
          <w:kern w:val="0"/>
          <w:sz w:val="21"/>
          <w:szCs w:val="21"/>
          <w:highlight w:val="none"/>
        </w:rPr>
        <w:t>委托人未能按期支付</w:t>
      </w:r>
      <w:r>
        <w:rPr>
          <w:rFonts w:hint="eastAsia" w:ascii="宋体" w:hAnsi="宋体" w:eastAsia="宋体" w:cs="宋体"/>
          <w:sz w:val="21"/>
          <w:szCs w:val="21"/>
          <w:highlight w:val="none"/>
        </w:rPr>
        <w:t>酬金</w:t>
      </w:r>
      <w:r>
        <w:rPr>
          <w:rFonts w:hint="eastAsia" w:ascii="宋体" w:hAnsi="宋体" w:eastAsia="宋体" w:cs="宋体"/>
          <w:kern w:val="0"/>
          <w:sz w:val="21"/>
          <w:szCs w:val="21"/>
          <w:highlight w:val="none"/>
        </w:rPr>
        <w:t>超过28天，应按专用条件约定支付逾期付款利息。</w:t>
      </w:r>
    </w:p>
    <w:p w14:paraId="0C37DE8F">
      <w:pPr>
        <w:spacing w:line="360" w:lineRule="auto"/>
        <w:ind w:firstLine="210" w:firstLineChars="1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4.3 除外责任</w:t>
      </w:r>
    </w:p>
    <w:p w14:paraId="73A1CD27">
      <w:pPr>
        <w:adjustRightInd w:val="0"/>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因非监理人的原因，且监理人无过错，发生工程质量事故、安全事故、工期延误等造成的损失，监理人不承担赔偿责任。</w:t>
      </w:r>
    </w:p>
    <w:p w14:paraId="26B3559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因不可抗力导致本合同全部或部分不能履行时，双方各自承担其因此而造成的损失、损害。</w:t>
      </w:r>
    </w:p>
    <w:p w14:paraId="1B5FCB62">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 支付</w:t>
      </w:r>
    </w:p>
    <w:p w14:paraId="13603756">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5.1 支付货币</w:t>
      </w:r>
    </w:p>
    <w:p w14:paraId="7C51A817">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除专用条件另有约定外，酬金均以人民币支付。涉及外币支付的，所采用的货币种类、比例和汇率在专用条件中约定。</w:t>
      </w:r>
    </w:p>
    <w:p w14:paraId="450CF9B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5.2 支付申请</w:t>
      </w:r>
    </w:p>
    <w:p w14:paraId="3F53FFA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监理人应在本合同约定的每次应付款时间的7天前，向委托人提交支付申请书。支付申请书应当说明当期应付款总额，并列出当期应支付的款项及其金额。</w:t>
      </w:r>
    </w:p>
    <w:p w14:paraId="15011BA2">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5.3 支付酬金</w:t>
      </w:r>
    </w:p>
    <w:p w14:paraId="07289DA5">
      <w:pPr>
        <w:snapToGrid w:val="0"/>
        <w:spacing w:line="360" w:lineRule="auto"/>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支付的酬金包括正常工作酬金、附加工作酬金、合理化建议奖励金额及费用。</w:t>
      </w:r>
    </w:p>
    <w:p w14:paraId="05FAC99E">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5.4 有争议部分的付款</w:t>
      </w:r>
    </w:p>
    <w:p w14:paraId="06F64D66">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委托人对监理人提交的支付申请书有异议时，应当在收到监理人提交的支付申请书后7天内，以书面形式向监理人发出异议通知。无异议部分的款项应按期支付，有异议部分的款项按第7条约定办理。</w:t>
      </w:r>
    </w:p>
    <w:p w14:paraId="5897DCDA">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6. 合同生效、变更、暂停、解除与终止</w:t>
      </w:r>
    </w:p>
    <w:p w14:paraId="31A602AA">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6.1生效</w:t>
      </w:r>
    </w:p>
    <w:p w14:paraId="084B290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除法律另有规定或者专用条件另有约定外，委托人和监理人的法定代表人或其授权代理人在协议书上签字并盖单位章后本合同生效。</w:t>
      </w:r>
    </w:p>
    <w:p w14:paraId="06966C21">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6.2变更</w:t>
      </w:r>
    </w:p>
    <w:p w14:paraId="19888DB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6.2.1 任何一方提出变更请求时，双方经协商一致后可进行变更。</w:t>
      </w:r>
    </w:p>
    <w:p w14:paraId="3D7BEB1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0DCB390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14:paraId="6714CC55">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6.2.4合同签订后，遇有与工程相关的法律法规、标准颁布或修订的，双方应遵照执行。由此引起监理与相关服务的范围、时间、酬金变化的，双方应通过协商进行相应调整。</w:t>
      </w:r>
    </w:p>
    <w:p w14:paraId="70E0D37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6.2.5 因非监理人原因造成工程概算投资额或建筑安装工程费增加时，正常工作酬金应作相应调整。调整方法在专用条件中约定。</w:t>
      </w:r>
    </w:p>
    <w:p w14:paraId="12584148">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因工程规模、监理范围的变化导致监理人的正常工作量减少时，正常工作酬金应作相应调整。调整方法在专用条件中约定。</w:t>
      </w:r>
    </w:p>
    <w:p w14:paraId="68B2B2A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6.3 暂停与解除</w:t>
      </w:r>
    </w:p>
    <w:p w14:paraId="5D6F670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除双方协商一致可以解除本合同外，当一方无正当理由未履行本合同约定的义务时，另一方可以根据本合同约定暂停履行本合同直至解除本合同。</w:t>
      </w:r>
    </w:p>
    <w:p w14:paraId="745369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4D86A21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因解除本合同或解除监理人的部分义务导致监理人遭受的损失，除依法可以免除责任的情况外，应由委托人予以补偿，补偿金额由双方协商确定。</w:t>
      </w:r>
    </w:p>
    <w:p w14:paraId="06CD123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解除本合同的协议必须采取书面形式，协议未达成之前，本合同仍然有效。</w:t>
      </w:r>
    </w:p>
    <w:p w14:paraId="791319B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63D61D3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酬金支付至本合同解除日，且应承担第4.2款约定的责任。</w:t>
      </w:r>
    </w:p>
    <w:p w14:paraId="511FD30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eastAsia="宋体" w:cs="宋体"/>
          <w:kern w:val="0"/>
          <w:sz w:val="21"/>
          <w:szCs w:val="21"/>
          <w:highlight w:val="none"/>
        </w:rPr>
        <w:t>的</w:t>
      </w:r>
      <w:r>
        <w:rPr>
          <w:rFonts w:hint="eastAsia" w:ascii="宋体" w:hAnsi="宋体" w:eastAsia="宋体" w:cs="宋体"/>
          <w:sz w:val="21"/>
          <w:szCs w:val="21"/>
          <w:highlight w:val="none"/>
        </w:rPr>
        <w:t>酬金支付至</w:t>
      </w:r>
      <w:r>
        <w:rPr>
          <w:rFonts w:hint="eastAsia" w:ascii="宋体" w:hAnsi="宋体" w:eastAsia="宋体" w:cs="宋体"/>
          <w:kern w:val="0"/>
          <w:sz w:val="21"/>
          <w:szCs w:val="21"/>
          <w:highlight w:val="none"/>
        </w:rPr>
        <w:t>限期改正通知到达监理人之日</w:t>
      </w:r>
      <w:r>
        <w:rPr>
          <w:rFonts w:hint="eastAsia" w:ascii="宋体" w:hAnsi="宋体" w:eastAsia="宋体" w:cs="宋体"/>
          <w:sz w:val="21"/>
          <w:szCs w:val="21"/>
          <w:highlight w:val="none"/>
        </w:rPr>
        <w:t>，但监理人应承担第4.1款约定的责任。</w:t>
      </w:r>
    </w:p>
    <w:p w14:paraId="2683AD7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14:paraId="354DD786">
      <w:pPr>
        <w:snapToGrid w:val="0"/>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6.3.5 因不可抗力致使本合同部分或全部不能履行时，一方应立即通知另一方，可暂停或解除本合同。</w:t>
      </w:r>
    </w:p>
    <w:p w14:paraId="287AB66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6.3.6 本合同解除后，本合同约定的有关结算、清理、争议解决方式的条件仍然有效。</w:t>
      </w:r>
    </w:p>
    <w:p w14:paraId="74690E35">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6.4 终止</w:t>
      </w:r>
    </w:p>
    <w:p w14:paraId="7A0B479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以下条件全部满足时，本合同即告终止：</w:t>
      </w:r>
    </w:p>
    <w:p w14:paraId="5E57272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（1）监理人完成本合同约定的全部工作；</w:t>
      </w:r>
    </w:p>
    <w:p w14:paraId="151FEED2">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（2）委托人与监理人结清并支付全部酬金。</w:t>
      </w:r>
    </w:p>
    <w:p w14:paraId="5AE3156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7. 争议解决</w:t>
      </w:r>
    </w:p>
    <w:p w14:paraId="58AC9A9B">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7.1协商</w:t>
      </w:r>
    </w:p>
    <w:p w14:paraId="38C16577">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双方应本着诚信原则协商解决彼此间的争议。</w:t>
      </w:r>
    </w:p>
    <w:p w14:paraId="4BE9DA5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7.2调解</w:t>
      </w:r>
    </w:p>
    <w:p w14:paraId="20349F93">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如果双方不能在14天内或双方商定的其他时间内解决本合同争议，可以将其提交给专用条件约定的或事后达成协议的调解人进行调解。</w:t>
      </w:r>
    </w:p>
    <w:p w14:paraId="2C8B13A0">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7.3仲裁或诉讼</w:t>
      </w:r>
    </w:p>
    <w:p w14:paraId="1CD551BB">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双方均有权不经调解直接向专用条件约定的仲裁机构申请仲裁或向有管辖权的人民法院提起诉讼。</w:t>
      </w:r>
    </w:p>
    <w:p w14:paraId="3310125B">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13674389">
      <w:pPr>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8.1 外出考察费用</w:t>
      </w:r>
    </w:p>
    <w:p w14:paraId="61126A6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经委托人同意，监理人员外出考察发生的费用由委托人审核后支付。</w:t>
      </w:r>
    </w:p>
    <w:p w14:paraId="143B3ABF">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8.2 检测费用</w:t>
      </w:r>
    </w:p>
    <w:p w14:paraId="6B6D89F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委托人要求监理人进行的材料和设备检测所发生的费用，由委托人支付，支付时间在专用条件中约定。</w:t>
      </w:r>
    </w:p>
    <w:p w14:paraId="0A7478E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8.3 咨询费用</w:t>
      </w:r>
    </w:p>
    <w:p w14:paraId="57C7155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经委托人同意，根据工程需要由监理人组织的相关咨询论证会以及聘请相关专家等发生的费用由委托人支付，支付时间在专用条件中约定。</w:t>
      </w:r>
    </w:p>
    <w:p w14:paraId="4E6F2818">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8.4 奖励</w:t>
      </w:r>
    </w:p>
    <w:p w14:paraId="27D1823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监理人在服务过程中提出的合理化建议，使委托人获得经济效益的，双方在专用条件中约定奖励金额的确定方法。奖励金额在合理化建议被采纳后，与最近一期的正常工作酬金同期支付。</w:t>
      </w:r>
    </w:p>
    <w:p w14:paraId="6D433616">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8.5 守法诚信</w:t>
      </w:r>
    </w:p>
    <w:p w14:paraId="6A162D4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监理人及其工作人员不得从与实施工程有关的第三方处获得任何经济利益。</w:t>
      </w:r>
    </w:p>
    <w:p w14:paraId="3CA31119">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8.6 保密</w:t>
      </w:r>
    </w:p>
    <w:p w14:paraId="2F38CCCE">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双方不得泄露对方申明的保密资料，亦不得泄露与实施工程有关的第三方所提供的保密资料，保密事项在专用条件中约定。</w:t>
      </w:r>
    </w:p>
    <w:p w14:paraId="5C20E507">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8.7 通知</w:t>
      </w:r>
    </w:p>
    <w:p w14:paraId="6D8BF53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本合同涉及的通知均应当采用书面形式，并在送达对方时生效，收件人应书面签收。</w:t>
      </w:r>
    </w:p>
    <w:p w14:paraId="74870ECC">
      <w:pPr>
        <w:snapToGrid w:val="0"/>
        <w:spacing w:line="360" w:lineRule="auto"/>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8.8 著作权</w:t>
      </w:r>
    </w:p>
    <w:p w14:paraId="78B98D1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监理人对其编制的文件拥有著作权。</w:t>
      </w:r>
    </w:p>
    <w:p w14:paraId="79F4F79E">
      <w:pPr>
        <w:snapToGrid w:val="0"/>
        <w:spacing w:line="360" w:lineRule="auto"/>
        <w:ind w:firstLine="420" w:firstLineChars="200"/>
        <w:rPr>
          <w:rFonts w:hint="eastAsia" w:ascii="宋体" w:hAnsi="宋体" w:eastAsia="宋体" w:cs="宋体"/>
          <w:sz w:val="24"/>
          <w:szCs w:val="24"/>
          <w:highlight w:val="none"/>
        </w:rPr>
      </w:pPr>
      <w:r>
        <w:rPr>
          <w:rFonts w:hint="eastAsia" w:ascii="宋体" w:hAnsi="宋体" w:eastAsia="宋体" w:cs="宋体"/>
          <w:sz w:val="21"/>
          <w:szCs w:val="21"/>
          <w:highlight w:val="none"/>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0AB4A339">
      <w:pPr>
        <w:snapToGrid w:val="0"/>
        <w:spacing w:line="360" w:lineRule="auto"/>
        <w:ind w:firstLine="480" w:firstLineChars="200"/>
        <w:rPr>
          <w:rFonts w:hint="eastAsia" w:ascii="宋体" w:hAnsi="宋体" w:eastAsia="宋体" w:cs="宋体"/>
          <w:sz w:val="24"/>
          <w:szCs w:val="24"/>
          <w:highlight w:val="none"/>
        </w:rPr>
      </w:pPr>
    </w:p>
    <w:p w14:paraId="3484512E">
      <w:pPr>
        <w:snapToGrid w:val="0"/>
        <w:spacing w:line="360" w:lineRule="auto"/>
        <w:ind w:firstLine="480" w:firstLineChars="200"/>
        <w:rPr>
          <w:rFonts w:hint="eastAsia" w:ascii="宋体" w:hAnsi="宋体" w:eastAsia="宋体" w:cs="宋体"/>
          <w:sz w:val="24"/>
          <w:szCs w:val="24"/>
          <w:highlight w:val="none"/>
        </w:rPr>
      </w:pPr>
    </w:p>
    <w:p w14:paraId="585E5C18">
      <w:pPr>
        <w:snapToGrid w:val="0"/>
        <w:spacing w:line="360" w:lineRule="auto"/>
        <w:ind w:firstLine="480" w:firstLineChars="200"/>
        <w:rPr>
          <w:rFonts w:hint="eastAsia" w:ascii="宋体" w:hAnsi="宋体" w:eastAsia="宋体" w:cs="宋体"/>
          <w:sz w:val="24"/>
          <w:szCs w:val="24"/>
          <w:highlight w:val="none"/>
        </w:rPr>
      </w:pPr>
    </w:p>
    <w:p w14:paraId="33D870DF">
      <w:pPr>
        <w:snapToGrid w:val="0"/>
        <w:spacing w:line="360" w:lineRule="auto"/>
        <w:ind w:firstLine="480" w:firstLineChars="200"/>
        <w:rPr>
          <w:rFonts w:hint="eastAsia" w:ascii="宋体" w:hAnsi="宋体" w:eastAsia="宋体" w:cs="宋体"/>
          <w:sz w:val="24"/>
          <w:szCs w:val="24"/>
          <w:highlight w:val="none"/>
        </w:rPr>
      </w:pPr>
    </w:p>
    <w:p w14:paraId="3866003F">
      <w:pPr>
        <w:widowControl/>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r>
        <w:rPr>
          <w:rFonts w:hint="eastAsia" w:ascii="宋体" w:hAnsi="宋体" w:eastAsia="宋体" w:cs="宋体"/>
          <w:b/>
          <w:bCs/>
          <w:sz w:val="32"/>
          <w:szCs w:val="32"/>
          <w:highlight w:val="none"/>
        </w:rPr>
        <w:t>第三部分  专用条件</w:t>
      </w:r>
    </w:p>
    <w:p w14:paraId="204FA2C6">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 定义与解释</w:t>
      </w:r>
    </w:p>
    <w:p w14:paraId="1AF23621">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  解释</w:t>
      </w:r>
    </w:p>
    <w:p w14:paraId="09D0FFFD">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1.2.1 本合同文件除使用中文外，还可用</w:t>
      </w:r>
      <w:r>
        <w:rPr>
          <w:rFonts w:hint="eastAsia" w:ascii="宋体" w:hAnsi="宋体" w:eastAsia="宋体" w:cs="宋体"/>
          <w:sz w:val="21"/>
          <w:szCs w:val="21"/>
          <w:highlight w:val="none"/>
          <w:u w:val="single"/>
        </w:rPr>
        <w:t xml:space="preserve">  无  </w:t>
      </w:r>
      <w:r>
        <w:rPr>
          <w:rFonts w:hint="eastAsia" w:ascii="宋体" w:hAnsi="宋体" w:eastAsia="宋体" w:cs="宋体"/>
          <w:sz w:val="21"/>
          <w:szCs w:val="21"/>
          <w:highlight w:val="none"/>
        </w:rPr>
        <w:t>。</w:t>
      </w:r>
    </w:p>
    <w:p w14:paraId="61986D54">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1.2.2 约定本合同文件的解释顺序为：</w:t>
      </w:r>
    </w:p>
    <w:p w14:paraId="34BEA2A7">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 协议书；</w:t>
      </w:r>
    </w:p>
    <w:p w14:paraId="4FB22112">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 中标通知书</w:t>
      </w:r>
    </w:p>
    <w:p w14:paraId="37ECC7FB">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3. 专用条件；</w:t>
      </w:r>
    </w:p>
    <w:p w14:paraId="3E6674E6">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4. 通用条件；</w:t>
      </w:r>
    </w:p>
    <w:p w14:paraId="2366DBC3">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 </w:t>
      </w:r>
      <w:r>
        <w:rPr>
          <w:rFonts w:hint="eastAsia" w:ascii="宋体" w:hAnsi="宋体" w:eastAsia="宋体" w:cs="宋体"/>
          <w:sz w:val="21"/>
          <w:szCs w:val="21"/>
          <w:highlight w:val="none"/>
          <w:lang w:eastAsia="zh-CN"/>
        </w:rPr>
        <w:t>磋商</w:t>
      </w:r>
      <w:r>
        <w:rPr>
          <w:rFonts w:hint="eastAsia" w:ascii="宋体" w:hAnsi="宋体" w:eastAsia="宋体" w:cs="宋体"/>
          <w:sz w:val="21"/>
          <w:szCs w:val="21"/>
          <w:highlight w:val="none"/>
        </w:rPr>
        <w:t>文件</w:t>
      </w:r>
    </w:p>
    <w:p w14:paraId="50815E6E">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 </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文件</w:t>
      </w:r>
    </w:p>
    <w:p w14:paraId="3CAC08F7">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7.附录，即：</w:t>
      </w:r>
    </w:p>
    <w:p w14:paraId="33510AEC">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附录A  相关服务的范围和内容</w:t>
      </w:r>
    </w:p>
    <w:p w14:paraId="2CA7FB76">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附录B  委托人派遣的人员和提供的房屋、资料、设备</w:t>
      </w:r>
    </w:p>
    <w:p w14:paraId="15BDDED8">
      <w:pPr>
        <w:adjustRightInd w:val="0"/>
        <w:snapToGrid w:val="0"/>
        <w:spacing w:line="360" w:lineRule="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2. 监理人义务</w:t>
      </w:r>
    </w:p>
    <w:p w14:paraId="17B6584E">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2.1 监理的范围和内容</w:t>
      </w:r>
    </w:p>
    <w:p w14:paraId="46F86D9D">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2.1.1 监理范围包括：</w:t>
      </w:r>
      <w:r>
        <w:rPr>
          <w:rFonts w:hint="eastAsia" w:ascii="宋体" w:hAnsi="宋体" w:eastAsia="宋体" w:cs="宋体"/>
          <w:sz w:val="21"/>
          <w:szCs w:val="21"/>
          <w:highlight w:val="none"/>
          <w:u w:val="single"/>
        </w:rPr>
        <w:t>包括工程质量、安全文明施工、工程进度及工程投资等方面控制。</w:t>
      </w:r>
    </w:p>
    <w:p w14:paraId="2503B6FF">
      <w:pPr>
        <w:adjustRightInd w:val="0"/>
        <w:snapToGrid w:val="0"/>
        <w:spacing w:line="360" w:lineRule="auto"/>
        <w:ind w:firstLine="205" w:firstLineChars="98"/>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2.1.2 监理工作内容还包括：</w:t>
      </w:r>
      <w:r>
        <w:rPr>
          <w:rFonts w:hint="eastAsia" w:ascii="宋体" w:hAnsi="宋体" w:eastAsia="宋体" w:cs="宋体"/>
          <w:sz w:val="21"/>
          <w:szCs w:val="21"/>
          <w:highlight w:val="none"/>
          <w:lang w:val="en-US" w:eastAsia="zh-CN"/>
        </w:rPr>
        <w:t xml:space="preserve">             </w:t>
      </w:r>
    </w:p>
    <w:p w14:paraId="2A01C73A">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 监理与相关服务依据</w:t>
      </w:r>
    </w:p>
    <w:p w14:paraId="7E0B629A">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2.2.1 监理依据包括：</w:t>
      </w:r>
    </w:p>
    <w:p w14:paraId="400AEB9B">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1、《建设工程监理规范》</w:t>
      </w:r>
    </w:p>
    <w:p w14:paraId="2956C9B6">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2、国家和地方现行的有关法律、法规和政策</w:t>
      </w:r>
    </w:p>
    <w:p w14:paraId="47EDDFD7">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3、现行的市政公用工程施工规范、质量标准</w:t>
      </w:r>
    </w:p>
    <w:p w14:paraId="0132BD9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4、经批准的设计文件及图纸</w:t>
      </w:r>
    </w:p>
    <w:p w14:paraId="5164FCE6">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5、业主与承包商签订的施工合同</w:t>
      </w:r>
    </w:p>
    <w:p w14:paraId="37F994D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6、业主批准的施工组织设计</w:t>
      </w:r>
    </w:p>
    <w:p w14:paraId="38E6166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2.2.2 相关服务依据包括：</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441C121">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2.3项目监理机构和人员</w:t>
      </w:r>
    </w:p>
    <w:p w14:paraId="159C1BCF">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2.3.4 更换监理人员的其他情形：</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7B0A3F23">
      <w:pPr>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2.4 履行职责</w:t>
      </w:r>
    </w:p>
    <w:p w14:paraId="34A0A5D3">
      <w:pPr>
        <w:spacing w:line="360" w:lineRule="auto"/>
        <w:ind w:firstLine="205" w:firstLineChars="98"/>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2.4.3 对监理人的授权范围：</w:t>
      </w:r>
      <w:r>
        <w:rPr>
          <w:rFonts w:hint="eastAsia" w:ascii="宋体" w:hAnsi="宋体" w:eastAsia="宋体" w:cs="宋体"/>
          <w:sz w:val="21"/>
          <w:szCs w:val="21"/>
          <w:highlight w:val="none"/>
          <w:u w:val="single"/>
        </w:rPr>
        <w:t>工程质量、安全文明施工、工程进度及工程投资等方面控制。工程开工、停工及设计变更、工程量签证需要取得发包人批准。</w:t>
      </w:r>
    </w:p>
    <w:p w14:paraId="2047DC42">
      <w:pPr>
        <w:adjustRightInd w:val="0"/>
        <w:snapToGrid w:val="0"/>
        <w:spacing w:line="360" w:lineRule="auto"/>
        <w:ind w:firstLine="420" w:firstLineChars="200"/>
        <w:rPr>
          <w:rFonts w:hint="eastAsia" w:ascii="宋体" w:hAnsi="宋体" w:eastAsia="宋体" w:cs="宋体"/>
          <w:kern w:val="0"/>
          <w:sz w:val="21"/>
          <w:szCs w:val="21"/>
          <w:highlight w:val="none"/>
        </w:rPr>
      </w:pPr>
      <w:bookmarkStart w:id="759" w:name="_Toc456102387"/>
      <w:bookmarkEnd w:id="759"/>
      <w:bookmarkStart w:id="760" w:name="_Toc16986"/>
      <w:r>
        <w:rPr>
          <w:rFonts w:hint="eastAsia" w:ascii="宋体" w:hAnsi="宋体" w:eastAsia="宋体" w:cs="宋体"/>
          <w:kern w:val="0"/>
          <w:sz w:val="21"/>
          <w:szCs w:val="21"/>
          <w:highlight w:val="none"/>
        </w:rPr>
        <w:t>在涉及工程延期1 天内和（或）金额 1000元内的变更，监理人不需请示委托人即可向承包人发布变更通知。</w:t>
      </w:r>
      <w:bookmarkEnd w:id="760"/>
    </w:p>
    <w:p w14:paraId="7B9EE560">
      <w:pPr>
        <w:adjustRightInd w:val="0"/>
        <w:snapToGrid w:val="0"/>
        <w:spacing w:line="360" w:lineRule="auto"/>
        <w:ind w:left="584" w:leftChars="228" w:hanging="105" w:hangingChars="5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2.4.4 监理人有权要求承包人调换其人员</w:t>
      </w:r>
      <w:r>
        <w:rPr>
          <w:rFonts w:hint="eastAsia" w:ascii="宋体" w:hAnsi="宋体" w:eastAsia="宋体" w:cs="宋体"/>
          <w:sz w:val="21"/>
          <w:szCs w:val="21"/>
          <w:highlight w:val="none"/>
        </w:rPr>
        <w:t>的限制条件：</w:t>
      </w:r>
      <w:r>
        <w:rPr>
          <w:rFonts w:hint="eastAsia" w:ascii="宋体" w:hAnsi="宋体" w:eastAsia="宋体" w:cs="宋体"/>
          <w:sz w:val="21"/>
          <w:szCs w:val="21"/>
          <w:highlight w:val="none"/>
          <w:u w:val="single"/>
        </w:rPr>
        <w:t xml:space="preserve">  经委托人书面批准   </w:t>
      </w:r>
      <w:r>
        <w:rPr>
          <w:rFonts w:hint="eastAsia" w:ascii="宋体" w:hAnsi="宋体" w:eastAsia="宋体" w:cs="宋体"/>
          <w:sz w:val="21"/>
          <w:szCs w:val="21"/>
          <w:highlight w:val="none"/>
        </w:rPr>
        <w:t xml:space="preserve">。  </w:t>
      </w:r>
    </w:p>
    <w:p w14:paraId="76779ECE">
      <w:pPr>
        <w:adjustRightInd w:val="0"/>
        <w:snapToGrid w:val="0"/>
        <w:spacing w:line="360" w:lineRule="auto"/>
        <w:ind w:firstLine="105" w:firstLineChars="5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2.5 </w:t>
      </w:r>
      <w:r>
        <w:rPr>
          <w:rFonts w:hint="eastAsia" w:ascii="宋体" w:hAnsi="宋体" w:eastAsia="宋体" w:cs="宋体"/>
          <w:sz w:val="21"/>
          <w:szCs w:val="21"/>
          <w:highlight w:val="none"/>
        </w:rPr>
        <w:t>提交</w:t>
      </w:r>
      <w:r>
        <w:rPr>
          <w:rFonts w:hint="eastAsia" w:ascii="宋体" w:hAnsi="宋体" w:eastAsia="宋体" w:cs="宋体"/>
          <w:kern w:val="0"/>
          <w:sz w:val="21"/>
          <w:szCs w:val="21"/>
          <w:highlight w:val="none"/>
        </w:rPr>
        <w:t>报告</w:t>
      </w:r>
    </w:p>
    <w:p w14:paraId="5D0A6727">
      <w:pPr>
        <w:adjustRightInd w:val="0"/>
        <w:snapToGrid w:val="0"/>
        <w:spacing w:line="360" w:lineRule="auto"/>
        <w:ind w:firstLine="525"/>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监理人应提交报告的种类(</w:t>
      </w:r>
      <w:r>
        <w:rPr>
          <w:rFonts w:hint="eastAsia" w:ascii="宋体" w:hAnsi="宋体" w:eastAsia="宋体" w:cs="宋体"/>
          <w:kern w:val="0"/>
          <w:sz w:val="21"/>
          <w:szCs w:val="21"/>
          <w:highlight w:val="none"/>
        </w:rPr>
        <w:t>包括监理规划、监理月报及约定的专项报告)</w:t>
      </w:r>
      <w:r>
        <w:rPr>
          <w:rFonts w:hint="eastAsia" w:ascii="宋体" w:hAnsi="宋体" w:eastAsia="宋体" w:cs="宋体"/>
          <w:sz w:val="21"/>
          <w:szCs w:val="21"/>
          <w:highlight w:val="none"/>
        </w:rPr>
        <w:t>、时间和份数</w:t>
      </w:r>
      <w:r>
        <w:rPr>
          <w:rFonts w:hint="eastAsia" w:ascii="宋体" w:hAnsi="宋体" w:eastAsia="宋体" w:cs="宋体"/>
          <w:kern w:val="0"/>
          <w:sz w:val="21"/>
          <w:szCs w:val="21"/>
          <w:highlight w:val="none"/>
        </w:rPr>
        <w:t>：</w:t>
      </w:r>
    </w:p>
    <w:p w14:paraId="029319AC">
      <w:pPr>
        <w:adjustRightInd w:val="0"/>
        <w:snapToGrid w:val="0"/>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 xml:space="preserve">工程开工前提交监理规划 </w:t>
      </w:r>
      <w:r>
        <w:rPr>
          <w:rFonts w:hint="eastAsia" w:ascii="宋体" w:hAnsi="宋体" w:eastAsia="宋体" w:cs="宋体"/>
          <w:sz w:val="21"/>
          <w:szCs w:val="21"/>
          <w:highlight w:val="none"/>
          <w:u w:val="single"/>
          <w:lang w:eastAsia="zh-CN"/>
        </w:rPr>
        <w:t>、</w:t>
      </w:r>
      <w:r>
        <w:rPr>
          <w:rFonts w:hint="eastAsia" w:ascii="宋体" w:hAnsi="宋体" w:eastAsia="宋体" w:cs="宋体"/>
          <w:kern w:val="0"/>
          <w:sz w:val="21"/>
          <w:szCs w:val="21"/>
          <w:highlight w:val="none"/>
          <w:u w:val="single"/>
        </w:rPr>
        <w:t>每月5日前提交上月监理月报</w:t>
      </w:r>
      <w:r>
        <w:rPr>
          <w:rFonts w:hint="eastAsia" w:ascii="宋体" w:hAnsi="宋体" w:eastAsia="宋体" w:cs="宋体"/>
          <w:kern w:val="0"/>
          <w:sz w:val="21"/>
          <w:szCs w:val="21"/>
          <w:highlight w:val="none"/>
          <w:u w:val="single"/>
          <w:lang w:eastAsia="zh-CN"/>
        </w:rPr>
        <w:t>、</w:t>
      </w:r>
      <w:r>
        <w:rPr>
          <w:rFonts w:hint="eastAsia" w:ascii="宋体" w:hAnsi="宋体" w:eastAsia="宋体" w:cs="宋体"/>
          <w:sz w:val="21"/>
          <w:szCs w:val="21"/>
          <w:highlight w:val="none"/>
          <w:u w:val="single"/>
        </w:rPr>
        <w:t xml:space="preserve">单项工程完工提交单项工程质量评估报告 </w:t>
      </w:r>
      <w:r>
        <w:rPr>
          <w:rFonts w:hint="eastAsia" w:ascii="宋体" w:hAnsi="宋体" w:eastAsia="宋体" w:cs="宋体"/>
          <w:sz w:val="21"/>
          <w:szCs w:val="21"/>
          <w:highlight w:val="none"/>
        </w:rPr>
        <w:t>。</w:t>
      </w:r>
    </w:p>
    <w:p w14:paraId="13D2C8CF">
      <w:pPr>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2.7 使用委托人的财产</w:t>
      </w:r>
    </w:p>
    <w:p w14:paraId="1408D036">
      <w:pPr>
        <w:spacing w:line="360" w:lineRule="auto"/>
        <w:ind w:left="600" w:hanging="525" w:hangingChars="25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附录B中由委托人无偿提供的房屋、设备的所有权属于：</w:t>
      </w:r>
      <w:r>
        <w:rPr>
          <w:rFonts w:hint="eastAsia" w:ascii="宋体" w:hAnsi="宋体" w:eastAsia="宋体" w:cs="宋体"/>
          <w:sz w:val="21"/>
          <w:szCs w:val="21"/>
          <w:highlight w:val="none"/>
          <w:u w:val="single"/>
        </w:rPr>
        <w:t xml:space="preserve"> 委托人 </w:t>
      </w:r>
      <w:r>
        <w:rPr>
          <w:rFonts w:hint="eastAsia" w:ascii="宋体" w:hAnsi="宋体" w:eastAsia="宋体" w:cs="宋体"/>
          <w:sz w:val="21"/>
          <w:szCs w:val="21"/>
          <w:highlight w:val="none"/>
        </w:rPr>
        <w:t>。</w:t>
      </w:r>
    </w:p>
    <w:p w14:paraId="1CAC4E68">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监理人应在本合同终止后</w:t>
      </w:r>
      <w:r>
        <w:rPr>
          <w:rFonts w:hint="eastAsia" w:ascii="宋体" w:hAnsi="宋体" w:eastAsia="宋体" w:cs="宋体"/>
          <w:sz w:val="21"/>
          <w:szCs w:val="21"/>
          <w:highlight w:val="none"/>
          <w:u w:val="single"/>
        </w:rPr>
        <w:t xml:space="preserve"> 15 </w:t>
      </w:r>
      <w:r>
        <w:rPr>
          <w:rFonts w:hint="eastAsia" w:ascii="宋体" w:hAnsi="宋体" w:eastAsia="宋体" w:cs="宋体"/>
          <w:sz w:val="21"/>
          <w:szCs w:val="21"/>
          <w:highlight w:val="none"/>
        </w:rPr>
        <w:t>天内移交委托人无偿提供的房屋、设备，移交的时间和方式为：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50DAE56">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rPr>
        <w:t xml:space="preserve">3. 委托人义务  </w:t>
      </w:r>
    </w:p>
    <w:p w14:paraId="0B902707">
      <w:pPr>
        <w:snapToGrid w:val="0"/>
        <w:spacing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3.4 委托人代表</w:t>
      </w:r>
    </w:p>
    <w:p w14:paraId="5C722B7C">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委托人代表为：</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14:paraId="3DB5FE71">
      <w:pPr>
        <w:adjustRightInd w:val="0"/>
        <w:snapToGrid w:val="0"/>
        <w:spacing w:line="360" w:lineRule="auto"/>
        <w:ind w:firstLine="205" w:firstLineChars="98"/>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3.6 答复</w:t>
      </w:r>
    </w:p>
    <w:p w14:paraId="52CE30D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委托人同意在</w:t>
      </w:r>
      <w:r>
        <w:rPr>
          <w:rFonts w:hint="eastAsia" w:ascii="宋体" w:hAnsi="宋体" w:eastAsia="宋体" w:cs="宋体"/>
          <w:sz w:val="21"/>
          <w:szCs w:val="21"/>
          <w:highlight w:val="none"/>
          <w:u w:val="single"/>
        </w:rPr>
        <w:t xml:space="preserve"> 30 </w:t>
      </w:r>
      <w:r>
        <w:rPr>
          <w:rFonts w:hint="eastAsia" w:ascii="宋体" w:hAnsi="宋体" w:eastAsia="宋体" w:cs="宋体"/>
          <w:sz w:val="21"/>
          <w:szCs w:val="21"/>
          <w:highlight w:val="none"/>
        </w:rPr>
        <w:t>天内，对监理人书面提交并要求做出决定的事宜给予书面答复。</w:t>
      </w:r>
    </w:p>
    <w:p w14:paraId="1D7040D5">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4. 违约责任</w:t>
      </w:r>
    </w:p>
    <w:p w14:paraId="079A3DD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 监理人的违约责任</w:t>
      </w:r>
    </w:p>
    <w:p w14:paraId="1281223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4.1.1监理人赔偿金额按下列方法确定：</w:t>
      </w:r>
    </w:p>
    <w:p w14:paraId="6AEFA83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赔偿金＝直接经济损失×5%</w:t>
      </w:r>
    </w:p>
    <w:p w14:paraId="57B0295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 委托人的违约责任</w:t>
      </w:r>
    </w:p>
    <w:p w14:paraId="52DFDE9C">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4.2.3 委托人逾期付款利息按下列方法确定：</w:t>
      </w:r>
    </w:p>
    <w:p w14:paraId="30B2BD1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逾期付款利息＝当期应付款总额×银行同期贷款利率×拖延支付天数</w:t>
      </w:r>
    </w:p>
    <w:p w14:paraId="455FB2AC">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5. 支付</w:t>
      </w:r>
    </w:p>
    <w:p w14:paraId="391BBE33">
      <w:pPr>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5.1 支付货币</w:t>
      </w:r>
    </w:p>
    <w:p w14:paraId="6D10FF65">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币种为：</w:t>
      </w:r>
      <w:r>
        <w:rPr>
          <w:rFonts w:hint="eastAsia" w:ascii="宋体" w:hAnsi="宋体" w:eastAsia="宋体" w:cs="宋体"/>
          <w:sz w:val="21"/>
          <w:szCs w:val="21"/>
          <w:highlight w:val="none"/>
          <w:u w:val="single"/>
        </w:rPr>
        <w:t xml:space="preserve"> 人民币  </w:t>
      </w:r>
      <w:r>
        <w:rPr>
          <w:rFonts w:hint="eastAsia" w:ascii="宋体" w:hAnsi="宋体" w:eastAsia="宋体" w:cs="宋体"/>
          <w:sz w:val="21"/>
          <w:szCs w:val="21"/>
          <w:highlight w:val="none"/>
        </w:rPr>
        <w:t>，比例为：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，汇率为：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 xml:space="preserve">。 </w:t>
      </w:r>
    </w:p>
    <w:p w14:paraId="41E21A92">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5.3 支付酬金</w:t>
      </w:r>
    </w:p>
    <w:p w14:paraId="4AE695D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正常工作酬金的支付：</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w:t>
      </w:r>
    </w:p>
    <w:p w14:paraId="05492400">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6. 合同生效、变更、暂停、解除与终止</w:t>
      </w:r>
    </w:p>
    <w:p w14:paraId="7B0539AF">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6.1 生效</w:t>
      </w:r>
    </w:p>
    <w:p w14:paraId="773FD74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本合同生效条件：</w:t>
      </w:r>
      <w:r>
        <w:rPr>
          <w:rFonts w:hint="eastAsia" w:ascii="宋体" w:hAnsi="宋体" w:eastAsia="宋体" w:cs="宋体"/>
          <w:sz w:val="21"/>
          <w:szCs w:val="21"/>
          <w:highlight w:val="none"/>
          <w:u w:val="single"/>
        </w:rPr>
        <w:t>双方签字盖章后生效</w:t>
      </w:r>
      <w:r>
        <w:rPr>
          <w:rFonts w:hint="eastAsia" w:ascii="宋体" w:hAnsi="宋体" w:eastAsia="宋体" w:cs="宋体"/>
          <w:sz w:val="21"/>
          <w:szCs w:val="21"/>
          <w:highlight w:val="none"/>
        </w:rPr>
        <w:t xml:space="preserve"> 。</w:t>
      </w:r>
    </w:p>
    <w:p w14:paraId="1CA2EB15">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 变更</w:t>
      </w:r>
    </w:p>
    <w:p w14:paraId="334AE28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6.2.2 除不可抗力外， 因非监理人原因导致本合同期限延长时，附加工作酬金按下列方法确定：不增加工作酬金</w:t>
      </w:r>
    </w:p>
    <w:p w14:paraId="3039EC8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6.2.3附加工作酬金按下列方法确定：</w:t>
      </w:r>
      <w:r>
        <w:rPr>
          <w:rFonts w:hint="eastAsia" w:ascii="宋体" w:hAnsi="宋体" w:eastAsia="宋体" w:cs="宋体"/>
          <w:sz w:val="21"/>
          <w:szCs w:val="21"/>
          <w:highlight w:val="none"/>
          <w:u w:val="single"/>
        </w:rPr>
        <w:t>无</w:t>
      </w:r>
    </w:p>
    <w:p w14:paraId="4BC3E29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6.2.5 正常工作酬金增加额按下列方法确定：无</w:t>
      </w:r>
    </w:p>
    <w:p w14:paraId="43818CE0">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6.2.6 因工程规模、监理范围的变化导致监理人的正常工作量减少时，按减少工作量的比例从协议书约定的正常工作酬金中扣减相同比例的酬金。</w:t>
      </w:r>
    </w:p>
    <w:p w14:paraId="52F4ED77">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7. 争议解决</w:t>
      </w:r>
    </w:p>
    <w:p w14:paraId="41A60246">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7.2 调解</w:t>
      </w:r>
    </w:p>
    <w:p w14:paraId="53232291">
      <w:pPr>
        <w:snapToGrid w:val="0"/>
        <w:spacing w:line="360" w:lineRule="auto"/>
        <w:ind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本合同争议进行调解时，可提交进行调解。</w:t>
      </w:r>
    </w:p>
    <w:p w14:paraId="48A03986">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7.3 仲裁或诉讼</w:t>
      </w:r>
    </w:p>
    <w:p w14:paraId="418003C3">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合同争议的最终解决方式为下列第</w:t>
      </w:r>
      <w:r>
        <w:rPr>
          <w:rFonts w:hint="eastAsia" w:ascii="宋体" w:hAnsi="宋体" w:eastAsia="宋体" w:cs="宋体"/>
          <w:sz w:val="21"/>
          <w:szCs w:val="21"/>
          <w:highlight w:val="none"/>
          <w:u w:val="single"/>
        </w:rPr>
        <w:t>（1）</w:t>
      </w:r>
      <w:r>
        <w:rPr>
          <w:rFonts w:hint="eastAsia" w:ascii="宋体" w:hAnsi="宋体" w:eastAsia="宋体" w:cs="宋体"/>
          <w:sz w:val="21"/>
          <w:szCs w:val="21"/>
          <w:highlight w:val="none"/>
        </w:rPr>
        <w:t>种方式：</w:t>
      </w:r>
    </w:p>
    <w:p w14:paraId="41252F31">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（1）提请</w:t>
      </w:r>
      <w:r>
        <w:rPr>
          <w:rFonts w:hint="eastAsia" w:ascii="宋体" w:hAnsi="宋体" w:eastAsia="宋体" w:cs="宋体"/>
          <w:sz w:val="21"/>
          <w:szCs w:val="21"/>
          <w:highlight w:val="none"/>
          <w:u w:val="single"/>
        </w:rPr>
        <w:t xml:space="preserve"> 三门峡市 </w:t>
      </w:r>
      <w:r>
        <w:rPr>
          <w:rFonts w:hint="eastAsia" w:ascii="宋体" w:hAnsi="宋体" w:eastAsia="宋体" w:cs="宋体"/>
          <w:sz w:val="21"/>
          <w:szCs w:val="21"/>
          <w:highlight w:val="none"/>
        </w:rPr>
        <w:t>仲裁委员会进行仲裁。</w:t>
      </w:r>
    </w:p>
    <w:p w14:paraId="0ECF1849">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（2）向</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人民法院提起诉讼。</w:t>
      </w:r>
    </w:p>
    <w:p w14:paraId="289B5143">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8. 其他</w:t>
      </w:r>
    </w:p>
    <w:p w14:paraId="3A2D9D02">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8.2 检测费用</w:t>
      </w:r>
    </w:p>
    <w:p w14:paraId="1E3223CD">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委托人应在检测工作完成后</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天内支付检测费用。</w:t>
      </w:r>
    </w:p>
    <w:p w14:paraId="412604FB">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8.3 咨询费用</w:t>
      </w:r>
    </w:p>
    <w:p w14:paraId="2380EDEF">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委托人应在咨询工作完成后</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天内支付咨询费用。</w:t>
      </w:r>
    </w:p>
    <w:p w14:paraId="266982D3">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8.4 奖励</w:t>
      </w:r>
    </w:p>
    <w:p w14:paraId="33411D3F">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合理化建议的奖励金额按下列方法确定为：</w:t>
      </w:r>
    </w:p>
    <w:p w14:paraId="59EA5B1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奖励金额＝工程投资节省额×奖励金额的比率；</w:t>
      </w:r>
    </w:p>
    <w:p w14:paraId="69F584C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奖励金额的比率为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2F299638">
      <w:pPr>
        <w:adjustRightInd w:val="0"/>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8.6 保密</w:t>
      </w:r>
    </w:p>
    <w:p w14:paraId="67223CEB">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委托人申明的保密事项和期限：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13713E30">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监理人申明的保密事项和期限：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6B87CD54">
      <w:pPr>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第三方申明的保密事项和期限：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17A382DC">
      <w:pPr>
        <w:snapToGrid w:val="0"/>
        <w:spacing w:line="360" w:lineRule="auto"/>
        <w:ind w:firstLine="205" w:firstLineChars="98"/>
        <w:rPr>
          <w:rFonts w:hint="eastAsia" w:ascii="宋体" w:hAnsi="宋体" w:eastAsia="宋体" w:cs="宋体"/>
          <w:sz w:val="21"/>
          <w:szCs w:val="21"/>
          <w:highlight w:val="none"/>
        </w:rPr>
      </w:pPr>
      <w:r>
        <w:rPr>
          <w:rFonts w:hint="eastAsia" w:ascii="宋体" w:hAnsi="宋体" w:eastAsia="宋体" w:cs="宋体"/>
          <w:sz w:val="21"/>
          <w:szCs w:val="21"/>
          <w:highlight w:val="none"/>
        </w:rPr>
        <w:t>8.8著作权</w:t>
      </w:r>
    </w:p>
    <w:p w14:paraId="65C6A92C">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监理人在本合同履行期间及本合同终止后两年内出版涉及本工程的有关监理与相关服务的资料的限制条件：</w:t>
      </w:r>
      <w:r>
        <w:rPr>
          <w:rFonts w:hint="eastAsia" w:ascii="宋体" w:hAnsi="宋体" w:eastAsia="宋体" w:cs="宋体"/>
          <w:sz w:val="21"/>
          <w:szCs w:val="21"/>
          <w:highlight w:val="none"/>
          <w:u w:val="single"/>
        </w:rPr>
        <w:t xml:space="preserve"> 经委托人书面同意         </w:t>
      </w:r>
      <w:r>
        <w:rPr>
          <w:rFonts w:hint="eastAsia" w:ascii="宋体" w:hAnsi="宋体" w:eastAsia="宋体" w:cs="宋体"/>
          <w:sz w:val="21"/>
          <w:szCs w:val="21"/>
          <w:highlight w:val="none"/>
        </w:rPr>
        <w:t>。</w:t>
      </w:r>
    </w:p>
    <w:p w14:paraId="16724DB3">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9. 补充条款</w:t>
      </w:r>
    </w:p>
    <w:p w14:paraId="6ACBD8B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9.1、投标书中载明的项目总监及其他监理人员未经建设单位同意不得更换或缺席，否则委托人有权终止合同。</w:t>
      </w:r>
    </w:p>
    <w:p w14:paraId="29A9FD4B">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9.2、工地现场实行签到制度，施工期间项目总监每周在现场工作时间不得少于5天，未经建设单位同意每缺席一天支付违约金800元；</w:t>
      </w:r>
    </w:p>
    <w:p w14:paraId="519FA5C4">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其他监理人员每周在现场工作时间不得少于6天；未经建设单位同意每人每缺席一天支付违约金600元。</w:t>
      </w:r>
    </w:p>
    <w:p w14:paraId="61803E0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9.3、如发现监理人员对施工单位有吃拿卡要行为，委托方每发现一次将对监理方处以一万元罚金，罚金从监理费中扣除。</w:t>
      </w:r>
    </w:p>
    <w:p w14:paraId="42F44490">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9.4、如监理人在工程量签证时虚增工程量，委托人将对监理人处以虚增工程量2倍的罚款，罚款从监理费中扣除，同时取消监理人今后参加委托人所有工程监理的投标资格。</w:t>
      </w:r>
    </w:p>
    <w:p w14:paraId="33EFD64E">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9.5、如果工程质量达不到合同要求，扣除不合格部分的全部监理费用，并处以相同数额的罚款。</w:t>
      </w:r>
    </w:p>
    <w:p w14:paraId="00D8B87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9.6、发现施工单位使用不合格材料而监理人未阻止的，每次处罚监理人2000元。</w:t>
      </w:r>
    </w:p>
    <w:p w14:paraId="28E5E09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9.7、因为安全防护措施不符合要求造成施工过程中发生损失10000元以上安全事故的，每次处罚监理人5000—20000元。</w:t>
      </w:r>
    </w:p>
    <w:p w14:paraId="7507EC73">
      <w:pPr>
        <w:pageBreakBefore/>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附录A  相关服务的范围和内容</w:t>
      </w:r>
    </w:p>
    <w:p w14:paraId="36CFE9D1">
      <w:pPr>
        <w:snapToGrid w:val="0"/>
        <w:spacing w:before="156" w:beforeLines="50" w:after="156" w:afterLines="50"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A-1 勘察阶段：</w:t>
      </w:r>
      <w:r>
        <w:rPr>
          <w:rFonts w:hint="eastAsia" w:ascii="宋体" w:hAnsi="宋体" w:eastAsia="宋体" w:cs="宋体"/>
          <w:sz w:val="21"/>
          <w:szCs w:val="21"/>
          <w:highlight w:val="none"/>
          <w:u w:val="single"/>
        </w:rPr>
        <w:t xml:space="preserve">         /                               </w:t>
      </w:r>
    </w:p>
    <w:p w14:paraId="58BD8468">
      <w:pPr>
        <w:snapToGrid w:val="0"/>
        <w:spacing w:before="156" w:beforeLines="50" w:after="156" w:afterLines="50"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A-2 设计阶段：</w:t>
      </w:r>
      <w:r>
        <w:rPr>
          <w:rFonts w:hint="eastAsia" w:ascii="宋体" w:hAnsi="宋体" w:eastAsia="宋体" w:cs="宋体"/>
          <w:sz w:val="21"/>
          <w:szCs w:val="21"/>
          <w:highlight w:val="none"/>
          <w:u w:val="single"/>
        </w:rPr>
        <w:t xml:space="preserve">           /                     </w:t>
      </w:r>
    </w:p>
    <w:p w14:paraId="03F1F081">
      <w:pPr>
        <w:snapToGrid w:val="0"/>
        <w:spacing w:before="156" w:beforeLines="50" w:after="156" w:afterLines="50"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A-3 保修阶段：</w:t>
      </w:r>
      <w:r>
        <w:rPr>
          <w:rFonts w:hint="eastAsia" w:ascii="宋体" w:hAnsi="宋体" w:eastAsia="宋体" w:cs="宋体"/>
          <w:sz w:val="21"/>
          <w:szCs w:val="21"/>
          <w:highlight w:val="none"/>
          <w:u w:val="single"/>
        </w:rPr>
        <w:t xml:space="preserve">审核批准维修方案，维修完成后进行验收  </w:t>
      </w:r>
      <w:r>
        <w:rPr>
          <w:rFonts w:hint="eastAsia" w:ascii="宋体" w:hAnsi="宋体" w:eastAsia="宋体" w:cs="宋体"/>
          <w:sz w:val="21"/>
          <w:szCs w:val="21"/>
          <w:highlight w:val="none"/>
        </w:rPr>
        <w:t>。</w:t>
      </w:r>
    </w:p>
    <w:p w14:paraId="1E7754D0">
      <w:pPr>
        <w:snapToGrid w:val="0"/>
        <w:spacing w:before="156" w:beforeLines="50" w:after="156" w:afterLines="50" w:line="360" w:lineRule="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A-4 </w:t>
      </w:r>
      <w:r>
        <w:rPr>
          <w:rFonts w:hint="eastAsia" w:ascii="宋体" w:hAnsi="宋体" w:eastAsia="宋体" w:cs="宋体"/>
          <w:sz w:val="21"/>
          <w:szCs w:val="21"/>
          <w:highlight w:val="none"/>
        </w:rPr>
        <w:t>其他（专业技术咨询、外部协调工作等）：</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14:paraId="54711B5E">
      <w:pPr>
        <w:snapToGrid w:val="0"/>
        <w:spacing w:before="156" w:beforeLines="50" w:after="156" w:afterLines="50" w:line="360" w:lineRule="auto"/>
        <w:ind w:firstLine="420" w:firstLineChars="200"/>
        <w:rPr>
          <w:rFonts w:hint="eastAsia" w:ascii="宋体" w:hAnsi="宋体" w:eastAsia="宋体" w:cs="宋体"/>
          <w:sz w:val="21"/>
          <w:szCs w:val="21"/>
          <w:highlight w:val="none"/>
        </w:rPr>
      </w:pPr>
    </w:p>
    <w:p w14:paraId="19A9855D">
      <w:pPr>
        <w:spacing w:line="360" w:lineRule="auto"/>
        <w:rPr>
          <w:rFonts w:hint="eastAsia" w:ascii="宋体" w:hAnsi="宋体" w:eastAsia="宋体" w:cs="宋体"/>
          <w:sz w:val="21"/>
          <w:szCs w:val="21"/>
          <w:highlight w:val="none"/>
        </w:rPr>
      </w:pPr>
    </w:p>
    <w:p w14:paraId="6B0A08BC">
      <w:pPr>
        <w:pageBreakBefore/>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附录B  委托人派遣的人员和提供的房屋、资料、设备</w:t>
      </w:r>
    </w:p>
    <w:p w14:paraId="368760E9">
      <w:pPr>
        <w:spacing w:before="156" w:beforeLines="50"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B-1  委托人派遣的人员</w:t>
      </w:r>
    </w:p>
    <w:tbl>
      <w:tblPr>
        <w:tblStyle w:val="27"/>
        <w:tblW w:w="0" w:type="auto"/>
        <w:tblInd w:w="0" w:type="dxa"/>
        <w:tblLayout w:type="fixed"/>
        <w:tblCellMar>
          <w:top w:w="0" w:type="dxa"/>
          <w:left w:w="108" w:type="dxa"/>
          <w:bottom w:w="0" w:type="dxa"/>
          <w:right w:w="108" w:type="dxa"/>
        </w:tblCellMar>
      </w:tblPr>
      <w:tblGrid>
        <w:gridCol w:w="2808"/>
        <w:gridCol w:w="1770"/>
        <w:gridCol w:w="2130"/>
        <w:gridCol w:w="1860"/>
      </w:tblGrid>
      <w:tr w14:paraId="5D63E51D">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01F7865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770" w:type="dxa"/>
            <w:tcBorders>
              <w:top w:val="single" w:color="auto" w:sz="4" w:space="0"/>
              <w:left w:val="nil"/>
              <w:bottom w:val="single" w:color="auto" w:sz="4" w:space="0"/>
              <w:right w:val="single" w:color="auto" w:sz="4" w:space="0"/>
            </w:tcBorders>
            <w:noWrap w:val="0"/>
            <w:vAlign w:val="center"/>
          </w:tcPr>
          <w:p w14:paraId="664C6EA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130" w:type="dxa"/>
            <w:tcBorders>
              <w:top w:val="single" w:color="auto" w:sz="4" w:space="0"/>
              <w:left w:val="nil"/>
              <w:bottom w:val="single" w:color="auto" w:sz="4" w:space="0"/>
              <w:right w:val="single" w:color="auto" w:sz="4" w:space="0"/>
            </w:tcBorders>
            <w:noWrap w:val="0"/>
            <w:vAlign w:val="center"/>
          </w:tcPr>
          <w:p w14:paraId="5998BAB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工作要求</w:t>
            </w:r>
          </w:p>
        </w:tc>
        <w:tc>
          <w:tcPr>
            <w:tcW w:w="1860" w:type="dxa"/>
            <w:tcBorders>
              <w:top w:val="single" w:color="auto" w:sz="4" w:space="0"/>
              <w:left w:val="nil"/>
              <w:bottom w:val="single" w:color="auto" w:sz="4" w:space="0"/>
              <w:right w:val="single" w:color="auto" w:sz="4" w:space="0"/>
            </w:tcBorders>
            <w:noWrap w:val="0"/>
            <w:vAlign w:val="center"/>
          </w:tcPr>
          <w:p w14:paraId="3EFDF1B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4BBF120E">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5E9AF86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工程技术人员</w:t>
            </w:r>
          </w:p>
        </w:tc>
        <w:tc>
          <w:tcPr>
            <w:tcW w:w="1770" w:type="dxa"/>
            <w:tcBorders>
              <w:top w:val="single" w:color="auto" w:sz="4" w:space="0"/>
              <w:left w:val="nil"/>
              <w:bottom w:val="single" w:color="auto" w:sz="4" w:space="0"/>
              <w:right w:val="single" w:color="auto" w:sz="4" w:space="0"/>
            </w:tcBorders>
            <w:noWrap w:val="0"/>
            <w:vAlign w:val="center"/>
          </w:tcPr>
          <w:p w14:paraId="1D7DE2CD">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3840168F">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BC6A626">
            <w:pPr>
              <w:spacing w:line="360" w:lineRule="auto"/>
              <w:jc w:val="center"/>
              <w:rPr>
                <w:rFonts w:hint="eastAsia" w:ascii="宋体" w:hAnsi="宋体" w:eastAsia="宋体" w:cs="宋体"/>
                <w:sz w:val="21"/>
                <w:szCs w:val="21"/>
                <w:highlight w:val="none"/>
              </w:rPr>
            </w:pPr>
          </w:p>
        </w:tc>
      </w:tr>
      <w:tr w14:paraId="31C3F796">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4D8FE6A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辅助工作人员</w:t>
            </w:r>
          </w:p>
        </w:tc>
        <w:tc>
          <w:tcPr>
            <w:tcW w:w="1770" w:type="dxa"/>
            <w:tcBorders>
              <w:top w:val="single" w:color="auto" w:sz="4" w:space="0"/>
              <w:left w:val="nil"/>
              <w:bottom w:val="single" w:color="auto" w:sz="4" w:space="0"/>
              <w:right w:val="single" w:color="auto" w:sz="4" w:space="0"/>
            </w:tcBorders>
            <w:noWrap w:val="0"/>
            <w:vAlign w:val="center"/>
          </w:tcPr>
          <w:p w14:paraId="7655BA55">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3B442902">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310C857F">
            <w:pPr>
              <w:spacing w:line="360" w:lineRule="auto"/>
              <w:jc w:val="center"/>
              <w:rPr>
                <w:rFonts w:hint="eastAsia" w:ascii="宋体" w:hAnsi="宋体" w:eastAsia="宋体" w:cs="宋体"/>
                <w:sz w:val="21"/>
                <w:szCs w:val="21"/>
                <w:highlight w:val="none"/>
              </w:rPr>
            </w:pPr>
          </w:p>
        </w:tc>
      </w:tr>
      <w:tr w14:paraId="3A08ECE4">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39EE426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 其他人员</w:t>
            </w:r>
          </w:p>
        </w:tc>
        <w:tc>
          <w:tcPr>
            <w:tcW w:w="1770" w:type="dxa"/>
            <w:tcBorders>
              <w:top w:val="single" w:color="auto" w:sz="4" w:space="0"/>
              <w:left w:val="nil"/>
              <w:bottom w:val="single" w:color="auto" w:sz="4" w:space="0"/>
              <w:right w:val="single" w:color="auto" w:sz="4" w:space="0"/>
            </w:tcBorders>
            <w:noWrap w:val="0"/>
            <w:vAlign w:val="center"/>
          </w:tcPr>
          <w:p w14:paraId="29247D77">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461B04FA">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03CCCE59">
            <w:pPr>
              <w:spacing w:line="360" w:lineRule="auto"/>
              <w:jc w:val="center"/>
              <w:rPr>
                <w:rFonts w:hint="eastAsia" w:ascii="宋体" w:hAnsi="宋体" w:eastAsia="宋体" w:cs="宋体"/>
                <w:sz w:val="21"/>
                <w:szCs w:val="21"/>
                <w:highlight w:val="none"/>
              </w:rPr>
            </w:pPr>
          </w:p>
        </w:tc>
      </w:tr>
      <w:tr w14:paraId="651F743F">
        <w:tblPrEx>
          <w:tblCellMar>
            <w:top w:w="0" w:type="dxa"/>
            <w:left w:w="108" w:type="dxa"/>
            <w:bottom w:w="0" w:type="dxa"/>
            <w:right w:w="108" w:type="dxa"/>
          </w:tblCellMar>
        </w:tblPrEx>
        <w:tc>
          <w:tcPr>
            <w:tcW w:w="2808" w:type="dxa"/>
            <w:tcBorders>
              <w:top w:val="single" w:color="auto" w:sz="4" w:space="0"/>
              <w:left w:val="single" w:color="auto" w:sz="4" w:space="0"/>
              <w:bottom w:val="single" w:color="auto" w:sz="4" w:space="0"/>
              <w:right w:val="single" w:color="auto" w:sz="4" w:space="0"/>
            </w:tcBorders>
            <w:noWrap w:val="0"/>
            <w:vAlign w:val="center"/>
          </w:tcPr>
          <w:p w14:paraId="38EE2317">
            <w:pPr>
              <w:spacing w:line="360" w:lineRule="auto"/>
              <w:jc w:val="center"/>
              <w:rPr>
                <w:rFonts w:hint="eastAsia" w:ascii="宋体" w:hAnsi="宋体" w:eastAsia="宋体" w:cs="宋体"/>
                <w:sz w:val="21"/>
                <w:szCs w:val="21"/>
                <w:highlight w:val="none"/>
              </w:rPr>
            </w:pPr>
          </w:p>
        </w:tc>
        <w:tc>
          <w:tcPr>
            <w:tcW w:w="1770" w:type="dxa"/>
            <w:tcBorders>
              <w:top w:val="single" w:color="auto" w:sz="4" w:space="0"/>
              <w:left w:val="nil"/>
              <w:bottom w:val="single" w:color="auto" w:sz="4" w:space="0"/>
              <w:right w:val="single" w:color="auto" w:sz="4" w:space="0"/>
            </w:tcBorders>
            <w:noWrap w:val="0"/>
            <w:vAlign w:val="center"/>
          </w:tcPr>
          <w:p w14:paraId="102F2450">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26D7812C">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70428107">
            <w:pPr>
              <w:spacing w:line="360" w:lineRule="auto"/>
              <w:jc w:val="center"/>
              <w:rPr>
                <w:rFonts w:hint="eastAsia" w:ascii="宋体" w:hAnsi="宋体" w:eastAsia="宋体" w:cs="宋体"/>
                <w:sz w:val="21"/>
                <w:szCs w:val="21"/>
                <w:highlight w:val="none"/>
              </w:rPr>
            </w:pPr>
          </w:p>
        </w:tc>
      </w:tr>
    </w:tbl>
    <w:p w14:paraId="30443F7F">
      <w:pPr>
        <w:spacing w:before="156" w:beforeLines="50" w:line="360" w:lineRule="auto"/>
        <w:rPr>
          <w:rFonts w:hint="eastAsia" w:ascii="宋体" w:hAnsi="宋体" w:eastAsia="宋体" w:cs="宋体"/>
          <w:b/>
          <w:bCs/>
          <w:kern w:val="0"/>
          <w:sz w:val="21"/>
          <w:szCs w:val="21"/>
          <w:highlight w:val="none"/>
        </w:rPr>
      </w:pPr>
      <w:bookmarkStart w:id="761" w:name="_Toc456102388"/>
      <w:bookmarkEnd w:id="761"/>
      <w:bookmarkStart w:id="762" w:name="_Toc5167"/>
      <w:r>
        <w:rPr>
          <w:rFonts w:hint="eastAsia" w:ascii="宋体" w:hAnsi="宋体" w:eastAsia="宋体" w:cs="宋体"/>
          <w:b/>
          <w:bCs/>
          <w:kern w:val="0"/>
          <w:sz w:val="21"/>
          <w:szCs w:val="21"/>
          <w:highlight w:val="none"/>
        </w:rPr>
        <w:t>B-2  委托人提供的房屋</w:t>
      </w:r>
      <w:bookmarkEnd w:id="762"/>
    </w:p>
    <w:tbl>
      <w:tblPr>
        <w:tblStyle w:val="27"/>
        <w:tblW w:w="0" w:type="auto"/>
        <w:tblInd w:w="0" w:type="dxa"/>
        <w:tblLayout w:type="fixed"/>
        <w:tblCellMar>
          <w:top w:w="0" w:type="dxa"/>
          <w:left w:w="108" w:type="dxa"/>
          <w:bottom w:w="0" w:type="dxa"/>
          <w:right w:w="108" w:type="dxa"/>
        </w:tblCellMar>
      </w:tblPr>
      <w:tblGrid>
        <w:gridCol w:w="2448"/>
        <w:gridCol w:w="1771"/>
        <w:gridCol w:w="2268"/>
        <w:gridCol w:w="2081"/>
      </w:tblGrid>
      <w:tr w14:paraId="5A43ADA6">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424C86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771" w:type="dxa"/>
            <w:tcBorders>
              <w:top w:val="single" w:color="auto" w:sz="4" w:space="0"/>
              <w:left w:val="nil"/>
              <w:bottom w:val="single" w:color="auto" w:sz="4" w:space="0"/>
              <w:right w:val="single" w:color="auto" w:sz="4" w:space="0"/>
            </w:tcBorders>
            <w:noWrap w:val="0"/>
            <w:vAlign w:val="center"/>
          </w:tcPr>
          <w:p w14:paraId="4999FF5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268" w:type="dxa"/>
            <w:tcBorders>
              <w:top w:val="single" w:color="auto" w:sz="4" w:space="0"/>
              <w:left w:val="nil"/>
              <w:bottom w:val="single" w:color="auto" w:sz="4" w:space="0"/>
              <w:right w:val="single" w:color="auto" w:sz="4" w:space="0"/>
            </w:tcBorders>
            <w:noWrap w:val="0"/>
            <w:vAlign w:val="center"/>
          </w:tcPr>
          <w:p w14:paraId="0D70B85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面积</w:t>
            </w:r>
          </w:p>
        </w:tc>
        <w:tc>
          <w:tcPr>
            <w:tcW w:w="2081" w:type="dxa"/>
            <w:tcBorders>
              <w:top w:val="single" w:color="auto" w:sz="4" w:space="0"/>
              <w:left w:val="nil"/>
              <w:bottom w:val="single" w:color="auto" w:sz="4" w:space="0"/>
              <w:right w:val="single" w:color="auto" w:sz="4" w:space="0"/>
            </w:tcBorders>
            <w:noWrap w:val="0"/>
            <w:vAlign w:val="center"/>
          </w:tcPr>
          <w:p w14:paraId="405E350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2A454C15">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4C392EA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办公用房</w:t>
            </w:r>
          </w:p>
        </w:tc>
        <w:tc>
          <w:tcPr>
            <w:tcW w:w="1771" w:type="dxa"/>
            <w:tcBorders>
              <w:top w:val="single" w:color="auto" w:sz="4" w:space="0"/>
              <w:left w:val="nil"/>
              <w:bottom w:val="single" w:color="auto" w:sz="4" w:space="0"/>
              <w:right w:val="single" w:color="auto" w:sz="4" w:space="0"/>
            </w:tcBorders>
            <w:noWrap w:val="0"/>
            <w:vAlign w:val="center"/>
          </w:tcPr>
          <w:p w14:paraId="7579FA4B">
            <w:pPr>
              <w:spacing w:line="360" w:lineRule="auto"/>
              <w:ind w:firstLine="315" w:firstLineChars="1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1间</w:t>
            </w:r>
          </w:p>
        </w:tc>
        <w:tc>
          <w:tcPr>
            <w:tcW w:w="2268" w:type="dxa"/>
            <w:tcBorders>
              <w:top w:val="single" w:color="auto" w:sz="4" w:space="0"/>
              <w:left w:val="nil"/>
              <w:bottom w:val="single" w:color="auto" w:sz="4" w:space="0"/>
              <w:right w:val="single" w:color="auto" w:sz="4" w:space="0"/>
            </w:tcBorders>
            <w:noWrap w:val="0"/>
            <w:vAlign w:val="center"/>
          </w:tcPr>
          <w:p w14:paraId="6427935B">
            <w:pPr>
              <w:spacing w:line="360" w:lineRule="auto"/>
              <w:ind w:firstLine="210" w:firstLineChars="1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12平方米以上</w:t>
            </w:r>
          </w:p>
        </w:tc>
        <w:tc>
          <w:tcPr>
            <w:tcW w:w="2081" w:type="dxa"/>
            <w:tcBorders>
              <w:top w:val="single" w:color="auto" w:sz="4" w:space="0"/>
              <w:left w:val="nil"/>
              <w:bottom w:val="single" w:color="auto" w:sz="4" w:space="0"/>
              <w:right w:val="single" w:color="auto" w:sz="4" w:space="0"/>
            </w:tcBorders>
            <w:noWrap w:val="0"/>
            <w:vAlign w:val="center"/>
          </w:tcPr>
          <w:p w14:paraId="578C269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工程开工至工程竣工</w:t>
            </w:r>
          </w:p>
        </w:tc>
      </w:tr>
      <w:tr w14:paraId="4D0AB861">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07652B3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生活用房</w:t>
            </w:r>
          </w:p>
        </w:tc>
        <w:tc>
          <w:tcPr>
            <w:tcW w:w="1771" w:type="dxa"/>
            <w:tcBorders>
              <w:top w:val="single" w:color="auto" w:sz="4" w:space="0"/>
              <w:left w:val="nil"/>
              <w:bottom w:val="single" w:color="auto" w:sz="4" w:space="0"/>
              <w:right w:val="single" w:color="auto" w:sz="4" w:space="0"/>
            </w:tcBorders>
            <w:noWrap w:val="0"/>
            <w:vAlign w:val="center"/>
          </w:tcPr>
          <w:p w14:paraId="0D5A05B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0A2EDD4F">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44184FA9">
            <w:pPr>
              <w:spacing w:line="360" w:lineRule="auto"/>
              <w:jc w:val="center"/>
              <w:rPr>
                <w:rFonts w:hint="eastAsia" w:ascii="宋体" w:hAnsi="宋体" w:eastAsia="宋体" w:cs="宋体"/>
                <w:sz w:val="21"/>
                <w:szCs w:val="21"/>
                <w:highlight w:val="none"/>
              </w:rPr>
            </w:pPr>
          </w:p>
        </w:tc>
      </w:tr>
      <w:tr w14:paraId="2CDF4772">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1A333E12">
            <w:pPr>
              <w:spacing w:line="360" w:lineRule="auto"/>
              <w:jc w:val="center"/>
              <w:rPr>
                <w:rFonts w:hint="eastAsia" w:ascii="宋体" w:hAnsi="宋体" w:eastAsia="宋体" w:cs="宋体"/>
                <w:dstrike/>
                <w:sz w:val="21"/>
                <w:szCs w:val="21"/>
                <w:highlight w:val="none"/>
              </w:rPr>
            </w:pPr>
            <w:r>
              <w:rPr>
                <w:rFonts w:hint="eastAsia" w:ascii="宋体" w:hAnsi="宋体" w:eastAsia="宋体" w:cs="宋体"/>
                <w:sz w:val="21"/>
                <w:szCs w:val="21"/>
                <w:highlight w:val="none"/>
              </w:rPr>
              <w:t>3. 试验用房</w:t>
            </w:r>
          </w:p>
        </w:tc>
        <w:tc>
          <w:tcPr>
            <w:tcW w:w="1771" w:type="dxa"/>
            <w:tcBorders>
              <w:top w:val="single" w:color="auto" w:sz="4" w:space="0"/>
              <w:left w:val="nil"/>
              <w:bottom w:val="single" w:color="auto" w:sz="4" w:space="0"/>
              <w:right w:val="single" w:color="auto" w:sz="4" w:space="0"/>
            </w:tcBorders>
            <w:noWrap w:val="0"/>
            <w:vAlign w:val="center"/>
          </w:tcPr>
          <w:p w14:paraId="1F570EB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7226E688">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225FD15A">
            <w:pPr>
              <w:spacing w:line="360" w:lineRule="auto"/>
              <w:jc w:val="center"/>
              <w:rPr>
                <w:rFonts w:hint="eastAsia" w:ascii="宋体" w:hAnsi="宋体" w:eastAsia="宋体" w:cs="宋体"/>
                <w:sz w:val="21"/>
                <w:szCs w:val="21"/>
                <w:highlight w:val="none"/>
              </w:rPr>
            </w:pPr>
          </w:p>
        </w:tc>
      </w:tr>
      <w:tr w14:paraId="22B6C8E1">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377585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 样品用房</w:t>
            </w:r>
          </w:p>
        </w:tc>
        <w:tc>
          <w:tcPr>
            <w:tcW w:w="1771" w:type="dxa"/>
            <w:tcBorders>
              <w:top w:val="single" w:color="auto" w:sz="4" w:space="0"/>
              <w:left w:val="nil"/>
              <w:bottom w:val="single" w:color="auto" w:sz="4" w:space="0"/>
              <w:right w:val="single" w:color="auto" w:sz="4" w:space="0"/>
            </w:tcBorders>
            <w:noWrap w:val="0"/>
            <w:vAlign w:val="center"/>
          </w:tcPr>
          <w:p w14:paraId="512836B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268" w:type="dxa"/>
            <w:tcBorders>
              <w:top w:val="single" w:color="auto" w:sz="4" w:space="0"/>
              <w:left w:val="nil"/>
              <w:bottom w:val="single" w:color="auto" w:sz="4" w:space="0"/>
              <w:right w:val="single" w:color="auto" w:sz="4" w:space="0"/>
            </w:tcBorders>
            <w:noWrap w:val="0"/>
            <w:vAlign w:val="center"/>
          </w:tcPr>
          <w:p w14:paraId="5B935E64">
            <w:pPr>
              <w:spacing w:line="360" w:lineRule="auto"/>
              <w:jc w:val="center"/>
              <w:rPr>
                <w:rFonts w:hint="eastAsia" w:ascii="宋体" w:hAnsi="宋体" w:eastAsia="宋体" w:cs="宋体"/>
                <w:sz w:val="21"/>
                <w:szCs w:val="21"/>
                <w:highlight w:val="none"/>
              </w:rPr>
            </w:pPr>
          </w:p>
        </w:tc>
        <w:tc>
          <w:tcPr>
            <w:tcW w:w="2081" w:type="dxa"/>
            <w:tcBorders>
              <w:top w:val="single" w:color="auto" w:sz="4" w:space="0"/>
              <w:left w:val="nil"/>
              <w:bottom w:val="single" w:color="auto" w:sz="4" w:space="0"/>
              <w:right w:val="single" w:color="auto" w:sz="4" w:space="0"/>
            </w:tcBorders>
            <w:noWrap w:val="0"/>
            <w:vAlign w:val="center"/>
          </w:tcPr>
          <w:p w14:paraId="12C89FCE">
            <w:pPr>
              <w:spacing w:line="360" w:lineRule="auto"/>
              <w:jc w:val="center"/>
              <w:rPr>
                <w:rFonts w:hint="eastAsia" w:ascii="宋体" w:hAnsi="宋体" w:eastAsia="宋体" w:cs="宋体"/>
                <w:sz w:val="21"/>
                <w:szCs w:val="21"/>
                <w:highlight w:val="none"/>
              </w:rPr>
            </w:pPr>
          </w:p>
        </w:tc>
      </w:tr>
      <w:tr w14:paraId="3DA762E5">
        <w:tblPrEx>
          <w:tblCellMar>
            <w:top w:w="0" w:type="dxa"/>
            <w:left w:w="108" w:type="dxa"/>
            <w:bottom w:w="0" w:type="dxa"/>
            <w:right w:w="108" w:type="dxa"/>
          </w:tblCellMar>
        </w:tblPrEx>
        <w:tc>
          <w:tcPr>
            <w:tcW w:w="2448" w:type="dxa"/>
            <w:tcBorders>
              <w:top w:val="single" w:color="auto" w:sz="4" w:space="0"/>
              <w:left w:val="single" w:color="auto" w:sz="4" w:space="0"/>
              <w:bottom w:val="single" w:color="auto" w:sz="4" w:space="0"/>
              <w:right w:val="single" w:color="auto" w:sz="4" w:space="0"/>
            </w:tcBorders>
            <w:noWrap w:val="0"/>
            <w:vAlign w:val="center"/>
          </w:tcPr>
          <w:p w14:paraId="5A5383E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用餐及其他生活条件</w:t>
            </w:r>
          </w:p>
        </w:tc>
        <w:tc>
          <w:tcPr>
            <w:tcW w:w="6120" w:type="dxa"/>
            <w:gridSpan w:val="3"/>
            <w:tcBorders>
              <w:top w:val="single" w:color="auto" w:sz="4" w:space="0"/>
              <w:left w:val="nil"/>
              <w:bottom w:val="single" w:color="auto" w:sz="4" w:space="0"/>
              <w:right w:val="single" w:color="auto" w:sz="4" w:space="0"/>
            </w:tcBorders>
            <w:noWrap w:val="0"/>
            <w:vAlign w:val="center"/>
          </w:tcPr>
          <w:p w14:paraId="3A9D841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r>
    </w:tbl>
    <w:p w14:paraId="47F8021C">
      <w:pPr>
        <w:spacing w:before="156" w:beforeLines="50" w:line="360" w:lineRule="auto"/>
        <w:rPr>
          <w:rFonts w:hint="eastAsia" w:ascii="宋体" w:hAnsi="宋体" w:eastAsia="宋体" w:cs="宋体"/>
          <w:b/>
          <w:bCs/>
          <w:kern w:val="0"/>
          <w:sz w:val="21"/>
          <w:szCs w:val="21"/>
          <w:highlight w:val="none"/>
        </w:rPr>
      </w:pPr>
      <w:bookmarkStart w:id="763" w:name="_Toc456102389"/>
      <w:bookmarkEnd w:id="763"/>
      <w:bookmarkStart w:id="764" w:name="_Toc10483"/>
      <w:r>
        <w:rPr>
          <w:rFonts w:hint="eastAsia" w:ascii="宋体" w:hAnsi="宋体" w:eastAsia="宋体" w:cs="宋体"/>
          <w:b/>
          <w:bCs/>
          <w:kern w:val="0"/>
          <w:sz w:val="21"/>
          <w:szCs w:val="21"/>
          <w:highlight w:val="none"/>
        </w:rPr>
        <w:t>B-3  委托人提供的资料</w:t>
      </w:r>
      <w:bookmarkEnd w:id="764"/>
    </w:p>
    <w:tbl>
      <w:tblPr>
        <w:tblStyle w:val="27"/>
        <w:tblW w:w="0" w:type="auto"/>
        <w:tblInd w:w="0" w:type="dxa"/>
        <w:tblLayout w:type="fixed"/>
        <w:tblCellMar>
          <w:top w:w="0" w:type="dxa"/>
          <w:left w:w="108" w:type="dxa"/>
          <w:bottom w:w="0" w:type="dxa"/>
          <w:right w:w="108" w:type="dxa"/>
        </w:tblCellMar>
      </w:tblPr>
      <w:tblGrid>
        <w:gridCol w:w="2802"/>
        <w:gridCol w:w="1491"/>
        <w:gridCol w:w="2147"/>
        <w:gridCol w:w="2082"/>
      </w:tblGrid>
      <w:tr w14:paraId="272125F0">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6561C6A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名称</w:t>
            </w:r>
          </w:p>
        </w:tc>
        <w:tc>
          <w:tcPr>
            <w:tcW w:w="1491" w:type="dxa"/>
            <w:tcBorders>
              <w:top w:val="single" w:color="auto" w:sz="4" w:space="0"/>
              <w:left w:val="nil"/>
              <w:bottom w:val="single" w:color="auto" w:sz="4" w:space="0"/>
              <w:right w:val="single" w:color="auto" w:sz="4" w:space="0"/>
            </w:tcBorders>
            <w:noWrap w:val="0"/>
            <w:vAlign w:val="center"/>
          </w:tcPr>
          <w:p w14:paraId="6E6C673D">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份数</w:t>
            </w:r>
          </w:p>
        </w:tc>
        <w:tc>
          <w:tcPr>
            <w:tcW w:w="2147" w:type="dxa"/>
            <w:tcBorders>
              <w:top w:val="single" w:color="auto" w:sz="4" w:space="0"/>
              <w:left w:val="nil"/>
              <w:bottom w:val="single" w:color="auto" w:sz="4" w:space="0"/>
              <w:right w:val="single" w:color="auto" w:sz="4" w:space="0"/>
            </w:tcBorders>
            <w:noWrap w:val="0"/>
            <w:vAlign w:val="center"/>
          </w:tcPr>
          <w:p w14:paraId="640E702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提供时间</w:t>
            </w:r>
          </w:p>
        </w:tc>
        <w:tc>
          <w:tcPr>
            <w:tcW w:w="2082" w:type="dxa"/>
            <w:tcBorders>
              <w:top w:val="single" w:color="auto" w:sz="4" w:space="0"/>
              <w:left w:val="nil"/>
              <w:bottom w:val="single" w:color="auto" w:sz="4" w:space="0"/>
              <w:right w:val="single" w:color="auto" w:sz="4" w:space="0"/>
            </w:tcBorders>
            <w:noWrap w:val="0"/>
            <w:vAlign w:val="center"/>
          </w:tcPr>
          <w:p w14:paraId="5CECFD6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备注</w:t>
            </w:r>
          </w:p>
        </w:tc>
      </w:tr>
      <w:tr w14:paraId="3B0F1ED3">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1A828CC">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 工程立项文件</w:t>
            </w:r>
          </w:p>
        </w:tc>
        <w:tc>
          <w:tcPr>
            <w:tcW w:w="1491" w:type="dxa"/>
            <w:tcBorders>
              <w:top w:val="single" w:color="auto" w:sz="4" w:space="0"/>
              <w:left w:val="nil"/>
              <w:bottom w:val="single" w:color="auto" w:sz="4" w:space="0"/>
              <w:right w:val="single" w:color="auto" w:sz="4" w:space="0"/>
            </w:tcBorders>
            <w:noWrap w:val="0"/>
            <w:vAlign w:val="center"/>
          </w:tcPr>
          <w:p w14:paraId="79BB835A">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6B93550F">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39CC803F">
            <w:pPr>
              <w:spacing w:line="360" w:lineRule="auto"/>
              <w:jc w:val="center"/>
              <w:rPr>
                <w:rFonts w:hint="eastAsia" w:ascii="宋体" w:hAnsi="宋体" w:eastAsia="宋体" w:cs="宋体"/>
                <w:kern w:val="0"/>
                <w:sz w:val="21"/>
                <w:szCs w:val="21"/>
                <w:highlight w:val="none"/>
              </w:rPr>
            </w:pPr>
          </w:p>
        </w:tc>
      </w:tr>
      <w:tr w14:paraId="1603D538">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607AFF3A">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 工程勘察文件</w:t>
            </w:r>
          </w:p>
        </w:tc>
        <w:tc>
          <w:tcPr>
            <w:tcW w:w="1491" w:type="dxa"/>
            <w:tcBorders>
              <w:top w:val="single" w:color="auto" w:sz="4" w:space="0"/>
              <w:left w:val="nil"/>
              <w:bottom w:val="single" w:color="auto" w:sz="4" w:space="0"/>
              <w:right w:val="single" w:color="auto" w:sz="4" w:space="0"/>
            </w:tcBorders>
            <w:noWrap w:val="0"/>
            <w:vAlign w:val="center"/>
          </w:tcPr>
          <w:p w14:paraId="7A18EB1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210AB8B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2B69276A">
            <w:pPr>
              <w:spacing w:line="360" w:lineRule="auto"/>
              <w:jc w:val="center"/>
              <w:rPr>
                <w:rFonts w:hint="eastAsia" w:ascii="宋体" w:hAnsi="宋体" w:eastAsia="宋体" w:cs="宋体"/>
                <w:kern w:val="0"/>
                <w:sz w:val="21"/>
                <w:szCs w:val="21"/>
                <w:highlight w:val="none"/>
              </w:rPr>
            </w:pPr>
          </w:p>
        </w:tc>
      </w:tr>
      <w:tr w14:paraId="0A449F66">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0F6CD3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 工程设计及施工图纸</w:t>
            </w:r>
          </w:p>
        </w:tc>
        <w:tc>
          <w:tcPr>
            <w:tcW w:w="1491" w:type="dxa"/>
            <w:tcBorders>
              <w:top w:val="single" w:color="auto" w:sz="4" w:space="0"/>
              <w:left w:val="nil"/>
              <w:bottom w:val="single" w:color="auto" w:sz="4" w:space="0"/>
              <w:right w:val="single" w:color="auto" w:sz="4" w:space="0"/>
            </w:tcBorders>
            <w:noWrap w:val="0"/>
            <w:vAlign w:val="center"/>
          </w:tcPr>
          <w:p w14:paraId="4527EEEE">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26FC88F2">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4385E098">
            <w:pPr>
              <w:spacing w:line="360" w:lineRule="auto"/>
              <w:jc w:val="center"/>
              <w:rPr>
                <w:rFonts w:hint="eastAsia" w:ascii="宋体" w:hAnsi="宋体" w:eastAsia="宋体" w:cs="宋体"/>
                <w:kern w:val="0"/>
                <w:sz w:val="21"/>
                <w:szCs w:val="21"/>
                <w:highlight w:val="none"/>
              </w:rPr>
            </w:pPr>
          </w:p>
        </w:tc>
      </w:tr>
      <w:tr w14:paraId="616B11B9">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7A0C389D">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 工程承包合同及其他相关合同</w:t>
            </w:r>
          </w:p>
        </w:tc>
        <w:tc>
          <w:tcPr>
            <w:tcW w:w="1491" w:type="dxa"/>
            <w:tcBorders>
              <w:top w:val="single" w:color="auto" w:sz="4" w:space="0"/>
              <w:left w:val="nil"/>
              <w:bottom w:val="single" w:color="auto" w:sz="4" w:space="0"/>
              <w:right w:val="single" w:color="auto" w:sz="4" w:space="0"/>
            </w:tcBorders>
            <w:noWrap w:val="0"/>
            <w:vAlign w:val="center"/>
          </w:tcPr>
          <w:p w14:paraId="703A5CB4">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596E31D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7429D603">
            <w:pPr>
              <w:spacing w:line="360" w:lineRule="auto"/>
              <w:jc w:val="center"/>
              <w:rPr>
                <w:rFonts w:hint="eastAsia" w:ascii="宋体" w:hAnsi="宋体" w:eastAsia="宋体" w:cs="宋体"/>
                <w:kern w:val="0"/>
                <w:sz w:val="21"/>
                <w:szCs w:val="21"/>
                <w:highlight w:val="none"/>
              </w:rPr>
            </w:pPr>
          </w:p>
        </w:tc>
      </w:tr>
      <w:tr w14:paraId="51B2A760">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2A5AA63C">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 施工许可文件</w:t>
            </w:r>
          </w:p>
        </w:tc>
        <w:tc>
          <w:tcPr>
            <w:tcW w:w="1491" w:type="dxa"/>
            <w:tcBorders>
              <w:top w:val="single" w:color="auto" w:sz="4" w:space="0"/>
              <w:left w:val="nil"/>
              <w:bottom w:val="single" w:color="auto" w:sz="4" w:space="0"/>
              <w:right w:val="single" w:color="auto" w:sz="4" w:space="0"/>
            </w:tcBorders>
            <w:noWrap w:val="0"/>
            <w:vAlign w:val="center"/>
          </w:tcPr>
          <w:p w14:paraId="251CA91F">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5964A51C">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5E794AD5">
            <w:pPr>
              <w:spacing w:line="360" w:lineRule="auto"/>
              <w:jc w:val="center"/>
              <w:rPr>
                <w:rFonts w:hint="eastAsia" w:ascii="宋体" w:hAnsi="宋体" w:eastAsia="宋体" w:cs="宋体"/>
                <w:kern w:val="0"/>
                <w:sz w:val="21"/>
                <w:szCs w:val="21"/>
                <w:highlight w:val="none"/>
              </w:rPr>
            </w:pPr>
          </w:p>
        </w:tc>
      </w:tr>
      <w:tr w14:paraId="6C0C7541">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0B376198">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 其他文件</w:t>
            </w:r>
          </w:p>
        </w:tc>
        <w:tc>
          <w:tcPr>
            <w:tcW w:w="1491" w:type="dxa"/>
            <w:tcBorders>
              <w:top w:val="single" w:color="auto" w:sz="4" w:space="0"/>
              <w:left w:val="nil"/>
              <w:bottom w:val="single" w:color="auto" w:sz="4" w:space="0"/>
              <w:right w:val="single" w:color="auto" w:sz="4" w:space="0"/>
            </w:tcBorders>
            <w:noWrap w:val="0"/>
            <w:vAlign w:val="center"/>
          </w:tcPr>
          <w:p w14:paraId="735C52F3">
            <w:pPr>
              <w:spacing w:line="36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p>
        </w:tc>
        <w:tc>
          <w:tcPr>
            <w:tcW w:w="2147" w:type="dxa"/>
            <w:tcBorders>
              <w:top w:val="single" w:color="auto" w:sz="4" w:space="0"/>
              <w:left w:val="nil"/>
              <w:bottom w:val="single" w:color="auto" w:sz="4" w:space="0"/>
              <w:right w:val="single" w:color="auto" w:sz="4" w:space="0"/>
            </w:tcBorders>
            <w:noWrap w:val="0"/>
            <w:vAlign w:val="center"/>
          </w:tcPr>
          <w:p w14:paraId="06540896">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2003C670">
            <w:pPr>
              <w:spacing w:line="360" w:lineRule="auto"/>
              <w:jc w:val="center"/>
              <w:rPr>
                <w:rFonts w:hint="eastAsia" w:ascii="宋体" w:hAnsi="宋体" w:eastAsia="宋体" w:cs="宋体"/>
                <w:kern w:val="0"/>
                <w:sz w:val="21"/>
                <w:szCs w:val="21"/>
                <w:highlight w:val="none"/>
              </w:rPr>
            </w:pPr>
          </w:p>
        </w:tc>
      </w:tr>
      <w:tr w14:paraId="24BFB34F">
        <w:tblPrEx>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noWrap w:val="0"/>
            <w:vAlign w:val="center"/>
          </w:tcPr>
          <w:p w14:paraId="0F7C1040">
            <w:pPr>
              <w:spacing w:line="360" w:lineRule="auto"/>
              <w:jc w:val="center"/>
              <w:rPr>
                <w:rFonts w:hint="eastAsia" w:ascii="宋体" w:hAnsi="宋体" w:eastAsia="宋体" w:cs="宋体"/>
                <w:kern w:val="0"/>
                <w:sz w:val="21"/>
                <w:szCs w:val="21"/>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345E79E0">
            <w:pPr>
              <w:spacing w:line="360" w:lineRule="auto"/>
              <w:jc w:val="center"/>
              <w:rPr>
                <w:rFonts w:hint="eastAsia" w:ascii="宋体" w:hAnsi="宋体" w:eastAsia="宋体" w:cs="宋体"/>
                <w:kern w:val="0"/>
                <w:sz w:val="21"/>
                <w:szCs w:val="21"/>
                <w:highlight w:val="none"/>
              </w:rPr>
            </w:pPr>
          </w:p>
        </w:tc>
        <w:tc>
          <w:tcPr>
            <w:tcW w:w="2147" w:type="dxa"/>
            <w:tcBorders>
              <w:top w:val="single" w:color="auto" w:sz="4" w:space="0"/>
              <w:left w:val="nil"/>
              <w:bottom w:val="single" w:color="auto" w:sz="4" w:space="0"/>
              <w:right w:val="single" w:color="auto" w:sz="4" w:space="0"/>
            </w:tcBorders>
            <w:noWrap w:val="0"/>
            <w:vAlign w:val="center"/>
          </w:tcPr>
          <w:p w14:paraId="2F426E64">
            <w:pPr>
              <w:spacing w:line="360" w:lineRule="auto"/>
              <w:jc w:val="center"/>
              <w:rPr>
                <w:rFonts w:hint="eastAsia" w:ascii="宋体" w:hAnsi="宋体" w:eastAsia="宋体" w:cs="宋体"/>
                <w:kern w:val="0"/>
                <w:sz w:val="21"/>
                <w:szCs w:val="21"/>
                <w:highlight w:val="none"/>
              </w:rPr>
            </w:pPr>
          </w:p>
        </w:tc>
        <w:tc>
          <w:tcPr>
            <w:tcW w:w="2082" w:type="dxa"/>
            <w:tcBorders>
              <w:top w:val="single" w:color="auto" w:sz="4" w:space="0"/>
              <w:left w:val="nil"/>
              <w:bottom w:val="single" w:color="auto" w:sz="4" w:space="0"/>
              <w:right w:val="single" w:color="auto" w:sz="4" w:space="0"/>
            </w:tcBorders>
            <w:noWrap w:val="0"/>
            <w:vAlign w:val="center"/>
          </w:tcPr>
          <w:p w14:paraId="0997775B">
            <w:pPr>
              <w:spacing w:line="360" w:lineRule="auto"/>
              <w:jc w:val="center"/>
              <w:rPr>
                <w:rFonts w:hint="eastAsia" w:ascii="宋体" w:hAnsi="宋体" w:eastAsia="宋体" w:cs="宋体"/>
                <w:kern w:val="0"/>
                <w:sz w:val="21"/>
                <w:szCs w:val="21"/>
                <w:highlight w:val="none"/>
              </w:rPr>
            </w:pPr>
          </w:p>
        </w:tc>
      </w:tr>
    </w:tbl>
    <w:p w14:paraId="25F06840">
      <w:pPr>
        <w:spacing w:before="156" w:beforeLines="50" w:line="360" w:lineRule="auto"/>
        <w:rPr>
          <w:rFonts w:hint="eastAsia" w:ascii="宋体" w:hAnsi="宋体" w:eastAsia="宋体" w:cs="宋体"/>
          <w:b/>
          <w:bCs/>
          <w:kern w:val="0"/>
          <w:sz w:val="21"/>
          <w:szCs w:val="21"/>
          <w:highlight w:val="none"/>
        </w:rPr>
      </w:pPr>
    </w:p>
    <w:p w14:paraId="08EE6998">
      <w:pPr>
        <w:spacing w:before="156" w:beforeLines="50" w:line="360" w:lineRule="auto"/>
        <w:rPr>
          <w:rFonts w:hint="eastAsia" w:ascii="宋体" w:hAnsi="宋体" w:eastAsia="宋体" w:cs="宋体"/>
          <w:b/>
          <w:bCs/>
          <w:kern w:val="0"/>
          <w:sz w:val="21"/>
          <w:szCs w:val="21"/>
          <w:highlight w:val="none"/>
        </w:rPr>
      </w:pPr>
    </w:p>
    <w:p w14:paraId="57C198E3">
      <w:pPr>
        <w:spacing w:before="156" w:beforeLines="50" w:line="360" w:lineRule="auto"/>
        <w:rPr>
          <w:rFonts w:hint="eastAsia" w:ascii="宋体" w:hAnsi="宋体" w:eastAsia="宋体" w:cs="宋体"/>
          <w:b/>
          <w:bCs/>
          <w:kern w:val="0"/>
          <w:sz w:val="21"/>
          <w:szCs w:val="21"/>
          <w:highlight w:val="none"/>
        </w:rPr>
      </w:pPr>
    </w:p>
    <w:p w14:paraId="1C102DF7">
      <w:pPr>
        <w:spacing w:before="156" w:beforeLines="50" w:line="360" w:lineRule="auto"/>
        <w:rPr>
          <w:rFonts w:hint="eastAsia" w:ascii="宋体" w:hAnsi="宋体" w:eastAsia="宋体" w:cs="宋体"/>
          <w:b/>
          <w:bCs/>
          <w:kern w:val="0"/>
          <w:sz w:val="21"/>
          <w:szCs w:val="21"/>
          <w:highlight w:val="none"/>
        </w:rPr>
      </w:pPr>
    </w:p>
    <w:p w14:paraId="29D2F49B">
      <w:pPr>
        <w:spacing w:before="156" w:beforeLines="50" w:line="360" w:lineRule="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B-4 委托人提供的设备</w:t>
      </w:r>
    </w:p>
    <w:tbl>
      <w:tblPr>
        <w:tblStyle w:val="27"/>
        <w:tblW w:w="0" w:type="auto"/>
        <w:tblInd w:w="0" w:type="dxa"/>
        <w:tblLayout w:type="fixed"/>
        <w:tblCellMar>
          <w:top w:w="0" w:type="dxa"/>
          <w:left w:w="108" w:type="dxa"/>
          <w:bottom w:w="0" w:type="dxa"/>
          <w:right w:w="108" w:type="dxa"/>
        </w:tblCellMar>
      </w:tblPr>
      <w:tblGrid>
        <w:gridCol w:w="2988"/>
        <w:gridCol w:w="1590"/>
        <w:gridCol w:w="2130"/>
        <w:gridCol w:w="1860"/>
      </w:tblGrid>
      <w:tr w14:paraId="21FF3246">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10E48B0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1590" w:type="dxa"/>
            <w:tcBorders>
              <w:top w:val="single" w:color="auto" w:sz="4" w:space="0"/>
              <w:left w:val="nil"/>
              <w:bottom w:val="single" w:color="auto" w:sz="4" w:space="0"/>
              <w:right w:val="single" w:color="auto" w:sz="4" w:space="0"/>
            </w:tcBorders>
            <w:noWrap w:val="0"/>
            <w:vAlign w:val="center"/>
          </w:tcPr>
          <w:p w14:paraId="1F0BDEB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2130" w:type="dxa"/>
            <w:tcBorders>
              <w:top w:val="single" w:color="auto" w:sz="4" w:space="0"/>
              <w:left w:val="nil"/>
              <w:bottom w:val="single" w:color="auto" w:sz="4" w:space="0"/>
              <w:right w:val="single" w:color="auto" w:sz="4" w:space="0"/>
            </w:tcBorders>
            <w:noWrap w:val="0"/>
            <w:vAlign w:val="center"/>
          </w:tcPr>
          <w:p w14:paraId="5330453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型号与规格</w:t>
            </w:r>
          </w:p>
        </w:tc>
        <w:tc>
          <w:tcPr>
            <w:tcW w:w="1860" w:type="dxa"/>
            <w:tcBorders>
              <w:top w:val="single" w:color="auto" w:sz="4" w:space="0"/>
              <w:left w:val="nil"/>
              <w:bottom w:val="single" w:color="auto" w:sz="4" w:space="0"/>
              <w:right w:val="single" w:color="auto" w:sz="4" w:space="0"/>
            </w:tcBorders>
            <w:noWrap w:val="0"/>
            <w:vAlign w:val="center"/>
          </w:tcPr>
          <w:p w14:paraId="4ECA7A7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提供时间</w:t>
            </w:r>
          </w:p>
        </w:tc>
      </w:tr>
      <w:tr w14:paraId="4F07986A">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6E48718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 通讯设备</w:t>
            </w:r>
          </w:p>
        </w:tc>
        <w:tc>
          <w:tcPr>
            <w:tcW w:w="1590" w:type="dxa"/>
            <w:tcBorders>
              <w:top w:val="single" w:color="auto" w:sz="4" w:space="0"/>
              <w:left w:val="nil"/>
              <w:bottom w:val="single" w:color="auto" w:sz="4" w:space="0"/>
              <w:right w:val="single" w:color="auto" w:sz="4" w:space="0"/>
            </w:tcBorders>
            <w:noWrap w:val="0"/>
            <w:vAlign w:val="center"/>
          </w:tcPr>
          <w:p w14:paraId="7B073B6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07A9762C">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37B891B0">
            <w:pPr>
              <w:spacing w:line="360" w:lineRule="auto"/>
              <w:jc w:val="center"/>
              <w:rPr>
                <w:rFonts w:hint="eastAsia" w:ascii="宋体" w:hAnsi="宋体" w:eastAsia="宋体" w:cs="宋体"/>
                <w:sz w:val="21"/>
                <w:szCs w:val="21"/>
                <w:highlight w:val="none"/>
              </w:rPr>
            </w:pPr>
          </w:p>
        </w:tc>
      </w:tr>
      <w:tr w14:paraId="413D5CDD">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48C5A8B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 办公设备</w:t>
            </w:r>
          </w:p>
        </w:tc>
        <w:tc>
          <w:tcPr>
            <w:tcW w:w="1590" w:type="dxa"/>
            <w:tcBorders>
              <w:top w:val="single" w:color="auto" w:sz="4" w:space="0"/>
              <w:left w:val="nil"/>
              <w:bottom w:val="single" w:color="auto" w:sz="4" w:space="0"/>
              <w:right w:val="single" w:color="auto" w:sz="4" w:space="0"/>
            </w:tcBorders>
            <w:noWrap w:val="0"/>
            <w:vAlign w:val="center"/>
          </w:tcPr>
          <w:p w14:paraId="6F1DEB4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20FDB873">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6AA2631">
            <w:pPr>
              <w:spacing w:line="360" w:lineRule="auto"/>
              <w:jc w:val="center"/>
              <w:rPr>
                <w:rFonts w:hint="eastAsia" w:ascii="宋体" w:hAnsi="宋体" w:eastAsia="宋体" w:cs="宋体"/>
                <w:sz w:val="21"/>
                <w:szCs w:val="21"/>
                <w:highlight w:val="none"/>
              </w:rPr>
            </w:pPr>
          </w:p>
        </w:tc>
      </w:tr>
      <w:tr w14:paraId="19155A42">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20E08B5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 交通工具</w:t>
            </w:r>
          </w:p>
        </w:tc>
        <w:tc>
          <w:tcPr>
            <w:tcW w:w="1590" w:type="dxa"/>
            <w:tcBorders>
              <w:top w:val="single" w:color="auto" w:sz="4" w:space="0"/>
              <w:left w:val="nil"/>
              <w:bottom w:val="single" w:color="auto" w:sz="4" w:space="0"/>
              <w:right w:val="single" w:color="auto" w:sz="4" w:space="0"/>
            </w:tcBorders>
            <w:noWrap w:val="0"/>
            <w:vAlign w:val="center"/>
          </w:tcPr>
          <w:p w14:paraId="2FA833D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5583338F">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4D44E4A2">
            <w:pPr>
              <w:spacing w:line="360" w:lineRule="auto"/>
              <w:jc w:val="center"/>
              <w:rPr>
                <w:rFonts w:hint="eastAsia" w:ascii="宋体" w:hAnsi="宋体" w:eastAsia="宋体" w:cs="宋体"/>
                <w:sz w:val="21"/>
                <w:szCs w:val="21"/>
                <w:highlight w:val="none"/>
              </w:rPr>
            </w:pPr>
          </w:p>
        </w:tc>
      </w:tr>
      <w:tr w14:paraId="3EC7CEAC">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0473C6D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 检测和试验设备</w:t>
            </w:r>
          </w:p>
        </w:tc>
        <w:tc>
          <w:tcPr>
            <w:tcW w:w="1590" w:type="dxa"/>
            <w:tcBorders>
              <w:top w:val="single" w:color="auto" w:sz="4" w:space="0"/>
              <w:left w:val="nil"/>
              <w:bottom w:val="single" w:color="auto" w:sz="4" w:space="0"/>
              <w:right w:val="single" w:color="auto" w:sz="4" w:space="0"/>
            </w:tcBorders>
            <w:noWrap w:val="0"/>
            <w:vAlign w:val="center"/>
          </w:tcPr>
          <w:p w14:paraId="6CBA357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w:t>
            </w:r>
          </w:p>
        </w:tc>
        <w:tc>
          <w:tcPr>
            <w:tcW w:w="2130" w:type="dxa"/>
            <w:tcBorders>
              <w:top w:val="single" w:color="auto" w:sz="4" w:space="0"/>
              <w:left w:val="nil"/>
              <w:bottom w:val="single" w:color="auto" w:sz="4" w:space="0"/>
              <w:right w:val="single" w:color="auto" w:sz="4" w:space="0"/>
            </w:tcBorders>
            <w:noWrap w:val="0"/>
            <w:vAlign w:val="center"/>
          </w:tcPr>
          <w:p w14:paraId="6EEFEF96">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6CEB5CA1">
            <w:pPr>
              <w:spacing w:line="360" w:lineRule="auto"/>
              <w:jc w:val="center"/>
              <w:rPr>
                <w:rFonts w:hint="eastAsia" w:ascii="宋体" w:hAnsi="宋体" w:eastAsia="宋体" w:cs="宋体"/>
                <w:sz w:val="21"/>
                <w:szCs w:val="21"/>
                <w:highlight w:val="none"/>
              </w:rPr>
            </w:pPr>
          </w:p>
        </w:tc>
      </w:tr>
      <w:tr w14:paraId="01D37B6B">
        <w:tblPrEx>
          <w:tblCellMar>
            <w:top w:w="0" w:type="dxa"/>
            <w:left w:w="108" w:type="dxa"/>
            <w:bottom w:w="0" w:type="dxa"/>
            <w:right w:w="108" w:type="dxa"/>
          </w:tblCellMar>
        </w:tblPrEx>
        <w:tc>
          <w:tcPr>
            <w:tcW w:w="2988" w:type="dxa"/>
            <w:tcBorders>
              <w:top w:val="single" w:color="auto" w:sz="4" w:space="0"/>
              <w:left w:val="single" w:color="auto" w:sz="4" w:space="0"/>
              <w:bottom w:val="single" w:color="auto" w:sz="4" w:space="0"/>
              <w:right w:val="single" w:color="auto" w:sz="4" w:space="0"/>
            </w:tcBorders>
            <w:noWrap w:val="0"/>
            <w:vAlign w:val="center"/>
          </w:tcPr>
          <w:p w14:paraId="35BD95D3">
            <w:pPr>
              <w:spacing w:line="360" w:lineRule="auto"/>
              <w:jc w:val="center"/>
              <w:rPr>
                <w:rFonts w:hint="eastAsia" w:ascii="宋体" w:hAnsi="宋体" w:eastAsia="宋体" w:cs="宋体"/>
                <w:sz w:val="21"/>
                <w:szCs w:val="21"/>
                <w:highlight w:val="none"/>
              </w:rPr>
            </w:pPr>
          </w:p>
        </w:tc>
        <w:tc>
          <w:tcPr>
            <w:tcW w:w="1590" w:type="dxa"/>
            <w:tcBorders>
              <w:top w:val="single" w:color="auto" w:sz="4" w:space="0"/>
              <w:left w:val="nil"/>
              <w:bottom w:val="single" w:color="auto" w:sz="4" w:space="0"/>
              <w:right w:val="single" w:color="auto" w:sz="4" w:space="0"/>
            </w:tcBorders>
            <w:noWrap w:val="0"/>
            <w:vAlign w:val="center"/>
          </w:tcPr>
          <w:p w14:paraId="26963B31">
            <w:pPr>
              <w:spacing w:line="360" w:lineRule="auto"/>
              <w:jc w:val="center"/>
              <w:rPr>
                <w:rFonts w:hint="eastAsia" w:ascii="宋体" w:hAnsi="宋体" w:eastAsia="宋体" w:cs="宋体"/>
                <w:sz w:val="21"/>
                <w:szCs w:val="21"/>
                <w:highlight w:val="none"/>
              </w:rPr>
            </w:pPr>
          </w:p>
        </w:tc>
        <w:tc>
          <w:tcPr>
            <w:tcW w:w="2130" w:type="dxa"/>
            <w:tcBorders>
              <w:top w:val="single" w:color="auto" w:sz="4" w:space="0"/>
              <w:left w:val="nil"/>
              <w:bottom w:val="single" w:color="auto" w:sz="4" w:space="0"/>
              <w:right w:val="single" w:color="auto" w:sz="4" w:space="0"/>
            </w:tcBorders>
            <w:noWrap w:val="0"/>
            <w:vAlign w:val="center"/>
          </w:tcPr>
          <w:p w14:paraId="2557A1D2">
            <w:pPr>
              <w:spacing w:line="360" w:lineRule="auto"/>
              <w:jc w:val="center"/>
              <w:rPr>
                <w:rFonts w:hint="eastAsia" w:ascii="宋体" w:hAnsi="宋体" w:eastAsia="宋体" w:cs="宋体"/>
                <w:sz w:val="21"/>
                <w:szCs w:val="21"/>
                <w:highlight w:val="none"/>
              </w:rPr>
            </w:pPr>
          </w:p>
        </w:tc>
        <w:tc>
          <w:tcPr>
            <w:tcW w:w="1860" w:type="dxa"/>
            <w:tcBorders>
              <w:top w:val="single" w:color="auto" w:sz="4" w:space="0"/>
              <w:left w:val="nil"/>
              <w:bottom w:val="single" w:color="auto" w:sz="4" w:space="0"/>
              <w:right w:val="single" w:color="auto" w:sz="4" w:space="0"/>
            </w:tcBorders>
            <w:noWrap w:val="0"/>
            <w:vAlign w:val="center"/>
          </w:tcPr>
          <w:p w14:paraId="0783EFCA">
            <w:pPr>
              <w:spacing w:line="360" w:lineRule="auto"/>
              <w:jc w:val="center"/>
              <w:rPr>
                <w:rFonts w:hint="eastAsia" w:ascii="宋体" w:hAnsi="宋体" w:eastAsia="宋体" w:cs="宋体"/>
                <w:sz w:val="21"/>
                <w:szCs w:val="21"/>
                <w:highlight w:val="none"/>
              </w:rPr>
            </w:pPr>
          </w:p>
        </w:tc>
      </w:tr>
    </w:tbl>
    <w:p w14:paraId="4EF0E023">
      <w:pPr>
        <w:rPr>
          <w:rFonts w:hint="eastAsia" w:ascii="宋体" w:hAnsi="宋体" w:eastAsia="宋体" w:cs="宋体"/>
          <w:b/>
          <w:kern w:val="0"/>
          <w:sz w:val="32"/>
          <w:szCs w:val="32"/>
          <w:highlight w:val="none"/>
          <w:shd w:val="clear" w:color="auto" w:fill="FFFFFF"/>
        </w:rPr>
      </w:pPr>
    </w:p>
    <w:p w14:paraId="03A7E94C">
      <w:pPr>
        <w:rPr>
          <w:rFonts w:hint="eastAsia" w:ascii="宋体" w:hAnsi="宋体" w:eastAsia="宋体" w:cs="宋体"/>
          <w:b/>
          <w:kern w:val="0"/>
          <w:sz w:val="32"/>
          <w:szCs w:val="32"/>
          <w:highlight w:val="none"/>
          <w:shd w:val="clear" w:color="auto" w:fill="FFFFFF"/>
        </w:rPr>
      </w:pPr>
      <w:r>
        <w:rPr>
          <w:rFonts w:hint="eastAsia" w:ascii="宋体" w:hAnsi="宋体" w:eastAsia="宋体" w:cs="宋体"/>
          <w:b/>
          <w:kern w:val="0"/>
          <w:sz w:val="32"/>
          <w:szCs w:val="32"/>
          <w:highlight w:val="none"/>
          <w:shd w:val="clear" w:color="auto" w:fill="FFFFFF"/>
        </w:rPr>
        <w:br w:type="page"/>
      </w:r>
    </w:p>
    <w:p w14:paraId="0D99289A">
      <w:pPr>
        <w:keepNext/>
        <w:keepLines/>
        <w:spacing w:before="340" w:after="330" w:line="576" w:lineRule="auto"/>
        <w:jc w:val="center"/>
        <w:outlineLvl w:val="0"/>
        <w:rPr>
          <w:rFonts w:hint="eastAsia" w:ascii="宋体" w:hAnsi="宋体" w:eastAsia="宋体" w:cs="宋体"/>
          <w:b/>
          <w:kern w:val="0"/>
          <w:sz w:val="32"/>
          <w:szCs w:val="32"/>
          <w:highlight w:val="none"/>
          <w:shd w:val="clear" w:color="auto" w:fill="FFFFFF"/>
        </w:rPr>
      </w:pPr>
      <w:bookmarkStart w:id="765" w:name="_Toc31396"/>
      <w:r>
        <w:rPr>
          <w:rFonts w:hint="eastAsia" w:ascii="宋体" w:hAnsi="宋体" w:eastAsia="宋体" w:cs="宋体"/>
          <w:b/>
          <w:kern w:val="0"/>
          <w:sz w:val="32"/>
          <w:szCs w:val="32"/>
          <w:highlight w:val="none"/>
          <w:shd w:val="clear" w:color="auto" w:fill="FFFFFF"/>
        </w:rPr>
        <w:t>第六章  响应文件格式</w:t>
      </w:r>
      <w:bookmarkEnd w:id="738"/>
      <w:bookmarkEnd w:id="739"/>
      <w:bookmarkEnd w:id="740"/>
      <w:bookmarkEnd w:id="765"/>
    </w:p>
    <w:p w14:paraId="61881036">
      <w:pPr>
        <w:spacing w:line="360" w:lineRule="auto"/>
        <w:jc w:val="center"/>
        <w:rPr>
          <w:rFonts w:hint="eastAsia" w:ascii="宋体" w:hAnsi="宋体" w:eastAsia="宋体" w:cs="宋体"/>
          <w:sz w:val="44"/>
          <w:szCs w:val="44"/>
          <w:highlight w:val="none"/>
        </w:rPr>
      </w:pPr>
    </w:p>
    <w:p w14:paraId="3BE2CE7F">
      <w:pPr>
        <w:jc w:val="center"/>
        <w:rPr>
          <w:rFonts w:hint="eastAsia" w:ascii="宋体" w:hAnsi="宋体" w:eastAsia="宋体" w:cs="宋体"/>
          <w:b/>
          <w:bCs/>
          <w:sz w:val="28"/>
          <w:szCs w:val="32"/>
          <w:highlight w:val="none"/>
        </w:rPr>
      </w:pPr>
      <w:r>
        <w:rPr>
          <w:rFonts w:hint="eastAsia" w:ascii="宋体" w:hAnsi="宋体" w:eastAsia="宋体" w:cs="宋体"/>
          <w:b/>
          <w:bCs/>
          <w:sz w:val="28"/>
          <w:szCs w:val="32"/>
          <w:highlight w:val="none"/>
          <w:u w:val="single"/>
          <w:lang w:val="en-US" w:eastAsia="zh-CN"/>
        </w:rPr>
        <w:t xml:space="preserve">                    </w:t>
      </w:r>
      <w:r>
        <w:rPr>
          <w:rFonts w:hint="eastAsia" w:ascii="宋体" w:hAnsi="宋体" w:eastAsia="宋体" w:cs="宋体"/>
          <w:b/>
          <w:bCs/>
          <w:sz w:val="28"/>
          <w:szCs w:val="32"/>
          <w:highlight w:val="none"/>
        </w:rPr>
        <w:t>（项目名称）</w:t>
      </w:r>
      <w:r>
        <w:rPr>
          <w:rFonts w:hint="eastAsia" w:ascii="宋体" w:hAnsi="宋体" w:eastAsia="宋体" w:cs="宋体"/>
          <w:b/>
          <w:bCs/>
          <w:sz w:val="28"/>
          <w:szCs w:val="32"/>
          <w:highlight w:val="none"/>
          <w:lang w:val="en-US" w:eastAsia="zh-CN"/>
        </w:rPr>
        <w:t>+</w:t>
      </w:r>
      <w:r>
        <w:rPr>
          <w:rFonts w:hint="eastAsia" w:ascii="宋体" w:hAnsi="宋体" w:eastAsia="宋体" w:cs="宋体"/>
          <w:b/>
          <w:bCs/>
          <w:sz w:val="28"/>
          <w:szCs w:val="32"/>
          <w:highlight w:val="none"/>
          <w:u w:val="single"/>
          <w:lang w:val="en-US" w:eastAsia="zh-CN"/>
        </w:rPr>
        <w:t xml:space="preserve">   </w:t>
      </w:r>
      <w:r>
        <w:rPr>
          <w:rFonts w:hint="eastAsia" w:ascii="宋体" w:hAnsi="宋体" w:eastAsia="宋体" w:cs="宋体"/>
          <w:b/>
          <w:bCs/>
          <w:sz w:val="28"/>
          <w:szCs w:val="32"/>
          <w:highlight w:val="none"/>
          <w:lang w:val="en-US" w:eastAsia="zh-CN"/>
        </w:rPr>
        <w:t>标段</w:t>
      </w:r>
      <w:r>
        <w:rPr>
          <w:rFonts w:hint="eastAsia" w:ascii="宋体" w:hAnsi="宋体" w:eastAsia="宋体" w:cs="宋体"/>
          <w:b/>
          <w:bCs/>
          <w:sz w:val="28"/>
          <w:szCs w:val="32"/>
          <w:highlight w:val="none"/>
        </w:rPr>
        <w:t xml:space="preserve">  </w:t>
      </w:r>
    </w:p>
    <w:p w14:paraId="0718A0AD">
      <w:pPr>
        <w:spacing w:line="480" w:lineRule="atLeast"/>
        <w:ind w:firstLine="567"/>
        <w:textAlignment w:val="baseline"/>
        <w:rPr>
          <w:rFonts w:hint="eastAsia" w:ascii="宋体" w:hAnsi="宋体" w:eastAsia="宋体" w:cs="宋体"/>
          <w:sz w:val="28"/>
          <w:szCs w:val="28"/>
          <w:highlight w:val="none"/>
        </w:rPr>
      </w:pPr>
    </w:p>
    <w:p w14:paraId="56D8CBB6">
      <w:pPr>
        <w:spacing w:line="480" w:lineRule="atLeast"/>
        <w:ind w:firstLine="567"/>
        <w:textAlignment w:val="baseline"/>
        <w:rPr>
          <w:rFonts w:hint="eastAsia" w:ascii="宋体" w:hAnsi="宋体" w:eastAsia="宋体" w:cs="宋体"/>
          <w:sz w:val="28"/>
          <w:szCs w:val="28"/>
          <w:highlight w:val="none"/>
        </w:rPr>
      </w:pPr>
    </w:p>
    <w:p w14:paraId="560BEE2A">
      <w:pPr>
        <w:spacing w:line="360" w:lineRule="auto"/>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响应文件</w:t>
      </w:r>
    </w:p>
    <w:p w14:paraId="22BCB46D">
      <w:pPr>
        <w:widowControl/>
        <w:spacing w:line="360" w:lineRule="auto"/>
        <w:rPr>
          <w:rFonts w:hint="eastAsia" w:ascii="宋体" w:hAnsi="宋体" w:eastAsia="宋体" w:cs="宋体"/>
          <w:b/>
          <w:bCs/>
          <w:kern w:val="0"/>
          <w:sz w:val="30"/>
          <w:szCs w:val="30"/>
          <w:highlight w:val="none"/>
        </w:rPr>
      </w:pPr>
    </w:p>
    <w:p w14:paraId="3C62740B">
      <w:pPr>
        <w:jc w:val="cente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项目编号：</w:t>
      </w:r>
    </w:p>
    <w:p w14:paraId="280A978C">
      <w:pPr>
        <w:jc w:val="center"/>
        <w:rPr>
          <w:rFonts w:hint="eastAsia" w:ascii="宋体" w:hAnsi="宋体" w:eastAsia="宋体" w:cs="宋体"/>
          <w:b/>
          <w:bCs/>
          <w:sz w:val="30"/>
          <w:szCs w:val="30"/>
          <w:highlight w:val="none"/>
        </w:rPr>
      </w:pPr>
      <w:r>
        <w:rPr>
          <w:rFonts w:hint="eastAsia" w:ascii="宋体" w:hAnsi="宋体" w:eastAsia="宋体" w:cs="宋体"/>
          <w:b/>
          <w:bCs/>
          <w:kern w:val="0"/>
          <w:sz w:val="32"/>
          <w:szCs w:val="32"/>
          <w:highlight w:val="none"/>
        </w:rPr>
        <w:t xml:space="preserve">      </w:t>
      </w:r>
    </w:p>
    <w:p w14:paraId="3964AFA0">
      <w:pPr>
        <w:widowControl/>
        <w:spacing w:line="360" w:lineRule="auto"/>
        <w:jc w:val="center"/>
        <w:rPr>
          <w:rFonts w:hint="eastAsia" w:ascii="宋体" w:hAnsi="宋体" w:eastAsia="宋体" w:cs="宋体"/>
          <w:b/>
          <w:bCs/>
          <w:sz w:val="28"/>
          <w:szCs w:val="28"/>
          <w:highlight w:val="none"/>
        </w:rPr>
      </w:pPr>
    </w:p>
    <w:p w14:paraId="66B257D4">
      <w:pPr>
        <w:spacing w:line="480" w:lineRule="atLeast"/>
        <w:ind w:firstLine="567"/>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ab/>
      </w:r>
      <w:r>
        <w:rPr>
          <w:rFonts w:hint="eastAsia" w:ascii="宋体" w:hAnsi="宋体" w:eastAsia="宋体" w:cs="宋体"/>
          <w:sz w:val="28"/>
          <w:szCs w:val="28"/>
          <w:highlight w:val="none"/>
        </w:rPr>
        <w:tab/>
      </w:r>
    </w:p>
    <w:p w14:paraId="62E03D86">
      <w:pPr>
        <w:spacing w:before="100" w:beforeAutospacing="1" w:after="120" w:line="360" w:lineRule="auto"/>
        <w:ind w:left="420" w:firstLine="420"/>
        <w:rPr>
          <w:rFonts w:hint="eastAsia" w:ascii="宋体" w:hAnsi="宋体" w:eastAsia="宋体" w:cs="宋体"/>
          <w:kern w:val="0"/>
          <w:sz w:val="20"/>
          <w:szCs w:val="21"/>
          <w:highlight w:val="none"/>
        </w:rPr>
      </w:pPr>
    </w:p>
    <w:p w14:paraId="4FA531E5">
      <w:pPr>
        <w:spacing w:line="360" w:lineRule="auto"/>
        <w:rPr>
          <w:rFonts w:hint="eastAsia" w:ascii="宋体" w:hAnsi="宋体" w:eastAsia="宋体" w:cs="宋体"/>
          <w:kern w:val="0"/>
          <w:sz w:val="18"/>
          <w:szCs w:val="18"/>
          <w:highlight w:val="none"/>
          <w:shd w:val="clear" w:color="auto" w:fill="FFFFFF"/>
        </w:rPr>
      </w:pPr>
    </w:p>
    <w:p w14:paraId="0F77ED78">
      <w:pPr>
        <w:spacing w:line="360" w:lineRule="auto"/>
        <w:ind w:firstLine="420"/>
        <w:rPr>
          <w:rFonts w:hint="eastAsia" w:ascii="宋体" w:hAnsi="宋体" w:eastAsia="宋体" w:cs="宋体"/>
          <w:b/>
          <w:kern w:val="1"/>
          <w:sz w:val="24"/>
          <w:szCs w:val="21"/>
          <w:highlight w:val="none"/>
        </w:rPr>
      </w:pPr>
    </w:p>
    <w:p w14:paraId="06DDCED1">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rPr>
      </w:pPr>
      <w:r>
        <w:rPr>
          <w:rFonts w:hint="eastAsia" w:ascii="宋体" w:hAnsi="宋体" w:eastAsia="宋体" w:cs="宋体"/>
          <w:b/>
          <w:bCs/>
          <w:kern w:val="0"/>
          <w:sz w:val="28"/>
          <w:szCs w:val="28"/>
          <w:highlight w:val="none"/>
          <w:shd w:val="clear" w:color="auto" w:fill="FFFFFF"/>
        </w:rPr>
        <w:t>供应商：</w:t>
      </w:r>
      <w:r>
        <w:rPr>
          <w:rFonts w:hint="eastAsia" w:ascii="宋体" w:hAnsi="宋体" w:eastAsia="宋体" w:cs="宋体"/>
          <w:b/>
          <w:bCs/>
          <w:kern w:val="0"/>
          <w:sz w:val="28"/>
          <w:szCs w:val="28"/>
          <w:highlight w:val="none"/>
          <w:u w:val="singl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rPr>
        <w:t>（盖单位公章）</w:t>
      </w:r>
    </w:p>
    <w:p w14:paraId="0653E093">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rPr>
      </w:pPr>
      <w:r>
        <w:rPr>
          <w:rFonts w:hint="eastAsia" w:ascii="宋体" w:hAnsi="宋体" w:eastAsia="宋体" w:cs="宋体"/>
          <w:b/>
          <w:bCs/>
          <w:kern w:val="0"/>
          <w:sz w:val="28"/>
          <w:szCs w:val="28"/>
          <w:highlight w:val="none"/>
          <w:shd w:val="clear" w:color="auto" w:fill="FFFFFF"/>
        </w:rPr>
        <w:t>法定代表人或委托代理人：</w:t>
      </w:r>
      <w:r>
        <w:rPr>
          <w:rFonts w:hint="eastAsia" w:ascii="宋体" w:hAnsi="宋体" w:eastAsia="宋体" w:cs="宋体"/>
          <w:b/>
          <w:bCs/>
          <w:kern w:val="0"/>
          <w:sz w:val="28"/>
          <w:szCs w:val="28"/>
          <w:highlight w:val="none"/>
          <w:u w:val="singl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rPr>
        <w:t>（签字或盖章）</w:t>
      </w:r>
    </w:p>
    <w:p w14:paraId="5ADB272A">
      <w:pPr>
        <w:widowControl/>
        <w:shd w:val="clear"/>
        <w:spacing w:line="360" w:lineRule="auto"/>
        <w:ind w:firstLine="1701" w:firstLineChars="605"/>
        <w:jc w:val="left"/>
        <w:rPr>
          <w:rFonts w:hint="eastAsia" w:ascii="宋体" w:hAnsi="宋体" w:eastAsia="宋体" w:cs="宋体"/>
          <w:b/>
          <w:bCs/>
          <w:kern w:val="0"/>
          <w:sz w:val="28"/>
          <w:szCs w:val="28"/>
          <w:highlight w:val="none"/>
          <w:shd w:val="clear" w:color="auto" w:fill="FFFFFF"/>
          <w:lang w:eastAsia="zh-CN"/>
        </w:rPr>
      </w:pPr>
      <w:r>
        <w:rPr>
          <w:rFonts w:hint="eastAsia" w:ascii="宋体" w:hAnsi="宋体" w:eastAsia="宋体" w:cs="宋体"/>
          <w:b/>
          <w:bCs/>
          <w:kern w:val="0"/>
          <w:sz w:val="28"/>
          <w:szCs w:val="28"/>
          <w:highlight w:val="none"/>
          <w:shd w:val="clear" w:color="auto" w:fill="FFFFFF"/>
        </w:rPr>
        <w:t>日      期：</w:t>
      </w:r>
      <w:bookmarkStart w:id="766" w:name="_Toc171073044"/>
      <w:bookmarkEnd w:id="766"/>
      <w:bookmarkStart w:id="767" w:name="_Toc171073209"/>
      <w:bookmarkEnd w:id="767"/>
      <w:bookmarkStart w:id="768" w:name="_Toc169921409"/>
      <w:bookmarkEnd w:id="768"/>
      <w:bookmarkStart w:id="769" w:name="_Toc223432389"/>
      <w:bookmarkEnd w:id="769"/>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年</w:t>
      </w:r>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月</w:t>
      </w:r>
      <w:r>
        <w:rPr>
          <w:rFonts w:hint="eastAsia" w:ascii="宋体" w:hAnsi="宋体" w:eastAsia="宋体" w:cs="宋体"/>
          <w:b/>
          <w:bCs/>
          <w:kern w:val="0"/>
          <w:sz w:val="28"/>
          <w:szCs w:val="28"/>
          <w:highlight w:val="none"/>
          <w:shd w:val="clear" w:color="auto" w:fill="FFFFFF"/>
          <w:lang w:val="en-US" w:eastAsia="zh-CN"/>
        </w:rPr>
        <w:t xml:space="preserve">  </w:t>
      </w:r>
      <w:r>
        <w:rPr>
          <w:rFonts w:hint="eastAsia" w:ascii="宋体" w:hAnsi="宋体" w:eastAsia="宋体" w:cs="宋体"/>
          <w:b/>
          <w:bCs/>
          <w:kern w:val="0"/>
          <w:sz w:val="28"/>
          <w:szCs w:val="28"/>
          <w:highlight w:val="none"/>
          <w:shd w:val="clear" w:color="auto" w:fill="FFFFFF"/>
          <w:lang w:eastAsia="zh-CN"/>
        </w:rPr>
        <w:t>日</w:t>
      </w:r>
    </w:p>
    <w:p w14:paraId="06AF9A9B">
      <w:pPr>
        <w:spacing w:after="120"/>
        <w:ind w:left="1470" w:leftChars="700" w:right="1470" w:rightChars="700"/>
        <w:rPr>
          <w:rFonts w:hint="eastAsia" w:ascii="宋体" w:hAnsi="宋体" w:eastAsia="宋体" w:cs="宋体"/>
          <w:sz w:val="28"/>
          <w:szCs w:val="28"/>
          <w:highlight w:val="none"/>
        </w:rPr>
      </w:pPr>
      <w:r>
        <w:rPr>
          <w:rFonts w:hint="eastAsia" w:ascii="宋体" w:hAnsi="宋体" w:eastAsia="宋体" w:cs="宋体"/>
          <w:szCs w:val="21"/>
          <w:highlight w:val="none"/>
          <w:shd w:val="clear" w:color="auto" w:fill="FFFFFF"/>
        </w:rPr>
        <w:br w:type="page"/>
      </w:r>
    </w:p>
    <w:p w14:paraId="19CAEB40">
      <w:pPr>
        <w:widowControl/>
        <w:spacing w:line="360" w:lineRule="auto"/>
        <w:jc w:val="center"/>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目录</w:t>
      </w:r>
    </w:p>
    <w:p w14:paraId="18AFBFE8">
      <w:pPr>
        <w:widowControl/>
        <w:spacing w:line="360" w:lineRule="auto"/>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自拟</w:t>
      </w:r>
    </w:p>
    <w:p w14:paraId="3BD4085D">
      <w:pPr>
        <w:jc w:val="center"/>
        <w:outlineLvl w:val="1"/>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rPr>
        <w:br w:type="page"/>
      </w:r>
      <w:bookmarkStart w:id="770" w:name="_Toc7886"/>
      <w:bookmarkStart w:id="771" w:name="_Toc4228"/>
      <w:bookmarkStart w:id="772" w:name="_Toc28383"/>
      <w:r>
        <w:rPr>
          <w:rFonts w:hint="eastAsia" w:ascii="宋体" w:hAnsi="宋体" w:eastAsia="宋体" w:cs="宋体"/>
          <w:b/>
          <w:bCs/>
          <w:sz w:val="32"/>
          <w:szCs w:val="32"/>
          <w:highlight w:val="none"/>
          <w:lang w:eastAsia="zh-CN"/>
        </w:rPr>
        <w:t>一、</w:t>
      </w:r>
      <w:r>
        <w:rPr>
          <w:rFonts w:hint="eastAsia" w:ascii="宋体" w:hAnsi="宋体" w:eastAsia="宋体" w:cs="宋体"/>
          <w:b/>
          <w:bCs/>
          <w:color w:val="auto"/>
          <w:sz w:val="28"/>
          <w:szCs w:val="28"/>
          <w:highlight w:val="none"/>
          <w:lang w:eastAsia="zh-CN" w:bidi="ar"/>
        </w:rPr>
        <w:t>响应</w:t>
      </w:r>
      <w:r>
        <w:rPr>
          <w:rFonts w:hint="eastAsia" w:ascii="宋体" w:hAnsi="宋体" w:eastAsia="宋体" w:cs="宋体"/>
          <w:b/>
          <w:bCs/>
          <w:color w:val="auto"/>
          <w:sz w:val="28"/>
          <w:szCs w:val="28"/>
          <w:highlight w:val="none"/>
          <w:lang w:bidi="ar"/>
        </w:rPr>
        <w:t>函及</w:t>
      </w:r>
      <w:r>
        <w:rPr>
          <w:rFonts w:hint="eastAsia" w:ascii="宋体" w:hAnsi="宋体" w:eastAsia="宋体" w:cs="宋体"/>
          <w:b/>
          <w:bCs/>
          <w:color w:val="auto"/>
          <w:sz w:val="28"/>
          <w:szCs w:val="28"/>
          <w:highlight w:val="none"/>
          <w:lang w:eastAsia="zh-CN" w:bidi="ar"/>
        </w:rPr>
        <w:t>响应</w:t>
      </w:r>
      <w:r>
        <w:rPr>
          <w:rFonts w:hint="eastAsia" w:ascii="宋体" w:hAnsi="宋体" w:eastAsia="宋体" w:cs="宋体"/>
          <w:b/>
          <w:bCs/>
          <w:color w:val="auto"/>
          <w:sz w:val="28"/>
          <w:szCs w:val="28"/>
          <w:highlight w:val="none"/>
          <w:lang w:bidi="ar"/>
        </w:rPr>
        <w:t>函附录</w:t>
      </w:r>
      <w:bookmarkEnd w:id="770"/>
      <w:bookmarkEnd w:id="771"/>
      <w:bookmarkEnd w:id="772"/>
    </w:p>
    <w:p w14:paraId="1ED03549">
      <w:pPr>
        <w:spacing w:beforeLines="100" w:afterLines="50" w:line="360" w:lineRule="exact"/>
        <w:jc w:val="center"/>
        <w:textAlignment w:val="center"/>
        <w:outlineLvl w:val="9"/>
        <w:rPr>
          <w:rFonts w:hint="eastAsia" w:ascii="宋体" w:hAnsi="宋体" w:eastAsia="宋体" w:cs="宋体"/>
          <w:spacing w:val="24"/>
          <w:sz w:val="24"/>
          <w:szCs w:val="24"/>
          <w:highlight w:val="none"/>
        </w:rPr>
      </w:pPr>
      <w:bookmarkStart w:id="773" w:name="_Toc28632"/>
      <w:bookmarkStart w:id="774" w:name="_Toc30043"/>
      <w:bookmarkStart w:id="775" w:name="_Toc20749"/>
      <w:bookmarkStart w:id="776" w:name="_Toc9148"/>
      <w:bookmarkStart w:id="777" w:name="_Toc6737"/>
      <w:r>
        <w:rPr>
          <w:rFonts w:hint="eastAsia" w:ascii="宋体" w:hAnsi="宋体" w:eastAsia="宋体" w:cs="宋体"/>
          <w:color w:val="auto"/>
          <w:sz w:val="24"/>
          <w:highlight w:val="none"/>
          <w:lang w:bidi="ar"/>
        </w:rPr>
        <w:t>（一）</w:t>
      </w:r>
      <w:r>
        <w:rPr>
          <w:rFonts w:hint="eastAsia" w:ascii="宋体" w:hAnsi="宋体" w:eastAsia="宋体" w:cs="宋体"/>
          <w:color w:val="auto"/>
          <w:sz w:val="24"/>
          <w:highlight w:val="none"/>
          <w:lang w:eastAsia="zh-CN" w:bidi="ar"/>
        </w:rPr>
        <w:t>响应</w:t>
      </w:r>
      <w:r>
        <w:rPr>
          <w:rFonts w:hint="eastAsia" w:ascii="宋体" w:hAnsi="宋体" w:eastAsia="宋体" w:cs="宋体"/>
          <w:color w:val="auto"/>
          <w:sz w:val="24"/>
          <w:highlight w:val="none"/>
          <w:lang w:bidi="ar"/>
        </w:rPr>
        <w:t>函</w:t>
      </w:r>
      <w:bookmarkEnd w:id="773"/>
      <w:bookmarkEnd w:id="774"/>
      <w:bookmarkEnd w:id="775"/>
      <w:bookmarkEnd w:id="776"/>
      <w:bookmarkEnd w:id="777"/>
    </w:p>
    <w:p w14:paraId="35EB0129">
      <w:pPr>
        <w:spacing w:line="360" w:lineRule="auto"/>
        <w:jc w:val="left"/>
        <w:rPr>
          <w:rFonts w:hint="eastAsia" w:ascii="宋体" w:hAnsi="宋体" w:eastAsia="宋体" w:cs="宋体"/>
          <w:spacing w:val="24"/>
          <w:sz w:val="24"/>
          <w:szCs w:val="24"/>
          <w:highlight w:val="none"/>
        </w:rPr>
      </w:pPr>
      <w:r>
        <w:rPr>
          <w:rFonts w:hint="eastAsia" w:ascii="宋体" w:hAnsi="宋体" w:eastAsia="宋体" w:cs="宋体"/>
          <w:spacing w:val="24"/>
          <w:sz w:val="24"/>
          <w:szCs w:val="24"/>
          <w:highlight w:val="none"/>
        </w:rPr>
        <w:t>致</w:t>
      </w:r>
      <w:r>
        <w:rPr>
          <w:rFonts w:hint="eastAsia" w:ascii="宋体" w:hAnsi="宋体" w:eastAsia="宋体" w:cs="宋体"/>
          <w:spacing w:val="24"/>
          <w:sz w:val="24"/>
          <w:szCs w:val="24"/>
          <w:highlight w:val="none"/>
          <w:u w:val="single"/>
        </w:rPr>
        <w:t>（采购人）</w:t>
      </w:r>
      <w:r>
        <w:rPr>
          <w:rFonts w:hint="eastAsia" w:ascii="宋体" w:hAnsi="宋体" w:eastAsia="宋体" w:cs="宋体"/>
          <w:spacing w:val="24"/>
          <w:sz w:val="24"/>
          <w:szCs w:val="24"/>
          <w:highlight w:val="none"/>
        </w:rPr>
        <w:t>：</w:t>
      </w:r>
    </w:p>
    <w:p w14:paraId="10C1515A">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根据已收到贵方的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w:t>
      </w:r>
      <w:r>
        <w:rPr>
          <w:rFonts w:hint="eastAsia" w:ascii="宋体" w:hAnsi="宋体" w:eastAsia="宋体" w:cs="宋体"/>
          <w:sz w:val="24"/>
          <w:szCs w:val="24"/>
          <w:highlight w:val="none"/>
          <w:lang w:val="en-US" w:eastAsia="zh-CN"/>
        </w:rPr>
        <w:t>+标段</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（项目编号）的竞争性磋商文件，我方愿以人民币</w:t>
      </w:r>
      <w:r>
        <w:rPr>
          <w:rFonts w:hint="eastAsia" w:ascii="宋体" w:hAnsi="宋体" w:eastAsia="宋体" w:cs="宋体"/>
          <w:sz w:val="24"/>
          <w:szCs w:val="24"/>
          <w:highlight w:val="none"/>
          <w:lang w:val="en-US" w:eastAsia="zh-CN"/>
        </w:rPr>
        <w:t>施工中标价的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的磋商报价，</w:t>
      </w:r>
      <w:r>
        <w:rPr>
          <w:rFonts w:hint="eastAsia" w:ascii="宋体" w:hAnsi="宋体" w:eastAsia="宋体" w:cs="宋体"/>
          <w:color w:val="auto"/>
          <w:sz w:val="24"/>
          <w:szCs w:val="24"/>
          <w:highlight w:val="none"/>
        </w:rPr>
        <w:t>监理期限</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w:t>
      </w:r>
      <w:r>
        <w:rPr>
          <w:rFonts w:hint="eastAsia" w:ascii="宋体" w:hAnsi="宋体" w:eastAsia="宋体" w:cs="宋体"/>
          <w:szCs w:val="21"/>
          <w:highlight w:val="none"/>
        </w:rPr>
        <w:t xml:space="preserve"> </w:t>
      </w:r>
      <w:r>
        <w:rPr>
          <w:rFonts w:hint="eastAsia" w:ascii="宋体" w:hAnsi="宋体" w:eastAsia="宋体" w:cs="宋体"/>
          <w:color w:val="auto"/>
          <w:sz w:val="24"/>
          <w:szCs w:val="24"/>
          <w:highlight w:val="none"/>
        </w:rPr>
        <w:t>质量控制目标</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r>
        <w:rPr>
          <w:rFonts w:hint="eastAsia" w:ascii="宋体" w:hAnsi="宋体" w:eastAsia="宋体" w:cs="宋体"/>
          <w:color w:val="auto"/>
          <w:kern w:val="0"/>
          <w:sz w:val="24"/>
          <w:szCs w:val="24"/>
          <w:highlight w:val="none"/>
        </w:rPr>
        <w:t>安全控制</w:t>
      </w:r>
      <w:r>
        <w:rPr>
          <w:rFonts w:hint="eastAsia" w:ascii="宋体" w:hAnsi="宋体" w:eastAsia="宋体" w:cs="宋体"/>
          <w:color w:val="auto"/>
          <w:kern w:val="0"/>
          <w:sz w:val="24"/>
          <w:szCs w:val="24"/>
          <w:highlight w:val="none"/>
          <w:lang w:val="en-US" w:eastAsia="zh-CN"/>
        </w:rPr>
        <w:t>目标</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w:t>
      </w:r>
      <w:r>
        <w:rPr>
          <w:rFonts w:hint="eastAsia" w:ascii="宋体" w:hAnsi="宋体" w:eastAsia="宋体" w:cs="宋体"/>
          <w:sz w:val="24"/>
          <w:szCs w:val="21"/>
          <w:highlight w:val="none"/>
        </w:rPr>
        <w:t>承包上述项目</w:t>
      </w:r>
      <w:r>
        <w:rPr>
          <w:rFonts w:hint="eastAsia" w:ascii="宋体" w:hAnsi="宋体" w:eastAsia="宋体" w:cs="宋体"/>
          <w:sz w:val="24"/>
          <w:szCs w:val="21"/>
          <w:highlight w:val="none"/>
          <w:shd w:val="clear" w:color="auto" w:fill="FFFFFF"/>
        </w:rPr>
        <w:t>。</w:t>
      </w:r>
    </w:p>
    <w:p w14:paraId="2086A458">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我方已详细审核全部竞争性磋商文件，包括修改文件（如有）及有关附件，已充分理解并掌握了本磋商项目的全部有关情况，认为竞争性磋商文件符合法律、法规的要求，充分体现了公开、公平、公正和诚实信用原则，我方对竞争性磋商文件没有任何异议。同意接受竞争性磋商文件的全部内容和条件。</w:t>
      </w:r>
    </w:p>
    <w:p w14:paraId="412B069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如我方确定为成交供应商，我方承诺在收到成交通知书后，在成交通知书规定的期限内，根据竞争性磋商文件、我方的磋商响应文件及有关澄清承诺书的要求，与采购人订立书面合同，并按照合同约定承担完成合同的责任和义务。</w:t>
      </w:r>
    </w:p>
    <w:p w14:paraId="7F31F4C9">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3、我方愿在成交后按照竞争性磋商文件规定的时间和金额向采购人交纳履约保证金</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如有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DCEEDEC">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4、</w:t>
      </w:r>
      <w:r>
        <w:rPr>
          <w:rFonts w:hint="eastAsia" w:ascii="宋体" w:hAnsi="宋体" w:eastAsia="宋体" w:cs="宋体"/>
          <w:kern w:val="0"/>
          <w:sz w:val="24"/>
          <w:szCs w:val="24"/>
          <w:highlight w:val="none"/>
        </w:rPr>
        <w:t>我方同意自本项目</w:t>
      </w:r>
      <w:r>
        <w:rPr>
          <w:rFonts w:hint="eastAsia" w:ascii="宋体" w:hAnsi="宋体" w:eastAsia="宋体" w:cs="宋体"/>
          <w:sz w:val="24"/>
          <w:szCs w:val="24"/>
          <w:highlight w:val="none"/>
        </w:rPr>
        <w:t>竞争性磋商</w:t>
      </w:r>
      <w:r>
        <w:rPr>
          <w:rFonts w:hint="eastAsia" w:ascii="宋体" w:hAnsi="宋体" w:eastAsia="宋体" w:cs="宋体"/>
          <w:kern w:val="0"/>
          <w:sz w:val="24"/>
          <w:szCs w:val="24"/>
          <w:highlight w:val="none"/>
        </w:rPr>
        <w:t>文件中规定的磋商有效期内有效，并承诺在磋商有效期内不修改、撤回磋商响应文件。</w:t>
      </w:r>
    </w:p>
    <w:p w14:paraId="551BCB71">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5、</w:t>
      </w:r>
      <w:r>
        <w:rPr>
          <w:rFonts w:hint="eastAsia" w:ascii="宋体" w:hAnsi="宋体" w:eastAsia="宋体" w:cs="宋体"/>
          <w:kern w:val="0"/>
          <w:sz w:val="24"/>
          <w:szCs w:val="24"/>
          <w:highlight w:val="none"/>
        </w:rPr>
        <w:t>我方完全理解贵方不一定接受磋商报价最低的供应商为成交供应商的行为。</w:t>
      </w:r>
    </w:p>
    <w:p w14:paraId="1A3A8039">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sz w:val="24"/>
          <w:szCs w:val="24"/>
          <w:highlight w:val="none"/>
        </w:rPr>
        <w:t>6、</w:t>
      </w:r>
      <w:r>
        <w:rPr>
          <w:rFonts w:hint="eastAsia" w:ascii="宋体" w:hAnsi="宋体" w:eastAsia="宋体" w:cs="宋体"/>
          <w:kern w:val="0"/>
          <w:sz w:val="24"/>
          <w:szCs w:val="24"/>
          <w:highlight w:val="none"/>
        </w:rPr>
        <w:t>我方在此声明，所递交的磋商响应文件及有关资料内容完整、真实和准确。</w:t>
      </w:r>
    </w:p>
    <w:p w14:paraId="27C39FA8">
      <w:pPr>
        <w:spacing w:line="360" w:lineRule="auto"/>
        <w:ind w:firstLine="240" w:firstLineChars="100"/>
        <w:jc w:val="left"/>
        <w:rPr>
          <w:rFonts w:hint="eastAsia" w:ascii="宋体" w:hAnsi="宋体" w:eastAsia="宋体" w:cs="宋体"/>
          <w:sz w:val="24"/>
          <w:szCs w:val="24"/>
          <w:highlight w:val="none"/>
        </w:rPr>
      </w:pPr>
    </w:p>
    <w:p w14:paraId="452B6BB9">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盖单位公章</w:t>
      </w:r>
      <w:r>
        <w:rPr>
          <w:rFonts w:hint="eastAsia" w:ascii="宋体" w:hAnsi="宋体" w:eastAsia="宋体" w:cs="宋体"/>
          <w:color w:val="auto"/>
          <w:sz w:val="24"/>
          <w:szCs w:val="24"/>
          <w:highlight w:val="none"/>
        </w:rPr>
        <w:t>）</w:t>
      </w:r>
    </w:p>
    <w:p w14:paraId="21051C6C">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或委托代理人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签字或</w:t>
      </w:r>
      <w:r>
        <w:rPr>
          <w:rFonts w:hint="eastAsia" w:ascii="宋体" w:hAnsi="宋体" w:eastAsia="宋体" w:cs="宋体"/>
          <w:color w:val="auto"/>
          <w:sz w:val="24"/>
          <w:szCs w:val="24"/>
          <w:highlight w:val="none"/>
        </w:rPr>
        <w:t>盖章）</w:t>
      </w:r>
    </w:p>
    <w:p w14:paraId="2A703D60">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460" w:lineRule="exact"/>
        <w:ind w:right="-20" w:firstLine="1200" w:firstLineChars="500"/>
        <w:jc w:val="right"/>
        <w:textAlignment w:val="auto"/>
        <w:rPr>
          <w:rFonts w:hint="eastAsia" w:ascii="宋体" w:hAnsi="宋体" w:eastAsia="宋体" w:cs="宋体"/>
          <w:color w:val="auto"/>
          <w:kern w:val="0"/>
          <w:sz w:val="22"/>
          <w:szCs w:val="28"/>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pacing w:val="43"/>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4E4D9EDC">
      <w:pPr>
        <w:jc w:val="cente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br w:type="page"/>
      </w:r>
      <w:bookmarkStart w:id="778" w:name="_Toc29538"/>
      <w:bookmarkStart w:id="779" w:name="_Toc288"/>
      <w:bookmarkStart w:id="780" w:name="_Toc839"/>
      <w:bookmarkStart w:id="781" w:name="_Toc7888"/>
      <w:r>
        <w:rPr>
          <w:rFonts w:hint="eastAsia" w:ascii="宋体" w:hAnsi="宋体" w:eastAsia="宋体" w:cs="宋体"/>
          <w:color w:val="auto"/>
          <w:sz w:val="24"/>
          <w:highlight w:val="none"/>
          <w:lang w:bidi="ar"/>
        </w:rPr>
        <w:t>（二）</w:t>
      </w:r>
      <w:r>
        <w:rPr>
          <w:rFonts w:hint="eastAsia" w:ascii="宋体" w:hAnsi="宋体" w:eastAsia="宋体" w:cs="宋体"/>
          <w:color w:val="auto"/>
          <w:sz w:val="24"/>
          <w:highlight w:val="none"/>
          <w:lang w:eastAsia="zh-CN" w:bidi="ar"/>
        </w:rPr>
        <w:t>响应</w:t>
      </w:r>
      <w:r>
        <w:rPr>
          <w:rFonts w:hint="eastAsia" w:ascii="宋体" w:hAnsi="宋体" w:eastAsia="宋体" w:cs="宋体"/>
          <w:color w:val="auto"/>
          <w:sz w:val="24"/>
          <w:highlight w:val="none"/>
          <w:lang w:bidi="ar"/>
        </w:rPr>
        <w:t>函附录</w:t>
      </w:r>
      <w:bookmarkEnd w:id="778"/>
      <w:bookmarkEnd w:id="779"/>
      <w:bookmarkEnd w:id="780"/>
      <w:bookmarkEnd w:id="781"/>
    </w:p>
    <w:p w14:paraId="12D3655D">
      <w:pPr>
        <w:tabs>
          <w:tab w:val="left" w:pos="5078"/>
        </w:tabs>
        <w:spacing w:line="500" w:lineRule="exact"/>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ab/>
      </w:r>
    </w:p>
    <w:tbl>
      <w:tblPr>
        <w:tblStyle w:val="27"/>
        <w:tblW w:w="9468" w:type="dxa"/>
        <w:jc w:val="center"/>
        <w:tblLayout w:type="fixed"/>
        <w:tblCellMar>
          <w:top w:w="0" w:type="dxa"/>
          <w:left w:w="0" w:type="dxa"/>
          <w:bottom w:w="0" w:type="dxa"/>
          <w:right w:w="0" w:type="dxa"/>
        </w:tblCellMar>
      </w:tblPr>
      <w:tblGrid>
        <w:gridCol w:w="2720"/>
        <w:gridCol w:w="1769"/>
        <w:gridCol w:w="2489"/>
        <w:gridCol w:w="2490"/>
      </w:tblGrid>
      <w:tr w14:paraId="75413671">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3AB3F285">
            <w:pPr>
              <w:autoSpaceDE w:val="0"/>
              <w:autoSpaceDN w:val="0"/>
              <w:spacing w:line="500" w:lineRule="exact"/>
              <w:jc w:val="center"/>
              <w:rPr>
                <w:rFonts w:hint="eastAsia" w:ascii="宋体" w:hAnsi="宋体" w:eastAsia="宋体" w:cs="宋体"/>
                <w:kern w:val="0"/>
                <w:sz w:val="24"/>
                <w:szCs w:val="24"/>
                <w:highlight w:val="none"/>
              </w:rPr>
            </w:pPr>
            <w:bookmarkStart w:id="782" w:name="_Toc365647229"/>
            <w:r>
              <w:rPr>
                <w:rFonts w:hint="eastAsia" w:ascii="宋体" w:hAnsi="宋体" w:eastAsia="宋体" w:cs="宋体"/>
                <w:kern w:val="0"/>
                <w:sz w:val="24"/>
                <w:szCs w:val="24"/>
                <w:highlight w:val="none"/>
              </w:rPr>
              <w:t>项目名称</w:t>
            </w:r>
            <w:bookmarkEnd w:id="782"/>
          </w:p>
        </w:tc>
        <w:tc>
          <w:tcPr>
            <w:tcW w:w="6748" w:type="dxa"/>
            <w:gridSpan w:val="3"/>
            <w:tcBorders>
              <w:top w:val="single" w:color="auto" w:sz="4" w:space="0"/>
              <w:left w:val="nil"/>
              <w:bottom w:val="single" w:color="auto" w:sz="4" w:space="0"/>
              <w:right w:val="single" w:color="auto" w:sz="4" w:space="0"/>
            </w:tcBorders>
            <w:vAlign w:val="center"/>
          </w:tcPr>
          <w:p w14:paraId="6C1BE14B">
            <w:pPr>
              <w:autoSpaceDE w:val="0"/>
              <w:autoSpaceDN w:val="0"/>
              <w:spacing w:line="500" w:lineRule="exact"/>
              <w:jc w:val="center"/>
              <w:rPr>
                <w:rFonts w:hint="eastAsia" w:ascii="宋体" w:hAnsi="宋体" w:eastAsia="宋体" w:cs="宋体"/>
                <w:kern w:val="0"/>
                <w:sz w:val="24"/>
                <w:szCs w:val="24"/>
                <w:highlight w:val="none"/>
              </w:rPr>
            </w:pPr>
          </w:p>
        </w:tc>
      </w:tr>
      <w:tr w14:paraId="48FC5FD2">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07962D6">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w:t>
            </w:r>
          </w:p>
        </w:tc>
        <w:tc>
          <w:tcPr>
            <w:tcW w:w="6748" w:type="dxa"/>
            <w:gridSpan w:val="3"/>
            <w:tcBorders>
              <w:top w:val="single" w:color="auto" w:sz="4" w:space="0"/>
              <w:left w:val="nil"/>
              <w:bottom w:val="single" w:color="auto" w:sz="4" w:space="0"/>
              <w:right w:val="single" w:color="auto" w:sz="4" w:space="0"/>
            </w:tcBorders>
            <w:vAlign w:val="center"/>
          </w:tcPr>
          <w:p w14:paraId="04DD17FE">
            <w:pPr>
              <w:autoSpaceDE w:val="0"/>
              <w:autoSpaceDN w:val="0"/>
              <w:spacing w:line="500" w:lineRule="exact"/>
              <w:jc w:val="center"/>
              <w:rPr>
                <w:rFonts w:hint="eastAsia" w:ascii="宋体" w:hAnsi="宋体" w:eastAsia="宋体" w:cs="宋体"/>
                <w:kern w:val="0"/>
                <w:sz w:val="24"/>
                <w:szCs w:val="24"/>
                <w:highlight w:val="none"/>
              </w:rPr>
            </w:pPr>
          </w:p>
        </w:tc>
      </w:tr>
      <w:tr w14:paraId="61BEE663">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B690616">
            <w:pPr>
              <w:autoSpaceDE w:val="0"/>
              <w:autoSpaceDN w:val="0"/>
              <w:spacing w:line="500" w:lineRule="exact"/>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磋商报价</w:t>
            </w:r>
          </w:p>
        </w:tc>
        <w:tc>
          <w:tcPr>
            <w:tcW w:w="6748" w:type="dxa"/>
            <w:gridSpan w:val="3"/>
            <w:tcBorders>
              <w:top w:val="single" w:color="auto" w:sz="4" w:space="0"/>
              <w:left w:val="nil"/>
              <w:bottom w:val="single" w:color="auto" w:sz="4" w:space="0"/>
              <w:right w:val="single" w:color="auto" w:sz="4" w:space="0"/>
            </w:tcBorders>
            <w:vAlign w:val="center"/>
          </w:tcPr>
          <w:p w14:paraId="12314179">
            <w:pPr>
              <w:autoSpaceDE w:val="0"/>
              <w:autoSpaceDN w:val="0"/>
              <w:spacing w:line="500" w:lineRule="exact"/>
              <w:ind w:firstLine="120" w:firstLineChars="50"/>
              <w:rPr>
                <w:rFonts w:hint="eastAsia" w:ascii="宋体" w:hAnsi="宋体" w:eastAsia="宋体" w:cs="宋体"/>
                <w:kern w:val="0"/>
                <w:sz w:val="24"/>
                <w:szCs w:val="24"/>
                <w:highlight w:val="none"/>
              </w:rPr>
            </w:pPr>
          </w:p>
        </w:tc>
      </w:tr>
      <w:tr w14:paraId="0F173165">
        <w:tblPrEx>
          <w:tblCellMar>
            <w:top w:w="0" w:type="dxa"/>
            <w:left w:w="0" w:type="dxa"/>
            <w:bottom w:w="0" w:type="dxa"/>
            <w:right w:w="0" w:type="dxa"/>
          </w:tblCellMar>
        </w:tblPrEx>
        <w:trPr>
          <w:trHeight w:val="1134"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59B5E332">
            <w:pPr>
              <w:autoSpaceDE w:val="0"/>
              <w:autoSpaceDN w:val="0"/>
              <w:spacing w:line="500" w:lineRule="exact"/>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监理期限</w:t>
            </w:r>
          </w:p>
        </w:tc>
        <w:tc>
          <w:tcPr>
            <w:tcW w:w="6748" w:type="dxa"/>
            <w:gridSpan w:val="3"/>
            <w:tcBorders>
              <w:top w:val="single" w:color="auto" w:sz="4" w:space="0"/>
              <w:left w:val="nil"/>
              <w:bottom w:val="single" w:color="auto" w:sz="4" w:space="0"/>
              <w:right w:val="single" w:color="auto" w:sz="4" w:space="0"/>
            </w:tcBorders>
            <w:vAlign w:val="center"/>
          </w:tcPr>
          <w:p w14:paraId="645E1767">
            <w:pPr>
              <w:autoSpaceDE w:val="0"/>
              <w:autoSpaceDN w:val="0"/>
              <w:spacing w:line="500" w:lineRule="exact"/>
              <w:jc w:val="center"/>
              <w:rPr>
                <w:rFonts w:hint="eastAsia" w:ascii="宋体" w:hAnsi="宋体" w:eastAsia="宋体" w:cs="宋体"/>
                <w:kern w:val="0"/>
                <w:sz w:val="24"/>
                <w:szCs w:val="24"/>
                <w:highlight w:val="none"/>
              </w:rPr>
            </w:pPr>
          </w:p>
        </w:tc>
      </w:tr>
      <w:tr w14:paraId="0911FB68">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7D75716A">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color w:val="auto"/>
                <w:sz w:val="24"/>
                <w:szCs w:val="24"/>
                <w:highlight w:val="none"/>
              </w:rPr>
              <w:t>质量控制目标</w:t>
            </w:r>
          </w:p>
        </w:tc>
        <w:tc>
          <w:tcPr>
            <w:tcW w:w="6748" w:type="dxa"/>
            <w:gridSpan w:val="3"/>
            <w:tcBorders>
              <w:top w:val="single" w:color="auto" w:sz="4" w:space="0"/>
              <w:left w:val="nil"/>
              <w:bottom w:val="single" w:color="auto" w:sz="4" w:space="0"/>
              <w:right w:val="single" w:color="auto" w:sz="4" w:space="0"/>
            </w:tcBorders>
            <w:vAlign w:val="center"/>
          </w:tcPr>
          <w:p w14:paraId="66EF1288">
            <w:pPr>
              <w:autoSpaceDE w:val="0"/>
              <w:autoSpaceDN w:val="0"/>
              <w:spacing w:line="500" w:lineRule="exact"/>
              <w:jc w:val="center"/>
              <w:rPr>
                <w:rFonts w:hint="eastAsia" w:ascii="宋体" w:hAnsi="宋体" w:eastAsia="宋体" w:cs="宋体"/>
                <w:kern w:val="0"/>
                <w:sz w:val="24"/>
                <w:szCs w:val="24"/>
                <w:highlight w:val="none"/>
              </w:rPr>
            </w:pPr>
          </w:p>
        </w:tc>
      </w:tr>
      <w:tr w14:paraId="61F36AC7">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454FAF8F">
            <w:pPr>
              <w:autoSpaceDE w:val="0"/>
              <w:autoSpaceDN w:val="0"/>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安全</w:t>
            </w:r>
            <w:r>
              <w:rPr>
                <w:rFonts w:hint="eastAsia" w:ascii="宋体" w:hAnsi="宋体" w:eastAsia="宋体" w:cs="宋体"/>
                <w:color w:val="auto"/>
                <w:sz w:val="24"/>
                <w:szCs w:val="24"/>
                <w:highlight w:val="none"/>
              </w:rPr>
              <w:t>控制目标</w:t>
            </w:r>
          </w:p>
        </w:tc>
        <w:tc>
          <w:tcPr>
            <w:tcW w:w="6748" w:type="dxa"/>
            <w:gridSpan w:val="3"/>
            <w:tcBorders>
              <w:top w:val="single" w:color="auto" w:sz="4" w:space="0"/>
              <w:left w:val="nil"/>
              <w:bottom w:val="single" w:color="auto" w:sz="4" w:space="0"/>
              <w:right w:val="single" w:color="auto" w:sz="4" w:space="0"/>
            </w:tcBorders>
            <w:vAlign w:val="center"/>
          </w:tcPr>
          <w:p w14:paraId="73313F6E">
            <w:pPr>
              <w:autoSpaceDE w:val="0"/>
              <w:autoSpaceDN w:val="0"/>
              <w:spacing w:line="500" w:lineRule="exact"/>
              <w:jc w:val="center"/>
              <w:rPr>
                <w:rFonts w:hint="eastAsia" w:ascii="宋体" w:hAnsi="宋体" w:eastAsia="宋体" w:cs="宋体"/>
                <w:kern w:val="0"/>
                <w:sz w:val="24"/>
                <w:szCs w:val="24"/>
                <w:highlight w:val="none"/>
              </w:rPr>
            </w:pPr>
          </w:p>
        </w:tc>
      </w:tr>
      <w:tr w14:paraId="13129A0D">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33DC9A3B">
            <w:pPr>
              <w:autoSpaceDE w:val="0"/>
              <w:autoSpaceDN w:val="0"/>
              <w:spacing w:line="50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项目总监理工程师</w:t>
            </w:r>
          </w:p>
        </w:tc>
        <w:tc>
          <w:tcPr>
            <w:tcW w:w="1769" w:type="dxa"/>
            <w:tcBorders>
              <w:top w:val="single" w:color="auto" w:sz="4" w:space="0"/>
              <w:left w:val="nil"/>
              <w:bottom w:val="single" w:color="auto" w:sz="4" w:space="0"/>
              <w:right w:val="single" w:color="auto" w:sz="4" w:space="0"/>
            </w:tcBorders>
            <w:vAlign w:val="center"/>
          </w:tcPr>
          <w:p w14:paraId="4B923C85">
            <w:pPr>
              <w:autoSpaceDE w:val="0"/>
              <w:autoSpaceDN w:val="0"/>
              <w:spacing w:line="500" w:lineRule="exact"/>
              <w:jc w:val="center"/>
              <w:rPr>
                <w:rFonts w:hint="eastAsia" w:ascii="宋体" w:hAnsi="宋体" w:eastAsia="宋体" w:cs="宋体"/>
                <w:kern w:val="0"/>
                <w:sz w:val="24"/>
                <w:szCs w:val="24"/>
                <w:highlight w:val="none"/>
              </w:rPr>
            </w:pPr>
          </w:p>
        </w:tc>
        <w:tc>
          <w:tcPr>
            <w:tcW w:w="2489" w:type="dxa"/>
            <w:tcBorders>
              <w:top w:val="single" w:color="auto" w:sz="4" w:space="0"/>
              <w:left w:val="nil"/>
              <w:bottom w:val="single" w:color="auto" w:sz="4" w:space="0"/>
              <w:right w:val="single" w:color="auto" w:sz="4" w:space="0"/>
            </w:tcBorders>
            <w:vAlign w:val="center"/>
          </w:tcPr>
          <w:p w14:paraId="1950C3DD">
            <w:pPr>
              <w:autoSpaceDE w:val="0"/>
              <w:autoSpaceDN w:val="0"/>
              <w:spacing w:line="500" w:lineRule="exact"/>
              <w:jc w:val="center"/>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注册编号</w:t>
            </w:r>
          </w:p>
        </w:tc>
        <w:tc>
          <w:tcPr>
            <w:tcW w:w="2490" w:type="dxa"/>
            <w:tcBorders>
              <w:top w:val="single" w:color="auto" w:sz="4" w:space="0"/>
              <w:left w:val="nil"/>
              <w:bottom w:val="single" w:color="auto" w:sz="4" w:space="0"/>
              <w:right w:val="single" w:color="auto" w:sz="4" w:space="0"/>
            </w:tcBorders>
            <w:vAlign w:val="center"/>
          </w:tcPr>
          <w:p w14:paraId="1CF0C9B3">
            <w:pPr>
              <w:autoSpaceDE w:val="0"/>
              <w:autoSpaceDN w:val="0"/>
              <w:spacing w:line="500" w:lineRule="exact"/>
              <w:jc w:val="center"/>
              <w:rPr>
                <w:rFonts w:hint="eastAsia" w:ascii="宋体" w:hAnsi="宋体" w:eastAsia="宋体" w:cs="宋体"/>
                <w:kern w:val="0"/>
                <w:sz w:val="24"/>
                <w:szCs w:val="24"/>
                <w:highlight w:val="none"/>
              </w:rPr>
            </w:pPr>
          </w:p>
        </w:tc>
      </w:tr>
      <w:tr w14:paraId="00D394DE">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55F8AAE8">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磋商有效期</w:t>
            </w:r>
          </w:p>
        </w:tc>
        <w:tc>
          <w:tcPr>
            <w:tcW w:w="6748" w:type="dxa"/>
            <w:gridSpan w:val="3"/>
            <w:tcBorders>
              <w:top w:val="single" w:color="auto" w:sz="4" w:space="0"/>
              <w:left w:val="nil"/>
              <w:bottom w:val="single" w:color="auto" w:sz="4" w:space="0"/>
              <w:right w:val="single" w:color="auto" w:sz="4" w:space="0"/>
            </w:tcBorders>
            <w:vAlign w:val="center"/>
          </w:tcPr>
          <w:p w14:paraId="43761240">
            <w:pPr>
              <w:autoSpaceDE w:val="0"/>
              <w:autoSpaceDN w:val="0"/>
              <w:spacing w:line="500" w:lineRule="exact"/>
              <w:jc w:val="center"/>
              <w:rPr>
                <w:rFonts w:hint="eastAsia" w:ascii="宋体" w:hAnsi="宋体" w:eastAsia="宋体" w:cs="宋体"/>
                <w:kern w:val="0"/>
                <w:sz w:val="24"/>
                <w:szCs w:val="24"/>
                <w:highlight w:val="none"/>
              </w:rPr>
            </w:pPr>
          </w:p>
        </w:tc>
      </w:tr>
      <w:tr w14:paraId="62D1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720" w:type="dxa"/>
            <w:tcBorders>
              <w:top w:val="single" w:color="auto" w:sz="4" w:space="0"/>
              <w:left w:val="single" w:color="auto" w:sz="4" w:space="0"/>
              <w:bottom w:val="single" w:color="auto" w:sz="4" w:space="0"/>
              <w:right w:val="single" w:color="auto" w:sz="4" w:space="0"/>
            </w:tcBorders>
            <w:noWrap w:val="0"/>
            <w:vAlign w:val="center"/>
          </w:tcPr>
          <w:p w14:paraId="0D4ED2E3">
            <w:pPr>
              <w:autoSpaceDE w:val="0"/>
              <w:autoSpaceDN w:val="0"/>
              <w:spacing w:line="500" w:lineRule="exact"/>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联系人及联系电话</w:t>
            </w:r>
          </w:p>
          <w:p w14:paraId="39E2DAE0">
            <w:pPr>
              <w:autoSpaceDE w:val="0"/>
              <w:autoSpaceDN w:val="0"/>
              <w:spacing w:line="500" w:lineRule="exact"/>
              <w:jc w:val="center"/>
              <w:rPr>
                <w:rFonts w:hint="eastAsia" w:ascii="宋体" w:hAnsi="宋体" w:eastAsia="宋体" w:cs="宋体"/>
                <w:color w:val="auto"/>
                <w:sz w:val="24"/>
                <w:szCs w:val="24"/>
                <w:highlight w:val="none"/>
                <w:lang w:eastAsia="zh-CN" w:bidi="ar"/>
              </w:rPr>
            </w:pPr>
            <w:r>
              <w:rPr>
                <w:rFonts w:hint="eastAsia" w:ascii="宋体" w:hAnsi="宋体" w:eastAsia="宋体" w:cs="宋体"/>
                <w:kern w:val="0"/>
                <w:sz w:val="24"/>
                <w:szCs w:val="24"/>
                <w:highlight w:val="none"/>
                <w:lang w:eastAsia="zh-CN"/>
              </w:rPr>
              <w:t>（用于通知二次报价）</w:t>
            </w:r>
          </w:p>
        </w:tc>
        <w:tc>
          <w:tcPr>
            <w:tcW w:w="6748" w:type="dxa"/>
            <w:gridSpan w:val="3"/>
            <w:tcBorders>
              <w:top w:val="single" w:color="auto" w:sz="4" w:space="0"/>
              <w:left w:val="nil"/>
              <w:bottom w:val="single" w:color="auto" w:sz="4" w:space="0"/>
              <w:right w:val="single" w:color="auto" w:sz="4" w:space="0"/>
            </w:tcBorders>
            <w:noWrap w:val="0"/>
            <w:vAlign w:val="center"/>
          </w:tcPr>
          <w:p w14:paraId="463F3562">
            <w:pPr>
              <w:spacing w:line="320" w:lineRule="exact"/>
              <w:jc w:val="left"/>
              <w:rPr>
                <w:rFonts w:hint="eastAsia" w:ascii="宋体" w:hAnsi="宋体" w:eastAsia="宋体" w:cs="宋体"/>
                <w:color w:val="auto"/>
                <w:sz w:val="24"/>
                <w:szCs w:val="24"/>
                <w:highlight w:val="none"/>
                <w:lang w:bidi="ar"/>
              </w:rPr>
            </w:pPr>
          </w:p>
        </w:tc>
      </w:tr>
      <w:tr w14:paraId="7ACDF3F4">
        <w:tblPrEx>
          <w:tblCellMar>
            <w:top w:w="0" w:type="dxa"/>
            <w:left w:w="0" w:type="dxa"/>
            <w:bottom w:w="0" w:type="dxa"/>
            <w:right w:w="0" w:type="dxa"/>
          </w:tblCellMar>
        </w:tblPrEx>
        <w:trPr>
          <w:trHeight w:val="997" w:hRule="atLeast"/>
          <w:jc w:val="center"/>
        </w:trPr>
        <w:tc>
          <w:tcPr>
            <w:tcW w:w="2720" w:type="dxa"/>
            <w:tcBorders>
              <w:top w:val="single" w:color="auto" w:sz="4" w:space="0"/>
              <w:left w:val="single" w:color="auto" w:sz="4" w:space="0"/>
              <w:bottom w:val="single" w:color="auto" w:sz="4" w:space="0"/>
              <w:right w:val="single" w:color="auto" w:sz="4" w:space="0"/>
            </w:tcBorders>
            <w:vAlign w:val="center"/>
          </w:tcPr>
          <w:p w14:paraId="23F7ADE3">
            <w:pPr>
              <w:autoSpaceDE w:val="0"/>
              <w:autoSpaceDN w:val="0"/>
              <w:spacing w:line="50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备  注</w:t>
            </w:r>
          </w:p>
        </w:tc>
        <w:tc>
          <w:tcPr>
            <w:tcW w:w="6748" w:type="dxa"/>
            <w:gridSpan w:val="3"/>
            <w:tcBorders>
              <w:top w:val="single" w:color="auto" w:sz="4" w:space="0"/>
              <w:left w:val="nil"/>
              <w:bottom w:val="single" w:color="auto" w:sz="4" w:space="0"/>
              <w:right w:val="single" w:color="auto" w:sz="4" w:space="0"/>
            </w:tcBorders>
            <w:vAlign w:val="center"/>
          </w:tcPr>
          <w:p w14:paraId="509841EB">
            <w:pPr>
              <w:autoSpaceDE w:val="0"/>
              <w:autoSpaceDN w:val="0"/>
              <w:spacing w:line="500" w:lineRule="exact"/>
              <w:jc w:val="center"/>
              <w:rPr>
                <w:rFonts w:hint="eastAsia" w:ascii="宋体" w:hAnsi="宋体" w:eastAsia="宋体" w:cs="宋体"/>
                <w:kern w:val="0"/>
                <w:sz w:val="24"/>
                <w:szCs w:val="24"/>
                <w:highlight w:val="none"/>
              </w:rPr>
            </w:pPr>
          </w:p>
        </w:tc>
      </w:tr>
    </w:tbl>
    <w:p w14:paraId="1392DD4D">
      <w:pPr>
        <w:keepNext w:val="0"/>
        <w:keepLines w:val="0"/>
        <w:pageBreakBefore w:val="0"/>
        <w:widowControl w:val="0"/>
        <w:kinsoku/>
        <w:wordWrap/>
        <w:overflowPunct/>
        <w:topLinePunct w:val="0"/>
        <w:autoSpaceDE/>
        <w:autoSpaceDN/>
        <w:bidi w:val="0"/>
        <w:adjustRightInd/>
        <w:snapToGrid/>
        <w:spacing w:line="400" w:lineRule="exact"/>
        <w:ind w:firstLine="241" w:firstLineChars="100"/>
        <w:textAlignment w:val="auto"/>
        <w:rPr>
          <w:rFonts w:hint="eastAsia" w:ascii="宋体" w:hAnsi="宋体" w:eastAsia="宋体" w:cs="宋体"/>
          <w:b/>
          <w:bCs/>
          <w:color w:val="auto"/>
          <w:sz w:val="24"/>
          <w:szCs w:val="32"/>
          <w:highlight w:val="none"/>
          <w:lang w:val="en-US" w:eastAsia="zh-CN"/>
        </w:rPr>
      </w:pPr>
      <w:r>
        <w:rPr>
          <w:rFonts w:hint="eastAsia" w:ascii="宋体" w:hAnsi="宋体" w:eastAsia="宋体" w:cs="宋体"/>
          <w:b/>
          <w:bCs/>
          <w:color w:val="auto"/>
          <w:sz w:val="24"/>
          <w:szCs w:val="32"/>
          <w:highlight w:val="none"/>
          <w:lang w:eastAsia="zh-CN"/>
        </w:rPr>
        <w:t>注：供应商应在本表报价中填写第一次报价，但以供应商最后一次的报价为成交价。</w:t>
      </w:r>
    </w:p>
    <w:p w14:paraId="0BCF29E0">
      <w:pPr>
        <w:autoSpaceDE w:val="0"/>
        <w:autoSpaceDN w:val="0"/>
        <w:adjustRightInd w:val="0"/>
        <w:spacing w:line="500" w:lineRule="exact"/>
        <w:rPr>
          <w:rFonts w:hint="eastAsia" w:ascii="宋体" w:hAnsi="宋体" w:eastAsia="宋体" w:cs="宋体"/>
          <w:kern w:val="0"/>
          <w:sz w:val="24"/>
          <w:szCs w:val="24"/>
          <w:highlight w:val="none"/>
        </w:rPr>
      </w:pPr>
    </w:p>
    <w:p w14:paraId="41FCD105">
      <w:pPr>
        <w:autoSpaceDE w:val="0"/>
        <w:autoSpaceDN w:val="0"/>
        <w:adjustRightInd w:val="0"/>
        <w:spacing w:line="500" w:lineRule="exact"/>
        <w:rPr>
          <w:rFonts w:hint="eastAsia" w:ascii="宋体" w:hAnsi="宋体" w:eastAsia="宋体" w:cs="宋体"/>
          <w:kern w:val="0"/>
          <w:sz w:val="24"/>
          <w:szCs w:val="24"/>
          <w:highlight w:val="none"/>
        </w:rPr>
      </w:pPr>
    </w:p>
    <w:p w14:paraId="2573CBCD">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盖单位公章</w:t>
      </w:r>
      <w:r>
        <w:rPr>
          <w:rFonts w:hint="eastAsia" w:ascii="宋体" w:hAnsi="宋体" w:eastAsia="宋体" w:cs="宋体"/>
          <w:color w:val="auto"/>
          <w:sz w:val="24"/>
          <w:szCs w:val="24"/>
          <w:highlight w:val="none"/>
        </w:rPr>
        <w:t>）</w:t>
      </w:r>
    </w:p>
    <w:p w14:paraId="58285DD8">
      <w:pPr>
        <w:keepNext w:val="0"/>
        <w:keepLines w:val="0"/>
        <w:pageBreakBefore w:val="0"/>
        <w:widowControl w:val="0"/>
        <w:kinsoku/>
        <w:wordWrap/>
        <w:overflowPunct/>
        <w:topLinePunct w:val="0"/>
        <w:bidi w:val="0"/>
        <w:snapToGrid/>
        <w:spacing w:line="46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或委托代理人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签字或</w:t>
      </w:r>
      <w:r>
        <w:rPr>
          <w:rFonts w:hint="eastAsia" w:ascii="宋体" w:hAnsi="宋体" w:eastAsia="宋体" w:cs="宋体"/>
          <w:color w:val="auto"/>
          <w:sz w:val="24"/>
          <w:szCs w:val="24"/>
          <w:highlight w:val="none"/>
        </w:rPr>
        <w:t>盖章）</w:t>
      </w:r>
    </w:p>
    <w:p w14:paraId="07C1C8F8">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460" w:lineRule="exact"/>
        <w:ind w:right="-20" w:firstLine="1200" w:firstLineChars="500"/>
        <w:jc w:val="right"/>
        <w:textAlignment w:val="auto"/>
        <w:rPr>
          <w:rFonts w:hint="eastAsia" w:ascii="宋体" w:hAnsi="宋体" w:eastAsia="宋体" w:cs="宋体"/>
          <w:b/>
          <w:bCs/>
          <w:sz w:val="32"/>
          <w:szCs w:val="32"/>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pacing w:val="43"/>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r>
        <w:rPr>
          <w:rFonts w:hint="eastAsia" w:ascii="宋体" w:hAnsi="宋体" w:eastAsia="宋体" w:cs="宋体"/>
          <w:b/>
          <w:bCs/>
          <w:kern w:val="0"/>
          <w:sz w:val="32"/>
          <w:szCs w:val="32"/>
          <w:highlight w:val="none"/>
        </w:rPr>
        <w:br w:type="page"/>
      </w:r>
    </w:p>
    <w:p w14:paraId="42CFDC3C">
      <w:pPr>
        <w:spacing w:line="480" w:lineRule="auto"/>
        <w:jc w:val="center"/>
        <w:outlineLvl w:val="1"/>
        <w:rPr>
          <w:rFonts w:hint="eastAsia" w:ascii="宋体" w:hAnsi="宋体" w:eastAsia="宋体" w:cs="宋体"/>
          <w:color w:val="auto"/>
          <w:sz w:val="24"/>
          <w:szCs w:val="24"/>
          <w:highlight w:val="none"/>
        </w:rPr>
      </w:pPr>
      <w:bookmarkStart w:id="783" w:name="_Toc22307"/>
      <w:bookmarkStart w:id="784" w:name="_Toc31881"/>
      <w:bookmarkStart w:id="785" w:name="_Toc3761"/>
      <w:bookmarkStart w:id="786" w:name="_Toc8616"/>
      <w:r>
        <w:rPr>
          <w:rFonts w:hint="eastAsia" w:ascii="宋体" w:hAnsi="宋体" w:eastAsia="宋体" w:cs="宋体"/>
          <w:b/>
          <w:color w:val="auto"/>
          <w:kern w:val="0"/>
          <w:sz w:val="28"/>
          <w:szCs w:val="28"/>
          <w:highlight w:val="none"/>
          <w:lang w:bidi="ar"/>
        </w:rPr>
        <w:t>二、法定代表人身份证明</w:t>
      </w:r>
      <w:bookmarkEnd w:id="783"/>
      <w:bookmarkEnd w:id="784"/>
      <w:r>
        <w:rPr>
          <w:rFonts w:hint="eastAsia" w:ascii="宋体" w:hAnsi="宋体" w:eastAsia="宋体" w:cs="宋体"/>
          <w:b/>
          <w:color w:val="auto"/>
          <w:kern w:val="0"/>
          <w:sz w:val="28"/>
          <w:szCs w:val="28"/>
          <w:highlight w:val="none"/>
          <w:lang w:eastAsia="zh-CN" w:bidi="ar"/>
        </w:rPr>
        <w:t>或</w:t>
      </w:r>
      <w:r>
        <w:rPr>
          <w:rFonts w:hint="eastAsia" w:ascii="宋体" w:hAnsi="宋体" w:eastAsia="宋体" w:cs="宋体"/>
          <w:b/>
          <w:bCs/>
          <w:color w:val="auto"/>
          <w:sz w:val="28"/>
          <w:szCs w:val="28"/>
          <w:highlight w:val="none"/>
        </w:rPr>
        <w:t>法定代表人授权委托书</w:t>
      </w:r>
      <w:bookmarkEnd w:id="785"/>
      <w:bookmarkEnd w:id="786"/>
    </w:p>
    <w:p w14:paraId="2B9540EF">
      <w:pPr>
        <w:jc w:val="center"/>
        <w:outlineLvl w:val="9"/>
        <w:rPr>
          <w:rFonts w:hint="eastAsia" w:ascii="宋体" w:hAnsi="宋体" w:eastAsia="宋体" w:cs="宋体"/>
          <w:b w:val="0"/>
          <w:bCs/>
          <w:color w:val="auto"/>
          <w:kern w:val="0"/>
          <w:sz w:val="24"/>
          <w:szCs w:val="24"/>
          <w:highlight w:val="none"/>
          <w:lang w:bidi="ar"/>
        </w:rPr>
      </w:pPr>
    </w:p>
    <w:p w14:paraId="06C074B6">
      <w:pPr>
        <w:jc w:val="center"/>
        <w:outlineLvl w:val="9"/>
        <w:rPr>
          <w:rFonts w:hint="eastAsia" w:ascii="宋体" w:hAnsi="宋体" w:eastAsia="宋体" w:cs="宋体"/>
          <w:b w:val="0"/>
          <w:bCs/>
          <w:sz w:val="24"/>
          <w:szCs w:val="24"/>
          <w:highlight w:val="none"/>
          <w:lang w:val="en-US" w:eastAsia="zh-CN"/>
        </w:rPr>
      </w:pPr>
      <w:r>
        <w:rPr>
          <w:rFonts w:hint="eastAsia" w:ascii="宋体" w:hAnsi="宋体" w:eastAsia="宋体" w:cs="宋体"/>
          <w:b w:val="0"/>
          <w:bCs/>
          <w:color w:val="auto"/>
          <w:kern w:val="0"/>
          <w:sz w:val="24"/>
          <w:szCs w:val="24"/>
          <w:highlight w:val="none"/>
          <w:lang w:bidi="ar"/>
        </w:rPr>
        <w:t>法定代表人身份证明</w:t>
      </w:r>
    </w:p>
    <w:p w14:paraId="5E3D3B8B">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 xml:space="preserve">名称： </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 xml:space="preserve">  </w:t>
      </w:r>
    </w:p>
    <w:p w14:paraId="15AF8AA2">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单位性质：</w:t>
      </w:r>
      <w:r>
        <w:rPr>
          <w:rFonts w:hint="eastAsia" w:ascii="宋体" w:hAnsi="宋体" w:eastAsia="宋体" w:cs="宋体"/>
          <w:color w:val="auto"/>
          <w:kern w:val="0"/>
          <w:sz w:val="24"/>
          <w:highlight w:val="none"/>
          <w:u w:val="single"/>
          <w:lang w:bidi="ar"/>
        </w:rPr>
        <w:t xml:space="preserve">                       </w:t>
      </w:r>
    </w:p>
    <w:p w14:paraId="1830B15B">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地址：</w:t>
      </w:r>
      <w:r>
        <w:rPr>
          <w:rFonts w:hint="eastAsia" w:ascii="宋体" w:hAnsi="宋体" w:eastAsia="宋体" w:cs="宋体"/>
          <w:color w:val="auto"/>
          <w:kern w:val="0"/>
          <w:sz w:val="24"/>
          <w:highlight w:val="none"/>
          <w:u w:val="single"/>
          <w:lang w:bidi="ar"/>
        </w:rPr>
        <w:t xml:space="preserve">                           </w:t>
      </w:r>
    </w:p>
    <w:p w14:paraId="72EB899C">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成立时间：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p>
    <w:p w14:paraId="7D52DEF4">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经营期限：</w:t>
      </w:r>
      <w:r>
        <w:rPr>
          <w:rFonts w:hint="eastAsia" w:ascii="宋体" w:hAnsi="宋体" w:eastAsia="宋体" w:cs="宋体"/>
          <w:color w:val="auto"/>
          <w:kern w:val="0"/>
          <w:sz w:val="24"/>
          <w:highlight w:val="none"/>
          <w:u w:val="single"/>
          <w:lang w:bidi="ar"/>
        </w:rPr>
        <w:t xml:space="preserve">            </w:t>
      </w:r>
    </w:p>
    <w:p w14:paraId="79E7A2DD">
      <w:pPr>
        <w:widowControl/>
        <w:adjustRightInd w:val="0"/>
        <w:spacing w:line="360" w:lineRule="auto"/>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bidi="ar"/>
        </w:rPr>
        <w:t xml:space="preserve">    姓名：</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性别：</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年龄：</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职务：</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u w:val="single"/>
          <w:lang w:val="en-US" w:eastAsia="zh-CN" w:bidi="ar"/>
        </w:rPr>
        <w:t xml:space="preserve">    </w:t>
      </w:r>
    </w:p>
    <w:p w14:paraId="6E909008">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系</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名称）的法定代表人。</w:t>
      </w:r>
    </w:p>
    <w:p w14:paraId="3E681E51">
      <w:pPr>
        <w:widowControl/>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10C42AE0">
      <w:pPr>
        <w:widowControl/>
        <w:adjustRightInd w:val="0"/>
        <w:spacing w:line="360" w:lineRule="auto"/>
        <w:ind w:firstLine="480" w:firstLineChars="200"/>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特此证明。</w:t>
      </w:r>
    </w:p>
    <w:p w14:paraId="5C492FCF">
      <w:pPr>
        <w:widowControl/>
        <w:adjustRightIn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38F529F5">
      <w:pPr>
        <w:keepNext w:val="0"/>
        <w:keepLines w:val="0"/>
        <w:pageBreakBefore w:val="0"/>
        <w:widowControl w:val="0"/>
        <w:kinsoku/>
        <w:wordWrap/>
        <w:overflowPunct/>
        <w:topLinePunct w:val="0"/>
        <w:autoSpaceDE/>
        <w:autoSpaceDN/>
        <w:bidi w:val="0"/>
        <w:adjustRightInd/>
        <w:snapToGrid/>
        <w:spacing w:afterLines="100" w:line="600" w:lineRule="exact"/>
        <w:textAlignment w:val="center"/>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rPr>
        <w:t>附：法定代表人身份</w:t>
      </w:r>
      <w:r>
        <w:rPr>
          <w:rFonts w:hint="eastAsia" w:ascii="宋体" w:hAnsi="宋体" w:eastAsia="宋体" w:cs="宋体"/>
          <w:color w:val="auto"/>
          <w:sz w:val="24"/>
          <w:szCs w:val="21"/>
          <w:highlight w:val="none"/>
          <w:lang w:eastAsia="zh-CN"/>
        </w:rPr>
        <w:t>证扫描件</w:t>
      </w:r>
    </w:p>
    <w:p w14:paraId="0A251CD2">
      <w:pPr>
        <w:widowControl/>
        <w:adjustRightInd w:val="0"/>
        <w:spacing w:line="240" w:lineRule="atLeast"/>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4DF7E803">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5822C651">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48A4CABA">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248D82D7">
      <w:pPr>
        <w:widowControl/>
        <w:adjustRightInd w:val="0"/>
        <w:spacing w:line="24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p>
    <w:p w14:paraId="6E63A77E">
      <w:pPr>
        <w:widowControl/>
        <w:adjustRightInd w:val="0"/>
        <w:spacing w:line="240" w:lineRule="atLeast"/>
        <w:ind w:firstLine="2940" w:firstLineChars="122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lang w:eastAsia="zh-CN" w:bidi="ar"/>
        </w:rPr>
        <w:t>供应商</w:t>
      </w: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（盖单位公章）</w:t>
      </w:r>
    </w:p>
    <w:p w14:paraId="4B98F3C2">
      <w:pPr>
        <w:widowControl/>
        <w:adjustRightInd w:val="0"/>
        <w:spacing w:line="240" w:lineRule="atLeast"/>
        <w:ind w:firstLine="5340" w:firstLineChars="2225"/>
        <w:jc w:val="left"/>
        <w:rPr>
          <w:rFonts w:hint="eastAsia" w:ascii="宋体" w:hAnsi="宋体" w:eastAsia="宋体" w:cs="宋体"/>
          <w:color w:val="auto"/>
          <w:kern w:val="0"/>
          <w:sz w:val="24"/>
          <w:highlight w:val="none"/>
          <w:u w:val="single"/>
          <w:lang w:bidi="ar"/>
        </w:rPr>
      </w:pPr>
    </w:p>
    <w:p w14:paraId="61E24A58">
      <w:pPr>
        <w:widowControl/>
        <w:adjustRightInd w:val="0"/>
        <w:spacing w:line="240" w:lineRule="atLeast"/>
        <w:ind w:firstLine="5340" w:firstLineChars="222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p>
    <w:p w14:paraId="0411BF42">
      <w:pPr>
        <w:spacing w:line="480" w:lineRule="auto"/>
        <w:ind w:right="480"/>
        <w:jc w:val="center"/>
        <w:rPr>
          <w:rFonts w:hint="eastAsia" w:ascii="宋体" w:hAnsi="宋体" w:eastAsia="宋体" w:cs="宋体"/>
          <w:b/>
          <w:bCs/>
          <w:sz w:val="24"/>
          <w:szCs w:val="24"/>
          <w:highlight w:val="none"/>
        </w:rPr>
      </w:pPr>
    </w:p>
    <w:p w14:paraId="6FFE149E">
      <w:pPr>
        <w:spacing w:line="480" w:lineRule="auto"/>
        <w:jc w:val="center"/>
        <w:outlineLvl w:val="9"/>
        <w:rPr>
          <w:rFonts w:hint="eastAsia" w:ascii="宋体" w:hAnsi="宋体" w:eastAsia="宋体" w:cs="宋体"/>
          <w:color w:val="auto"/>
          <w:sz w:val="24"/>
          <w:szCs w:val="24"/>
          <w:highlight w:val="none"/>
        </w:rPr>
      </w:pPr>
      <w:bookmarkStart w:id="787" w:name="_Toc223432391"/>
      <w:bookmarkEnd w:id="787"/>
      <w:bookmarkStart w:id="788" w:name="_Toc171073211"/>
      <w:bookmarkEnd w:id="788"/>
      <w:bookmarkStart w:id="789" w:name="_Toc169921411"/>
      <w:bookmarkEnd w:id="789"/>
      <w:bookmarkStart w:id="790" w:name="_Toc171073046"/>
      <w:bookmarkEnd w:id="790"/>
      <w:r>
        <w:rPr>
          <w:rFonts w:hint="eastAsia" w:ascii="宋体" w:hAnsi="宋体" w:eastAsia="宋体" w:cs="宋体"/>
          <w:b/>
          <w:bCs/>
          <w:sz w:val="32"/>
          <w:szCs w:val="32"/>
          <w:highlight w:val="none"/>
        </w:rPr>
        <w:br w:type="page"/>
      </w:r>
      <w:r>
        <w:rPr>
          <w:rFonts w:hint="eastAsia" w:ascii="宋体" w:hAnsi="宋体" w:eastAsia="宋体" w:cs="宋体"/>
          <w:b w:val="0"/>
          <w:bCs w:val="0"/>
          <w:color w:val="auto"/>
          <w:sz w:val="24"/>
          <w:szCs w:val="24"/>
          <w:highlight w:val="none"/>
        </w:rPr>
        <w:t>法定代表人授权委托书</w:t>
      </w:r>
    </w:p>
    <w:p w14:paraId="3596DE5A">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本人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（供应商名称）的法定代表人，现委托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（姓名）为我方代理人。代理人根据授权，以我方名义签署、澄清、说明、补正、递交、撤回、修改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（项目名称）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的响应文件、签订合同和处理有关事宜，其法律后果由我方承担。</w:t>
      </w:r>
    </w:p>
    <w:p w14:paraId="4DF5E6D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委托期限：</w:t>
      </w:r>
      <w:r>
        <w:rPr>
          <w:rFonts w:hint="eastAsia" w:ascii="宋体" w:hAnsi="宋体" w:eastAsia="宋体" w:cs="宋体"/>
          <w:color w:val="auto"/>
          <w:highlight w:val="none"/>
          <w:u w:val="single"/>
        </w:rPr>
        <w:t>自本委托书签字或盖章并加盖单位公章之日起至</w:t>
      </w:r>
      <w:r>
        <w:rPr>
          <w:rFonts w:hint="eastAsia" w:ascii="宋体" w:hAnsi="宋体" w:eastAsia="宋体" w:cs="宋体"/>
          <w:color w:val="auto"/>
          <w:highlight w:val="none"/>
          <w:u w:val="single"/>
          <w:lang w:eastAsia="zh-CN"/>
        </w:rPr>
        <w:t>磋商</w:t>
      </w:r>
      <w:r>
        <w:rPr>
          <w:rFonts w:hint="eastAsia" w:ascii="宋体" w:hAnsi="宋体" w:eastAsia="宋体" w:cs="宋体"/>
          <w:color w:val="auto"/>
          <w:highlight w:val="none"/>
          <w:u w:val="single"/>
        </w:rPr>
        <w:t>有效期期满</w:t>
      </w:r>
      <w:r>
        <w:rPr>
          <w:rFonts w:hint="eastAsia" w:ascii="宋体" w:hAnsi="宋体" w:eastAsia="宋体" w:cs="宋体"/>
          <w:color w:val="auto"/>
          <w:highlight w:val="none"/>
        </w:rPr>
        <w:t>。</w:t>
      </w:r>
    </w:p>
    <w:p w14:paraId="40A28D49">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代理人无转委托权。</w:t>
      </w:r>
    </w:p>
    <w:p w14:paraId="7D6CD45C">
      <w:pPr>
        <w:spacing w:line="360" w:lineRule="auto"/>
        <w:ind w:firstLine="424" w:firstLineChars="202"/>
        <w:rPr>
          <w:rFonts w:hint="eastAsia" w:ascii="宋体" w:hAnsi="宋体" w:eastAsia="宋体" w:cs="宋体"/>
          <w:color w:val="auto"/>
          <w:highlight w:val="none"/>
        </w:rPr>
      </w:pPr>
      <w:r>
        <w:rPr>
          <w:rFonts w:hint="eastAsia" w:ascii="宋体" w:hAnsi="宋体" w:eastAsia="宋体" w:cs="宋体"/>
          <w:color w:val="auto"/>
          <w:highlight w:val="none"/>
        </w:rPr>
        <w:t>附：法定代表人及授权委托人身份证扫描件。</w:t>
      </w:r>
    </w:p>
    <w:p w14:paraId="6B0801E6">
      <w:pPr>
        <w:spacing w:line="360" w:lineRule="auto"/>
        <w:jc w:val="right"/>
        <w:rPr>
          <w:rFonts w:hint="eastAsia" w:ascii="宋体" w:hAnsi="宋体" w:eastAsia="宋体" w:cs="宋体"/>
          <w:color w:val="auto"/>
          <w:highlight w:val="none"/>
        </w:rPr>
      </w:pPr>
    </w:p>
    <w:p w14:paraId="16374C82">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（盖单位公章）</w:t>
      </w:r>
    </w:p>
    <w:p w14:paraId="344BF1D6">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5D86EBF2">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身份证号码：</w:t>
      </w:r>
      <w:r>
        <w:rPr>
          <w:rFonts w:hint="eastAsia" w:ascii="宋体" w:hAnsi="宋体" w:eastAsia="宋体" w:cs="宋体"/>
          <w:color w:val="auto"/>
          <w:highlight w:val="none"/>
          <w:u w:val="single"/>
        </w:rPr>
        <w:t xml:space="preserve">                         </w:t>
      </w:r>
    </w:p>
    <w:p w14:paraId="2FAD6AC6">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41F2D567">
      <w:pPr>
        <w:spacing w:line="360" w:lineRule="auto"/>
        <w:jc w:val="center"/>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身份证号码：</w:t>
      </w:r>
      <w:r>
        <w:rPr>
          <w:rFonts w:hint="eastAsia" w:ascii="宋体" w:hAnsi="宋体" w:eastAsia="宋体" w:cs="宋体"/>
          <w:color w:val="auto"/>
          <w:highlight w:val="none"/>
          <w:u w:val="single"/>
        </w:rPr>
        <w:t xml:space="preserve">                          </w:t>
      </w:r>
    </w:p>
    <w:p w14:paraId="67485AB1">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5986AC79">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注：因响应文件中授权委托书授权代理人无法手写签字的，可以采用按照上述要求盖章或手签后上传的扫描件或者采用电脑打出的字体。若为法定代表人参与投标的，无委托代理人，可删除此授权委托书。</w:t>
      </w:r>
    </w:p>
    <w:p w14:paraId="7768FD2E">
      <w:pPr>
        <w:rPr>
          <w:rFonts w:hint="eastAsia" w:ascii="宋体" w:hAnsi="宋体" w:eastAsia="宋体" w:cs="宋体"/>
          <w:b/>
          <w:bCs/>
          <w:sz w:val="32"/>
          <w:szCs w:val="32"/>
          <w:highlight w:val="none"/>
        </w:rPr>
      </w:pPr>
    </w:p>
    <w:p w14:paraId="74284297">
      <w:pP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br w:type="page"/>
      </w:r>
    </w:p>
    <w:p w14:paraId="34352401">
      <w:pPr>
        <w:spacing w:line="500" w:lineRule="exact"/>
        <w:jc w:val="center"/>
        <w:textAlignment w:val="baseline"/>
        <w:outlineLvl w:val="1"/>
        <w:rPr>
          <w:rFonts w:hint="eastAsia" w:ascii="宋体" w:hAnsi="宋体" w:eastAsia="宋体" w:cs="宋体"/>
          <w:b/>
          <w:bCs/>
          <w:color w:val="auto"/>
          <w:sz w:val="28"/>
          <w:szCs w:val="28"/>
          <w:highlight w:val="none"/>
        </w:rPr>
      </w:pPr>
      <w:bookmarkStart w:id="791" w:name="_Toc5772"/>
      <w:bookmarkStart w:id="792" w:name="_Toc24548"/>
      <w:r>
        <w:rPr>
          <w:rFonts w:hint="eastAsia" w:ascii="宋体" w:hAnsi="宋体" w:eastAsia="宋体" w:cs="宋体"/>
          <w:b/>
          <w:bCs/>
          <w:sz w:val="28"/>
          <w:szCs w:val="28"/>
          <w:highlight w:val="none"/>
          <w:lang w:eastAsia="zh-CN"/>
        </w:rPr>
        <w:t>三</w:t>
      </w:r>
      <w:r>
        <w:rPr>
          <w:rFonts w:hint="eastAsia" w:ascii="宋体" w:hAnsi="宋体" w:eastAsia="宋体" w:cs="宋体"/>
          <w:b/>
          <w:bCs/>
          <w:sz w:val="28"/>
          <w:szCs w:val="28"/>
          <w:highlight w:val="none"/>
        </w:rPr>
        <w:t>、</w:t>
      </w:r>
      <w:r>
        <w:rPr>
          <w:rFonts w:hint="eastAsia" w:ascii="宋体" w:hAnsi="宋体" w:eastAsia="宋体" w:cs="宋体"/>
          <w:b/>
          <w:bCs/>
          <w:color w:val="auto"/>
          <w:sz w:val="28"/>
          <w:szCs w:val="28"/>
          <w:highlight w:val="none"/>
        </w:rPr>
        <w:t>供应商资格审查资料</w:t>
      </w:r>
      <w:bookmarkEnd w:id="791"/>
      <w:bookmarkEnd w:id="792"/>
    </w:p>
    <w:p w14:paraId="16B88C85">
      <w:pPr>
        <w:spacing w:line="500" w:lineRule="exact"/>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rPr>
        <w:t>供应商基本情况表</w:t>
      </w:r>
    </w:p>
    <w:tbl>
      <w:tblPr>
        <w:tblStyle w:val="27"/>
        <w:tblpPr w:leftFromText="180" w:rightFromText="180" w:vertAnchor="text" w:horzAnchor="page" w:tblpX="1048" w:tblpY="271"/>
        <w:tblOverlap w:val="never"/>
        <w:tblW w:w="991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759"/>
        <w:gridCol w:w="1032"/>
        <w:gridCol w:w="1180"/>
        <w:gridCol w:w="819"/>
        <w:gridCol w:w="1245"/>
        <w:gridCol w:w="386"/>
        <w:gridCol w:w="894"/>
        <w:gridCol w:w="1598"/>
      </w:tblGrid>
      <w:tr w14:paraId="584010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718E95CB">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供应商名称</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64D4C19A">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1637A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281A67E7">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注册地址</w:t>
            </w:r>
          </w:p>
        </w:tc>
        <w:tc>
          <w:tcPr>
            <w:tcW w:w="3031" w:type="dxa"/>
            <w:gridSpan w:val="3"/>
            <w:tcBorders>
              <w:top w:val="single" w:color="auto" w:sz="4" w:space="0"/>
              <w:left w:val="single" w:color="auto" w:sz="4" w:space="0"/>
              <w:bottom w:val="single" w:color="auto" w:sz="4" w:space="0"/>
              <w:right w:val="single" w:color="auto" w:sz="4" w:space="0"/>
            </w:tcBorders>
            <w:noWrap w:val="0"/>
            <w:vAlign w:val="center"/>
          </w:tcPr>
          <w:p w14:paraId="54A5A981">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B9B96EA">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邮政编码</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1FA4DAEB">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0A66B7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2759" w:type="dxa"/>
            <w:vMerge w:val="restart"/>
            <w:tcBorders>
              <w:top w:val="single" w:color="auto" w:sz="4" w:space="0"/>
              <w:left w:val="single" w:color="auto" w:sz="4" w:space="0"/>
              <w:bottom w:val="single" w:color="auto" w:sz="4" w:space="0"/>
              <w:right w:val="single" w:color="auto" w:sz="4" w:space="0"/>
            </w:tcBorders>
            <w:noWrap w:val="0"/>
            <w:vAlign w:val="center"/>
          </w:tcPr>
          <w:p w14:paraId="28429445">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联系方式</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3D98AF71">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联系人</w:t>
            </w:r>
          </w:p>
        </w:tc>
        <w:tc>
          <w:tcPr>
            <w:tcW w:w="1999" w:type="dxa"/>
            <w:gridSpan w:val="2"/>
            <w:tcBorders>
              <w:top w:val="single" w:color="auto" w:sz="4" w:space="0"/>
              <w:left w:val="single" w:color="auto" w:sz="4" w:space="0"/>
              <w:bottom w:val="single" w:color="auto" w:sz="4" w:space="0"/>
              <w:right w:val="single" w:color="auto" w:sz="4" w:space="0"/>
            </w:tcBorders>
            <w:noWrap w:val="0"/>
            <w:vAlign w:val="center"/>
          </w:tcPr>
          <w:p w14:paraId="55692258">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ACA1AA3">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电 话</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573F0668">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4ED1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2" w:hRule="atLeast"/>
        </w:trPr>
        <w:tc>
          <w:tcPr>
            <w:tcW w:w="2759" w:type="dxa"/>
            <w:vMerge w:val="continue"/>
            <w:tcBorders>
              <w:top w:val="single" w:color="auto" w:sz="4" w:space="0"/>
              <w:left w:val="single" w:color="auto" w:sz="4" w:space="0"/>
              <w:bottom w:val="single" w:color="auto" w:sz="4" w:space="0"/>
              <w:right w:val="single" w:color="auto" w:sz="4" w:space="0"/>
            </w:tcBorders>
            <w:noWrap w:val="0"/>
            <w:vAlign w:val="center"/>
          </w:tcPr>
          <w:p w14:paraId="246B6051">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14:paraId="0519C1B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传 真</w:t>
            </w:r>
          </w:p>
        </w:tc>
        <w:tc>
          <w:tcPr>
            <w:tcW w:w="1999" w:type="dxa"/>
            <w:gridSpan w:val="2"/>
            <w:tcBorders>
              <w:top w:val="single" w:color="auto" w:sz="4" w:space="0"/>
              <w:left w:val="single" w:color="auto" w:sz="4" w:space="0"/>
              <w:bottom w:val="single" w:color="auto" w:sz="4" w:space="0"/>
              <w:right w:val="single" w:color="auto" w:sz="4" w:space="0"/>
            </w:tcBorders>
            <w:noWrap w:val="0"/>
            <w:vAlign w:val="center"/>
          </w:tcPr>
          <w:p w14:paraId="2A3F6B49">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7D04706">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网 址</w:t>
            </w:r>
          </w:p>
        </w:tc>
        <w:tc>
          <w:tcPr>
            <w:tcW w:w="2878" w:type="dxa"/>
            <w:gridSpan w:val="3"/>
            <w:tcBorders>
              <w:top w:val="single" w:color="auto" w:sz="4" w:space="0"/>
              <w:left w:val="single" w:color="auto" w:sz="4" w:space="0"/>
              <w:bottom w:val="single" w:color="auto" w:sz="4" w:space="0"/>
              <w:right w:val="single" w:color="auto" w:sz="4" w:space="0"/>
            </w:tcBorders>
            <w:noWrap w:val="0"/>
            <w:vAlign w:val="center"/>
          </w:tcPr>
          <w:p w14:paraId="2CFA5157">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2B97D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2ABEFF8B">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法定代表人</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2FCE5841">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姓名</w:t>
            </w:r>
          </w:p>
        </w:tc>
        <w:tc>
          <w:tcPr>
            <w:tcW w:w="3630" w:type="dxa"/>
            <w:gridSpan w:val="4"/>
            <w:tcBorders>
              <w:top w:val="single" w:color="auto" w:sz="4" w:space="0"/>
              <w:left w:val="single" w:color="auto" w:sz="4" w:space="0"/>
              <w:bottom w:val="single" w:color="auto" w:sz="4" w:space="0"/>
              <w:right w:val="single" w:color="auto" w:sz="4" w:space="0"/>
            </w:tcBorders>
            <w:noWrap w:val="0"/>
            <w:vAlign w:val="center"/>
          </w:tcPr>
          <w:p w14:paraId="34D78F07">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894" w:type="dxa"/>
            <w:tcBorders>
              <w:top w:val="single" w:color="auto" w:sz="4" w:space="0"/>
              <w:left w:val="single" w:color="auto" w:sz="4" w:space="0"/>
              <w:bottom w:val="single" w:color="auto" w:sz="4" w:space="0"/>
              <w:right w:val="single" w:color="auto" w:sz="4" w:space="0"/>
            </w:tcBorders>
            <w:noWrap w:val="0"/>
            <w:vAlign w:val="center"/>
          </w:tcPr>
          <w:p w14:paraId="3D5F0ED7">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电话</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0FC1DF0">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57BA7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550E9649">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成立时间</w:t>
            </w:r>
          </w:p>
        </w:tc>
        <w:tc>
          <w:tcPr>
            <w:tcW w:w="2212" w:type="dxa"/>
            <w:gridSpan w:val="2"/>
            <w:tcBorders>
              <w:top w:val="single" w:color="auto" w:sz="4" w:space="0"/>
              <w:left w:val="single" w:color="auto" w:sz="4" w:space="0"/>
              <w:bottom w:val="single" w:color="auto" w:sz="4" w:space="0"/>
              <w:right w:val="single" w:color="auto" w:sz="4" w:space="0"/>
            </w:tcBorders>
            <w:noWrap w:val="0"/>
            <w:vAlign w:val="center"/>
          </w:tcPr>
          <w:p w14:paraId="4B010C30">
            <w:pPr>
              <w:topLinePunct/>
              <w:autoSpaceDE w:val="0"/>
              <w:autoSpaceDN w:val="0"/>
              <w:spacing w:line="440" w:lineRule="exact"/>
              <w:ind w:firstLine="480"/>
              <w:jc w:val="center"/>
              <w:rPr>
                <w:rFonts w:hint="eastAsia" w:ascii="宋体" w:hAnsi="宋体" w:eastAsia="宋体" w:cs="宋体"/>
                <w:sz w:val="22"/>
                <w:szCs w:val="22"/>
                <w:highlight w:val="none"/>
              </w:rPr>
            </w:pPr>
          </w:p>
        </w:tc>
        <w:tc>
          <w:tcPr>
            <w:tcW w:w="4942" w:type="dxa"/>
            <w:gridSpan w:val="5"/>
            <w:tcBorders>
              <w:top w:val="single" w:color="auto" w:sz="4" w:space="0"/>
              <w:left w:val="single" w:color="auto" w:sz="4" w:space="0"/>
              <w:bottom w:val="single" w:color="auto" w:sz="4" w:space="0"/>
              <w:right w:val="single" w:color="auto" w:sz="4" w:space="0"/>
            </w:tcBorders>
            <w:noWrap w:val="0"/>
            <w:vAlign w:val="center"/>
          </w:tcPr>
          <w:p w14:paraId="242DD990">
            <w:pPr>
              <w:topLinePunct/>
              <w:autoSpaceDE w:val="0"/>
              <w:autoSpaceDN w:val="0"/>
              <w:spacing w:line="440" w:lineRule="exact"/>
              <w:ind w:firstLine="1100" w:firstLineChars="500"/>
              <w:rPr>
                <w:rFonts w:hint="eastAsia" w:ascii="宋体" w:hAnsi="宋体" w:eastAsia="宋体" w:cs="宋体"/>
                <w:sz w:val="22"/>
                <w:szCs w:val="22"/>
                <w:highlight w:val="none"/>
              </w:rPr>
            </w:pPr>
            <w:r>
              <w:rPr>
                <w:rFonts w:hint="eastAsia" w:ascii="宋体" w:hAnsi="宋体" w:eastAsia="宋体" w:cs="宋体"/>
                <w:sz w:val="22"/>
                <w:szCs w:val="22"/>
                <w:highlight w:val="none"/>
              </w:rPr>
              <w:t>员工总人数：</w:t>
            </w:r>
          </w:p>
        </w:tc>
      </w:tr>
      <w:tr w14:paraId="382AE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9"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0EB5D35">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统一社会信用代码</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65BF70EB">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2B7D3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3"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3CF12E4D">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注册资金</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2ACFA645">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0C1B3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5"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09FB232">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开户银行</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4BD98A92">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5C1153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5"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0CB36CBA">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账号</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5B7EDA81">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79EB6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36" w:hRule="atLeast"/>
        </w:trPr>
        <w:tc>
          <w:tcPr>
            <w:tcW w:w="2759" w:type="dxa"/>
            <w:tcBorders>
              <w:top w:val="single" w:color="auto" w:sz="4" w:space="0"/>
              <w:left w:val="single" w:color="auto" w:sz="4" w:space="0"/>
              <w:right w:val="single" w:color="auto" w:sz="4" w:space="0"/>
            </w:tcBorders>
            <w:noWrap w:val="0"/>
            <w:vAlign w:val="center"/>
          </w:tcPr>
          <w:p w14:paraId="2EFCFCE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lang w:eastAsia="zh-CN"/>
              </w:rPr>
              <w:t>经营</w:t>
            </w:r>
            <w:r>
              <w:rPr>
                <w:rFonts w:hint="eastAsia" w:ascii="宋体" w:hAnsi="宋体" w:eastAsia="宋体" w:cs="宋体"/>
                <w:sz w:val="22"/>
                <w:szCs w:val="22"/>
                <w:highlight w:val="none"/>
              </w:rPr>
              <w:t>范围</w:t>
            </w:r>
          </w:p>
        </w:tc>
        <w:tc>
          <w:tcPr>
            <w:tcW w:w="7154" w:type="dxa"/>
            <w:gridSpan w:val="7"/>
            <w:tcBorders>
              <w:top w:val="single" w:color="auto" w:sz="4" w:space="0"/>
              <w:left w:val="single" w:color="auto" w:sz="4" w:space="0"/>
              <w:right w:val="single" w:color="auto" w:sz="4" w:space="0"/>
            </w:tcBorders>
            <w:noWrap w:val="0"/>
            <w:vAlign w:val="center"/>
          </w:tcPr>
          <w:p w14:paraId="0484AEEF">
            <w:pPr>
              <w:topLinePunct/>
              <w:autoSpaceDE w:val="0"/>
              <w:autoSpaceDN w:val="0"/>
              <w:spacing w:line="440" w:lineRule="exact"/>
              <w:ind w:firstLine="480"/>
              <w:rPr>
                <w:rFonts w:hint="eastAsia" w:ascii="宋体" w:hAnsi="宋体" w:eastAsia="宋体" w:cs="宋体"/>
                <w:sz w:val="22"/>
                <w:szCs w:val="22"/>
                <w:highlight w:val="none"/>
              </w:rPr>
            </w:pPr>
          </w:p>
          <w:p w14:paraId="4DEA080F">
            <w:pPr>
              <w:topLinePunct/>
              <w:autoSpaceDE w:val="0"/>
              <w:autoSpaceDN w:val="0"/>
              <w:spacing w:line="440" w:lineRule="exact"/>
              <w:ind w:firstLine="480"/>
              <w:jc w:val="center"/>
              <w:rPr>
                <w:rFonts w:hint="eastAsia" w:ascii="宋体" w:hAnsi="宋体" w:eastAsia="宋体" w:cs="宋体"/>
                <w:sz w:val="22"/>
                <w:szCs w:val="22"/>
                <w:highlight w:val="none"/>
              </w:rPr>
            </w:pPr>
          </w:p>
          <w:p w14:paraId="2AF3EF46">
            <w:pPr>
              <w:topLinePunct/>
              <w:autoSpaceDE w:val="0"/>
              <w:autoSpaceDN w:val="0"/>
              <w:spacing w:line="440" w:lineRule="exact"/>
              <w:ind w:firstLine="480"/>
              <w:jc w:val="center"/>
              <w:rPr>
                <w:rFonts w:hint="eastAsia" w:ascii="宋体" w:hAnsi="宋体" w:eastAsia="宋体" w:cs="宋体"/>
                <w:sz w:val="22"/>
                <w:szCs w:val="22"/>
                <w:highlight w:val="none"/>
              </w:rPr>
            </w:pPr>
          </w:p>
          <w:p w14:paraId="54A1A4C8">
            <w:pPr>
              <w:topLinePunct/>
              <w:autoSpaceDE w:val="0"/>
              <w:autoSpaceDN w:val="0"/>
              <w:spacing w:line="440" w:lineRule="exact"/>
              <w:ind w:firstLine="480"/>
              <w:jc w:val="center"/>
              <w:rPr>
                <w:rFonts w:hint="eastAsia" w:ascii="宋体" w:hAnsi="宋体" w:eastAsia="宋体" w:cs="宋体"/>
                <w:sz w:val="22"/>
                <w:szCs w:val="22"/>
                <w:highlight w:val="none"/>
              </w:rPr>
            </w:pPr>
          </w:p>
          <w:p w14:paraId="1D1E48BD">
            <w:pPr>
              <w:topLinePunct/>
              <w:autoSpaceDE w:val="0"/>
              <w:autoSpaceDN w:val="0"/>
              <w:spacing w:line="440" w:lineRule="exact"/>
              <w:ind w:firstLine="480"/>
              <w:jc w:val="center"/>
              <w:rPr>
                <w:rFonts w:hint="eastAsia" w:ascii="宋体" w:hAnsi="宋体" w:eastAsia="宋体" w:cs="宋体"/>
                <w:sz w:val="22"/>
                <w:szCs w:val="22"/>
                <w:highlight w:val="none"/>
              </w:rPr>
            </w:pPr>
          </w:p>
          <w:p w14:paraId="5AC84D00">
            <w:pPr>
              <w:topLinePunct/>
              <w:autoSpaceDE w:val="0"/>
              <w:autoSpaceDN w:val="0"/>
              <w:spacing w:line="440" w:lineRule="exact"/>
              <w:ind w:firstLine="480"/>
              <w:jc w:val="center"/>
              <w:rPr>
                <w:rFonts w:hint="eastAsia" w:ascii="宋体" w:hAnsi="宋体" w:eastAsia="宋体" w:cs="宋体"/>
                <w:sz w:val="22"/>
                <w:szCs w:val="22"/>
                <w:highlight w:val="none"/>
              </w:rPr>
            </w:pPr>
          </w:p>
          <w:p w14:paraId="2863A42D">
            <w:pPr>
              <w:topLinePunct/>
              <w:autoSpaceDE w:val="0"/>
              <w:autoSpaceDN w:val="0"/>
              <w:spacing w:line="440" w:lineRule="exact"/>
              <w:ind w:firstLine="480"/>
              <w:jc w:val="center"/>
              <w:rPr>
                <w:rFonts w:hint="eastAsia" w:ascii="宋体" w:hAnsi="宋体" w:eastAsia="宋体" w:cs="宋体"/>
                <w:sz w:val="22"/>
                <w:szCs w:val="22"/>
                <w:highlight w:val="none"/>
              </w:rPr>
            </w:pPr>
          </w:p>
        </w:tc>
      </w:tr>
      <w:tr w14:paraId="499C26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2759" w:type="dxa"/>
            <w:tcBorders>
              <w:top w:val="single" w:color="auto" w:sz="4" w:space="0"/>
              <w:left w:val="single" w:color="auto" w:sz="4" w:space="0"/>
              <w:bottom w:val="single" w:color="auto" w:sz="4" w:space="0"/>
              <w:right w:val="single" w:color="auto" w:sz="4" w:space="0"/>
            </w:tcBorders>
            <w:noWrap w:val="0"/>
            <w:vAlign w:val="center"/>
          </w:tcPr>
          <w:p w14:paraId="3FBE4E8E">
            <w:pPr>
              <w:topLinePunct/>
              <w:autoSpaceDE w:val="0"/>
              <w:autoSpaceDN w:val="0"/>
              <w:spacing w:line="440" w:lineRule="exact"/>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备注</w:t>
            </w:r>
          </w:p>
        </w:tc>
        <w:tc>
          <w:tcPr>
            <w:tcW w:w="7154" w:type="dxa"/>
            <w:gridSpan w:val="7"/>
            <w:tcBorders>
              <w:top w:val="single" w:color="auto" w:sz="4" w:space="0"/>
              <w:left w:val="single" w:color="auto" w:sz="4" w:space="0"/>
              <w:bottom w:val="single" w:color="auto" w:sz="4" w:space="0"/>
              <w:right w:val="single" w:color="auto" w:sz="4" w:space="0"/>
            </w:tcBorders>
            <w:noWrap w:val="0"/>
            <w:vAlign w:val="center"/>
          </w:tcPr>
          <w:p w14:paraId="5D5CDF76">
            <w:pPr>
              <w:topLinePunct/>
              <w:autoSpaceDE w:val="0"/>
              <w:autoSpaceDN w:val="0"/>
              <w:spacing w:line="440" w:lineRule="exact"/>
              <w:ind w:firstLine="480"/>
              <w:jc w:val="center"/>
              <w:rPr>
                <w:rFonts w:hint="eastAsia" w:ascii="宋体" w:hAnsi="宋体" w:eastAsia="宋体" w:cs="宋体"/>
                <w:sz w:val="22"/>
                <w:szCs w:val="22"/>
                <w:highlight w:val="none"/>
              </w:rPr>
            </w:pPr>
          </w:p>
        </w:tc>
      </w:tr>
    </w:tbl>
    <w:p w14:paraId="4761ECD6">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备注：本表后应附有效的营业执照</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资质证书等</w:t>
      </w:r>
      <w:r>
        <w:rPr>
          <w:rFonts w:hint="eastAsia" w:ascii="宋体" w:hAnsi="宋体" w:eastAsia="宋体" w:cs="宋体"/>
          <w:b/>
          <w:bCs/>
          <w:color w:val="auto"/>
          <w:highlight w:val="none"/>
        </w:rPr>
        <w:t>扫描件。</w:t>
      </w:r>
    </w:p>
    <w:p w14:paraId="3BDDC7D0">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1AE07647">
      <w:pPr>
        <w:spacing w:line="360" w:lineRule="auto"/>
        <w:rPr>
          <w:rFonts w:hint="eastAsia" w:ascii="宋体" w:hAnsi="宋体" w:eastAsia="宋体" w:cs="宋体"/>
          <w:b/>
          <w:bCs/>
          <w:color w:val="auto"/>
          <w:sz w:val="32"/>
          <w:szCs w:val="32"/>
          <w:highlight w:val="none"/>
        </w:rPr>
      </w:pPr>
      <w:bookmarkStart w:id="793" w:name="_Toc15440"/>
      <w:bookmarkStart w:id="794" w:name="_Toc19673"/>
      <w:bookmarkStart w:id="795" w:name="_Toc24240"/>
      <w:bookmarkStart w:id="796" w:name="_Toc22555"/>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.2、资格承诺声明函</w:t>
      </w:r>
    </w:p>
    <w:p w14:paraId="487529FA">
      <w:pPr>
        <w:adjustRightInd w:val="0"/>
        <w:snapToGrid w:val="0"/>
        <w:spacing w:line="360" w:lineRule="auto"/>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名称）</w:t>
      </w:r>
      <w:r>
        <w:rPr>
          <w:rFonts w:hint="eastAsia" w:ascii="宋体" w:hAnsi="宋体" w:eastAsia="宋体" w:cs="宋体"/>
          <w:color w:val="auto"/>
          <w:kern w:val="0"/>
          <w:sz w:val="21"/>
          <w:szCs w:val="21"/>
          <w:highlight w:val="none"/>
        </w:rPr>
        <w:t>：</w:t>
      </w:r>
    </w:p>
    <w:p w14:paraId="328228C0">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我单位自愿参加本次</w:t>
      </w:r>
      <w:r>
        <w:rPr>
          <w:rFonts w:hint="eastAsia" w:ascii="宋体" w:hAnsi="宋体" w:eastAsia="宋体" w:cs="宋体"/>
          <w:color w:val="auto"/>
          <w:sz w:val="21"/>
          <w:szCs w:val="21"/>
          <w:highlight w:val="none"/>
          <w:lang w:eastAsia="zh-CN"/>
        </w:rPr>
        <w:t>政府</w:t>
      </w:r>
      <w:r>
        <w:rPr>
          <w:rFonts w:hint="eastAsia" w:ascii="宋体" w:hAnsi="宋体" w:eastAsia="宋体" w:cs="宋体"/>
          <w:color w:val="auto"/>
          <w:sz w:val="21"/>
          <w:szCs w:val="21"/>
          <w:highlight w:val="none"/>
        </w:rPr>
        <w:t>采购活动，严格遵守《中华人民共和国政府采购法》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《政府采购竞争性磋商采购方式管理暂行办法》（财库〔2014〕214号）及相关法律法规，依法诚信经营，依法遵守本次框架协议采购活动的各项规定。我单位郑重承诺</w:t>
      </w:r>
      <w:r>
        <w:rPr>
          <w:rFonts w:hint="eastAsia" w:ascii="宋体" w:hAnsi="宋体" w:eastAsia="宋体" w:cs="宋体"/>
          <w:color w:val="auto"/>
          <w:kern w:val="0"/>
          <w:sz w:val="21"/>
          <w:szCs w:val="21"/>
          <w:highlight w:val="none"/>
        </w:rPr>
        <w:t>声明如下：</w:t>
      </w:r>
    </w:p>
    <w:p w14:paraId="06338CA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一、我单位全称为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，注册地点为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，统一社会信用代码为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，法定代表人为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，联系方式为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A7FB7C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二、我单位具有独立承担民事责任的能力。</w:t>
      </w:r>
    </w:p>
    <w:p w14:paraId="2935AEF8">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三、我单位具有良好的商业信誉和健全的财务会计制度。</w:t>
      </w:r>
    </w:p>
    <w:p w14:paraId="07056173">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四、我单位具有履行合同所必需的设备和专业技术能力。</w:t>
      </w:r>
    </w:p>
    <w:p w14:paraId="7C263670">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五、我单位有依法缴纳税收和社会保障资金的良好记录。</w:t>
      </w:r>
    </w:p>
    <w:p w14:paraId="5D3A578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六、我单位参加采购活动前三年内，在经营活动中没有重大违法记录。（重大违法记录，是指供应商因违法经营受到刑事处罚或者责令停产停业、吊销许可证或者执照、较大数额罚款等行政处罚。）</w:t>
      </w:r>
    </w:p>
    <w:p w14:paraId="3E638F0F">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七、我单位具备法律、行政法规规定的其他条件。</w:t>
      </w:r>
    </w:p>
    <w:p w14:paraId="045D66E5">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八、</w:t>
      </w:r>
      <w:r>
        <w:rPr>
          <w:rFonts w:hint="eastAsia" w:ascii="宋体" w:hAnsi="宋体" w:eastAsia="宋体" w:cs="宋体"/>
          <w:color w:val="auto"/>
          <w:sz w:val="21"/>
          <w:szCs w:val="21"/>
          <w:highlight w:val="none"/>
        </w:rPr>
        <w:t>我方在此声明，所提交的响应文件及有关资料内容完整、真实和准确，且不存在第二章“供应商须知”第</w:t>
      </w:r>
      <w:r>
        <w:rPr>
          <w:rFonts w:hint="eastAsia" w:ascii="宋体" w:hAnsi="宋体" w:eastAsia="宋体" w:cs="宋体"/>
          <w:color w:val="auto"/>
          <w:sz w:val="21"/>
          <w:szCs w:val="21"/>
          <w:highlight w:val="none"/>
          <w:lang w:val="en-US" w:eastAsia="zh-CN"/>
        </w:rPr>
        <w:t>1.2.11</w:t>
      </w:r>
      <w:r>
        <w:rPr>
          <w:rFonts w:hint="eastAsia" w:ascii="宋体" w:hAnsi="宋体" w:eastAsia="宋体" w:cs="宋体"/>
          <w:color w:val="auto"/>
          <w:sz w:val="21"/>
          <w:szCs w:val="21"/>
          <w:highlight w:val="none"/>
        </w:rPr>
        <w:t>项规定的任何一种情形。</w:t>
      </w:r>
    </w:p>
    <w:p w14:paraId="6DAE4E0C">
      <w:pPr>
        <w:adjustRightInd w:val="0"/>
        <w:snapToGrid w:val="0"/>
        <w:spacing w:line="360" w:lineRule="auto"/>
        <w:ind w:firstLine="420" w:firstLineChars="200"/>
        <w:contextualSpacing/>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我单位保证上述声明的事项都是真实的，符合《中华人民共和国政府采购法》规定的供应商资格条件。如有弄虚作假，我单位愿意按照“</w:t>
      </w:r>
      <w:r>
        <w:rPr>
          <w:rFonts w:hint="eastAsia" w:ascii="宋体" w:hAnsi="宋体" w:eastAsia="宋体" w:cs="宋体"/>
          <w:color w:val="auto"/>
          <w:sz w:val="21"/>
          <w:szCs w:val="21"/>
          <w:highlight w:val="none"/>
        </w:rPr>
        <w:t>提供虚假材料谋取入围</w:t>
      </w:r>
      <w:r>
        <w:rPr>
          <w:rFonts w:hint="eastAsia" w:ascii="宋体" w:hAnsi="宋体" w:eastAsia="宋体" w:cs="宋体"/>
          <w:color w:val="auto"/>
          <w:kern w:val="0"/>
          <w:sz w:val="21"/>
          <w:szCs w:val="21"/>
          <w:highlight w:val="none"/>
        </w:rPr>
        <w:t>”承担相应的法律责任，同意将违背承诺行为作为失信行为记录到社会信用信息平台，并承担因此所造成的一切损失。</w:t>
      </w:r>
    </w:p>
    <w:p w14:paraId="1DA6AAFC">
      <w:pPr>
        <w:adjustRightInd w:val="0"/>
        <w:snapToGrid w:val="0"/>
        <w:spacing w:line="360" w:lineRule="auto"/>
        <w:ind w:firstLine="420" w:firstLineChars="200"/>
        <w:contextualSpacing/>
        <w:textAlignment w:val="baseline"/>
        <w:rPr>
          <w:rFonts w:hint="eastAsia" w:ascii="宋体" w:hAnsi="宋体" w:eastAsia="宋体" w:cs="宋体"/>
          <w:color w:val="auto"/>
          <w:kern w:val="0"/>
          <w:highlight w:val="none"/>
        </w:rPr>
      </w:pPr>
    </w:p>
    <w:p w14:paraId="2DED7A90">
      <w:pPr>
        <w:widowControl/>
        <w:adjustRightInd w:val="0"/>
        <w:spacing w:before="120" w:after="120" w:line="360" w:lineRule="auto"/>
        <w:ind w:firstLine="420" w:firstLineChars="200"/>
        <w:contextualSpacing/>
        <w:jc w:val="left"/>
        <w:rPr>
          <w:rFonts w:hint="eastAsia" w:ascii="宋体" w:hAnsi="宋体" w:eastAsia="宋体" w:cs="宋体"/>
          <w:color w:val="auto"/>
          <w:highlight w:val="none"/>
        </w:rPr>
      </w:pPr>
    </w:p>
    <w:p w14:paraId="6E4E2F4F">
      <w:pPr>
        <w:widowControl/>
        <w:adjustRightInd w:val="0"/>
        <w:spacing w:before="120" w:after="120" w:line="360" w:lineRule="auto"/>
        <w:ind w:firstLine="420" w:firstLineChars="200"/>
        <w:contextualSpacing/>
        <w:jc w:val="left"/>
        <w:rPr>
          <w:rFonts w:hint="eastAsia" w:ascii="宋体" w:hAnsi="宋体" w:eastAsia="宋体" w:cs="宋体"/>
          <w:color w:val="auto"/>
          <w:highlight w:val="none"/>
        </w:rPr>
      </w:pPr>
    </w:p>
    <w:p w14:paraId="3C63A2C0">
      <w:pPr>
        <w:widowControl/>
        <w:adjustRightInd w:val="0"/>
        <w:spacing w:before="120" w:after="120" w:line="360" w:lineRule="auto"/>
        <w:contextualSpacing/>
        <w:jc w:val="left"/>
        <w:rPr>
          <w:rFonts w:hint="eastAsia" w:ascii="宋体" w:hAnsi="宋体" w:eastAsia="宋体" w:cs="宋体"/>
          <w:color w:val="auto"/>
          <w:highlight w:val="none"/>
        </w:rPr>
      </w:pPr>
    </w:p>
    <w:p w14:paraId="225F5573">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（盖单位公章）</w:t>
      </w:r>
    </w:p>
    <w:p w14:paraId="0CC53DD7">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（签字或盖章）</w:t>
      </w:r>
    </w:p>
    <w:p w14:paraId="3B85A149">
      <w:pPr>
        <w:spacing w:line="360" w:lineRule="auto"/>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2DD9AB33">
      <w:pPr>
        <w:widowControl/>
        <w:spacing w:line="360" w:lineRule="auto"/>
        <w:jc w:val="left"/>
        <w:rPr>
          <w:rFonts w:hint="eastAsia" w:ascii="宋体" w:hAnsi="宋体" w:eastAsia="宋体" w:cs="宋体"/>
          <w:color w:val="auto"/>
          <w:highlight w:val="none"/>
        </w:rPr>
      </w:pPr>
    </w:p>
    <w:p w14:paraId="6AAB5EF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注：1.供应商须在响应文件中按此模板提供承诺函，未提供视为未实质性响应</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文件要求，按无效</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处理。</w:t>
      </w:r>
    </w:p>
    <w:p w14:paraId="789587FA">
      <w:pPr>
        <w:widowControl/>
        <w:kinsoku w:val="0"/>
        <w:autoSpaceDE w:val="0"/>
        <w:autoSpaceDN w:val="0"/>
        <w:adjustRightInd w:val="0"/>
        <w:snapToGrid w:val="0"/>
        <w:spacing w:line="273" w:lineRule="auto"/>
        <w:jc w:val="left"/>
        <w:textAlignment w:val="baseline"/>
        <w:rPr>
          <w:rFonts w:hint="eastAsia" w:ascii="宋体" w:hAnsi="宋体" w:eastAsia="宋体" w:cs="宋体"/>
          <w:snapToGrid w:val="0"/>
          <w:color w:val="auto"/>
          <w:kern w:val="0"/>
          <w:highlight w:val="none"/>
        </w:rPr>
      </w:pPr>
      <w:r>
        <w:rPr>
          <w:rFonts w:hint="eastAsia" w:ascii="宋体" w:hAnsi="宋体" w:eastAsia="宋体" w:cs="宋体"/>
          <w:color w:val="auto"/>
          <w:highlight w:val="none"/>
        </w:rPr>
        <w:t>2.供应商的法定代表人或其委托代理人的签字或盖章应真实、有效。</w:t>
      </w:r>
    </w:p>
    <w:p w14:paraId="5E9A1D3E">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1723D76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.3、响应承诺函</w:t>
      </w:r>
    </w:p>
    <w:p w14:paraId="6E28713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名称）：</w:t>
      </w:r>
    </w:p>
    <w:p w14:paraId="1473E91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我方作为本次采购项目的供应商，根据</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要求，现郑重承诺如下：</w:t>
      </w:r>
    </w:p>
    <w:p w14:paraId="25C6AC6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一、具备《中华人民共和国政府采购法》第二十二条第一款和本项目规定的条件：</w:t>
      </w:r>
    </w:p>
    <w:p w14:paraId="317E350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（一）具有独立承担民事责任的能力；</w:t>
      </w:r>
    </w:p>
    <w:p w14:paraId="08533ED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（二）具有良好的商业信誉和健全的财务会计制度；</w:t>
      </w:r>
    </w:p>
    <w:p w14:paraId="1BD7F05D">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（三）具有履行合同所必需的设备和专业技术能力；</w:t>
      </w:r>
    </w:p>
    <w:p w14:paraId="01CF129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（四）有依法缴纳税收和社会保障资金的良好记录；</w:t>
      </w:r>
    </w:p>
    <w:p w14:paraId="0E2E203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（五）参加采购活动前三年内，在经营活动中没有重大违法记录；</w:t>
      </w:r>
    </w:p>
    <w:p w14:paraId="1314517E">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（六）法律、行政法规规定的其他条件；</w:t>
      </w:r>
    </w:p>
    <w:p w14:paraId="6740956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（七）根据采购项目提出的特殊条件。</w:t>
      </w:r>
    </w:p>
    <w:p w14:paraId="06613ABA">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二、完全接受和满足本项目</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中规定的实质性要求，如对</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有异议，已经在响应文件提交截止时间届满前依法进行维权救济，不存在对</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有异议的同时又参加投标以求侥幸入围或者为实现其他非法目的的行为。</w:t>
      </w:r>
    </w:p>
    <w:p w14:paraId="0991AE8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三、参加本次采购活动，不存在与单位负责人为同一人或者存在直接控股、管理关系的其他供应商参与</w:t>
      </w:r>
      <w:r>
        <w:rPr>
          <w:rFonts w:hint="eastAsia" w:ascii="宋体" w:hAnsi="宋体" w:eastAsia="宋体" w:cs="宋体"/>
          <w:color w:val="auto"/>
          <w:sz w:val="21"/>
          <w:szCs w:val="21"/>
          <w:highlight w:val="none"/>
          <w:lang w:val="en-US" w:eastAsia="zh-CN"/>
        </w:rPr>
        <w:t>本项目</w:t>
      </w:r>
      <w:r>
        <w:rPr>
          <w:rFonts w:hint="eastAsia" w:ascii="宋体" w:hAnsi="宋体" w:eastAsia="宋体" w:cs="宋体"/>
          <w:color w:val="auto"/>
          <w:sz w:val="21"/>
          <w:szCs w:val="21"/>
          <w:highlight w:val="none"/>
        </w:rPr>
        <w:t>的采购活动的行为。</w:t>
      </w:r>
    </w:p>
    <w:p w14:paraId="0AA32C9F">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四、参加本次采购活动，不存在和其他供应商在同一合同项下的采购项目中，同时委托同一个自然人、同一家庭的人员、同一单位的人员作为代理人的行为。</w:t>
      </w:r>
    </w:p>
    <w:p w14:paraId="38A31E32">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、参加本次采购活动在近三年内供应商和其法定代表人没有行贿犯罪行为。</w:t>
      </w:r>
    </w:p>
    <w:p w14:paraId="165C5E11">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、响应文件中提供的能够给予我方带来优惠、好处的任何材料资料和技术、服务、商务等响应承诺情况都是真实的、有效的、合法的。</w:t>
      </w:r>
    </w:p>
    <w:p w14:paraId="7E1E7DE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、存在以下行为之一的愿意接受相关部门的处理：</w:t>
      </w:r>
    </w:p>
    <w:p w14:paraId="6513B9F3">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有效期内撤销响应文件的；</w:t>
      </w:r>
    </w:p>
    <w:p w14:paraId="4CA3AC0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（二）在</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确定</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供应商以前放弃</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候选资格的；</w:t>
      </w:r>
    </w:p>
    <w:p w14:paraId="120000A7">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后无正当理由不与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签订</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w:t>
      </w:r>
    </w:p>
    <w:p w14:paraId="318929CF">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（四）拒绝履行合同义务；</w:t>
      </w:r>
    </w:p>
    <w:p w14:paraId="347F1E96">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（五）在响应文件中提供虚假材料谋取</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资格；</w:t>
      </w:r>
    </w:p>
    <w:p w14:paraId="40B7C6D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（六）与</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、其他供应商或者采购代理机构恶意串通的；</w:t>
      </w:r>
    </w:p>
    <w:p w14:paraId="21B667ED">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有效期内，在采购活动中有违法、违规、违纪行为；</w:t>
      </w:r>
    </w:p>
    <w:p w14:paraId="6D4CCCF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（八）在履约过程中未按</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的响应文件、生效的采购合同等约定提供服务的。</w:t>
      </w:r>
    </w:p>
    <w:p w14:paraId="10129189">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、我方参加本次</w:t>
      </w:r>
      <w:r>
        <w:rPr>
          <w:rFonts w:hint="eastAsia" w:ascii="宋体" w:hAnsi="宋体" w:eastAsia="宋体" w:cs="宋体"/>
          <w:color w:val="auto"/>
          <w:sz w:val="21"/>
          <w:szCs w:val="21"/>
          <w:highlight w:val="none"/>
          <w:lang w:eastAsia="zh-CN"/>
        </w:rPr>
        <w:t>政府</w:t>
      </w:r>
      <w:r>
        <w:rPr>
          <w:rFonts w:hint="eastAsia" w:ascii="宋体" w:hAnsi="宋体" w:eastAsia="宋体" w:cs="宋体"/>
          <w:color w:val="auto"/>
          <w:sz w:val="21"/>
          <w:szCs w:val="21"/>
          <w:highlight w:val="none"/>
        </w:rPr>
        <w:t>采购活动，不存在与其他供应商组成联合体参与同一合同项下的采购活动的行为。</w:t>
      </w:r>
    </w:p>
    <w:p w14:paraId="34AD795B">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由此产生的一切法律后果和责任由我方承担。我方声明放弃对此提出任何异议和追索的权利。</w:t>
      </w:r>
    </w:p>
    <w:p w14:paraId="367040E8">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本单位对上述承诺的内容事项真实性负责。如经查实上述承诺的内容事项存在虚假，我方愿意接受以提供虚假材料谋取</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资格追究法律责任。</w:t>
      </w:r>
    </w:p>
    <w:p w14:paraId="11385074">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rPr>
      </w:pPr>
    </w:p>
    <w:p w14:paraId="4E9724E6">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（盖单位公章）</w:t>
      </w:r>
    </w:p>
    <w:p w14:paraId="483C163F">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（签字或盖章）</w:t>
      </w:r>
    </w:p>
    <w:p w14:paraId="16614B10">
      <w:pPr>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3ED7A01">
      <w:pPr>
        <w:pStyle w:val="23"/>
        <w:spacing w:before="0" w:beforeAutospacing="0" w:after="0" w:afterAutospacing="0" w:line="400" w:lineRule="exact"/>
        <w:ind w:firstLine="424" w:firstLineChars="20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br w:type="page"/>
      </w:r>
    </w:p>
    <w:p w14:paraId="68398A2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3.4信用信息查询</w:t>
      </w:r>
    </w:p>
    <w:p w14:paraId="4C905CA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开标后</w:t>
      </w:r>
      <w:r>
        <w:rPr>
          <w:rFonts w:hint="eastAsia" w:ascii="宋体" w:hAnsi="宋体" w:eastAsia="宋体" w:cs="宋体"/>
          <w:b w:val="0"/>
          <w:bCs/>
          <w:color w:val="auto"/>
          <w:sz w:val="21"/>
          <w:szCs w:val="21"/>
          <w:highlight w:val="none"/>
        </w:rPr>
        <w:t>，由</w:t>
      </w:r>
      <w:r>
        <w:rPr>
          <w:rFonts w:hint="eastAsia" w:ascii="宋体" w:hAnsi="宋体" w:eastAsia="宋体" w:cs="宋体"/>
          <w:b w:val="0"/>
          <w:bCs/>
          <w:color w:val="auto"/>
          <w:sz w:val="21"/>
          <w:szCs w:val="21"/>
          <w:highlight w:val="none"/>
          <w:lang w:eastAsia="zh-CN"/>
        </w:rPr>
        <w:t>采购</w:t>
      </w:r>
      <w:r>
        <w:rPr>
          <w:rFonts w:hint="eastAsia" w:ascii="宋体" w:hAnsi="宋体" w:eastAsia="宋体" w:cs="宋体"/>
          <w:b w:val="0"/>
          <w:bCs/>
          <w:color w:val="auto"/>
          <w:sz w:val="21"/>
          <w:szCs w:val="21"/>
          <w:highlight w:val="none"/>
        </w:rPr>
        <w:t>人或采购代理机构通过“信用中国”网站</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中国执行信息公开网</w:t>
      </w:r>
      <w:r>
        <w:rPr>
          <w:rFonts w:hint="eastAsia" w:ascii="宋体" w:hAnsi="宋体" w:eastAsia="宋体" w:cs="宋体"/>
          <w:b w:val="0"/>
          <w:bCs/>
          <w:color w:val="auto"/>
          <w:sz w:val="21"/>
          <w:szCs w:val="21"/>
          <w:highlight w:val="none"/>
          <w:lang w:eastAsia="zh-CN"/>
        </w:rPr>
        <w:t>”网站</w:t>
      </w:r>
      <w:r>
        <w:rPr>
          <w:rFonts w:hint="eastAsia" w:ascii="宋体" w:hAnsi="宋体" w:eastAsia="宋体" w:cs="宋体"/>
          <w:b w:val="0"/>
          <w:bCs/>
          <w:color w:val="auto"/>
          <w:sz w:val="21"/>
          <w:szCs w:val="21"/>
          <w:highlight w:val="none"/>
        </w:rPr>
        <w:t>、“中国政府采购网”</w:t>
      </w:r>
      <w:r>
        <w:rPr>
          <w:rFonts w:hint="eastAsia" w:ascii="宋体" w:hAnsi="宋体" w:eastAsia="宋体" w:cs="宋体"/>
          <w:b w:val="0"/>
          <w:bCs/>
          <w:color w:val="auto"/>
          <w:sz w:val="21"/>
          <w:szCs w:val="21"/>
          <w:highlight w:val="none"/>
          <w:lang w:eastAsia="zh-CN"/>
        </w:rPr>
        <w:t>网站</w:t>
      </w:r>
      <w:r>
        <w:rPr>
          <w:rFonts w:hint="eastAsia" w:ascii="宋体" w:hAnsi="宋体" w:eastAsia="宋体" w:cs="宋体"/>
          <w:b w:val="0"/>
          <w:bCs/>
          <w:color w:val="auto"/>
          <w:sz w:val="21"/>
          <w:szCs w:val="21"/>
          <w:highlight w:val="none"/>
        </w:rPr>
        <w:t>查询相关主体信用记录,信用信息查询记录及相关证据与其他采购文件一并保存。</w:t>
      </w:r>
    </w:p>
    <w:p w14:paraId="48836A9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（1）通过“信用中国”网站（https://www.creditchina.gov.cn/）“信用公示”查询供应商--“</w:t>
      </w:r>
      <w:bookmarkStart w:id="797" w:name="OLE_LINK68"/>
      <w:bookmarkStart w:id="798" w:name="OLE_LINK69"/>
      <w:r>
        <w:rPr>
          <w:rFonts w:hint="eastAsia" w:ascii="宋体" w:hAnsi="宋体" w:eastAsia="宋体" w:cs="宋体"/>
          <w:b w:val="0"/>
          <w:bCs/>
          <w:color w:val="auto"/>
          <w:sz w:val="21"/>
          <w:szCs w:val="21"/>
          <w:highlight w:val="none"/>
        </w:rPr>
        <w:t>重大税收违法失信主体</w:t>
      </w:r>
      <w:bookmarkEnd w:id="797"/>
      <w:bookmarkEnd w:id="798"/>
      <w:r>
        <w:rPr>
          <w:rFonts w:hint="eastAsia" w:ascii="宋体" w:hAnsi="宋体" w:eastAsia="宋体" w:cs="宋体"/>
          <w:b w:val="0"/>
          <w:bCs/>
          <w:color w:val="auto"/>
          <w:sz w:val="21"/>
          <w:szCs w:val="21"/>
          <w:highlight w:val="none"/>
          <w:lang w:eastAsia="zh-CN"/>
        </w:rPr>
        <w:t>名单</w:t>
      </w:r>
      <w:r>
        <w:rPr>
          <w:rFonts w:hint="eastAsia" w:ascii="宋体" w:hAnsi="宋体" w:eastAsia="宋体" w:cs="宋体"/>
          <w:b w:val="0"/>
          <w:bCs/>
          <w:color w:val="auto"/>
          <w:sz w:val="21"/>
          <w:szCs w:val="21"/>
          <w:highlight w:val="none"/>
        </w:rPr>
        <w:t>”。</w:t>
      </w:r>
    </w:p>
    <w:p w14:paraId="49B3A8C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（2）通过“中国执行信息公开网”网站（https://zxgk.court.gov.cn/）“失信被执行人”</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查询供应商“失信被执行人”。</w:t>
      </w:r>
    </w:p>
    <w:p w14:paraId="0C170E3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（3）通过“中国政府采购网”（</w:t>
      </w:r>
      <w:r>
        <w:rPr>
          <w:rFonts w:hint="eastAsia" w:ascii="宋体" w:hAnsi="宋体" w:eastAsia="宋体" w:cs="宋体"/>
          <w:b w:val="0"/>
          <w:bCs/>
          <w:color w:val="auto"/>
          <w:sz w:val="21"/>
          <w:szCs w:val="21"/>
          <w:highlight w:val="none"/>
        </w:rPr>
        <w:fldChar w:fldCharType="begin"/>
      </w:r>
      <w:r>
        <w:rPr>
          <w:rFonts w:hint="eastAsia" w:ascii="宋体" w:hAnsi="宋体" w:eastAsia="宋体" w:cs="宋体"/>
          <w:b w:val="0"/>
          <w:bCs/>
          <w:color w:val="auto"/>
          <w:sz w:val="21"/>
          <w:szCs w:val="21"/>
          <w:highlight w:val="none"/>
        </w:rPr>
        <w:instrText xml:space="preserve"> HYPERLINK "http://www.ccgp.gov.cn）】" </w:instrText>
      </w:r>
      <w:r>
        <w:rPr>
          <w:rFonts w:hint="eastAsia" w:ascii="宋体" w:hAnsi="宋体" w:eastAsia="宋体" w:cs="宋体"/>
          <w:b w:val="0"/>
          <w:bCs/>
          <w:color w:val="auto"/>
          <w:sz w:val="21"/>
          <w:szCs w:val="21"/>
          <w:highlight w:val="none"/>
        </w:rPr>
        <w:fldChar w:fldCharType="separate"/>
      </w:r>
      <w:r>
        <w:rPr>
          <w:rFonts w:hint="eastAsia" w:ascii="宋体" w:hAnsi="宋体" w:eastAsia="宋体" w:cs="宋体"/>
          <w:b w:val="0"/>
          <w:bCs/>
          <w:color w:val="auto"/>
          <w:sz w:val="21"/>
          <w:szCs w:val="21"/>
          <w:highlight w:val="none"/>
        </w:rPr>
        <w:t>www.ccgp.gov.cn）</w:t>
      </w:r>
      <w:r>
        <w:rPr>
          <w:rFonts w:hint="eastAsia" w:ascii="宋体" w:hAnsi="宋体" w:eastAsia="宋体" w:cs="宋体"/>
          <w:b w:val="0"/>
          <w:bCs/>
          <w:color w:val="auto"/>
          <w:sz w:val="21"/>
          <w:szCs w:val="21"/>
          <w:highlight w:val="none"/>
        </w:rPr>
        <w:fldChar w:fldCharType="end"/>
      </w:r>
      <w:r>
        <w:rPr>
          <w:rFonts w:hint="eastAsia" w:ascii="宋体" w:hAnsi="宋体" w:eastAsia="宋体" w:cs="宋体"/>
          <w:b w:val="0"/>
          <w:bCs/>
          <w:color w:val="auto"/>
          <w:sz w:val="21"/>
          <w:szCs w:val="21"/>
          <w:highlight w:val="none"/>
        </w:rPr>
        <w:t>查询供应商“政府采购严重违法失信行为记录名单”查询记录。</w:t>
      </w:r>
    </w:p>
    <w:p w14:paraId="52CBD1AF">
      <w:pPr>
        <w:keepNext w:val="0"/>
        <w:keepLines w:val="0"/>
        <w:pageBreakBefore w:val="0"/>
        <w:widowControl w:val="0"/>
        <w:kinsoku/>
        <w:wordWrap/>
        <w:overflowPunct/>
        <w:topLinePunct w:val="0"/>
        <w:autoSpaceDE/>
        <w:autoSpaceDN/>
        <w:bidi w:val="0"/>
        <w:adjustRightInd/>
        <w:snapToGrid/>
        <w:spacing w:line="500" w:lineRule="exact"/>
        <w:ind w:firstLine="210" w:firstLineChars="1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备注：以上查询路径仅供参考，相关网站有最新规定的，按最新规定执行。</w:t>
      </w:r>
    </w:p>
    <w:p w14:paraId="1E284AFF">
      <w:pP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br w:type="page"/>
      </w:r>
    </w:p>
    <w:p w14:paraId="66E1AC40">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3.5项目总监理工程师资格</w:t>
      </w:r>
    </w:p>
    <w:p w14:paraId="3B1DE58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br w:type="page"/>
      </w:r>
    </w:p>
    <w:p w14:paraId="75C4998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highlight w:val="none"/>
        </w:rPr>
      </w:pPr>
      <w:r>
        <w:rPr>
          <w:rFonts w:hint="eastAsia" w:ascii="宋体" w:hAnsi="宋体" w:eastAsia="宋体" w:cs="宋体"/>
          <w:b w:val="0"/>
          <w:bCs/>
          <w:color w:val="auto"/>
          <w:sz w:val="24"/>
          <w:szCs w:val="24"/>
          <w:highlight w:val="none"/>
          <w:lang w:val="en-US" w:eastAsia="zh-CN"/>
        </w:rPr>
        <w:t>3.6</w:t>
      </w:r>
      <w:r>
        <w:rPr>
          <w:rFonts w:hint="eastAsia" w:ascii="宋体" w:hAnsi="宋体" w:eastAsia="宋体" w:cs="宋体"/>
          <w:sz w:val="24"/>
          <w:szCs w:val="24"/>
          <w:highlight w:val="none"/>
        </w:rPr>
        <w:t xml:space="preserve">中小企业声明函 </w:t>
      </w:r>
    </w:p>
    <w:p w14:paraId="5022B70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中小企业声明函（工程、服务）</w:t>
      </w:r>
    </w:p>
    <w:p w14:paraId="67B4432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本公司（联合体）郑重声明，根据《政府采购促进中小企业发展管理办法》（财库﹝2020﹞46号）的规定，本公司（联合体）参加</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（单位名称）的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项目名称）采购活动，工程的施工单位全部为符合政策要求的中小企业（或者：服务全部由符合政策要求的中小企业承接）。相关企业（含联合体中的中小企业、签订分包意向协议的中小企业）的具体情况如下：</w:t>
      </w:r>
    </w:p>
    <w:p w14:paraId="16E17C55">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（标的名称），属于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（采购文件中明确的所属行业）；承建（承接）企业为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（中型企业、小型企业、微型企业）； </w:t>
      </w:r>
    </w:p>
    <w:p w14:paraId="2401347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（标的名称），属于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（采购文件中明确的所属行业）；承建（承接）企 业为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（企业名称），从业人员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（中型企业、小型企业、微型企业）； </w:t>
      </w:r>
    </w:p>
    <w:p w14:paraId="7EE9CC1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以上企业，不属于大企业的分支机构，不存在控股股东为大企业的情形，也不存在 与大企业的负责人为同一人的情形。 本企业对上述声明内容的真实性负责。如有虚假，将依法承担相应责任。 </w:t>
      </w:r>
    </w:p>
    <w:p w14:paraId="433D11F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p>
    <w:p w14:paraId="71BD935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1E3876B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sz w:val="24"/>
          <w:szCs w:val="24"/>
          <w:highlight w:val="none"/>
        </w:rPr>
        <w:t>日 期：</w:t>
      </w:r>
    </w:p>
    <w:p w14:paraId="264B5BDC">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4CC46CCD">
      <w:pPr>
        <w:widowControl/>
        <w:spacing w:before="100" w:beforeAutospacing="1" w:after="100" w:afterAutospacing="1"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bCs/>
          <w:color w:val="auto"/>
          <w:sz w:val="24"/>
          <w:szCs w:val="24"/>
          <w:highlight w:val="none"/>
        </w:rPr>
        <w:t>监狱企业声明函</w:t>
      </w:r>
    </w:p>
    <w:p w14:paraId="23E0A88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3EC0EA04">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7F889AF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C2EA60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101CC223">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5B86475F">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F743B3F">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bCs/>
          <w:color w:val="auto"/>
          <w:sz w:val="24"/>
          <w:highlight w:val="none"/>
          <w:lang w:eastAsia="zh-CN"/>
        </w:rPr>
        <w:t>供应商</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w:t>
      </w:r>
      <w:r>
        <w:rPr>
          <w:rFonts w:hint="eastAsia" w:ascii="宋体" w:hAnsi="宋体" w:eastAsia="宋体" w:cs="宋体"/>
          <w:color w:val="auto"/>
          <w:spacing w:val="6"/>
          <w:sz w:val="22"/>
          <w:szCs w:val="28"/>
          <w:highlight w:val="none"/>
          <w:lang w:eastAsia="zh-CN"/>
        </w:rPr>
        <w:t>盖单位公章</w:t>
      </w:r>
      <w:r>
        <w:rPr>
          <w:rFonts w:hint="eastAsia" w:ascii="宋体" w:hAnsi="宋体" w:eastAsia="宋体" w:cs="宋体"/>
          <w:bCs/>
          <w:color w:val="auto"/>
          <w:sz w:val="24"/>
          <w:highlight w:val="none"/>
        </w:rPr>
        <w:t>）</w:t>
      </w:r>
    </w:p>
    <w:p w14:paraId="589E025D">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87AF900">
      <w:pPr>
        <w:spacing w:line="360" w:lineRule="auto"/>
        <w:ind w:firstLine="4320" w:firstLineChars="1800"/>
        <w:rPr>
          <w:rFonts w:hint="eastAsia" w:ascii="宋体" w:hAnsi="宋体" w:eastAsia="宋体" w:cs="宋体"/>
          <w:color w:val="auto"/>
          <w:sz w:val="24"/>
          <w:highlight w:val="none"/>
        </w:rPr>
      </w:pPr>
    </w:p>
    <w:p w14:paraId="5393C7FB">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spacing w:val="10"/>
          <w:kern w:val="0"/>
          <w:highlight w:val="none"/>
        </w:rPr>
        <w:t>不</w:t>
      </w:r>
      <w:r>
        <w:rPr>
          <w:rFonts w:hint="eastAsia" w:ascii="宋体" w:hAnsi="宋体" w:eastAsia="宋体" w:cs="宋体"/>
          <w:b/>
          <w:color w:val="auto"/>
          <w:spacing w:val="10"/>
          <w:kern w:val="0"/>
          <w:highlight w:val="none"/>
          <w:lang w:eastAsia="zh-CN"/>
        </w:rPr>
        <w:t>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填或删除本声明函</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01048031">
      <w:pPr>
        <w:numPr>
          <w:ilvl w:val="1"/>
          <w:numId w:val="0"/>
        </w:numPr>
        <w:wordWrap w:val="0"/>
        <w:topLinePunct/>
        <w:spacing w:before="0" w:after="0" w:line="360" w:lineRule="auto"/>
        <w:jc w:val="center"/>
        <w:outlineLvl w:val="9"/>
        <w:rPr>
          <w:rFonts w:hint="eastAsia" w:ascii="宋体" w:hAnsi="宋体" w:eastAsia="宋体" w:cs="宋体"/>
          <w:bCs/>
          <w:color w:val="auto"/>
          <w:szCs w:val="24"/>
          <w:highlight w:val="none"/>
        </w:rPr>
      </w:pPr>
      <w:r>
        <w:rPr>
          <w:rFonts w:hint="eastAsia" w:ascii="宋体" w:hAnsi="宋体" w:eastAsia="宋体" w:cs="宋体"/>
          <w:color w:val="auto"/>
          <w:sz w:val="24"/>
          <w:highlight w:val="none"/>
        </w:rPr>
        <w:br w:type="page"/>
      </w:r>
      <w:bookmarkStart w:id="799" w:name="_Toc3580"/>
      <w:bookmarkStart w:id="800" w:name="_Toc29346"/>
      <w:bookmarkStart w:id="801" w:name="_Toc15018"/>
      <w:bookmarkStart w:id="802" w:name="_Toc19062"/>
      <w:bookmarkStart w:id="803" w:name="_Toc8656"/>
      <w:bookmarkStart w:id="804" w:name="_Toc13311"/>
      <w:bookmarkStart w:id="805" w:name="_Toc7854"/>
      <w:bookmarkStart w:id="806" w:name="_Toc30542"/>
      <w:bookmarkStart w:id="807" w:name="_Toc15340"/>
      <w:bookmarkStart w:id="808" w:name="_Toc22043"/>
      <w:bookmarkStart w:id="809" w:name="_Toc24355"/>
      <w:bookmarkStart w:id="810" w:name="_Toc20547"/>
      <w:bookmarkStart w:id="811" w:name="_Toc8353"/>
      <w:bookmarkStart w:id="812" w:name="_Toc5667"/>
      <w:bookmarkStart w:id="813" w:name="_Toc4483"/>
      <w:bookmarkStart w:id="814" w:name="_Toc27267"/>
      <w:bookmarkStart w:id="815" w:name="_Toc27287"/>
      <w:r>
        <w:rPr>
          <w:rFonts w:hint="eastAsia" w:ascii="宋体" w:hAnsi="宋体" w:eastAsia="宋体" w:cs="宋体"/>
          <w:b/>
          <w:bCs w:val="0"/>
          <w:color w:val="auto"/>
          <w:sz w:val="24"/>
          <w:szCs w:val="24"/>
          <w:highlight w:val="none"/>
        </w:rPr>
        <w:t>残疾人福利性单位声明函</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29FDA14C">
      <w:pPr>
        <w:spacing w:line="360" w:lineRule="auto"/>
        <w:rPr>
          <w:rFonts w:hint="eastAsia" w:ascii="宋体" w:hAnsi="宋体" w:eastAsia="宋体" w:cs="宋体"/>
          <w:b/>
          <w:color w:val="auto"/>
          <w:spacing w:val="6"/>
          <w:highlight w:val="none"/>
        </w:rPr>
      </w:pPr>
    </w:p>
    <w:p w14:paraId="31A7A2F9">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1837CB9E">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43A8E763">
      <w:pPr>
        <w:spacing w:line="360" w:lineRule="auto"/>
        <w:ind w:firstLine="584" w:firstLineChars="200"/>
        <w:rPr>
          <w:rFonts w:hint="eastAsia" w:ascii="宋体" w:hAnsi="宋体" w:eastAsia="宋体" w:cs="宋体"/>
          <w:color w:val="auto"/>
          <w:spacing w:val="6"/>
          <w:sz w:val="28"/>
          <w:szCs w:val="28"/>
          <w:highlight w:val="none"/>
        </w:rPr>
      </w:pPr>
    </w:p>
    <w:p w14:paraId="265DA4E6">
      <w:pPr>
        <w:spacing w:line="360" w:lineRule="auto"/>
        <w:ind w:firstLine="584" w:firstLineChars="200"/>
        <w:rPr>
          <w:rFonts w:hint="eastAsia" w:ascii="宋体" w:hAnsi="宋体" w:eastAsia="宋体" w:cs="宋体"/>
          <w:color w:val="auto"/>
          <w:spacing w:val="6"/>
          <w:sz w:val="28"/>
          <w:szCs w:val="28"/>
          <w:highlight w:val="none"/>
        </w:rPr>
      </w:pPr>
    </w:p>
    <w:p w14:paraId="2B300232">
      <w:pPr>
        <w:tabs>
          <w:tab w:val="left" w:pos="4860"/>
        </w:tabs>
        <w:spacing w:line="360" w:lineRule="auto"/>
        <w:ind w:right="156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eastAsia="宋体" w:cs="宋体"/>
          <w:color w:val="auto"/>
          <w:spacing w:val="6"/>
          <w:sz w:val="28"/>
          <w:szCs w:val="28"/>
          <w:highlight w:val="none"/>
          <w:lang w:val="en-US" w:eastAsia="zh-CN"/>
        </w:rPr>
        <w:t xml:space="preserve">     </w:t>
      </w:r>
      <w:r>
        <w:rPr>
          <w:rFonts w:hint="eastAsia" w:ascii="宋体" w:hAnsi="宋体" w:eastAsia="宋体" w:cs="宋体"/>
          <w:color w:val="auto"/>
          <w:spacing w:val="6"/>
          <w:sz w:val="24"/>
          <w:szCs w:val="24"/>
          <w:highlight w:val="none"/>
          <w:lang w:eastAsia="zh-CN"/>
        </w:rPr>
        <w:t>供应商</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lang w:eastAsia="zh-CN"/>
        </w:rPr>
        <w:t>盖单位公章</w:t>
      </w:r>
      <w:r>
        <w:rPr>
          <w:rFonts w:hint="eastAsia" w:ascii="宋体" w:hAnsi="宋体" w:eastAsia="宋体" w:cs="宋体"/>
          <w:color w:val="auto"/>
          <w:spacing w:val="6"/>
          <w:sz w:val="24"/>
          <w:szCs w:val="24"/>
          <w:highlight w:val="none"/>
        </w:rPr>
        <w:t>）</w:t>
      </w:r>
    </w:p>
    <w:p w14:paraId="1085515C">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18C730A3">
      <w:pPr>
        <w:widowControl/>
        <w:spacing w:line="400" w:lineRule="exact"/>
        <w:rPr>
          <w:rFonts w:hint="eastAsia" w:ascii="宋体" w:hAnsi="宋体" w:eastAsia="宋体" w:cs="宋体"/>
          <w:b/>
          <w:color w:val="auto"/>
          <w:highlight w:val="none"/>
        </w:rPr>
      </w:pPr>
    </w:p>
    <w:p w14:paraId="609671F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填或删除本声明函</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B8EBCD8">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b/>
          <w:bCs/>
          <w:iCs/>
          <w:color w:val="auto"/>
          <w:sz w:val="24"/>
          <w:szCs w:val="24"/>
          <w:highlight w:val="none"/>
          <w:lang w:eastAsia="zh-CN"/>
        </w:rPr>
        <w:br w:type="page"/>
      </w:r>
      <w:r>
        <w:rPr>
          <w:rFonts w:hint="eastAsia" w:ascii="宋体" w:hAnsi="宋体" w:eastAsia="宋体" w:cs="宋体"/>
          <w:color w:val="auto"/>
          <w:sz w:val="28"/>
          <w:szCs w:val="28"/>
          <w:highlight w:val="none"/>
        </w:rPr>
        <w:t>工业和信息化部、国家统计局、国家发展和改革委员会、财政部</w:t>
      </w:r>
    </w:p>
    <w:p w14:paraId="67B272E5">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《关于印发中小企业划型标准规定的通知》</w:t>
      </w:r>
    </w:p>
    <w:p w14:paraId="3AC74F98">
      <w:pPr>
        <w:widowControl/>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工信部联企业〔2011〕300号</w:t>
      </w:r>
    </w:p>
    <w:p w14:paraId="29F768AC">
      <w:pPr>
        <w:widowControl/>
        <w:spacing w:line="50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各省、自治区、直辖市人民政府，国务院各部委、各直属机构及有关单位： </w:t>
      </w:r>
    </w:p>
    <w:p w14:paraId="66B72849">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 </w:t>
      </w:r>
    </w:p>
    <w:p w14:paraId="633A3469">
      <w:pPr>
        <w:widowControl/>
        <w:spacing w:line="50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工业和信息化部 国家统计局 国家发展和改革委员会 财政部 </w:t>
      </w:r>
    </w:p>
    <w:p w14:paraId="129D0786">
      <w:pPr>
        <w:widowControl/>
        <w:spacing w:line="500" w:lineRule="exact"/>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二○一一年六月十八日 </w:t>
      </w:r>
    </w:p>
    <w:p w14:paraId="294DE311">
      <w:pPr>
        <w:widowControl/>
        <w:spacing w:line="500" w:lineRule="exac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中小企业划型标准规定</w:t>
      </w:r>
    </w:p>
    <w:p w14:paraId="5B2BC76C">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一、根据《中华人民共和国中小企业促进法》和《国务院关于进一步促进中小企业发展的若干意见》(国发〔2009〕36号)，制定本规定。</w:t>
      </w:r>
    </w:p>
    <w:p w14:paraId="29B8198B">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二、中小企业划分为中型、小型、微型三种类型，具体标准根据企业从业人员、营业收入、资产总额等指标，结合行业特点制定。</w:t>
      </w:r>
    </w:p>
    <w:p w14:paraId="647B4A16">
      <w:pPr>
        <w:widowControl/>
        <w:spacing w:line="5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215C1E2">
      <w:pPr>
        <w:widowControl/>
        <w:spacing w:line="500" w:lineRule="exact"/>
        <w:ind w:firstLine="480" w:firstLineChars="200"/>
        <w:jc w:val="left"/>
        <w:outlineLvl w:val="9"/>
        <w:rPr>
          <w:rFonts w:hint="eastAsia" w:ascii="宋体" w:hAnsi="宋体" w:eastAsia="宋体" w:cs="宋体"/>
          <w:color w:val="auto"/>
          <w:sz w:val="24"/>
          <w:highlight w:val="none"/>
        </w:rPr>
      </w:pPr>
      <w:bookmarkStart w:id="816" w:name="_Toc8010"/>
      <w:bookmarkStart w:id="817" w:name="_Toc25642"/>
      <w:bookmarkStart w:id="818" w:name="_Toc28820"/>
      <w:r>
        <w:rPr>
          <w:rFonts w:hint="eastAsia" w:ascii="宋体" w:hAnsi="宋体" w:eastAsia="宋体" w:cs="宋体"/>
          <w:color w:val="auto"/>
          <w:sz w:val="24"/>
          <w:highlight w:val="none"/>
        </w:rPr>
        <w:t>四、各行业划型标准为</w:t>
      </w:r>
      <w:bookmarkEnd w:id="816"/>
      <w:bookmarkEnd w:id="817"/>
      <w:bookmarkEnd w:id="818"/>
    </w:p>
    <w:p w14:paraId="14350E2F">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（一）农、林、牧、渔业。营业收入20000万元以下的为中小微型企业。其中，营业收入500万元及以上的为中型企业，营业收入50万元及以上的为小型企业，营业收入50万元以下的为微型企业。</w:t>
      </w:r>
    </w:p>
    <w:p w14:paraId="089C48FC">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2DB7D1C">
      <w:pPr>
        <w:widowControl/>
        <w:spacing w:line="500" w:lineRule="exact"/>
        <w:ind w:firstLine="480" w:firstLineChars="200"/>
        <w:jc w:val="left"/>
        <w:rPr>
          <w:rFonts w:hint="eastAsia" w:ascii="宋体" w:hAnsi="宋体" w:eastAsia="宋体" w:cs="宋体"/>
          <w:b/>
          <w:bCs/>
          <w:color w:val="auto"/>
          <w:sz w:val="24"/>
          <w:highlight w:val="none"/>
          <w:shd w:val="clear" w:color="auto" w:fill="FFFFFF"/>
        </w:rPr>
      </w:pPr>
      <w:r>
        <w:rPr>
          <w:rFonts w:hint="eastAsia" w:ascii="宋体" w:hAnsi="宋体" w:eastAsia="宋体" w:cs="宋体"/>
          <w:b w:val="0"/>
          <w:bCs w:val="0"/>
          <w:color w:val="auto"/>
          <w:sz w:val="24"/>
          <w:highlight w:val="none"/>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417E23B">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FAE6DC5">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B51EE5C">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9DA105A">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C362A71">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93177DA">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91298D3">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B71EAE0">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1F27084">
      <w:pPr>
        <w:widowControl/>
        <w:spacing w:line="500" w:lineRule="exact"/>
        <w:ind w:firstLine="480" w:firstLineChars="200"/>
        <w:jc w:val="left"/>
        <w:rPr>
          <w:rFonts w:hint="eastAsia" w:ascii="宋体" w:hAnsi="宋体" w:eastAsia="宋体" w:cs="宋体"/>
          <w:b w:val="0"/>
          <w:bCs w:val="0"/>
          <w:color w:val="auto"/>
          <w:sz w:val="24"/>
          <w:highlight w:val="none"/>
          <w:shd w:val="clear" w:color="auto" w:fill="FFFFFF"/>
        </w:rPr>
      </w:pPr>
      <w:r>
        <w:rPr>
          <w:rFonts w:hint="eastAsia" w:ascii="宋体" w:hAnsi="宋体" w:eastAsia="宋体" w:cs="宋体"/>
          <w:b w:val="0"/>
          <w:bCs w:val="0"/>
          <w:color w:val="auto"/>
          <w:sz w:val="24"/>
          <w:highlight w:val="none"/>
          <w:shd w:val="clear" w:color="auto" w:fill="FFFFFF"/>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12B59FF">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68B7CD7">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2B29C37">
      <w:pPr>
        <w:widowControl/>
        <w:spacing w:line="500" w:lineRule="exact"/>
        <w:ind w:firstLine="480" w:firstLineChars="200"/>
        <w:jc w:val="left"/>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15D57FA">
      <w:pPr>
        <w:widowControl/>
        <w:spacing w:line="500" w:lineRule="exact"/>
        <w:ind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shd w:val="clear" w:color="auto" w:fill="FFFFFF"/>
        </w:rPr>
        <w:t>（十六）其他未列明行业。从业人员300人以下的为中小微型企业。其中，从业人员100人及以上的为中型企业；从业人员10人及以上的为小型企业；从业人员10人以下的为微型企业。</w:t>
      </w:r>
    </w:p>
    <w:p w14:paraId="02927C50">
      <w:pPr>
        <w:widowControl/>
        <w:spacing w:line="500" w:lineRule="exact"/>
        <w:ind w:firstLine="480" w:firstLineChars="200"/>
        <w:jc w:val="left"/>
        <w:outlineLvl w:val="9"/>
        <w:rPr>
          <w:rFonts w:hint="eastAsia" w:ascii="宋体" w:hAnsi="宋体" w:eastAsia="宋体" w:cs="宋体"/>
          <w:color w:val="auto"/>
          <w:sz w:val="24"/>
          <w:highlight w:val="none"/>
        </w:rPr>
      </w:pPr>
      <w:bookmarkStart w:id="819" w:name="_Toc31208"/>
      <w:bookmarkStart w:id="820" w:name="_Toc178"/>
      <w:bookmarkStart w:id="821" w:name="_Toc22683"/>
      <w:r>
        <w:rPr>
          <w:rFonts w:hint="eastAsia" w:ascii="宋体" w:hAnsi="宋体" w:eastAsia="宋体" w:cs="宋体"/>
          <w:color w:val="auto"/>
          <w:sz w:val="24"/>
          <w:highlight w:val="none"/>
        </w:rPr>
        <w:t>五、企业类型的划分以统计部门的统计数据为依据。</w:t>
      </w:r>
      <w:bookmarkEnd w:id="819"/>
      <w:bookmarkEnd w:id="820"/>
      <w:bookmarkEnd w:id="821"/>
    </w:p>
    <w:p w14:paraId="6F486897">
      <w:pPr>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br w:type="page"/>
      </w:r>
    </w:p>
    <w:p w14:paraId="18BE9DDB">
      <w:pPr>
        <w:numPr>
          <w:ilvl w:val="0"/>
          <w:numId w:val="0"/>
        </w:numPr>
        <w:spacing w:line="480" w:lineRule="exact"/>
        <w:jc w:val="center"/>
        <w:textAlignment w:val="center"/>
        <w:outlineLvl w:val="1"/>
        <w:rPr>
          <w:rFonts w:hint="eastAsia" w:ascii="宋体" w:hAnsi="宋体" w:eastAsia="宋体" w:cs="宋体"/>
          <w:b/>
          <w:bCs/>
          <w:sz w:val="28"/>
          <w:szCs w:val="28"/>
          <w:highlight w:val="none"/>
        </w:rPr>
      </w:pPr>
      <w:bookmarkStart w:id="822" w:name="_Toc15083"/>
      <w:bookmarkStart w:id="823" w:name="_Toc12228"/>
      <w:bookmarkStart w:id="824" w:name="_Toc7445"/>
      <w:r>
        <w:rPr>
          <w:rFonts w:hint="eastAsia" w:ascii="宋体" w:hAnsi="宋体" w:eastAsia="宋体" w:cs="宋体"/>
          <w:b/>
          <w:bCs/>
          <w:sz w:val="28"/>
          <w:szCs w:val="28"/>
          <w:highlight w:val="none"/>
          <w:lang w:eastAsia="zh-CN"/>
        </w:rPr>
        <w:t>四、</w:t>
      </w:r>
      <w:bookmarkEnd w:id="793"/>
      <w:bookmarkEnd w:id="794"/>
      <w:bookmarkEnd w:id="795"/>
      <w:bookmarkEnd w:id="796"/>
      <w:bookmarkEnd w:id="822"/>
      <w:bookmarkEnd w:id="823"/>
      <w:r>
        <w:rPr>
          <w:rFonts w:hint="eastAsia" w:ascii="宋体" w:hAnsi="宋体" w:eastAsia="宋体" w:cs="宋体"/>
          <w:b/>
          <w:bCs/>
          <w:sz w:val="28"/>
          <w:szCs w:val="28"/>
          <w:highlight w:val="none"/>
          <w:lang w:val="en-US" w:eastAsia="zh-CN"/>
        </w:rPr>
        <w:t>监理大纲</w:t>
      </w:r>
      <w:bookmarkEnd w:id="824"/>
    </w:p>
    <w:p w14:paraId="1AB9CE34">
      <w:pPr>
        <w:spacing w:before="240" w:after="60"/>
        <w:jc w:val="center"/>
        <w:rPr>
          <w:rFonts w:hint="eastAsia" w:ascii="宋体" w:hAnsi="宋体" w:eastAsia="宋体" w:cs="宋体"/>
          <w:b/>
          <w:bCs/>
          <w:sz w:val="28"/>
          <w:szCs w:val="28"/>
          <w:highlight w:val="none"/>
        </w:rPr>
      </w:pPr>
      <w:bookmarkStart w:id="825" w:name="_Toc19996"/>
    </w:p>
    <w:p w14:paraId="5A8E984C">
      <w:pPr>
        <w:spacing w:before="240" w:after="60"/>
        <w:jc w:val="center"/>
        <w:rPr>
          <w:rFonts w:hint="eastAsia" w:ascii="宋体" w:hAnsi="宋体" w:eastAsia="宋体" w:cs="宋体"/>
          <w:b/>
          <w:bCs/>
          <w:sz w:val="28"/>
          <w:szCs w:val="28"/>
          <w:highlight w:val="none"/>
        </w:rPr>
      </w:pPr>
    </w:p>
    <w:p w14:paraId="10EA84B9">
      <w:pPr>
        <w:spacing w:before="240" w:after="60"/>
        <w:jc w:val="center"/>
        <w:rPr>
          <w:rFonts w:hint="eastAsia" w:ascii="宋体" w:hAnsi="宋体" w:eastAsia="宋体" w:cs="宋体"/>
          <w:b/>
          <w:bCs/>
          <w:sz w:val="28"/>
          <w:szCs w:val="28"/>
          <w:highlight w:val="none"/>
        </w:rPr>
      </w:pPr>
    </w:p>
    <w:p w14:paraId="5172854A">
      <w:pPr>
        <w:spacing w:before="240" w:after="60"/>
        <w:jc w:val="center"/>
        <w:rPr>
          <w:rFonts w:hint="eastAsia" w:ascii="宋体" w:hAnsi="宋体" w:eastAsia="宋体" w:cs="宋体"/>
          <w:b/>
          <w:bCs/>
          <w:sz w:val="28"/>
          <w:szCs w:val="28"/>
          <w:highlight w:val="none"/>
        </w:rPr>
      </w:pPr>
    </w:p>
    <w:p w14:paraId="306F7CD3">
      <w:pPr>
        <w:spacing w:before="240" w:after="60"/>
        <w:jc w:val="center"/>
        <w:rPr>
          <w:rFonts w:hint="eastAsia" w:ascii="宋体" w:hAnsi="宋体" w:eastAsia="宋体" w:cs="宋体"/>
          <w:b/>
          <w:bCs/>
          <w:sz w:val="28"/>
          <w:szCs w:val="28"/>
          <w:highlight w:val="none"/>
        </w:rPr>
      </w:pPr>
    </w:p>
    <w:p w14:paraId="18C73C77">
      <w:pPr>
        <w:spacing w:before="240" w:after="60"/>
        <w:jc w:val="center"/>
        <w:rPr>
          <w:rFonts w:hint="eastAsia" w:ascii="宋体" w:hAnsi="宋体" w:eastAsia="宋体" w:cs="宋体"/>
          <w:b/>
          <w:bCs/>
          <w:sz w:val="28"/>
          <w:szCs w:val="28"/>
          <w:highlight w:val="none"/>
        </w:rPr>
      </w:pPr>
    </w:p>
    <w:p w14:paraId="71922CC4">
      <w:pPr>
        <w:spacing w:before="240" w:after="60"/>
        <w:jc w:val="center"/>
        <w:rPr>
          <w:rFonts w:hint="eastAsia" w:ascii="宋体" w:hAnsi="宋体" w:eastAsia="宋体" w:cs="宋体"/>
          <w:b/>
          <w:bCs/>
          <w:sz w:val="28"/>
          <w:szCs w:val="28"/>
          <w:highlight w:val="none"/>
        </w:rPr>
      </w:pPr>
    </w:p>
    <w:p w14:paraId="413C93AE">
      <w:pPr>
        <w:spacing w:before="240" w:after="60"/>
        <w:jc w:val="center"/>
        <w:rPr>
          <w:rFonts w:hint="eastAsia" w:ascii="宋体" w:hAnsi="宋体" w:eastAsia="宋体" w:cs="宋体"/>
          <w:b/>
          <w:bCs/>
          <w:sz w:val="28"/>
          <w:szCs w:val="28"/>
          <w:highlight w:val="none"/>
        </w:rPr>
      </w:pPr>
    </w:p>
    <w:p w14:paraId="03D4AACF">
      <w:pPr>
        <w:spacing w:before="240" w:after="60"/>
        <w:jc w:val="center"/>
        <w:rPr>
          <w:rFonts w:hint="eastAsia" w:ascii="宋体" w:hAnsi="宋体" w:eastAsia="宋体" w:cs="宋体"/>
          <w:b/>
          <w:bCs/>
          <w:sz w:val="28"/>
          <w:szCs w:val="28"/>
          <w:highlight w:val="none"/>
        </w:rPr>
      </w:pPr>
    </w:p>
    <w:p w14:paraId="5805867B">
      <w:pPr>
        <w:spacing w:before="240" w:after="60"/>
        <w:jc w:val="center"/>
        <w:rPr>
          <w:rFonts w:hint="eastAsia" w:ascii="宋体" w:hAnsi="宋体" w:eastAsia="宋体" w:cs="宋体"/>
          <w:b/>
          <w:bCs/>
          <w:sz w:val="28"/>
          <w:szCs w:val="28"/>
          <w:highlight w:val="none"/>
        </w:rPr>
      </w:pPr>
    </w:p>
    <w:p w14:paraId="3159A0CD">
      <w:pPr>
        <w:spacing w:before="240" w:after="60"/>
        <w:jc w:val="center"/>
        <w:rPr>
          <w:rFonts w:hint="eastAsia" w:ascii="宋体" w:hAnsi="宋体" w:eastAsia="宋体" w:cs="宋体"/>
          <w:b/>
          <w:bCs/>
          <w:sz w:val="28"/>
          <w:szCs w:val="28"/>
          <w:highlight w:val="none"/>
        </w:rPr>
      </w:pPr>
    </w:p>
    <w:p w14:paraId="2BB3015C">
      <w:pPr>
        <w:spacing w:before="240" w:after="60"/>
        <w:jc w:val="center"/>
        <w:rPr>
          <w:rFonts w:hint="eastAsia" w:ascii="宋体" w:hAnsi="宋体" w:eastAsia="宋体" w:cs="宋体"/>
          <w:b/>
          <w:bCs/>
          <w:sz w:val="28"/>
          <w:szCs w:val="28"/>
          <w:highlight w:val="none"/>
        </w:rPr>
      </w:pPr>
    </w:p>
    <w:p w14:paraId="60904E41">
      <w:pPr>
        <w:spacing w:before="240" w:after="60"/>
        <w:jc w:val="center"/>
        <w:rPr>
          <w:rFonts w:hint="eastAsia" w:ascii="宋体" w:hAnsi="宋体" w:eastAsia="宋体" w:cs="宋体"/>
          <w:b/>
          <w:bCs/>
          <w:sz w:val="28"/>
          <w:szCs w:val="28"/>
          <w:highlight w:val="none"/>
        </w:rPr>
      </w:pPr>
    </w:p>
    <w:p w14:paraId="05AF1004">
      <w:pPr>
        <w:spacing w:before="240" w:after="60"/>
        <w:jc w:val="center"/>
        <w:rPr>
          <w:rFonts w:hint="eastAsia" w:ascii="宋体" w:hAnsi="宋体" w:eastAsia="宋体" w:cs="宋体"/>
          <w:b/>
          <w:bCs/>
          <w:sz w:val="28"/>
          <w:szCs w:val="28"/>
          <w:highlight w:val="none"/>
        </w:rPr>
      </w:pPr>
    </w:p>
    <w:p w14:paraId="7A806A77">
      <w:pPr>
        <w:spacing w:before="240" w:after="60"/>
        <w:jc w:val="center"/>
        <w:rPr>
          <w:rFonts w:hint="eastAsia" w:ascii="宋体" w:hAnsi="宋体" w:eastAsia="宋体" w:cs="宋体"/>
          <w:b/>
          <w:bCs/>
          <w:sz w:val="28"/>
          <w:szCs w:val="28"/>
          <w:highlight w:val="none"/>
        </w:rPr>
      </w:pPr>
    </w:p>
    <w:bookmarkEnd w:id="825"/>
    <w:p w14:paraId="7E316C40">
      <w:pPr>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lang w:eastAsia="zh-CN"/>
        </w:rPr>
        <w:br w:type="page"/>
      </w:r>
    </w:p>
    <w:p w14:paraId="13AD1398">
      <w:pPr>
        <w:numPr>
          <w:ilvl w:val="0"/>
          <w:numId w:val="0"/>
        </w:numPr>
        <w:jc w:val="center"/>
        <w:outlineLvl w:val="1"/>
        <w:rPr>
          <w:rFonts w:hint="eastAsia" w:ascii="宋体" w:hAnsi="宋体" w:eastAsia="宋体" w:cs="宋体"/>
          <w:b/>
          <w:bCs/>
          <w:sz w:val="28"/>
          <w:szCs w:val="28"/>
          <w:highlight w:val="none"/>
          <w:lang w:eastAsia="zh-CN"/>
        </w:rPr>
      </w:pPr>
      <w:bookmarkStart w:id="826" w:name="_Toc17690"/>
      <w:bookmarkStart w:id="827" w:name="_Toc20378"/>
      <w:bookmarkStart w:id="828" w:name="_Toc3914"/>
      <w:bookmarkStart w:id="829" w:name="_Toc27236"/>
      <w:bookmarkStart w:id="830" w:name="_Toc32073"/>
      <w:bookmarkStart w:id="831" w:name="_Toc29452"/>
      <w:r>
        <w:rPr>
          <w:rFonts w:hint="eastAsia" w:ascii="宋体" w:hAnsi="宋体" w:eastAsia="宋体" w:cs="宋体"/>
          <w:b/>
          <w:bCs/>
          <w:kern w:val="2"/>
          <w:sz w:val="28"/>
          <w:szCs w:val="28"/>
          <w:highlight w:val="none"/>
          <w:lang w:val="en-US" w:eastAsia="zh-CN" w:bidi="ar-SA"/>
        </w:rPr>
        <w:t>五、</w:t>
      </w:r>
      <w:r>
        <w:rPr>
          <w:rFonts w:hint="eastAsia" w:ascii="宋体" w:hAnsi="宋体" w:eastAsia="宋体" w:cs="宋体"/>
          <w:b/>
          <w:bCs/>
          <w:sz w:val="28"/>
          <w:szCs w:val="28"/>
          <w:highlight w:val="none"/>
          <w:lang w:eastAsia="zh-CN"/>
        </w:rPr>
        <w:t>业绩</w:t>
      </w:r>
      <w:bookmarkEnd w:id="826"/>
      <w:bookmarkEnd w:id="827"/>
      <w:bookmarkEnd w:id="828"/>
      <w:bookmarkEnd w:id="829"/>
      <w:bookmarkEnd w:id="830"/>
      <w:bookmarkEnd w:id="831"/>
    </w:p>
    <w:p w14:paraId="64902348">
      <w:pPr>
        <w:pStyle w:val="2"/>
        <w:rPr>
          <w:rFonts w:hint="default"/>
          <w:lang w:val="en-US" w:eastAsia="zh-CN"/>
        </w:rPr>
      </w:pPr>
      <w:r>
        <w:rPr>
          <w:rFonts w:hint="eastAsia" w:ascii="宋体" w:hAnsi="宋体" w:cs="宋体"/>
          <w:b w:val="0"/>
          <w:bCs w:val="0"/>
          <w:sz w:val="24"/>
          <w:szCs w:val="24"/>
          <w:highlight w:val="none"/>
          <w:lang w:val="en-US" w:eastAsia="zh-CN"/>
        </w:rPr>
        <w:t>5.1企业业绩</w:t>
      </w:r>
    </w:p>
    <w:tbl>
      <w:tblPr>
        <w:tblStyle w:val="27"/>
        <w:tblW w:w="95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2289"/>
        <w:gridCol w:w="1884"/>
        <w:gridCol w:w="1941"/>
        <w:gridCol w:w="1833"/>
      </w:tblGrid>
      <w:tr w14:paraId="050F1F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bottom w:val="single" w:color="auto" w:sz="6" w:space="0"/>
              <w:right w:val="single" w:color="auto" w:sz="6" w:space="0"/>
            </w:tcBorders>
            <w:noWrap w:val="0"/>
            <w:vAlign w:val="center"/>
          </w:tcPr>
          <w:p w14:paraId="560D2E82">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序号</w:t>
            </w:r>
          </w:p>
        </w:tc>
        <w:tc>
          <w:tcPr>
            <w:tcW w:w="2289" w:type="dxa"/>
            <w:tcBorders>
              <w:left w:val="single" w:color="auto" w:sz="6" w:space="0"/>
              <w:bottom w:val="single" w:color="auto" w:sz="6" w:space="0"/>
              <w:right w:val="single" w:color="auto" w:sz="6" w:space="0"/>
            </w:tcBorders>
            <w:noWrap w:val="0"/>
            <w:vAlign w:val="center"/>
          </w:tcPr>
          <w:p w14:paraId="2D19018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项目名称</w:t>
            </w:r>
          </w:p>
        </w:tc>
        <w:tc>
          <w:tcPr>
            <w:tcW w:w="1884" w:type="dxa"/>
            <w:tcBorders>
              <w:left w:val="single" w:color="auto" w:sz="6" w:space="0"/>
              <w:bottom w:val="single" w:color="auto" w:sz="6" w:space="0"/>
              <w:right w:val="single" w:color="auto" w:sz="6" w:space="0"/>
            </w:tcBorders>
            <w:noWrap w:val="0"/>
            <w:vAlign w:val="center"/>
          </w:tcPr>
          <w:p w14:paraId="6E48643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项目金额</w:t>
            </w:r>
            <w:r>
              <w:rPr>
                <w:rFonts w:hint="eastAsia" w:ascii="宋体" w:hAnsi="宋体" w:eastAsia="宋体" w:cs="宋体"/>
                <w:color w:val="000000"/>
                <w:sz w:val="24"/>
                <w:szCs w:val="24"/>
                <w:highlight w:val="none"/>
              </w:rPr>
              <w:t>（元）</w:t>
            </w:r>
          </w:p>
        </w:tc>
        <w:tc>
          <w:tcPr>
            <w:tcW w:w="1941" w:type="dxa"/>
            <w:tcBorders>
              <w:left w:val="single" w:color="auto" w:sz="6" w:space="0"/>
              <w:bottom w:val="single" w:color="auto" w:sz="6" w:space="0"/>
              <w:right w:val="single" w:color="auto" w:sz="6" w:space="0"/>
            </w:tcBorders>
            <w:noWrap w:val="0"/>
            <w:vAlign w:val="center"/>
          </w:tcPr>
          <w:p w14:paraId="32EC2D07">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签订日期</w:t>
            </w:r>
          </w:p>
        </w:tc>
        <w:tc>
          <w:tcPr>
            <w:tcW w:w="1833" w:type="dxa"/>
            <w:tcBorders>
              <w:left w:val="single" w:color="auto" w:sz="6" w:space="0"/>
              <w:bottom w:val="single" w:color="auto" w:sz="6" w:space="0"/>
            </w:tcBorders>
            <w:noWrap w:val="0"/>
            <w:vAlign w:val="center"/>
          </w:tcPr>
          <w:p w14:paraId="559CA37C">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完成情况</w:t>
            </w:r>
          </w:p>
        </w:tc>
      </w:tr>
      <w:tr w14:paraId="228CD8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6B503278">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513AEE93">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581A8876">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20BB274E">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5F5EC34F">
            <w:pPr>
              <w:jc w:val="center"/>
              <w:rPr>
                <w:rFonts w:hint="eastAsia" w:ascii="宋体" w:hAnsi="宋体" w:eastAsia="宋体" w:cs="宋体"/>
                <w:color w:val="000000"/>
                <w:sz w:val="24"/>
                <w:szCs w:val="24"/>
                <w:highlight w:val="none"/>
              </w:rPr>
            </w:pPr>
          </w:p>
        </w:tc>
      </w:tr>
      <w:tr w14:paraId="54C30B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44E2895">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237DE31D">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79A0F14E">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76D4EC54">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0E5C3FFD">
            <w:pPr>
              <w:jc w:val="center"/>
              <w:rPr>
                <w:rFonts w:hint="eastAsia" w:ascii="宋体" w:hAnsi="宋体" w:eastAsia="宋体" w:cs="宋体"/>
                <w:color w:val="000000"/>
                <w:sz w:val="24"/>
                <w:szCs w:val="24"/>
                <w:highlight w:val="none"/>
              </w:rPr>
            </w:pPr>
          </w:p>
        </w:tc>
      </w:tr>
      <w:tr w14:paraId="4E38D1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60B7DDA">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579F322">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0DAA002">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358A377D">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72835768">
            <w:pPr>
              <w:jc w:val="center"/>
              <w:rPr>
                <w:rFonts w:hint="eastAsia" w:ascii="宋体" w:hAnsi="宋体" w:eastAsia="宋体" w:cs="宋体"/>
                <w:color w:val="000000"/>
                <w:sz w:val="24"/>
                <w:szCs w:val="24"/>
                <w:highlight w:val="none"/>
              </w:rPr>
            </w:pPr>
          </w:p>
        </w:tc>
      </w:tr>
      <w:tr w14:paraId="49BA76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6" w:hRule="atLeast"/>
          <w:jc w:val="center"/>
        </w:trPr>
        <w:tc>
          <w:tcPr>
            <w:tcW w:w="1620" w:type="dxa"/>
            <w:tcBorders>
              <w:top w:val="single" w:color="auto" w:sz="6" w:space="0"/>
              <w:bottom w:val="single" w:color="auto" w:sz="6" w:space="0"/>
              <w:right w:val="single" w:color="auto" w:sz="6" w:space="0"/>
            </w:tcBorders>
            <w:noWrap w:val="0"/>
            <w:vAlign w:val="center"/>
          </w:tcPr>
          <w:p w14:paraId="0CC1E49B">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6B8A434">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366E4A2">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06F9FBBF">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18816B83">
            <w:pPr>
              <w:jc w:val="center"/>
              <w:rPr>
                <w:rFonts w:hint="eastAsia" w:ascii="宋体" w:hAnsi="宋体" w:eastAsia="宋体" w:cs="宋体"/>
                <w:color w:val="000000"/>
                <w:sz w:val="24"/>
                <w:szCs w:val="24"/>
                <w:highlight w:val="none"/>
              </w:rPr>
            </w:pPr>
          </w:p>
        </w:tc>
      </w:tr>
      <w:tr w14:paraId="3ECB58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right w:val="single" w:color="auto" w:sz="6" w:space="0"/>
            </w:tcBorders>
            <w:noWrap w:val="0"/>
            <w:vAlign w:val="center"/>
          </w:tcPr>
          <w:p w14:paraId="50B7D69A">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2289" w:type="dxa"/>
            <w:tcBorders>
              <w:top w:val="single" w:color="auto" w:sz="6" w:space="0"/>
              <w:left w:val="single" w:color="auto" w:sz="6" w:space="0"/>
              <w:right w:val="single" w:color="auto" w:sz="6" w:space="0"/>
            </w:tcBorders>
            <w:noWrap w:val="0"/>
            <w:vAlign w:val="center"/>
          </w:tcPr>
          <w:p w14:paraId="3B1E50B0">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right w:val="single" w:color="auto" w:sz="6" w:space="0"/>
            </w:tcBorders>
            <w:noWrap w:val="0"/>
            <w:vAlign w:val="center"/>
          </w:tcPr>
          <w:p w14:paraId="489E7BD1">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right w:val="single" w:color="auto" w:sz="6" w:space="0"/>
            </w:tcBorders>
            <w:noWrap w:val="0"/>
            <w:vAlign w:val="center"/>
          </w:tcPr>
          <w:p w14:paraId="62955048">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tcBorders>
            <w:noWrap w:val="0"/>
            <w:vAlign w:val="top"/>
          </w:tcPr>
          <w:p w14:paraId="01C5E22F">
            <w:pPr>
              <w:jc w:val="center"/>
              <w:rPr>
                <w:rFonts w:hint="eastAsia" w:ascii="宋体" w:hAnsi="宋体" w:eastAsia="宋体" w:cs="宋体"/>
                <w:color w:val="000000"/>
                <w:sz w:val="24"/>
                <w:szCs w:val="24"/>
                <w:highlight w:val="none"/>
              </w:rPr>
            </w:pPr>
          </w:p>
        </w:tc>
      </w:tr>
    </w:tbl>
    <w:p w14:paraId="5F83686F">
      <w:pPr>
        <w:pBdr>
          <w:top w:val="none" w:color="auto" w:sz="0" w:space="0"/>
          <w:left w:val="none" w:color="auto" w:sz="0" w:space="0"/>
          <w:bottom w:val="none" w:color="auto" w:sz="0" w:space="0"/>
          <w:right w:val="none" w:color="auto" w:sz="0" w:space="0"/>
        </w:pBd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注：后附相关资料。</w:t>
      </w:r>
    </w:p>
    <w:p w14:paraId="5D0DC9A2">
      <w:pPr>
        <w:rPr>
          <w:rFonts w:hint="eastAsia" w:ascii="宋体" w:hAnsi="宋体" w:eastAsia="宋体" w:cs="宋体"/>
          <w:b/>
          <w:bCs/>
          <w:sz w:val="24"/>
          <w:szCs w:val="24"/>
          <w:highlight w:val="none"/>
          <w:lang w:eastAsia="zh-CN"/>
        </w:rPr>
      </w:pPr>
    </w:p>
    <w:p w14:paraId="05593471">
      <w:pPr>
        <w:rPr>
          <w:rFonts w:hint="eastAsia" w:ascii="宋体" w:hAnsi="宋体" w:eastAsia="宋体" w:cs="宋体"/>
          <w:b/>
          <w:bCs/>
          <w:sz w:val="24"/>
          <w:szCs w:val="24"/>
          <w:highlight w:val="none"/>
          <w:lang w:eastAsia="zh-CN"/>
        </w:rPr>
      </w:pPr>
    </w:p>
    <w:p w14:paraId="07E54699">
      <w:pPr>
        <w:rPr>
          <w:rFonts w:hint="eastAsia" w:ascii="宋体" w:hAnsi="宋体" w:eastAsia="宋体" w:cs="宋体"/>
          <w:b/>
          <w:bCs/>
          <w:sz w:val="24"/>
          <w:szCs w:val="24"/>
          <w:highlight w:val="none"/>
          <w:lang w:eastAsia="zh-CN"/>
        </w:rPr>
      </w:pPr>
    </w:p>
    <w:p w14:paraId="47CE54B2">
      <w:pPr>
        <w:rPr>
          <w:rFonts w:hint="eastAsia" w:ascii="宋体" w:hAnsi="宋体" w:eastAsia="宋体" w:cs="宋体"/>
          <w:b/>
          <w:bCs/>
          <w:sz w:val="24"/>
          <w:szCs w:val="24"/>
          <w:highlight w:val="none"/>
          <w:lang w:eastAsia="zh-CN"/>
        </w:rPr>
      </w:pPr>
    </w:p>
    <w:p w14:paraId="0C127748">
      <w:pPr>
        <w:rPr>
          <w:rFonts w:hint="eastAsia" w:ascii="宋体" w:hAnsi="宋体" w:eastAsia="宋体" w:cs="宋体"/>
          <w:b/>
          <w:bCs/>
          <w:sz w:val="24"/>
          <w:szCs w:val="24"/>
          <w:highlight w:val="none"/>
          <w:lang w:eastAsia="zh-CN"/>
        </w:rPr>
      </w:pPr>
    </w:p>
    <w:p w14:paraId="68CFAC1C">
      <w:pPr>
        <w:rPr>
          <w:rFonts w:hint="eastAsia" w:ascii="宋体" w:hAnsi="宋体" w:eastAsia="宋体" w:cs="宋体"/>
          <w:b/>
          <w:bCs/>
          <w:sz w:val="24"/>
          <w:szCs w:val="24"/>
          <w:highlight w:val="none"/>
          <w:lang w:eastAsia="zh-CN"/>
        </w:rPr>
      </w:pPr>
    </w:p>
    <w:p w14:paraId="2EE30FB6">
      <w:pPr>
        <w:rPr>
          <w:rFonts w:hint="eastAsia" w:ascii="宋体" w:hAnsi="宋体" w:eastAsia="宋体" w:cs="宋体"/>
          <w:b/>
          <w:bCs/>
          <w:sz w:val="24"/>
          <w:szCs w:val="24"/>
          <w:highlight w:val="none"/>
          <w:lang w:eastAsia="zh-CN"/>
        </w:rPr>
      </w:pPr>
    </w:p>
    <w:p w14:paraId="6DBF3033">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4CDFB86E">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73394740">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7A234C12">
      <w:pPr>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br w:type="page"/>
      </w:r>
    </w:p>
    <w:p w14:paraId="23F6FE1A">
      <w:pPr>
        <w:pStyle w:val="2"/>
        <w:rPr>
          <w:rFonts w:hint="default" w:eastAsia="宋体"/>
          <w:lang w:val="en-US" w:eastAsia="zh-CN"/>
        </w:rPr>
      </w:pPr>
      <w:r>
        <w:rPr>
          <w:rFonts w:hint="eastAsia" w:ascii="宋体" w:hAnsi="宋体" w:cs="宋体"/>
          <w:b w:val="0"/>
          <w:bCs w:val="0"/>
          <w:sz w:val="24"/>
          <w:szCs w:val="24"/>
          <w:highlight w:val="none"/>
          <w:lang w:val="en-US" w:eastAsia="zh-CN"/>
        </w:rPr>
        <w:t>5.2项目总监理工程师业绩</w:t>
      </w:r>
    </w:p>
    <w:tbl>
      <w:tblPr>
        <w:tblStyle w:val="27"/>
        <w:tblW w:w="956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0"/>
        <w:gridCol w:w="2289"/>
        <w:gridCol w:w="1884"/>
        <w:gridCol w:w="1941"/>
        <w:gridCol w:w="1833"/>
      </w:tblGrid>
      <w:tr w14:paraId="2E1A55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bottom w:val="single" w:color="auto" w:sz="6" w:space="0"/>
              <w:right w:val="single" w:color="auto" w:sz="6" w:space="0"/>
            </w:tcBorders>
            <w:noWrap w:val="0"/>
            <w:vAlign w:val="center"/>
          </w:tcPr>
          <w:p w14:paraId="4FC05C7C">
            <w:pPr>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序号</w:t>
            </w:r>
          </w:p>
        </w:tc>
        <w:tc>
          <w:tcPr>
            <w:tcW w:w="2289" w:type="dxa"/>
            <w:tcBorders>
              <w:left w:val="single" w:color="auto" w:sz="6" w:space="0"/>
              <w:bottom w:val="single" w:color="auto" w:sz="6" w:space="0"/>
              <w:right w:val="single" w:color="auto" w:sz="6" w:space="0"/>
            </w:tcBorders>
            <w:noWrap w:val="0"/>
            <w:vAlign w:val="center"/>
          </w:tcPr>
          <w:p w14:paraId="4BDA5664">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项目名称</w:t>
            </w:r>
          </w:p>
        </w:tc>
        <w:tc>
          <w:tcPr>
            <w:tcW w:w="1884" w:type="dxa"/>
            <w:tcBorders>
              <w:left w:val="single" w:color="auto" w:sz="6" w:space="0"/>
              <w:bottom w:val="single" w:color="auto" w:sz="6" w:space="0"/>
              <w:right w:val="single" w:color="auto" w:sz="6" w:space="0"/>
            </w:tcBorders>
            <w:noWrap w:val="0"/>
            <w:vAlign w:val="center"/>
          </w:tcPr>
          <w:p w14:paraId="4F4355E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项目金额</w:t>
            </w:r>
            <w:r>
              <w:rPr>
                <w:rFonts w:hint="eastAsia" w:ascii="宋体" w:hAnsi="宋体" w:eastAsia="宋体" w:cs="宋体"/>
                <w:color w:val="000000"/>
                <w:sz w:val="24"/>
                <w:szCs w:val="24"/>
                <w:highlight w:val="none"/>
              </w:rPr>
              <w:t>（元）</w:t>
            </w:r>
          </w:p>
        </w:tc>
        <w:tc>
          <w:tcPr>
            <w:tcW w:w="1941" w:type="dxa"/>
            <w:tcBorders>
              <w:left w:val="single" w:color="auto" w:sz="6" w:space="0"/>
              <w:bottom w:val="single" w:color="auto" w:sz="6" w:space="0"/>
              <w:right w:val="single" w:color="auto" w:sz="6" w:space="0"/>
            </w:tcBorders>
            <w:noWrap w:val="0"/>
            <w:vAlign w:val="center"/>
          </w:tcPr>
          <w:p w14:paraId="6FE9446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签订日期</w:t>
            </w:r>
          </w:p>
        </w:tc>
        <w:tc>
          <w:tcPr>
            <w:tcW w:w="1833" w:type="dxa"/>
            <w:tcBorders>
              <w:left w:val="single" w:color="auto" w:sz="6" w:space="0"/>
              <w:bottom w:val="single" w:color="auto" w:sz="6" w:space="0"/>
            </w:tcBorders>
            <w:noWrap w:val="0"/>
            <w:vAlign w:val="center"/>
          </w:tcPr>
          <w:p w14:paraId="6B248F70">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完成情况</w:t>
            </w:r>
          </w:p>
        </w:tc>
      </w:tr>
      <w:tr w14:paraId="25AD02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4CD8C178">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21894DDB">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5F9D7FD">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1825ABE8">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5850FE2D">
            <w:pPr>
              <w:jc w:val="center"/>
              <w:rPr>
                <w:rFonts w:hint="eastAsia" w:ascii="宋体" w:hAnsi="宋体" w:eastAsia="宋体" w:cs="宋体"/>
                <w:color w:val="000000"/>
                <w:sz w:val="24"/>
                <w:szCs w:val="24"/>
                <w:highlight w:val="none"/>
              </w:rPr>
            </w:pPr>
          </w:p>
        </w:tc>
      </w:tr>
      <w:tr w14:paraId="406633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5DCA7E6E">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5010166A">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0C648C7A">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2FC108E0">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2FF36D78">
            <w:pPr>
              <w:jc w:val="center"/>
              <w:rPr>
                <w:rFonts w:hint="eastAsia" w:ascii="宋体" w:hAnsi="宋体" w:eastAsia="宋体" w:cs="宋体"/>
                <w:color w:val="000000"/>
                <w:sz w:val="24"/>
                <w:szCs w:val="24"/>
                <w:highlight w:val="none"/>
              </w:rPr>
            </w:pPr>
          </w:p>
        </w:tc>
      </w:tr>
      <w:tr w14:paraId="1B4504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bottom w:val="single" w:color="auto" w:sz="6" w:space="0"/>
              <w:right w:val="single" w:color="auto" w:sz="6" w:space="0"/>
            </w:tcBorders>
            <w:noWrap w:val="0"/>
            <w:vAlign w:val="center"/>
          </w:tcPr>
          <w:p w14:paraId="20E8342D">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6D864A40">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495663F3">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17B919DB">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71AA5195">
            <w:pPr>
              <w:jc w:val="center"/>
              <w:rPr>
                <w:rFonts w:hint="eastAsia" w:ascii="宋体" w:hAnsi="宋体" w:eastAsia="宋体" w:cs="宋体"/>
                <w:color w:val="000000"/>
                <w:sz w:val="24"/>
                <w:szCs w:val="24"/>
                <w:highlight w:val="none"/>
              </w:rPr>
            </w:pPr>
          </w:p>
        </w:tc>
      </w:tr>
      <w:tr w14:paraId="7CCE4C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6" w:hRule="atLeast"/>
          <w:jc w:val="center"/>
        </w:trPr>
        <w:tc>
          <w:tcPr>
            <w:tcW w:w="1620" w:type="dxa"/>
            <w:tcBorders>
              <w:top w:val="single" w:color="auto" w:sz="6" w:space="0"/>
              <w:bottom w:val="single" w:color="auto" w:sz="6" w:space="0"/>
              <w:right w:val="single" w:color="auto" w:sz="6" w:space="0"/>
            </w:tcBorders>
            <w:noWrap w:val="0"/>
            <w:vAlign w:val="center"/>
          </w:tcPr>
          <w:p w14:paraId="7B4181F1">
            <w:pPr>
              <w:jc w:val="center"/>
              <w:rPr>
                <w:rFonts w:hint="eastAsia" w:ascii="宋体" w:hAnsi="宋体" w:eastAsia="宋体" w:cs="宋体"/>
                <w:color w:val="000000"/>
                <w:sz w:val="24"/>
                <w:szCs w:val="24"/>
                <w:highlight w:val="none"/>
              </w:rPr>
            </w:pPr>
          </w:p>
        </w:tc>
        <w:tc>
          <w:tcPr>
            <w:tcW w:w="2289" w:type="dxa"/>
            <w:tcBorders>
              <w:top w:val="single" w:color="auto" w:sz="6" w:space="0"/>
              <w:left w:val="single" w:color="auto" w:sz="6" w:space="0"/>
              <w:bottom w:val="single" w:color="auto" w:sz="6" w:space="0"/>
              <w:right w:val="single" w:color="auto" w:sz="6" w:space="0"/>
            </w:tcBorders>
            <w:noWrap w:val="0"/>
            <w:vAlign w:val="center"/>
          </w:tcPr>
          <w:p w14:paraId="38C98441">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bottom w:val="single" w:color="auto" w:sz="6" w:space="0"/>
              <w:right w:val="single" w:color="auto" w:sz="6" w:space="0"/>
            </w:tcBorders>
            <w:noWrap w:val="0"/>
            <w:vAlign w:val="center"/>
          </w:tcPr>
          <w:p w14:paraId="69FFF50F">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bottom w:val="single" w:color="auto" w:sz="6" w:space="0"/>
              <w:right w:val="single" w:color="auto" w:sz="6" w:space="0"/>
            </w:tcBorders>
            <w:noWrap w:val="0"/>
            <w:vAlign w:val="center"/>
          </w:tcPr>
          <w:p w14:paraId="536EA637">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bottom w:val="single" w:color="auto" w:sz="6" w:space="0"/>
            </w:tcBorders>
            <w:noWrap w:val="0"/>
            <w:vAlign w:val="top"/>
          </w:tcPr>
          <w:p w14:paraId="26606F3F">
            <w:pPr>
              <w:jc w:val="center"/>
              <w:rPr>
                <w:rFonts w:hint="eastAsia" w:ascii="宋体" w:hAnsi="宋体" w:eastAsia="宋体" w:cs="宋体"/>
                <w:color w:val="000000"/>
                <w:sz w:val="24"/>
                <w:szCs w:val="24"/>
                <w:highlight w:val="none"/>
              </w:rPr>
            </w:pPr>
          </w:p>
        </w:tc>
      </w:tr>
      <w:tr w14:paraId="4D0304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1620" w:type="dxa"/>
            <w:tcBorders>
              <w:top w:val="single" w:color="auto" w:sz="6" w:space="0"/>
              <w:right w:val="single" w:color="auto" w:sz="6" w:space="0"/>
            </w:tcBorders>
            <w:noWrap w:val="0"/>
            <w:vAlign w:val="center"/>
          </w:tcPr>
          <w:p w14:paraId="0542A4F2">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tc>
        <w:tc>
          <w:tcPr>
            <w:tcW w:w="2289" w:type="dxa"/>
            <w:tcBorders>
              <w:top w:val="single" w:color="auto" w:sz="6" w:space="0"/>
              <w:left w:val="single" w:color="auto" w:sz="6" w:space="0"/>
              <w:right w:val="single" w:color="auto" w:sz="6" w:space="0"/>
            </w:tcBorders>
            <w:noWrap w:val="0"/>
            <w:vAlign w:val="center"/>
          </w:tcPr>
          <w:p w14:paraId="4F8CFEDC">
            <w:pPr>
              <w:jc w:val="center"/>
              <w:rPr>
                <w:rFonts w:hint="eastAsia" w:ascii="宋体" w:hAnsi="宋体" w:eastAsia="宋体" w:cs="宋体"/>
                <w:color w:val="000000"/>
                <w:sz w:val="24"/>
                <w:szCs w:val="24"/>
                <w:highlight w:val="none"/>
              </w:rPr>
            </w:pPr>
          </w:p>
        </w:tc>
        <w:tc>
          <w:tcPr>
            <w:tcW w:w="1884" w:type="dxa"/>
            <w:tcBorders>
              <w:top w:val="single" w:color="auto" w:sz="6" w:space="0"/>
              <w:left w:val="single" w:color="auto" w:sz="6" w:space="0"/>
              <w:right w:val="single" w:color="auto" w:sz="6" w:space="0"/>
            </w:tcBorders>
            <w:noWrap w:val="0"/>
            <w:vAlign w:val="center"/>
          </w:tcPr>
          <w:p w14:paraId="31BDEDDE">
            <w:pPr>
              <w:jc w:val="center"/>
              <w:rPr>
                <w:rFonts w:hint="eastAsia" w:ascii="宋体" w:hAnsi="宋体" w:eastAsia="宋体" w:cs="宋体"/>
                <w:color w:val="000000"/>
                <w:sz w:val="24"/>
                <w:szCs w:val="24"/>
                <w:highlight w:val="none"/>
              </w:rPr>
            </w:pPr>
          </w:p>
        </w:tc>
        <w:tc>
          <w:tcPr>
            <w:tcW w:w="1941" w:type="dxa"/>
            <w:tcBorders>
              <w:top w:val="single" w:color="auto" w:sz="6" w:space="0"/>
              <w:left w:val="single" w:color="auto" w:sz="6" w:space="0"/>
              <w:right w:val="single" w:color="auto" w:sz="6" w:space="0"/>
            </w:tcBorders>
            <w:noWrap w:val="0"/>
            <w:vAlign w:val="center"/>
          </w:tcPr>
          <w:p w14:paraId="661A1A67">
            <w:pPr>
              <w:jc w:val="center"/>
              <w:rPr>
                <w:rFonts w:hint="eastAsia" w:ascii="宋体" w:hAnsi="宋体" w:eastAsia="宋体" w:cs="宋体"/>
                <w:color w:val="000000"/>
                <w:sz w:val="24"/>
                <w:szCs w:val="24"/>
                <w:highlight w:val="none"/>
              </w:rPr>
            </w:pPr>
          </w:p>
        </w:tc>
        <w:tc>
          <w:tcPr>
            <w:tcW w:w="1833" w:type="dxa"/>
            <w:tcBorders>
              <w:top w:val="single" w:color="auto" w:sz="6" w:space="0"/>
              <w:left w:val="single" w:color="auto" w:sz="6" w:space="0"/>
            </w:tcBorders>
            <w:noWrap w:val="0"/>
            <w:vAlign w:val="top"/>
          </w:tcPr>
          <w:p w14:paraId="37D2081A">
            <w:pPr>
              <w:jc w:val="center"/>
              <w:rPr>
                <w:rFonts w:hint="eastAsia" w:ascii="宋体" w:hAnsi="宋体" w:eastAsia="宋体" w:cs="宋体"/>
                <w:color w:val="000000"/>
                <w:sz w:val="24"/>
                <w:szCs w:val="24"/>
                <w:highlight w:val="none"/>
              </w:rPr>
            </w:pPr>
          </w:p>
        </w:tc>
      </w:tr>
    </w:tbl>
    <w:p w14:paraId="5FEFBF3D">
      <w:pPr>
        <w:pBdr>
          <w:top w:val="none" w:color="auto" w:sz="0" w:space="0"/>
          <w:left w:val="none" w:color="auto" w:sz="0" w:space="0"/>
          <w:bottom w:val="none" w:color="auto" w:sz="0" w:space="0"/>
          <w:right w:val="none" w:color="auto" w:sz="0" w:space="0"/>
        </w:pBd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注：后附相关资料。</w:t>
      </w:r>
    </w:p>
    <w:p w14:paraId="78827464">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6DC1AFFC">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408DB857">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240E0ACA">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p>
    <w:p w14:paraId="3DEEF242">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085C6671">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7E1CA5D8">
      <w:pPr>
        <w:keepNext w:val="0"/>
        <w:keepLines w:val="0"/>
        <w:pageBreakBefore w:val="0"/>
        <w:widowControl w:val="0"/>
        <w:kinsoku/>
        <w:wordWrap/>
        <w:overflowPunct/>
        <w:topLinePunct w:val="0"/>
        <w:autoSpaceDE/>
        <w:autoSpaceDN/>
        <w:bidi w:val="0"/>
        <w:adjustRightInd/>
        <w:snapToGrid/>
        <w:spacing w:line="500" w:lineRule="exact"/>
        <w:ind w:firstLine="6160" w:firstLineChars="2800"/>
        <w:textAlignment w:val="auto"/>
        <w:rPr>
          <w:rFonts w:hint="eastAsia" w:ascii="宋体" w:hAnsi="宋体" w:eastAsia="宋体" w:cs="宋体"/>
          <w:b/>
          <w:bCs/>
          <w:sz w:val="28"/>
          <w:szCs w:val="28"/>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17F87FC3">
      <w:pPr>
        <w:rPr>
          <w:rFonts w:hint="eastAsia" w:ascii="宋体" w:hAnsi="宋体" w:eastAsia="宋体" w:cs="宋体"/>
          <w:b/>
          <w:bCs/>
          <w:sz w:val="28"/>
          <w:szCs w:val="28"/>
          <w:highlight w:val="none"/>
          <w:lang w:val="en-US" w:eastAsia="zh-CN"/>
        </w:rPr>
      </w:pPr>
      <w:bookmarkStart w:id="832" w:name="_Toc21755"/>
      <w:bookmarkStart w:id="833" w:name="_Toc10464"/>
      <w:r>
        <w:rPr>
          <w:rFonts w:hint="eastAsia" w:ascii="宋体" w:hAnsi="宋体" w:eastAsia="宋体" w:cs="宋体"/>
          <w:b/>
          <w:bCs/>
          <w:sz w:val="28"/>
          <w:szCs w:val="28"/>
          <w:highlight w:val="none"/>
          <w:lang w:val="en-US" w:eastAsia="zh-CN"/>
        </w:rPr>
        <w:br w:type="page"/>
      </w:r>
    </w:p>
    <w:p w14:paraId="40E9F52A">
      <w:pPr>
        <w:spacing w:line="500" w:lineRule="exact"/>
        <w:jc w:val="center"/>
        <w:textAlignment w:val="baseline"/>
        <w:outlineLvl w:val="1"/>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六、</w:t>
      </w:r>
      <w:bookmarkEnd w:id="832"/>
      <w:bookmarkEnd w:id="833"/>
      <w:r>
        <w:rPr>
          <w:rFonts w:hint="eastAsia" w:ascii="宋体" w:hAnsi="宋体" w:eastAsia="宋体" w:cs="宋体"/>
          <w:b/>
          <w:bCs/>
          <w:sz w:val="28"/>
          <w:szCs w:val="28"/>
          <w:highlight w:val="none"/>
          <w:lang w:val="en-US" w:eastAsia="zh-CN"/>
        </w:rPr>
        <w:t>项目管理机构</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71"/>
        <w:gridCol w:w="770"/>
        <w:gridCol w:w="1743"/>
        <w:gridCol w:w="1134"/>
        <w:gridCol w:w="993"/>
        <w:gridCol w:w="850"/>
        <w:gridCol w:w="1440"/>
        <w:gridCol w:w="769"/>
      </w:tblGrid>
      <w:tr w14:paraId="2BB0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restart"/>
            <w:vAlign w:val="center"/>
          </w:tcPr>
          <w:p w14:paraId="2187DC3E">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职务</w:t>
            </w:r>
          </w:p>
        </w:tc>
        <w:tc>
          <w:tcPr>
            <w:tcW w:w="771" w:type="dxa"/>
            <w:vMerge w:val="restart"/>
            <w:vAlign w:val="center"/>
          </w:tcPr>
          <w:p w14:paraId="1C2D3248">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姓名</w:t>
            </w:r>
          </w:p>
        </w:tc>
        <w:tc>
          <w:tcPr>
            <w:tcW w:w="770" w:type="dxa"/>
            <w:vMerge w:val="restart"/>
            <w:vAlign w:val="center"/>
          </w:tcPr>
          <w:p w14:paraId="0D27D7F5">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职称</w:t>
            </w:r>
          </w:p>
        </w:tc>
        <w:tc>
          <w:tcPr>
            <w:tcW w:w="6160" w:type="dxa"/>
            <w:gridSpan w:val="5"/>
            <w:vAlign w:val="center"/>
          </w:tcPr>
          <w:p w14:paraId="20BC0C21">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执业或职业资格证明</w:t>
            </w:r>
          </w:p>
        </w:tc>
        <w:tc>
          <w:tcPr>
            <w:tcW w:w="769" w:type="dxa"/>
            <w:vMerge w:val="restart"/>
            <w:vAlign w:val="center"/>
          </w:tcPr>
          <w:p w14:paraId="413C4FAB">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备注</w:t>
            </w:r>
          </w:p>
        </w:tc>
      </w:tr>
      <w:tr w14:paraId="73C0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continue"/>
            <w:vAlign w:val="center"/>
          </w:tcPr>
          <w:p w14:paraId="4E6117C0">
            <w:pPr>
              <w:wordWrap w:val="0"/>
              <w:topLinePunct/>
              <w:spacing w:line="360" w:lineRule="auto"/>
              <w:jc w:val="center"/>
              <w:rPr>
                <w:rFonts w:ascii="宋体" w:hAnsi="宋体" w:eastAsia="宋体" w:cs="宋体"/>
                <w:sz w:val="21"/>
                <w:szCs w:val="21"/>
                <w:highlight w:val="none"/>
              </w:rPr>
            </w:pPr>
          </w:p>
        </w:tc>
        <w:tc>
          <w:tcPr>
            <w:tcW w:w="771" w:type="dxa"/>
            <w:vMerge w:val="continue"/>
            <w:vAlign w:val="center"/>
          </w:tcPr>
          <w:p w14:paraId="1BC2DF70">
            <w:pPr>
              <w:wordWrap w:val="0"/>
              <w:topLinePunct/>
              <w:spacing w:line="360" w:lineRule="auto"/>
              <w:jc w:val="center"/>
              <w:rPr>
                <w:rFonts w:ascii="宋体" w:hAnsi="宋体" w:eastAsia="宋体" w:cs="宋体"/>
                <w:sz w:val="21"/>
                <w:szCs w:val="21"/>
                <w:highlight w:val="none"/>
              </w:rPr>
            </w:pPr>
          </w:p>
        </w:tc>
        <w:tc>
          <w:tcPr>
            <w:tcW w:w="770" w:type="dxa"/>
            <w:vMerge w:val="continue"/>
            <w:vAlign w:val="center"/>
          </w:tcPr>
          <w:p w14:paraId="336C1631">
            <w:pPr>
              <w:wordWrap w:val="0"/>
              <w:topLinePunct/>
              <w:spacing w:line="360" w:lineRule="auto"/>
              <w:jc w:val="center"/>
              <w:rPr>
                <w:rFonts w:ascii="宋体" w:hAnsi="宋体" w:eastAsia="宋体" w:cs="宋体"/>
                <w:sz w:val="21"/>
                <w:szCs w:val="21"/>
                <w:highlight w:val="none"/>
              </w:rPr>
            </w:pPr>
          </w:p>
        </w:tc>
        <w:tc>
          <w:tcPr>
            <w:tcW w:w="1743" w:type="dxa"/>
            <w:vAlign w:val="center"/>
          </w:tcPr>
          <w:p w14:paraId="62A544F6">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证书名称</w:t>
            </w:r>
          </w:p>
        </w:tc>
        <w:tc>
          <w:tcPr>
            <w:tcW w:w="1134" w:type="dxa"/>
            <w:vAlign w:val="center"/>
          </w:tcPr>
          <w:p w14:paraId="38741112">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级别</w:t>
            </w:r>
          </w:p>
        </w:tc>
        <w:tc>
          <w:tcPr>
            <w:tcW w:w="993" w:type="dxa"/>
            <w:vAlign w:val="center"/>
          </w:tcPr>
          <w:p w14:paraId="17288F16">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证号</w:t>
            </w:r>
          </w:p>
        </w:tc>
        <w:tc>
          <w:tcPr>
            <w:tcW w:w="850" w:type="dxa"/>
            <w:vAlign w:val="center"/>
          </w:tcPr>
          <w:p w14:paraId="01E9BC48">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专业</w:t>
            </w:r>
          </w:p>
        </w:tc>
        <w:tc>
          <w:tcPr>
            <w:tcW w:w="1440" w:type="dxa"/>
            <w:vAlign w:val="center"/>
          </w:tcPr>
          <w:p w14:paraId="4C480D02">
            <w:pPr>
              <w:wordWrap w:val="0"/>
              <w:topLinePunct/>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养老保险</w:t>
            </w:r>
          </w:p>
        </w:tc>
        <w:tc>
          <w:tcPr>
            <w:tcW w:w="769" w:type="dxa"/>
            <w:vMerge w:val="continue"/>
            <w:vAlign w:val="center"/>
          </w:tcPr>
          <w:p w14:paraId="798B66E3">
            <w:pPr>
              <w:wordWrap w:val="0"/>
              <w:topLinePunct/>
              <w:spacing w:line="360" w:lineRule="auto"/>
              <w:jc w:val="center"/>
              <w:rPr>
                <w:rFonts w:ascii="宋体" w:hAnsi="宋体" w:eastAsia="宋体" w:cs="宋体"/>
                <w:sz w:val="21"/>
                <w:szCs w:val="21"/>
                <w:highlight w:val="none"/>
              </w:rPr>
            </w:pPr>
          </w:p>
        </w:tc>
      </w:tr>
      <w:tr w14:paraId="489F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DAE56F0">
            <w:pPr>
              <w:wordWrap w:val="0"/>
              <w:topLinePunct/>
              <w:spacing w:line="360" w:lineRule="auto"/>
              <w:jc w:val="center"/>
              <w:rPr>
                <w:rFonts w:ascii="宋体" w:hAnsi="宋体" w:eastAsia="宋体" w:cs="宋体"/>
                <w:sz w:val="21"/>
                <w:szCs w:val="21"/>
                <w:highlight w:val="none"/>
              </w:rPr>
            </w:pPr>
          </w:p>
        </w:tc>
        <w:tc>
          <w:tcPr>
            <w:tcW w:w="771" w:type="dxa"/>
            <w:vAlign w:val="center"/>
          </w:tcPr>
          <w:p w14:paraId="3DCE8233">
            <w:pPr>
              <w:wordWrap w:val="0"/>
              <w:topLinePunct/>
              <w:spacing w:line="360" w:lineRule="auto"/>
              <w:jc w:val="center"/>
              <w:rPr>
                <w:rFonts w:ascii="宋体" w:hAnsi="宋体" w:eastAsia="宋体" w:cs="宋体"/>
                <w:sz w:val="21"/>
                <w:szCs w:val="21"/>
                <w:highlight w:val="none"/>
              </w:rPr>
            </w:pPr>
          </w:p>
        </w:tc>
        <w:tc>
          <w:tcPr>
            <w:tcW w:w="770" w:type="dxa"/>
            <w:vAlign w:val="center"/>
          </w:tcPr>
          <w:p w14:paraId="53429E31">
            <w:pPr>
              <w:wordWrap w:val="0"/>
              <w:topLinePunct/>
              <w:spacing w:line="360" w:lineRule="auto"/>
              <w:jc w:val="center"/>
              <w:rPr>
                <w:rFonts w:ascii="宋体" w:hAnsi="宋体" w:eastAsia="宋体" w:cs="宋体"/>
                <w:sz w:val="21"/>
                <w:szCs w:val="21"/>
                <w:highlight w:val="none"/>
              </w:rPr>
            </w:pPr>
          </w:p>
        </w:tc>
        <w:tc>
          <w:tcPr>
            <w:tcW w:w="1743" w:type="dxa"/>
            <w:vAlign w:val="center"/>
          </w:tcPr>
          <w:p w14:paraId="12B8CDA9">
            <w:pPr>
              <w:wordWrap w:val="0"/>
              <w:topLinePunct/>
              <w:spacing w:line="360" w:lineRule="auto"/>
              <w:jc w:val="center"/>
              <w:rPr>
                <w:rFonts w:ascii="宋体" w:hAnsi="宋体" w:eastAsia="宋体" w:cs="宋体"/>
                <w:sz w:val="21"/>
                <w:szCs w:val="21"/>
                <w:highlight w:val="none"/>
              </w:rPr>
            </w:pPr>
          </w:p>
        </w:tc>
        <w:tc>
          <w:tcPr>
            <w:tcW w:w="1134" w:type="dxa"/>
            <w:vAlign w:val="center"/>
          </w:tcPr>
          <w:p w14:paraId="35A892D8">
            <w:pPr>
              <w:wordWrap w:val="0"/>
              <w:topLinePunct/>
              <w:spacing w:line="360" w:lineRule="auto"/>
              <w:jc w:val="center"/>
              <w:rPr>
                <w:rFonts w:ascii="宋体" w:hAnsi="宋体" w:eastAsia="宋体" w:cs="宋体"/>
                <w:sz w:val="21"/>
                <w:szCs w:val="21"/>
                <w:highlight w:val="none"/>
              </w:rPr>
            </w:pPr>
          </w:p>
        </w:tc>
        <w:tc>
          <w:tcPr>
            <w:tcW w:w="993" w:type="dxa"/>
            <w:vAlign w:val="center"/>
          </w:tcPr>
          <w:p w14:paraId="62196731">
            <w:pPr>
              <w:wordWrap w:val="0"/>
              <w:topLinePunct/>
              <w:spacing w:line="360" w:lineRule="auto"/>
              <w:jc w:val="center"/>
              <w:rPr>
                <w:rFonts w:ascii="宋体" w:hAnsi="宋体" w:eastAsia="宋体" w:cs="宋体"/>
                <w:sz w:val="21"/>
                <w:szCs w:val="21"/>
                <w:highlight w:val="none"/>
              </w:rPr>
            </w:pPr>
          </w:p>
        </w:tc>
        <w:tc>
          <w:tcPr>
            <w:tcW w:w="850" w:type="dxa"/>
            <w:vAlign w:val="center"/>
          </w:tcPr>
          <w:p w14:paraId="4D53ED97">
            <w:pPr>
              <w:wordWrap w:val="0"/>
              <w:topLinePunct/>
              <w:spacing w:line="360" w:lineRule="auto"/>
              <w:jc w:val="center"/>
              <w:rPr>
                <w:rFonts w:ascii="宋体" w:hAnsi="宋体" w:eastAsia="宋体" w:cs="宋体"/>
                <w:sz w:val="21"/>
                <w:szCs w:val="21"/>
                <w:highlight w:val="none"/>
              </w:rPr>
            </w:pPr>
          </w:p>
        </w:tc>
        <w:tc>
          <w:tcPr>
            <w:tcW w:w="1440" w:type="dxa"/>
            <w:vAlign w:val="center"/>
          </w:tcPr>
          <w:p w14:paraId="3C10F243">
            <w:pPr>
              <w:wordWrap w:val="0"/>
              <w:topLinePunct/>
              <w:spacing w:line="360" w:lineRule="auto"/>
              <w:jc w:val="center"/>
              <w:rPr>
                <w:rFonts w:ascii="宋体" w:hAnsi="宋体" w:eastAsia="宋体" w:cs="宋体"/>
                <w:sz w:val="21"/>
                <w:szCs w:val="21"/>
                <w:highlight w:val="none"/>
              </w:rPr>
            </w:pPr>
          </w:p>
        </w:tc>
        <w:tc>
          <w:tcPr>
            <w:tcW w:w="769" w:type="dxa"/>
            <w:vAlign w:val="center"/>
          </w:tcPr>
          <w:p w14:paraId="2C767636">
            <w:pPr>
              <w:wordWrap w:val="0"/>
              <w:topLinePunct/>
              <w:spacing w:line="360" w:lineRule="auto"/>
              <w:jc w:val="center"/>
              <w:rPr>
                <w:rFonts w:ascii="宋体" w:hAnsi="宋体" w:eastAsia="宋体" w:cs="宋体"/>
                <w:sz w:val="21"/>
                <w:szCs w:val="21"/>
                <w:highlight w:val="none"/>
              </w:rPr>
            </w:pPr>
          </w:p>
        </w:tc>
      </w:tr>
      <w:tr w14:paraId="6196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F1BCD93">
            <w:pPr>
              <w:wordWrap w:val="0"/>
              <w:topLinePunct/>
              <w:spacing w:line="360" w:lineRule="auto"/>
              <w:jc w:val="center"/>
              <w:rPr>
                <w:rFonts w:ascii="宋体" w:hAnsi="宋体" w:eastAsia="宋体" w:cs="宋体"/>
                <w:sz w:val="21"/>
                <w:szCs w:val="21"/>
                <w:highlight w:val="none"/>
              </w:rPr>
            </w:pPr>
          </w:p>
        </w:tc>
        <w:tc>
          <w:tcPr>
            <w:tcW w:w="771" w:type="dxa"/>
            <w:vAlign w:val="center"/>
          </w:tcPr>
          <w:p w14:paraId="2CDF3A52">
            <w:pPr>
              <w:wordWrap w:val="0"/>
              <w:topLinePunct/>
              <w:spacing w:line="360" w:lineRule="auto"/>
              <w:jc w:val="center"/>
              <w:rPr>
                <w:rFonts w:ascii="宋体" w:hAnsi="宋体" w:eastAsia="宋体" w:cs="宋体"/>
                <w:sz w:val="21"/>
                <w:szCs w:val="21"/>
                <w:highlight w:val="none"/>
              </w:rPr>
            </w:pPr>
          </w:p>
        </w:tc>
        <w:tc>
          <w:tcPr>
            <w:tcW w:w="770" w:type="dxa"/>
            <w:vAlign w:val="center"/>
          </w:tcPr>
          <w:p w14:paraId="3F887EEE">
            <w:pPr>
              <w:wordWrap w:val="0"/>
              <w:topLinePunct/>
              <w:spacing w:line="360" w:lineRule="auto"/>
              <w:jc w:val="center"/>
              <w:rPr>
                <w:rFonts w:ascii="宋体" w:hAnsi="宋体" w:eastAsia="宋体" w:cs="宋体"/>
                <w:sz w:val="21"/>
                <w:szCs w:val="21"/>
                <w:highlight w:val="none"/>
              </w:rPr>
            </w:pPr>
          </w:p>
        </w:tc>
        <w:tc>
          <w:tcPr>
            <w:tcW w:w="1743" w:type="dxa"/>
            <w:vAlign w:val="center"/>
          </w:tcPr>
          <w:p w14:paraId="6769FDEA">
            <w:pPr>
              <w:wordWrap w:val="0"/>
              <w:topLinePunct/>
              <w:spacing w:line="360" w:lineRule="auto"/>
              <w:jc w:val="center"/>
              <w:rPr>
                <w:rFonts w:ascii="宋体" w:hAnsi="宋体" w:eastAsia="宋体" w:cs="宋体"/>
                <w:sz w:val="21"/>
                <w:szCs w:val="21"/>
                <w:highlight w:val="none"/>
              </w:rPr>
            </w:pPr>
          </w:p>
        </w:tc>
        <w:tc>
          <w:tcPr>
            <w:tcW w:w="1134" w:type="dxa"/>
            <w:vAlign w:val="center"/>
          </w:tcPr>
          <w:p w14:paraId="1135751E">
            <w:pPr>
              <w:wordWrap w:val="0"/>
              <w:topLinePunct/>
              <w:spacing w:line="360" w:lineRule="auto"/>
              <w:jc w:val="center"/>
              <w:rPr>
                <w:rFonts w:ascii="宋体" w:hAnsi="宋体" w:eastAsia="宋体" w:cs="宋体"/>
                <w:sz w:val="21"/>
                <w:szCs w:val="21"/>
                <w:highlight w:val="none"/>
              </w:rPr>
            </w:pPr>
          </w:p>
        </w:tc>
        <w:tc>
          <w:tcPr>
            <w:tcW w:w="993" w:type="dxa"/>
            <w:vAlign w:val="center"/>
          </w:tcPr>
          <w:p w14:paraId="46D90916">
            <w:pPr>
              <w:wordWrap w:val="0"/>
              <w:topLinePunct/>
              <w:spacing w:line="360" w:lineRule="auto"/>
              <w:jc w:val="center"/>
              <w:rPr>
                <w:rFonts w:ascii="宋体" w:hAnsi="宋体" w:eastAsia="宋体" w:cs="宋体"/>
                <w:sz w:val="21"/>
                <w:szCs w:val="21"/>
                <w:highlight w:val="none"/>
              </w:rPr>
            </w:pPr>
          </w:p>
        </w:tc>
        <w:tc>
          <w:tcPr>
            <w:tcW w:w="850" w:type="dxa"/>
            <w:vAlign w:val="center"/>
          </w:tcPr>
          <w:p w14:paraId="46941AF6">
            <w:pPr>
              <w:wordWrap w:val="0"/>
              <w:topLinePunct/>
              <w:spacing w:line="360" w:lineRule="auto"/>
              <w:jc w:val="center"/>
              <w:rPr>
                <w:rFonts w:ascii="宋体" w:hAnsi="宋体" w:eastAsia="宋体" w:cs="宋体"/>
                <w:sz w:val="21"/>
                <w:szCs w:val="21"/>
                <w:highlight w:val="none"/>
              </w:rPr>
            </w:pPr>
          </w:p>
        </w:tc>
        <w:tc>
          <w:tcPr>
            <w:tcW w:w="1440" w:type="dxa"/>
            <w:vAlign w:val="center"/>
          </w:tcPr>
          <w:p w14:paraId="41F7D543">
            <w:pPr>
              <w:wordWrap w:val="0"/>
              <w:topLinePunct/>
              <w:spacing w:line="360" w:lineRule="auto"/>
              <w:jc w:val="center"/>
              <w:rPr>
                <w:rFonts w:ascii="宋体" w:hAnsi="宋体" w:eastAsia="宋体" w:cs="宋体"/>
                <w:sz w:val="21"/>
                <w:szCs w:val="21"/>
                <w:highlight w:val="none"/>
              </w:rPr>
            </w:pPr>
          </w:p>
        </w:tc>
        <w:tc>
          <w:tcPr>
            <w:tcW w:w="769" w:type="dxa"/>
            <w:vAlign w:val="center"/>
          </w:tcPr>
          <w:p w14:paraId="1EF3456A">
            <w:pPr>
              <w:wordWrap w:val="0"/>
              <w:topLinePunct/>
              <w:spacing w:line="360" w:lineRule="auto"/>
              <w:jc w:val="center"/>
              <w:rPr>
                <w:rFonts w:ascii="宋体" w:hAnsi="宋体" w:eastAsia="宋体" w:cs="宋体"/>
                <w:sz w:val="21"/>
                <w:szCs w:val="21"/>
                <w:highlight w:val="none"/>
              </w:rPr>
            </w:pPr>
          </w:p>
        </w:tc>
      </w:tr>
      <w:tr w14:paraId="632C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19A0377">
            <w:pPr>
              <w:wordWrap w:val="0"/>
              <w:topLinePunct/>
              <w:spacing w:line="360" w:lineRule="auto"/>
              <w:jc w:val="center"/>
              <w:rPr>
                <w:rFonts w:ascii="宋体" w:hAnsi="宋体" w:eastAsia="宋体" w:cs="宋体"/>
                <w:sz w:val="21"/>
                <w:szCs w:val="21"/>
                <w:highlight w:val="none"/>
              </w:rPr>
            </w:pPr>
          </w:p>
        </w:tc>
        <w:tc>
          <w:tcPr>
            <w:tcW w:w="771" w:type="dxa"/>
            <w:vAlign w:val="center"/>
          </w:tcPr>
          <w:p w14:paraId="722402DD">
            <w:pPr>
              <w:wordWrap w:val="0"/>
              <w:topLinePunct/>
              <w:spacing w:line="360" w:lineRule="auto"/>
              <w:jc w:val="center"/>
              <w:rPr>
                <w:rFonts w:ascii="宋体" w:hAnsi="宋体" w:eastAsia="宋体" w:cs="宋体"/>
                <w:sz w:val="21"/>
                <w:szCs w:val="21"/>
                <w:highlight w:val="none"/>
              </w:rPr>
            </w:pPr>
          </w:p>
        </w:tc>
        <w:tc>
          <w:tcPr>
            <w:tcW w:w="770" w:type="dxa"/>
            <w:vAlign w:val="center"/>
          </w:tcPr>
          <w:p w14:paraId="17DC3832">
            <w:pPr>
              <w:wordWrap w:val="0"/>
              <w:topLinePunct/>
              <w:spacing w:line="360" w:lineRule="auto"/>
              <w:jc w:val="center"/>
              <w:rPr>
                <w:rFonts w:ascii="宋体" w:hAnsi="宋体" w:eastAsia="宋体" w:cs="宋体"/>
                <w:sz w:val="21"/>
                <w:szCs w:val="21"/>
                <w:highlight w:val="none"/>
              </w:rPr>
            </w:pPr>
          </w:p>
        </w:tc>
        <w:tc>
          <w:tcPr>
            <w:tcW w:w="1743" w:type="dxa"/>
            <w:vAlign w:val="center"/>
          </w:tcPr>
          <w:p w14:paraId="53DE0B87">
            <w:pPr>
              <w:wordWrap w:val="0"/>
              <w:topLinePunct/>
              <w:spacing w:line="360" w:lineRule="auto"/>
              <w:jc w:val="center"/>
              <w:rPr>
                <w:rFonts w:ascii="宋体" w:hAnsi="宋体" w:eastAsia="宋体" w:cs="宋体"/>
                <w:sz w:val="21"/>
                <w:szCs w:val="21"/>
                <w:highlight w:val="none"/>
              </w:rPr>
            </w:pPr>
          </w:p>
        </w:tc>
        <w:tc>
          <w:tcPr>
            <w:tcW w:w="1134" w:type="dxa"/>
            <w:vAlign w:val="center"/>
          </w:tcPr>
          <w:p w14:paraId="4F31B310">
            <w:pPr>
              <w:wordWrap w:val="0"/>
              <w:topLinePunct/>
              <w:spacing w:line="360" w:lineRule="auto"/>
              <w:jc w:val="center"/>
              <w:rPr>
                <w:rFonts w:ascii="宋体" w:hAnsi="宋体" w:eastAsia="宋体" w:cs="宋体"/>
                <w:sz w:val="21"/>
                <w:szCs w:val="21"/>
                <w:highlight w:val="none"/>
              </w:rPr>
            </w:pPr>
          </w:p>
        </w:tc>
        <w:tc>
          <w:tcPr>
            <w:tcW w:w="993" w:type="dxa"/>
            <w:vAlign w:val="center"/>
          </w:tcPr>
          <w:p w14:paraId="186CCDD7">
            <w:pPr>
              <w:wordWrap w:val="0"/>
              <w:topLinePunct/>
              <w:spacing w:line="360" w:lineRule="auto"/>
              <w:jc w:val="center"/>
              <w:rPr>
                <w:rFonts w:ascii="宋体" w:hAnsi="宋体" w:eastAsia="宋体" w:cs="宋体"/>
                <w:sz w:val="21"/>
                <w:szCs w:val="21"/>
                <w:highlight w:val="none"/>
              </w:rPr>
            </w:pPr>
          </w:p>
        </w:tc>
        <w:tc>
          <w:tcPr>
            <w:tcW w:w="850" w:type="dxa"/>
            <w:vAlign w:val="center"/>
          </w:tcPr>
          <w:p w14:paraId="52156204">
            <w:pPr>
              <w:wordWrap w:val="0"/>
              <w:topLinePunct/>
              <w:spacing w:line="360" w:lineRule="auto"/>
              <w:jc w:val="center"/>
              <w:rPr>
                <w:rFonts w:ascii="宋体" w:hAnsi="宋体" w:eastAsia="宋体" w:cs="宋体"/>
                <w:sz w:val="21"/>
                <w:szCs w:val="21"/>
                <w:highlight w:val="none"/>
              </w:rPr>
            </w:pPr>
          </w:p>
        </w:tc>
        <w:tc>
          <w:tcPr>
            <w:tcW w:w="1440" w:type="dxa"/>
            <w:vAlign w:val="center"/>
          </w:tcPr>
          <w:p w14:paraId="7E7660EE">
            <w:pPr>
              <w:wordWrap w:val="0"/>
              <w:topLinePunct/>
              <w:spacing w:line="360" w:lineRule="auto"/>
              <w:jc w:val="center"/>
              <w:rPr>
                <w:rFonts w:ascii="宋体" w:hAnsi="宋体" w:eastAsia="宋体" w:cs="宋体"/>
                <w:sz w:val="21"/>
                <w:szCs w:val="21"/>
                <w:highlight w:val="none"/>
              </w:rPr>
            </w:pPr>
          </w:p>
        </w:tc>
        <w:tc>
          <w:tcPr>
            <w:tcW w:w="769" w:type="dxa"/>
            <w:vAlign w:val="center"/>
          </w:tcPr>
          <w:p w14:paraId="567BD1BC">
            <w:pPr>
              <w:wordWrap w:val="0"/>
              <w:topLinePunct/>
              <w:spacing w:line="360" w:lineRule="auto"/>
              <w:jc w:val="center"/>
              <w:rPr>
                <w:rFonts w:ascii="宋体" w:hAnsi="宋体" w:eastAsia="宋体" w:cs="宋体"/>
                <w:sz w:val="21"/>
                <w:szCs w:val="21"/>
                <w:highlight w:val="none"/>
              </w:rPr>
            </w:pPr>
          </w:p>
        </w:tc>
      </w:tr>
      <w:tr w14:paraId="2385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0DACC62">
            <w:pPr>
              <w:wordWrap w:val="0"/>
              <w:topLinePunct/>
              <w:spacing w:line="360" w:lineRule="auto"/>
              <w:jc w:val="center"/>
              <w:rPr>
                <w:rFonts w:ascii="宋体" w:hAnsi="宋体" w:eastAsia="宋体" w:cs="宋体"/>
                <w:sz w:val="21"/>
                <w:szCs w:val="21"/>
                <w:highlight w:val="none"/>
              </w:rPr>
            </w:pPr>
          </w:p>
        </w:tc>
        <w:tc>
          <w:tcPr>
            <w:tcW w:w="771" w:type="dxa"/>
            <w:vAlign w:val="center"/>
          </w:tcPr>
          <w:p w14:paraId="19A804A7">
            <w:pPr>
              <w:wordWrap w:val="0"/>
              <w:topLinePunct/>
              <w:spacing w:line="360" w:lineRule="auto"/>
              <w:jc w:val="center"/>
              <w:rPr>
                <w:rFonts w:ascii="宋体" w:hAnsi="宋体" w:eastAsia="宋体" w:cs="宋体"/>
                <w:sz w:val="21"/>
                <w:szCs w:val="21"/>
                <w:highlight w:val="none"/>
              </w:rPr>
            </w:pPr>
          </w:p>
        </w:tc>
        <w:tc>
          <w:tcPr>
            <w:tcW w:w="770" w:type="dxa"/>
            <w:vAlign w:val="center"/>
          </w:tcPr>
          <w:p w14:paraId="647C7363">
            <w:pPr>
              <w:wordWrap w:val="0"/>
              <w:topLinePunct/>
              <w:spacing w:line="360" w:lineRule="auto"/>
              <w:jc w:val="center"/>
              <w:rPr>
                <w:rFonts w:ascii="宋体" w:hAnsi="宋体" w:eastAsia="宋体" w:cs="宋体"/>
                <w:sz w:val="21"/>
                <w:szCs w:val="21"/>
                <w:highlight w:val="none"/>
              </w:rPr>
            </w:pPr>
          </w:p>
        </w:tc>
        <w:tc>
          <w:tcPr>
            <w:tcW w:w="1743" w:type="dxa"/>
            <w:vAlign w:val="center"/>
          </w:tcPr>
          <w:p w14:paraId="722745E7">
            <w:pPr>
              <w:wordWrap w:val="0"/>
              <w:topLinePunct/>
              <w:spacing w:line="360" w:lineRule="auto"/>
              <w:jc w:val="center"/>
              <w:rPr>
                <w:rFonts w:ascii="宋体" w:hAnsi="宋体" w:eastAsia="宋体" w:cs="宋体"/>
                <w:sz w:val="21"/>
                <w:szCs w:val="21"/>
                <w:highlight w:val="none"/>
              </w:rPr>
            </w:pPr>
          </w:p>
        </w:tc>
        <w:tc>
          <w:tcPr>
            <w:tcW w:w="1134" w:type="dxa"/>
            <w:vAlign w:val="center"/>
          </w:tcPr>
          <w:p w14:paraId="4D30DE63">
            <w:pPr>
              <w:wordWrap w:val="0"/>
              <w:topLinePunct/>
              <w:spacing w:line="360" w:lineRule="auto"/>
              <w:jc w:val="center"/>
              <w:rPr>
                <w:rFonts w:ascii="宋体" w:hAnsi="宋体" w:eastAsia="宋体" w:cs="宋体"/>
                <w:sz w:val="21"/>
                <w:szCs w:val="21"/>
                <w:highlight w:val="none"/>
              </w:rPr>
            </w:pPr>
          </w:p>
        </w:tc>
        <w:tc>
          <w:tcPr>
            <w:tcW w:w="993" w:type="dxa"/>
            <w:vAlign w:val="center"/>
          </w:tcPr>
          <w:p w14:paraId="16C17AE8">
            <w:pPr>
              <w:wordWrap w:val="0"/>
              <w:topLinePunct/>
              <w:spacing w:line="360" w:lineRule="auto"/>
              <w:jc w:val="center"/>
              <w:rPr>
                <w:rFonts w:ascii="宋体" w:hAnsi="宋体" w:eastAsia="宋体" w:cs="宋体"/>
                <w:sz w:val="21"/>
                <w:szCs w:val="21"/>
                <w:highlight w:val="none"/>
              </w:rPr>
            </w:pPr>
          </w:p>
        </w:tc>
        <w:tc>
          <w:tcPr>
            <w:tcW w:w="850" w:type="dxa"/>
            <w:vAlign w:val="center"/>
          </w:tcPr>
          <w:p w14:paraId="74C35A3E">
            <w:pPr>
              <w:wordWrap w:val="0"/>
              <w:topLinePunct/>
              <w:spacing w:line="360" w:lineRule="auto"/>
              <w:jc w:val="center"/>
              <w:rPr>
                <w:rFonts w:ascii="宋体" w:hAnsi="宋体" w:eastAsia="宋体" w:cs="宋体"/>
                <w:sz w:val="21"/>
                <w:szCs w:val="21"/>
                <w:highlight w:val="none"/>
              </w:rPr>
            </w:pPr>
          </w:p>
        </w:tc>
        <w:tc>
          <w:tcPr>
            <w:tcW w:w="1440" w:type="dxa"/>
            <w:vAlign w:val="center"/>
          </w:tcPr>
          <w:p w14:paraId="21E289B2">
            <w:pPr>
              <w:wordWrap w:val="0"/>
              <w:topLinePunct/>
              <w:spacing w:line="360" w:lineRule="auto"/>
              <w:jc w:val="center"/>
              <w:rPr>
                <w:rFonts w:ascii="宋体" w:hAnsi="宋体" w:eastAsia="宋体" w:cs="宋体"/>
                <w:sz w:val="21"/>
                <w:szCs w:val="21"/>
                <w:highlight w:val="none"/>
              </w:rPr>
            </w:pPr>
          </w:p>
        </w:tc>
        <w:tc>
          <w:tcPr>
            <w:tcW w:w="769" w:type="dxa"/>
            <w:vAlign w:val="center"/>
          </w:tcPr>
          <w:p w14:paraId="3F05E0BC">
            <w:pPr>
              <w:wordWrap w:val="0"/>
              <w:topLinePunct/>
              <w:spacing w:line="360" w:lineRule="auto"/>
              <w:jc w:val="center"/>
              <w:rPr>
                <w:rFonts w:ascii="宋体" w:hAnsi="宋体" w:eastAsia="宋体" w:cs="宋体"/>
                <w:sz w:val="21"/>
                <w:szCs w:val="21"/>
                <w:highlight w:val="none"/>
              </w:rPr>
            </w:pPr>
          </w:p>
        </w:tc>
      </w:tr>
      <w:tr w14:paraId="3D4C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63CA7FA">
            <w:pPr>
              <w:wordWrap w:val="0"/>
              <w:topLinePunct/>
              <w:spacing w:line="360" w:lineRule="auto"/>
              <w:jc w:val="center"/>
              <w:rPr>
                <w:rFonts w:ascii="宋体" w:hAnsi="宋体" w:eastAsia="宋体" w:cs="宋体"/>
                <w:sz w:val="21"/>
                <w:szCs w:val="21"/>
                <w:highlight w:val="none"/>
              </w:rPr>
            </w:pPr>
          </w:p>
        </w:tc>
        <w:tc>
          <w:tcPr>
            <w:tcW w:w="771" w:type="dxa"/>
            <w:vAlign w:val="center"/>
          </w:tcPr>
          <w:p w14:paraId="0C99D778">
            <w:pPr>
              <w:wordWrap w:val="0"/>
              <w:topLinePunct/>
              <w:spacing w:line="360" w:lineRule="auto"/>
              <w:jc w:val="center"/>
              <w:rPr>
                <w:rFonts w:ascii="宋体" w:hAnsi="宋体" w:eastAsia="宋体" w:cs="宋体"/>
                <w:sz w:val="21"/>
                <w:szCs w:val="21"/>
                <w:highlight w:val="none"/>
              </w:rPr>
            </w:pPr>
          </w:p>
        </w:tc>
        <w:tc>
          <w:tcPr>
            <w:tcW w:w="770" w:type="dxa"/>
            <w:vAlign w:val="center"/>
          </w:tcPr>
          <w:p w14:paraId="356797F9">
            <w:pPr>
              <w:wordWrap w:val="0"/>
              <w:topLinePunct/>
              <w:spacing w:line="360" w:lineRule="auto"/>
              <w:jc w:val="center"/>
              <w:rPr>
                <w:rFonts w:ascii="宋体" w:hAnsi="宋体" w:eastAsia="宋体" w:cs="宋体"/>
                <w:sz w:val="21"/>
                <w:szCs w:val="21"/>
                <w:highlight w:val="none"/>
              </w:rPr>
            </w:pPr>
          </w:p>
        </w:tc>
        <w:tc>
          <w:tcPr>
            <w:tcW w:w="1743" w:type="dxa"/>
            <w:vAlign w:val="center"/>
          </w:tcPr>
          <w:p w14:paraId="607BDA8C">
            <w:pPr>
              <w:wordWrap w:val="0"/>
              <w:topLinePunct/>
              <w:spacing w:line="360" w:lineRule="auto"/>
              <w:jc w:val="center"/>
              <w:rPr>
                <w:rFonts w:ascii="宋体" w:hAnsi="宋体" w:eastAsia="宋体" w:cs="宋体"/>
                <w:sz w:val="21"/>
                <w:szCs w:val="21"/>
                <w:highlight w:val="none"/>
              </w:rPr>
            </w:pPr>
          </w:p>
        </w:tc>
        <w:tc>
          <w:tcPr>
            <w:tcW w:w="1134" w:type="dxa"/>
            <w:vAlign w:val="center"/>
          </w:tcPr>
          <w:p w14:paraId="53AFDBD5">
            <w:pPr>
              <w:wordWrap w:val="0"/>
              <w:topLinePunct/>
              <w:spacing w:line="360" w:lineRule="auto"/>
              <w:jc w:val="center"/>
              <w:rPr>
                <w:rFonts w:ascii="宋体" w:hAnsi="宋体" w:eastAsia="宋体" w:cs="宋体"/>
                <w:sz w:val="21"/>
                <w:szCs w:val="21"/>
                <w:highlight w:val="none"/>
              </w:rPr>
            </w:pPr>
          </w:p>
        </w:tc>
        <w:tc>
          <w:tcPr>
            <w:tcW w:w="993" w:type="dxa"/>
            <w:vAlign w:val="center"/>
          </w:tcPr>
          <w:p w14:paraId="7995A597">
            <w:pPr>
              <w:wordWrap w:val="0"/>
              <w:topLinePunct/>
              <w:spacing w:line="360" w:lineRule="auto"/>
              <w:jc w:val="center"/>
              <w:rPr>
                <w:rFonts w:ascii="宋体" w:hAnsi="宋体" w:eastAsia="宋体" w:cs="宋体"/>
                <w:sz w:val="21"/>
                <w:szCs w:val="21"/>
                <w:highlight w:val="none"/>
              </w:rPr>
            </w:pPr>
          </w:p>
        </w:tc>
        <w:tc>
          <w:tcPr>
            <w:tcW w:w="850" w:type="dxa"/>
            <w:vAlign w:val="center"/>
          </w:tcPr>
          <w:p w14:paraId="0BFB44FF">
            <w:pPr>
              <w:wordWrap w:val="0"/>
              <w:topLinePunct/>
              <w:spacing w:line="360" w:lineRule="auto"/>
              <w:jc w:val="center"/>
              <w:rPr>
                <w:rFonts w:ascii="宋体" w:hAnsi="宋体" w:eastAsia="宋体" w:cs="宋体"/>
                <w:sz w:val="21"/>
                <w:szCs w:val="21"/>
                <w:highlight w:val="none"/>
              </w:rPr>
            </w:pPr>
          </w:p>
        </w:tc>
        <w:tc>
          <w:tcPr>
            <w:tcW w:w="1440" w:type="dxa"/>
            <w:vAlign w:val="center"/>
          </w:tcPr>
          <w:p w14:paraId="4715C11E">
            <w:pPr>
              <w:wordWrap w:val="0"/>
              <w:topLinePunct/>
              <w:spacing w:line="360" w:lineRule="auto"/>
              <w:jc w:val="center"/>
              <w:rPr>
                <w:rFonts w:ascii="宋体" w:hAnsi="宋体" w:eastAsia="宋体" w:cs="宋体"/>
                <w:sz w:val="21"/>
                <w:szCs w:val="21"/>
                <w:highlight w:val="none"/>
              </w:rPr>
            </w:pPr>
          </w:p>
        </w:tc>
        <w:tc>
          <w:tcPr>
            <w:tcW w:w="769" w:type="dxa"/>
            <w:vAlign w:val="center"/>
          </w:tcPr>
          <w:p w14:paraId="35E622BC">
            <w:pPr>
              <w:wordWrap w:val="0"/>
              <w:topLinePunct/>
              <w:spacing w:line="360" w:lineRule="auto"/>
              <w:jc w:val="center"/>
              <w:rPr>
                <w:rFonts w:ascii="宋体" w:hAnsi="宋体" w:eastAsia="宋体" w:cs="宋体"/>
                <w:sz w:val="21"/>
                <w:szCs w:val="21"/>
                <w:highlight w:val="none"/>
              </w:rPr>
            </w:pPr>
          </w:p>
        </w:tc>
      </w:tr>
      <w:tr w14:paraId="40F8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5E7E07D">
            <w:pPr>
              <w:wordWrap w:val="0"/>
              <w:topLinePunct/>
              <w:spacing w:line="360" w:lineRule="auto"/>
              <w:jc w:val="center"/>
              <w:rPr>
                <w:rFonts w:ascii="宋体" w:hAnsi="宋体" w:eastAsia="宋体" w:cs="宋体"/>
                <w:sz w:val="21"/>
                <w:szCs w:val="21"/>
                <w:highlight w:val="none"/>
              </w:rPr>
            </w:pPr>
          </w:p>
        </w:tc>
        <w:tc>
          <w:tcPr>
            <w:tcW w:w="771" w:type="dxa"/>
            <w:vAlign w:val="center"/>
          </w:tcPr>
          <w:p w14:paraId="410F815F">
            <w:pPr>
              <w:wordWrap w:val="0"/>
              <w:topLinePunct/>
              <w:spacing w:line="360" w:lineRule="auto"/>
              <w:jc w:val="center"/>
              <w:rPr>
                <w:rFonts w:ascii="宋体" w:hAnsi="宋体" w:eastAsia="宋体" w:cs="宋体"/>
                <w:sz w:val="21"/>
                <w:szCs w:val="21"/>
                <w:highlight w:val="none"/>
              </w:rPr>
            </w:pPr>
          </w:p>
        </w:tc>
        <w:tc>
          <w:tcPr>
            <w:tcW w:w="770" w:type="dxa"/>
            <w:vAlign w:val="center"/>
          </w:tcPr>
          <w:p w14:paraId="45EA930A">
            <w:pPr>
              <w:wordWrap w:val="0"/>
              <w:topLinePunct/>
              <w:spacing w:line="360" w:lineRule="auto"/>
              <w:jc w:val="center"/>
              <w:rPr>
                <w:rFonts w:ascii="宋体" w:hAnsi="宋体" w:eastAsia="宋体" w:cs="宋体"/>
                <w:sz w:val="21"/>
                <w:szCs w:val="21"/>
                <w:highlight w:val="none"/>
              </w:rPr>
            </w:pPr>
          </w:p>
        </w:tc>
        <w:tc>
          <w:tcPr>
            <w:tcW w:w="1743" w:type="dxa"/>
            <w:vAlign w:val="center"/>
          </w:tcPr>
          <w:p w14:paraId="6BF226E2">
            <w:pPr>
              <w:wordWrap w:val="0"/>
              <w:topLinePunct/>
              <w:spacing w:line="360" w:lineRule="auto"/>
              <w:jc w:val="center"/>
              <w:rPr>
                <w:rFonts w:ascii="宋体" w:hAnsi="宋体" w:eastAsia="宋体" w:cs="宋体"/>
                <w:sz w:val="21"/>
                <w:szCs w:val="21"/>
                <w:highlight w:val="none"/>
              </w:rPr>
            </w:pPr>
          </w:p>
        </w:tc>
        <w:tc>
          <w:tcPr>
            <w:tcW w:w="1134" w:type="dxa"/>
            <w:vAlign w:val="center"/>
          </w:tcPr>
          <w:p w14:paraId="57DD7EE4">
            <w:pPr>
              <w:wordWrap w:val="0"/>
              <w:topLinePunct/>
              <w:spacing w:line="360" w:lineRule="auto"/>
              <w:jc w:val="center"/>
              <w:rPr>
                <w:rFonts w:ascii="宋体" w:hAnsi="宋体" w:eastAsia="宋体" w:cs="宋体"/>
                <w:sz w:val="21"/>
                <w:szCs w:val="21"/>
                <w:highlight w:val="none"/>
              </w:rPr>
            </w:pPr>
          </w:p>
        </w:tc>
        <w:tc>
          <w:tcPr>
            <w:tcW w:w="993" w:type="dxa"/>
            <w:vAlign w:val="center"/>
          </w:tcPr>
          <w:p w14:paraId="7D6D64B3">
            <w:pPr>
              <w:wordWrap w:val="0"/>
              <w:topLinePunct/>
              <w:spacing w:line="360" w:lineRule="auto"/>
              <w:jc w:val="center"/>
              <w:rPr>
                <w:rFonts w:ascii="宋体" w:hAnsi="宋体" w:eastAsia="宋体" w:cs="宋体"/>
                <w:sz w:val="21"/>
                <w:szCs w:val="21"/>
                <w:highlight w:val="none"/>
              </w:rPr>
            </w:pPr>
          </w:p>
        </w:tc>
        <w:tc>
          <w:tcPr>
            <w:tcW w:w="850" w:type="dxa"/>
            <w:vAlign w:val="center"/>
          </w:tcPr>
          <w:p w14:paraId="07E3E896">
            <w:pPr>
              <w:wordWrap w:val="0"/>
              <w:topLinePunct/>
              <w:spacing w:line="360" w:lineRule="auto"/>
              <w:jc w:val="center"/>
              <w:rPr>
                <w:rFonts w:ascii="宋体" w:hAnsi="宋体" w:eastAsia="宋体" w:cs="宋体"/>
                <w:sz w:val="21"/>
                <w:szCs w:val="21"/>
                <w:highlight w:val="none"/>
              </w:rPr>
            </w:pPr>
          </w:p>
        </w:tc>
        <w:tc>
          <w:tcPr>
            <w:tcW w:w="1440" w:type="dxa"/>
            <w:vAlign w:val="center"/>
          </w:tcPr>
          <w:p w14:paraId="55123D60">
            <w:pPr>
              <w:wordWrap w:val="0"/>
              <w:topLinePunct/>
              <w:spacing w:line="360" w:lineRule="auto"/>
              <w:jc w:val="center"/>
              <w:rPr>
                <w:rFonts w:ascii="宋体" w:hAnsi="宋体" w:eastAsia="宋体" w:cs="宋体"/>
                <w:sz w:val="21"/>
                <w:szCs w:val="21"/>
                <w:highlight w:val="none"/>
              </w:rPr>
            </w:pPr>
          </w:p>
        </w:tc>
        <w:tc>
          <w:tcPr>
            <w:tcW w:w="769" w:type="dxa"/>
            <w:vAlign w:val="center"/>
          </w:tcPr>
          <w:p w14:paraId="4E1CE883">
            <w:pPr>
              <w:wordWrap w:val="0"/>
              <w:topLinePunct/>
              <w:spacing w:line="360" w:lineRule="auto"/>
              <w:jc w:val="center"/>
              <w:rPr>
                <w:rFonts w:ascii="宋体" w:hAnsi="宋体" w:eastAsia="宋体" w:cs="宋体"/>
                <w:sz w:val="21"/>
                <w:szCs w:val="21"/>
                <w:highlight w:val="none"/>
              </w:rPr>
            </w:pPr>
          </w:p>
        </w:tc>
      </w:tr>
      <w:tr w14:paraId="5A34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4EB04D6">
            <w:pPr>
              <w:wordWrap w:val="0"/>
              <w:topLinePunct/>
              <w:spacing w:line="360" w:lineRule="auto"/>
              <w:jc w:val="center"/>
              <w:rPr>
                <w:rFonts w:ascii="宋体" w:hAnsi="宋体" w:eastAsia="宋体" w:cs="宋体"/>
                <w:sz w:val="21"/>
                <w:szCs w:val="21"/>
                <w:highlight w:val="none"/>
              </w:rPr>
            </w:pPr>
          </w:p>
        </w:tc>
        <w:tc>
          <w:tcPr>
            <w:tcW w:w="771" w:type="dxa"/>
            <w:vAlign w:val="center"/>
          </w:tcPr>
          <w:p w14:paraId="4F47B56B">
            <w:pPr>
              <w:wordWrap w:val="0"/>
              <w:topLinePunct/>
              <w:spacing w:line="360" w:lineRule="auto"/>
              <w:jc w:val="center"/>
              <w:rPr>
                <w:rFonts w:ascii="宋体" w:hAnsi="宋体" w:eastAsia="宋体" w:cs="宋体"/>
                <w:sz w:val="21"/>
                <w:szCs w:val="21"/>
                <w:highlight w:val="none"/>
              </w:rPr>
            </w:pPr>
          </w:p>
        </w:tc>
        <w:tc>
          <w:tcPr>
            <w:tcW w:w="770" w:type="dxa"/>
            <w:vAlign w:val="center"/>
          </w:tcPr>
          <w:p w14:paraId="5EDCD521">
            <w:pPr>
              <w:wordWrap w:val="0"/>
              <w:topLinePunct/>
              <w:spacing w:line="360" w:lineRule="auto"/>
              <w:jc w:val="center"/>
              <w:rPr>
                <w:rFonts w:ascii="宋体" w:hAnsi="宋体" w:eastAsia="宋体" w:cs="宋体"/>
                <w:sz w:val="21"/>
                <w:szCs w:val="21"/>
                <w:highlight w:val="none"/>
              </w:rPr>
            </w:pPr>
          </w:p>
        </w:tc>
        <w:tc>
          <w:tcPr>
            <w:tcW w:w="1743" w:type="dxa"/>
            <w:vAlign w:val="center"/>
          </w:tcPr>
          <w:p w14:paraId="75DD6BFD">
            <w:pPr>
              <w:wordWrap w:val="0"/>
              <w:topLinePunct/>
              <w:spacing w:line="360" w:lineRule="auto"/>
              <w:jc w:val="center"/>
              <w:rPr>
                <w:rFonts w:ascii="宋体" w:hAnsi="宋体" w:eastAsia="宋体" w:cs="宋体"/>
                <w:sz w:val="21"/>
                <w:szCs w:val="21"/>
                <w:highlight w:val="none"/>
              </w:rPr>
            </w:pPr>
          </w:p>
        </w:tc>
        <w:tc>
          <w:tcPr>
            <w:tcW w:w="1134" w:type="dxa"/>
            <w:vAlign w:val="center"/>
          </w:tcPr>
          <w:p w14:paraId="77997AC3">
            <w:pPr>
              <w:wordWrap w:val="0"/>
              <w:topLinePunct/>
              <w:spacing w:line="360" w:lineRule="auto"/>
              <w:jc w:val="center"/>
              <w:rPr>
                <w:rFonts w:ascii="宋体" w:hAnsi="宋体" w:eastAsia="宋体" w:cs="宋体"/>
                <w:sz w:val="21"/>
                <w:szCs w:val="21"/>
                <w:highlight w:val="none"/>
              </w:rPr>
            </w:pPr>
          </w:p>
        </w:tc>
        <w:tc>
          <w:tcPr>
            <w:tcW w:w="993" w:type="dxa"/>
            <w:vAlign w:val="center"/>
          </w:tcPr>
          <w:p w14:paraId="6E29BDB4">
            <w:pPr>
              <w:wordWrap w:val="0"/>
              <w:topLinePunct/>
              <w:spacing w:line="360" w:lineRule="auto"/>
              <w:jc w:val="center"/>
              <w:rPr>
                <w:rFonts w:ascii="宋体" w:hAnsi="宋体" w:eastAsia="宋体" w:cs="宋体"/>
                <w:sz w:val="21"/>
                <w:szCs w:val="21"/>
                <w:highlight w:val="none"/>
              </w:rPr>
            </w:pPr>
          </w:p>
        </w:tc>
        <w:tc>
          <w:tcPr>
            <w:tcW w:w="850" w:type="dxa"/>
            <w:vAlign w:val="center"/>
          </w:tcPr>
          <w:p w14:paraId="4EDE5436">
            <w:pPr>
              <w:wordWrap w:val="0"/>
              <w:topLinePunct/>
              <w:spacing w:line="360" w:lineRule="auto"/>
              <w:jc w:val="center"/>
              <w:rPr>
                <w:rFonts w:ascii="宋体" w:hAnsi="宋体" w:eastAsia="宋体" w:cs="宋体"/>
                <w:sz w:val="21"/>
                <w:szCs w:val="21"/>
                <w:highlight w:val="none"/>
              </w:rPr>
            </w:pPr>
          </w:p>
        </w:tc>
        <w:tc>
          <w:tcPr>
            <w:tcW w:w="1440" w:type="dxa"/>
            <w:vAlign w:val="center"/>
          </w:tcPr>
          <w:p w14:paraId="7593F26F">
            <w:pPr>
              <w:wordWrap w:val="0"/>
              <w:topLinePunct/>
              <w:spacing w:line="360" w:lineRule="auto"/>
              <w:jc w:val="center"/>
              <w:rPr>
                <w:rFonts w:ascii="宋体" w:hAnsi="宋体" w:eastAsia="宋体" w:cs="宋体"/>
                <w:sz w:val="21"/>
                <w:szCs w:val="21"/>
                <w:highlight w:val="none"/>
              </w:rPr>
            </w:pPr>
          </w:p>
        </w:tc>
        <w:tc>
          <w:tcPr>
            <w:tcW w:w="769" w:type="dxa"/>
            <w:vAlign w:val="center"/>
          </w:tcPr>
          <w:p w14:paraId="4CE4738E">
            <w:pPr>
              <w:wordWrap w:val="0"/>
              <w:topLinePunct/>
              <w:spacing w:line="360" w:lineRule="auto"/>
              <w:jc w:val="center"/>
              <w:rPr>
                <w:rFonts w:ascii="宋体" w:hAnsi="宋体" w:eastAsia="宋体" w:cs="宋体"/>
                <w:sz w:val="21"/>
                <w:szCs w:val="21"/>
                <w:highlight w:val="none"/>
              </w:rPr>
            </w:pPr>
          </w:p>
        </w:tc>
      </w:tr>
      <w:tr w14:paraId="6E8E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068BEDEA">
            <w:pPr>
              <w:wordWrap w:val="0"/>
              <w:topLinePunct/>
              <w:spacing w:line="360" w:lineRule="auto"/>
              <w:jc w:val="center"/>
              <w:rPr>
                <w:rFonts w:ascii="宋体" w:hAnsi="宋体" w:eastAsia="宋体" w:cs="宋体"/>
                <w:sz w:val="21"/>
                <w:szCs w:val="21"/>
                <w:highlight w:val="none"/>
              </w:rPr>
            </w:pPr>
          </w:p>
        </w:tc>
        <w:tc>
          <w:tcPr>
            <w:tcW w:w="771" w:type="dxa"/>
            <w:vAlign w:val="center"/>
          </w:tcPr>
          <w:p w14:paraId="21EE939E">
            <w:pPr>
              <w:wordWrap w:val="0"/>
              <w:topLinePunct/>
              <w:spacing w:line="360" w:lineRule="auto"/>
              <w:jc w:val="center"/>
              <w:rPr>
                <w:rFonts w:ascii="宋体" w:hAnsi="宋体" w:eastAsia="宋体" w:cs="宋体"/>
                <w:sz w:val="21"/>
                <w:szCs w:val="21"/>
                <w:highlight w:val="none"/>
              </w:rPr>
            </w:pPr>
          </w:p>
        </w:tc>
        <w:tc>
          <w:tcPr>
            <w:tcW w:w="770" w:type="dxa"/>
            <w:vAlign w:val="center"/>
          </w:tcPr>
          <w:p w14:paraId="27C8406B">
            <w:pPr>
              <w:wordWrap w:val="0"/>
              <w:topLinePunct/>
              <w:spacing w:line="360" w:lineRule="auto"/>
              <w:jc w:val="center"/>
              <w:rPr>
                <w:rFonts w:ascii="宋体" w:hAnsi="宋体" w:eastAsia="宋体" w:cs="宋体"/>
                <w:sz w:val="21"/>
                <w:szCs w:val="21"/>
                <w:highlight w:val="none"/>
              </w:rPr>
            </w:pPr>
          </w:p>
        </w:tc>
        <w:tc>
          <w:tcPr>
            <w:tcW w:w="1743" w:type="dxa"/>
            <w:vAlign w:val="center"/>
          </w:tcPr>
          <w:p w14:paraId="7DE291AC">
            <w:pPr>
              <w:wordWrap w:val="0"/>
              <w:topLinePunct/>
              <w:spacing w:line="360" w:lineRule="auto"/>
              <w:jc w:val="center"/>
              <w:rPr>
                <w:rFonts w:ascii="宋体" w:hAnsi="宋体" w:eastAsia="宋体" w:cs="宋体"/>
                <w:sz w:val="21"/>
                <w:szCs w:val="21"/>
                <w:highlight w:val="none"/>
              </w:rPr>
            </w:pPr>
          </w:p>
        </w:tc>
        <w:tc>
          <w:tcPr>
            <w:tcW w:w="1134" w:type="dxa"/>
            <w:vAlign w:val="center"/>
          </w:tcPr>
          <w:p w14:paraId="6A9D5133">
            <w:pPr>
              <w:wordWrap w:val="0"/>
              <w:topLinePunct/>
              <w:spacing w:line="360" w:lineRule="auto"/>
              <w:jc w:val="center"/>
              <w:rPr>
                <w:rFonts w:ascii="宋体" w:hAnsi="宋体" w:eastAsia="宋体" w:cs="宋体"/>
                <w:sz w:val="21"/>
                <w:szCs w:val="21"/>
                <w:highlight w:val="none"/>
              </w:rPr>
            </w:pPr>
          </w:p>
        </w:tc>
        <w:tc>
          <w:tcPr>
            <w:tcW w:w="993" w:type="dxa"/>
            <w:vAlign w:val="center"/>
          </w:tcPr>
          <w:p w14:paraId="6AAC2EA0">
            <w:pPr>
              <w:wordWrap w:val="0"/>
              <w:topLinePunct/>
              <w:spacing w:line="360" w:lineRule="auto"/>
              <w:jc w:val="center"/>
              <w:rPr>
                <w:rFonts w:ascii="宋体" w:hAnsi="宋体" w:eastAsia="宋体" w:cs="宋体"/>
                <w:sz w:val="21"/>
                <w:szCs w:val="21"/>
                <w:highlight w:val="none"/>
              </w:rPr>
            </w:pPr>
          </w:p>
        </w:tc>
        <w:tc>
          <w:tcPr>
            <w:tcW w:w="850" w:type="dxa"/>
            <w:vAlign w:val="center"/>
          </w:tcPr>
          <w:p w14:paraId="3BCB0B86">
            <w:pPr>
              <w:wordWrap w:val="0"/>
              <w:topLinePunct/>
              <w:spacing w:line="360" w:lineRule="auto"/>
              <w:jc w:val="center"/>
              <w:rPr>
                <w:rFonts w:ascii="宋体" w:hAnsi="宋体" w:eastAsia="宋体" w:cs="宋体"/>
                <w:sz w:val="21"/>
                <w:szCs w:val="21"/>
                <w:highlight w:val="none"/>
              </w:rPr>
            </w:pPr>
          </w:p>
        </w:tc>
        <w:tc>
          <w:tcPr>
            <w:tcW w:w="1440" w:type="dxa"/>
            <w:vAlign w:val="center"/>
          </w:tcPr>
          <w:p w14:paraId="3B109F56">
            <w:pPr>
              <w:wordWrap w:val="0"/>
              <w:topLinePunct/>
              <w:spacing w:line="360" w:lineRule="auto"/>
              <w:jc w:val="center"/>
              <w:rPr>
                <w:rFonts w:ascii="宋体" w:hAnsi="宋体" w:eastAsia="宋体" w:cs="宋体"/>
                <w:sz w:val="21"/>
                <w:szCs w:val="21"/>
                <w:highlight w:val="none"/>
              </w:rPr>
            </w:pPr>
          </w:p>
        </w:tc>
        <w:tc>
          <w:tcPr>
            <w:tcW w:w="769" w:type="dxa"/>
            <w:vAlign w:val="center"/>
          </w:tcPr>
          <w:p w14:paraId="1B22ED2C">
            <w:pPr>
              <w:wordWrap w:val="0"/>
              <w:topLinePunct/>
              <w:spacing w:line="360" w:lineRule="auto"/>
              <w:jc w:val="center"/>
              <w:rPr>
                <w:rFonts w:ascii="宋体" w:hAnsi="宋体" w:eastAsia="宋体" w:cs="宋体"/>
                <w:sz w:val="21"/>
                <w:szCs w:val="21"/>
                <w:highlight w:val="none"/>
              </w:rPr>
            </w:pPr>
          </w:p>
        </w:tc>
      </w:tr>
      <w:tr w14:paraId="7C33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8423925">
            <w:pPr>
              <w:wordWrap w:val="0"/>
              <w:topLinePunct/>
              <w:spacing w:line="360" w:lineRule="auto"/>
              <w:jc w:val="center"/>
              <w:rPr>
                <w:rFonts w:ascii="宋体" w:hAnsi="宋体" w:eastAsia="宋体" w:cs="宋体"/>
                <w:sz w:val="21"/>
                <w:szCs w:val="21"/>
                <w:highlight w:val="none"/>
              </w:rPr>
            </w:pPr>
          </w:p>
        </w:tc>
        <w:tc>
          <w:tcPr>
            <w:tcW w:w="771" w:type="dxa"/>
            <w:vAlign w:val="center"/>
          </w:tcPr>
          <w:p w14:paraId="10066B64">
            <w:pPr>
              <w:wordWrap w:val="0"/>
              <w:topLinePunct/>
              <w:spacing w:line="360" w:lineRule="auto"/>
              <w:jc w:val="center"/>
              <w:rPr>
                <w:rFonts w:ascii="宋体" w:hAnsi="宋体" w:eastAsia="宋体" w:cs="宋体"/>
                <w:sz w:val="21"/>
                <w:szCs w:val="21"/>
                <w:highlight w:val="none"/>
              </w:rPr>
            </w:pPr>
          </w:p>
        </w:tc>
        <w:tc>
          <w:tcPr>
            <w:tcW w:w="770" w:type="dxa"/>
            <w:vAlign w:val="center"/>
          </w:tcPr>
          <w:p w14:paraId="7E6DE1E5">
            <w:pPr>
              <w:wordWrap w:val="0"/>
              <w:topLinePunct/>
              <w:spacing w:line="360" w:lineRule="auto"/>
              <w:jc w:val="center"/>
              <w:rPr>
                <w:rFonts w:ascii="宋体" w:hAnsi="宋体" w:eastAsia="宋体" w:cs="宋体"/>
                <w:sz w:val="21"/>
                <w:szCs w:val="21"/>
                <w:highlight w:val="none"/>
              </w:rPr>
            </w:pPr>
          </w:p>
        </w:tc>
        <w:tc>
          <w:tcPr>
            <w:tcW w:w="1743" w:type="dxa"/>
            <w:vAlign w:val="center"/>
          </w:tcPr>
          <w:p w14:paraId="5572699A">
            <w:pPr>
              <w:wordWrap w:val="0"/>
              <w:topLinePunct/>
              <w:spacing w:line="360" w:lineRule="auto"/>
              <w:jc w:val="center"/>
              <w:rPr>
                <w:rFonts w:ascii="宋体" w:hAnsi="宋体" w:eastAsia="宋体" w:cs="宋体"/>
                <w:sz w:val="21"/>
                <w:szCs w:val="21"/>
                <w:highlight w:val="none"/>
              </w:rPr>
            </w:pPr>
          </w:p>
        </w:tc>
        <w:tc>
          <w:tcPr>
            <w:tcW w:w="1134" w:type="dxa"/>
            <w:vAlign w:val="center"/>
          </w:tcPr>
          <w:p w14:paraId="46A69A81">
            <w:pPr>
              <w:wordWrap w:val="0"/>
              <w:topLinePunct/>
              <w:spacing w:line="360" w:lineRule="auto"/>
              <w:jc w:val="center"/>
              <w:rPr>
                <w:rFonts w:ascii="宋体" w:hAnsi="宋体" w:eastAsia="宋体" w:cs="宋体"/>
                <w:sz w:val="21"/>
                <w:szCs w:val="21"/>
                <w:highlight w:val="none"/>
              </w:rPr>
            </w:pPr>
          </w:p>
        </w:tc>
        <w:tc>
          <w:tcPr>
            <w:tcW w:w="993" w:type="dxa"/>
            <w:vAlign w:val="center"/>
          </w:tcPr>
          <w:p w14:paraId="654F6987">
            <w:pPr>
              <w:wordWrap w:val="0"/>
              <w:topLinePunct/>
              <w:spacing w:line="360" w:lineRule="auto"/>
              <w:jc w:val="center"/>
              <w:rPr>
                <w:rFonts w:ascii="宋体" w:hAnsi="宋体" w:eastAsia="宋体" w:cs="宋体"/>
                <w:sz w:val="21"/>
                <w:szCs w:val="21"/>
                <w:highlight w:val="none"/>
              </w:rPr>
            </w:pPr>
          </w:p>
        </w:tc>
        <w:tc>
          <w:tcPr>
            <w:tcW w:w="850" w:type="dxa"/>
            <w:vAlign w:val="center"/>
          </w:tcPr>
          <w:p w14:paraId="0F4D5268">
            <w:pPr>
              <w:wordWrap w:val="0"/>
              <w:topLinePunct/>
              <w:spacing w:line="360" w:lineRule="auto"/>
              <w:jc w:val="center"/>
              <w:rPr>
                <w:rFonts w:ascii="宋体" w:hAnsi="宋体" w:eastAsia="宋体" w:cs="宋体"/>
                <w:sz w:val="21"/>
                <w:szCs w:val="21"/>
                <w:highlight w:val="none"/>
              </w:rPr>
            </w:pPr>
          </w:p>
        </w:tc>
        <w:tc>
          <w:tcPr>
            <w:tcW w:w="1440" w:type="dxa"/>
            <w:vAlign w:val="center"/>
          </w:tcPr>
          <w:p w14:paraId="465D3C10">
            <w:pPr>
              <w:wordWrap w:val="0"/>
              <w:topLinePunct/>
              <w:spacing w:line="360" w:lineRule="auto"/>
              <w:jc w:val="center"/>
              <w:rPr>
                <w:rFonts w:ascii="宋体" w:hAnsi="宋体" w:eastAsia="宋体" w:cs="宋体"/>
                <w:sz w:val="21"/>
                <w:szCs w:val="21"/>
                <w:highlight w:val="none"/>
              </w:rPr>
            </w:pPr>
          </w:p>
        </w:tc>
        <w:tc>
          <w:tcPr>
            <w:tcW w:w="769" w:type="dxa"/>
            <w:vAlign w:val="center"/>
          </w:tcPr>
          <w:p w14:paraId="1BFFBCA5">
            <w:pPr>
              <w:wordWrap w:val="0"/>
              <w:topLinePunct/>
              <w:spacing w:line="360" w:lineRule="auto"/>
              <w:jc w:val="center"/>
              <w:rPr>
                <w:rFonts w:ascii="宋体" w:hAnsi="宋体" w:eastAsia="宋体" w:cs="宋体"/>
                <w:sz w:val="21"/>
                <w:szCs w:val="21"/>
                <w:highlight w:val="none"/>
              </w:rPr>
            </w:pPr>
          </w:p>
        </w:tc>
      </w:tr>
      <w:tr w14:paraId="5C92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7818418">
            <w:pPr>
              <w:wordWrap w:val="0"/>
              <w:topLinePunct/>
              <w:spacing w:line="360" w:lineRule="auto"/>
              <w:jc w:val="center"/>
              <w:rPr>
                <w:rFonts w:ascii="宋体" w:hAnsi="宋体" w:eastAsia="宋体" w:cs="宋体"/>
                <w:sz w:val="21"/>
                <w:szCs w:val="21"/>
                <w:highlight w:val="none"/>
              </w:rPr>
            </w:pPr>
          </w:p>
        </w:tc>
        <w:tc>
          <w:tcPr>
            <w:tcW w:w="771" w:type="dxa"/>
            <w:vAlign w:val="center"/>
          </w:tcPr>
          <w:p w14:paraId="009A0A13">
            <w:pPr>
              <w:wordWrap w:val="0"/>
              <w:topLinePunct/>
              <w:spacing w:line="360" w:lineRule="auto"/>
              <w:jc w:val="center"/>
              <w:rPr>
                <w:rFonts w:ascii="宋体" w:hAnsi="宋体" w:eastAsia="宋体" w:cs="宋体"/>
                <w:sz w:val="21"/>
                <w:szCs w:val="21"/>
                <w:highlight w:val="none"/>
              </w:rPr>
            </w:pPr>
          </w:p>
        </w:tc>
        <w:tc>
          <w:tcPr>
            <w:tcW w:w="770" w:type="dxa"/>
            <w:vAlign w:val="center"/>
          </w:tcPr>
          <w:p w14:paraId="208CF1B3">
            <w:pPr>
              <w:wordWrap w:val="0"/>
              <w:topLinePunct/>
              <w:spacing w:line="360" w:lineRule="auto"/>
              <w:jc w:val="center"/>
              <w:rPr>
                <w:rFonts w:ascii="宋体" w:hAnsi="宋体" w:eastAsia="宋体" w:cs="宋体"/>
                <w:sz w:val="21"/>
                <w:szCs w:val="21"/>
                <w:highlight w:val="none"/>
              </w:rPr>
            </w:pPr>
          </w:p>
        </w:tc>
        <w:tc>
          <w:tcPr>
            <w:tcW w:w="1743" w:type="dxa"/>
            <w:vAlign w:val="center"/>
          </w:tcPr>
          <w:p w14:paraId="7A6032E0">
            <w:pPr>
              <w:wordWrap w:val="0"/>
              <w:topLinePunct/>
              <w:spacing w:line="360" w:lineRule="auto"/>
              <w:jc w:val="center"/>
              <w:rPr>
                <w:rFonts w:ascii="宋体" w:hAnsi="宋体" w:eastAsia="宋体" w:cs="宋体"/>
                <w:sz w:val="21"/>
                <w:szCs w:val="21"/>
                <w:highlight w:val="none"/>
              </w:rPr>
            </w:pPr>
          </w:p>
        </w:tc>
        <w:tc>
          <w:tcPr>
            <w:tcW w:w="1134" w:type="dxa"/>
            <w:vAlign w:val="center"/>
          </w:tcPr>
          <w:p w14:paraId="373F9A7D">
            <w:pPr>
              <w:wordWrap w:val="0"/>
              <w:topLinePunct/>
              <w:spacing w:line="360" w:lineRule="auto"/>
              <w:jc w:val="center"/>
              <w:rPr>
                <w:rFonts w:ascii="宋体" w:hAnsi="宋体" w:eastAsia="宋体" w:cs="宋体"/>
                <w:sz w:val="21"/>
                <w:szCs w:val="21"/>
                <w:highlight w:val="none"/>
              </w:rPr>
            </w:pPr>
          </w:p>
        </w:tc>
        <w:tc>
          <w:tcPr>
            <w:tcW w:w="993" w:type="dxa"/>
            <w:vAlign w:val="center"/>
          </w:tcPr>
          <w:p w14:paraId="5AEEF06E">
            <w:pPr>
              <w:wordWrap w:val="0"/>
              <w:topLinePunct/>
              <w:spacing w:line="360" w:lineRule="auto"/>
              <w:jc w:val="center"/>
              <w:rPr>
                <w:rFonts w:ascii="宋体" w:hAnsi="宋体" w:eastAsia="宋体" w:cs="宋体"/>
                <w:sz w:val="21"/>
                <w:szCs w:val="21"/>
                <w:highlight w:val="none"/>
              </w:rPr>
            </w:pPr>
          </w:p>
        </w:tc>
        <w:tc>
          <w:tcPr>
            <w:tcW w:w="850" w:type="dxa"/>
            <w:vAlign w:val="center"/>
          </w:tcPr>
          <w:p w14:paraId="5EC9FE99">
            <w:pPr>
              <w:wordWrap w:val="0"/>
              <w:topLinePunct/>
              <w:spacing w:line="360" w:lineRule="auto"/>
              <w:jc w:val="center"/>
              <w:rPr>
                <w:rFonts w:ascii="宋体" w:hAnsi="宋体" w:eastAsia="宋体" w:cs="宋体"/>
                <w:sz w:val="21"/>
                <w:szCs w:val="21"/>
                <w:highlight w:val="none"/>
              </w:rPr>
            </w:pPr>
          </w:p>
        </w:tc>
        <w:tc>
          <w:tcPr>
            <w:tcW w:w="1440" w:type="dxa"/>
            <w:vAlign w:val="center"/>
          </w:tcPr>
          <w:p w14:paraId="10A31511">
            <w:pPr>
              <w:wordWrap w:val="0"/>
              <w:topLinePunct/>
              <w:spacing w:line="360" w:lineRule="auto"/>
              <w:jc w:val="center"/>
              <w:rPr>
                <w:rFonts w:ascii="宋体" w:hAnsi="宋体" w:eastAsia="宋体" w:cs="宋体"/>
                <w:sz w:val="21"/>
                <w:szCs w:val="21"/>
                <w:highlight w:val="none"/>
              </w:rPr>
            </w:pPr>
          </w:p>
        </w:tc>
        <w:tc>
          <w:tcPr>
            <w:tcW w:w="769" w:type="dxa"/>
            <w:vAlign w:val="center"/>
          </w:tcPr>
          <w:p w14:paraId="6CDA2BB2">
            <w:pPr>
              <w:wordWrap w:val="0"/>
              <w:topLinePunct/>
              <w:spacing w:line="360" w:lineRule="auto"/>
              <w:jc w:val="center"/>
              <w:rPr>
                <w:rFonts w:ascii="宋体" w:hAnsi="宋体" w:eastAsia="宋体" w:cs="宋体"/>
                <w:sz w:val="21"/>
                <w:szCs w:val="21"/>
                <w:highlight w:val="none"/>
              </w:rPr>
            </w:pPr>
          </w:p>
        </w:tc>
      </w:tr>
      <w:tr w14:paraId="1579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D39BFCF">
            <w:pPr>
              <w:wordWrap w:val="0"/>
              <w:topLinePunct/>
              <w:spacing w:line="360" w:lineRule="auto"/>
              <w:jc w:val="center"/>
              <w:rPr>
                <w:rFonts w:ascii="宋体" w:hAnsi="宋体" w:eastAsia="宋体" w:cs="宋体"/>
                <w:sz w:val="21"/>
                <w:szCs w:val="21"/>
                <w:highlight w:val="none"/>
              </w:rPr>
            </w:pPr>
          </w:p>
        </w:tc>
        <w:tc>
          <w:tcPr>
            <w:tcW w:w="771" w:type="dxa"/>
            <w:vAlign w:val="center"/>
          </w:tcPr>
          <w:p w14:paraId="65749B26">
            <w:pPr>
              <w:wordWrap w:val="0"/>
              <w:topLinePunct/>
              <w:spacing w:line="360" w:lineRule="auto"/>
              <w:jc w:val="center"/>
              <w:rPr>
                <w:rFonts w:ascii="宋体" w:hAnsi="宋体" w:eastAsia="宋体" w:cs="宋体"/>
                <w:sz w:val="21"/>
                <w:szCs w:val="21"/>
                <w:highlight w:val="none"/>
              </w:rPr>
            </w:pPr>
          </w:p>
        </w:tc>
        <w:tc>
          <w:tcPr>
            <w:tcW w:w="770" w:type="dxa"/>
            <w:vAlign w:val="center"/>
          </w:tcPr>
          <w:p w14:paraId="212C16BC">
            <w:pPr>
              <w:wordWrap w:val="0"/>
              <w:topLinePunct/>
              <w:spacing w:line="360" w:lineRule="auto"/>
              <w:jc w:val="center"/>
              <w:rPr>
                <w:rFonts w:ascii="宋体" w:hAnsi="宋体" w:eastAsia="宋体" w:cs="宋体"/>
                <w:sz w:val="21"/>
                <w:szCs w:val="21"/>
                <w:highlight w:val="none"/>
              </w:rPr>
            </w:pPr>
          </w:p>
        </w:tc>
        <w:tc>
          <w:tcPr>
            <w:tcW w:w="1743" w:type="dxa"/>
            <w:vAlign w:val="center"/>
          </w:tcPr>
          <w:p w14:paraId="2251F357">
            <w:pPr>
              <w:wordWrap w:val="0"/>
              <w:topLinePunct/>
              <w:spacing w:line="360" w:lineRule="auto"/>
              <w:jc w:val="center"/>
              <w:rPr>
                <w:rFonts w:ascii="宋体" w:hAnsi="宋体" w:eastAsia="宋体" w:cs="宋体"/>
                <w:sz w:val="21"/>
                <w:szCs w:val="21"/>
                <w:highlight w:val="none"/>
              </w:rPr>
            </w:pPr>
          </w:p>
        </w:tc>
        <w:tc>
          <w:tcPr>
            <w:tcW w:w="1134" w:type="dxa"/>
            <w:vAlign w:val="center"/>
          </w:tcPr>
          <w:p w14:paraId="7B03078E">
            <w:pPr>
              <w:wordWrap w:val="0"/>
              <w:topLinePunct/>
              <w:spacing w:line="360" w:lineRule="auto"/>
              <w:jc w:val="center"/>
              <w:rPr>
                <w:rFonts w:ascii="宋体" w:hAnsi="宋体" w:eastAsia="宋体" w:cs="宋体"/>
                <w:sz w:val="21"/>
                <w:szCs w:val="21"/>
                <w:highlight w:val="none"/>
              </w:rPr>
            </w:pPr>
          </w:p>
        </w:tc>
        <w:tc>
          <w:tcPr>
            <w:tcW w:w="993" w:type="dxa"/>
            <w:vAlign w:val="center"/>
          </w:tcPr>
          <w:p w14:paraId="3567FB6B">
            <w:pPr>
              <w:wordWrap w:val="0"/>
              <w:topLinePunct/>
              <w:spacing w:line="360" w:lineRule="auto"/>
              <w:jc w:val="center"/>
              <w:rPr>
                <w:rFonts w:ascii="宋体" w:hAnsi="宋体" w:eastAsia="宋体" w:cs="宋体"/>
                <w:sz w:val="21"/>
                <w:szCs w:val="21"/>
                <w:highlight w:val="none"/>
              </w:rPr>
            </w:pPr>
          </w:p>
        </w:tc>
        <w:tc>
          <w:tcPr>
            <w:tcW w:w="850" w:type="dxa"/>
            <w:vAlign w:val="center"/>
          </w:tcPr>
          <w:p w14:paraId="44E55820">
            <w:pPr>
              <w:wordWrap w:val="0"/>
              <w:topLinePunct/>
              <w:spacing w:line="360" w:lineRule="auto"/>
              <w:jc w:val="center"/>
              <w:rPr>
                <w:rFonts w:ascii="宋体" w:hAnsi="宋体" w:eastAsia="宋体" w:cs="宋体"/>
                <w:sz w:val="21"/>
                <w:szCs w:val="21"/>
                <w:highlight w:val="none"/>
              </w:rPr>
            </w:pPr>
          </w:p>
        </w:tc>
        <w:tc>
          <w:tcPr>
            <w:tcW w:w="1440" w:type="dxa"/>
            <w:vAlign w:val="center"/>
          </w:tcPr>
          <w:p w14:paraId="5C72D8F4">
            <w:pPr>
              <w:wordWrap w:val="0"/>
              <w:topLinePunct/>
              <w:spacing w:line="360" w:lineRule="auto"/>
              <w:jc w:val="center"/>
              <w:rPr>
                <w:rFonts w:ascii="宋体" w:hAnsi="宋体" w:eastAsia="宋体" w:cs="宋体"/>
                <w:sz w:val="21"/>
                <w:szCs w:val="21"/>
                <w:highlight w:val="none"/>
              </w:rPr>
            </w:pPr>
          </w:p>
        </w:tc>
        <w:tc>
          <w:tcPr>
            <w:tcW w:w="769" w:type="dxa"/>
            <w:vAlign w:val="center"/>
          </w:tcPr>
          <w:p w14:paraId="5A969B30">
            <w:pPr>
              <w:wordWrap w:val="0"/>
              <w:topLinePunct/>
              <w:spacing w:line="360" w:lineRule="auto"/>
              <w:jc w:val="center"/>
              <w:rPr>
                <w:rFonts w:ascii="宋体" w:hAnsi="宋体" w:eastAsia="宋体" w:cs="宋体"/>
                <w:sz w:val="21"/>
                <w:szCs w:val="21"/>
                <w:highlight w:val="none"/>
              </w:rPr>
            </w:pPr>
          </w:p>
        </w:tc>
      </w:tr>
      <w:tr w14:paraId="390C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6084433">
            <w:pPr>
              <w:wordWrap w:val="0"/>
              <w:topLinePunct/>
              <w:spacing w:line="360" w:lineRule="auto"/>
              <w:jc w:val="center"/>
              <w:rPr>
                <w:rFonts w:ascii="宋体" w:hAnsi="宋体" w:eastAsia="宋体" w:cs="宋体"/>
                <w:sz w:val="21"/>
                <w:szCs w:val="21"/>
                <w:highlight w:val="none"/>
              </w:rPr>
            </w:pPr>
          </w:p>
        </w:tc>
        <w:tc>
          <w:tcPr>
            <w:tcW w:w="771" w:type="dxa"/>
            <w:vAlign w:val="center"/>
          </w:tcPr>
          <w:p w14:paraId="4F9FE398">
            <w:pPr>
              <w:wordWrap w:val="0"/>
              <w:topLinePunct/>
              <w:spacing w:line="360" w:lineRule="auto"/>
              <w:jc w:val="center"/>
              <w:rPr>
                <w:rFonts w:ascii="宋体" w:hAnsi="宋体" w:eastAsia="宋体" w:cs="宋体"/>
                <w:sz w:val="21"/>
                <w:szCs w:val="21"/>
                <w:highlight w:val="none"/>
              </w:rPr>
            </w:pPr>
          </w:p>
        </w:tc>
        <w:tc>
          <w:tcPr>
            <w:tcW w:w="770" w:type="dxa"/>
            <w:vAlign w:val="center"/>
          </w:tcPr>
          <w:p w14:paraId="62B4D00A">
            <w:pPr>
              <w:wordWrap w:val="0"/>
              <w:topLinePunct/>
              <w:spacing w:line="360" w:lineRule="auto"/>
              <w:jc w:val="center"/>
              <w:rPr>
                <w:rFonts w:ascii="宋体" w:hAnsi="宋体" w:eastAsia="宋体" w:cs="宋体"/>
                <w:sz w:val="21"/>
                <w:szCs w:val="21"/>
                <w:highlight w:val="none"/>
              </w:rPr>
            </w:pPr>
          </w:p>
        </w:tc>
        <w:tc>
          <w:tcPr>
            <w:tcW w:w="1743" w:type="dxa"/>
            <w:vAlign w:val="center"/>
          </w:tcPr>
          <w:p w14:paraId="7C2DFDFF">
            <w:pPr>
              <w:wordWrap w:val="0"/>
              <w:topLinePunct/>
              <w:spacing w:line="360" w:lineRule="auto"/>
              <w:jc w:val="center"/>
              <w:rPr>
                <w:rFonts w:ascii="宋体" w:hAnsi="宋体" w:eastAsia="宋体" w:cs="宋体"/>
                <w:sz w:val="21"/>
                <w:szCs w:val="21"/>
                <w:highlight w:val="none"/>
              </w:rPr>
            </w:pPr>
          </w:p>
        </w:tc>
        <w:tc>
          <w:tcPr>
            <w:tcW w:w="1134" w:type="dxa"/>
            <w:vAlign w:val="center"/>
          </w:tcPr>
          <w:p w14:paraId="1D9CFF5B">
            <w:pPr>
              <w:wordWrap w:val="0"/>
              <w:topLinePunct/>
              <w:spacing w:line="360" w:lineRule="auto"/>
              <w:jc w:val="center"/>
              <w:rPr>
                <w:rFonts w:ascii="宋体" w:hAnsi="宋体" w:eastAsia="宋体" w:cs="宋体"/>
                <w:sz w:val="21"/>
                <w:szCs w:val="21"/>
                <w:highlight w:val="none"/>
              </w:rPr>
            </w:pPr>
          </w:p>
        </w:tc>
        <w:tc>
          <w:tcPr>
            <w:tcW w:w="993" w:type="dxa"/>
            <w:vAlign w:val="center"/>
          </w:tcPr>
          <w:p w14:paraId="03A2F195">
            <w:pPr>
              <w:wordWrap w:val="0"/>
              <w:topLinePunct/>
              <w:spacing w:line="360" w:lineRule="auto"/>
              <w:jc w:val="center"/>
              <w:rPr>
                <w:rFonts w:ascii="宋体" w:hAnsi="宋体" w:eastAsia="宋体" w:cs="宋体"/>
                <w:sz w:val="21"/>
                <w:szCs w:val="21"/>
                <w:highlight w:val="none"/>
              </w:rPr>
            </w:pPr>
          </w:p>
        </w:tc>
        <w:tc>
          <w:tcPr>
            <w:tcW w:w="850" w:type="dxa"/>
            <w:vAlign w:val="center"/>
          </w:tcPr>
          <w:p w14:paraId="0ED932CB">
            <w:pPr>
              <w:wordWrap w:val="0"/>
              <w:topLinePunct/>
              <w:spacing w:line="360" w:lineRule="auto"/>
              <w:jc w:val="center"/>
              <w:rPr>
                <w:rFonts w:ascii="宋体" w:hAnsi="宋体" w:eastAsia="宋体" w:cs="宋体"/>
                <w:sz w:val="21"/>
                <w:szCs w:val="21"/>
                <w:highlight w:val="none"/>
              </w:rPr>
            </w:pPr>
          </w:p>
        </w:tc>
        <w:tc>
          <w:tcPr>
            <w:tcW w:w="1440" w:type="dxa"/>
            <w:vAlign w:val="center"/>
          </w:tcPr>
          <w:p w14:paraId="625C1BA5">
            <w:pPr>
              <w:wordWrap w:val="0"/>
              <w:topLinePunct/>
              <w:spacing w:line="360" w:lineRule="auto"/>
              <w:jc w:val="center"/>
              <w:rPr>
                <w:rFonts w:ascii="宋体" w:hAnsi="宋体" w:eastAsia="宋体" w:cs="宋体"/>
                <w:sz w:val="21"/>
                <w:szCs w:val="21"/>
                <w:highlight w:val="none"/>
              </w:rPr>
            </w:pPr>
          </w:p>
        </w:tc>
        <w:tc>
          <w:tcPr>
            <w:tcW w:w="769" w:type="dxa"/>
            <w:vAlign w:val="center"/>
          </w:tcPr>
          <w:p w14:paraId="746EF38B">
            <w:pPr>
              <w:wordWrap w:val="0"/>
              <w:topLinePunct/>
              <w:spacing w:line="360" w:lineRule="auto"/>
              <w:jc w:val="center"/>
              <w:rPr>
                <w:rFonts w:ascii="宋体" w:hAnsi="宋体" w:eastAsia="宋体" w:cs="宋体"/>
                <w:sz w:val="21"/>
                <w:szCs w:val="21"/>
                <w:highlight w:val="none"/>
              </w:rPr>
            </w:pPr>
          </w:p>
        </w:tc>
      </w:tr>
      <w:tr w14:paraId="3588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504E7BB5">
            <w:pPr>
              <w:wordWrap w:val="0"/>
              <w:topLinePunct/>
              <w:spacing w:line="360" w:lineRule="auto"/>
              <w:jc w:val="center"/>
              <w:rPr>
                <w:rFonts w:ascii="宋体" w:hAnsi="宋体" w:eastAsia="宋体" w:cs="宋体"/>
                <w:sz w:val="21"/>
                <w:szCs w:val="21"/>
                <w:highlight w:val="none"/>
              </w:rPr>
            </w:pPr>
          </w:p>
        </w:tc>
        <w:tc>
          <w:tcPr>
            <w:tcW w:w="771" w:type="dxa"/>
            <w:vAlign w:val="center"/>
          </w:tcPr>
          <w:p w14:paraId="3583AE0A">
            <w:pPr>
              <w:wordWrap w:val="0"/>
              <w:topLinePunct/>
              <w:spacing w:line="360" w:lineRule="auto"/>
              <w:jc w:val="center"/>
              <w:rPr>
                <w:rFonts w:ascii="宋体" w:hAnsi="宋体" w:eastAsia="宋体" w:cs="宋体"/>
                <w:sz w:val="21"/>
                <w:szCs w:val="21"/>
                <w:highlight w:val="none"/>
              </w:rPr>
            </w:pPr>
          </w:p>
        </w:tc>
        <w:tc>
          <w:tcPr>
            <w:tcW w:w="770" w:type="dxa"/>
            <w:vAlign w:val="center"/>
          </w:tcPr>
          <w:p w14:paraId="624F3652">
            <w:pPr>
              <w:wordWrap w:val="0"/>
              <w:topLinePunct/>
              <w:spacing w:line="360" w:lineRule="auto"/>
              <w:jc w:val="center"/>
              <w:rPr>
                <w:rFonts w:ascii="宋体" w:hAnsi="宋体" w:eastAsia="宋体" w:cs="宋体"/>
                <w:sz w:val="21"/>
                <w:szCs w:val="21"/>
                <w:highlight w:val="none"/>
              </w:rPr>
            </w:pPr>
          </w:p>
        </w:tc>
        <w:tc>
          <w:tcPr>
            <w:tcW w:w="1743" w:type="dxa"/>
            <w:vAlign w:val="center"/>
          </w:tcPr>
          <w:p w14:paraId="725E9CF1">
            <w:pPr>
              <w:wordWrap w:val="0"/>
              <w:topLinePunct/>
              <w:spacing w:line="360" w:lineRule="auto"/>
              <w:jc w:val="center"/>
              <w:rPr>
                <w:rFonts w:ascii="宋体" w:hAnsi="宋体" w:eastAsia="宋体" w:cs="宋体"/>
                <w:sz w:val="21"/>
                <w:szCs w:val="21"/>
                <w:highlight w:val="none"/>
              </w:rPr>
            </w:pPr>
          </w:p>
        </w:tc>
        <w:tc>
          <w:tcPr>
            <w:tcW w:w="1134" w:type="dxa"/>
            <w:vAlign w:val="center"/>
          </w:tcPr>
          <w:p w14:paraId="24E3DE2C">
            <w:pPr>
              <w:wordWrap w:val="0"/>
              <w:topLinePunct/>
              <w:spacing w:line="360" w:lineRule="auto"/>
              <w:jc w:val="center"/>
              <w:rPr>
                <w:rFonts w:ascii="宋体" w:hAnsi="宋体" w:eastAsia="宋体" w:cs="宋体"/>
                <w:sz w:val="21"/>
                <w:szCs w:val="21"/>
                <w:highlight w:val="none"/>
              </w:rPr>
            </w:pPr>
          </w:p>
        </w:tc>
        <w:tc>
          <w:tcPr>
            <w:tcW w:w="993" w:type="dxa"/>
            <w:vAlign w:val="center"/>
          </w:tcPr>
          <w:p w14:paraId="228138AE">
            <w:pPr>
              <w:wordWrap w:val="0"/>
              <w:topLinePunct/>
              <w:spacing w:line="360" w:lineRule="auto"/>
              <w:jc w:val="center"/>
              <w:rPr>
                <w:rFonts w:ascii="宋体" w:hAnsi="宋体" w:eastAsia="宋体" w:cs="宋体"/>
                <w:sz w:val="21"/>
                <w:szCs w:val="21"/>
                <w:highlight w:val="none"/>
              </w:rPr>
            </w:pPr>
          </w:p>
        </w:tc>
        <w:tc>
          <w:tcPr>
            <w:tcW w:w="850" w:type="dxa"/>
            <w:vAlign w:val="center"/>
          </w:tcPr>
          <w:p w14:paraId="1DB51D9F">
            <w:pPr>
              <w:wordWrap w:val="0"/>
              <w:topLinePunct/>
              <w:spacing w:line="360" w:lineRule="auto"/>
              <w:jc w:val="center"/>
              <w:rPr>
                <w:rFonts w:ascii="宋体" w:hAnsi="宋体" w:eastAsia="宋体" w:cs="宋体"/>
                <w:sz w:val="21"/>
                <w:szCs w:val="21"/>
                <w:highlight w:val="none"/>
              </w:rPr>
            </w:pPr>
          </w:p>
        </w:tc>
        <w:tc>
          <w:tcPr>
            <w:tcW w:w="1440" w:type="dxa"/>
            <w:vAlign w:val="center"/>
          </w:tcPr>
          <w:p w14:paraId="3D8B9E60">
            <w:pPr>
              <w:wordWrap w:val="0"/>
              <w:topLinePunct/>
              <w:spacing w:line="360" w:lineRule="auto"/>
              <w:jc w:val="center"/>
              <w:rPr>
                <w:rFonts w:ascii="宋体" w:hAnsi="宋体" w:eastAsia="宋体" w:cs="宋体"/>
                <w:sz w:val="21"/>
                <w:szCs w:val="21"/>
                <w:highlight w:val="none"/>
              </w:rPr>
            </w:pPr>
          </w:p>
        </w:tc>
        <w:tc>
          <w:tcPr>
            <w:tcW w:w="769" w:type="dxa"/>
            <w:vAlign w:val="center"/>
          </w:tcPr>
          <w:p w14:paraId="7AE2EDAF">
            <w:pPr>
              <w:wordWrap w:val="0"/>
              <w:topLinePunct/>
              <w:spacing w:line="360" w:lineRule="auto"/>
              <w:jc w:val="center"/>
              <w:rPr>
                <w:rFonts w:ascii="宋体" w:hAnsi="宋体" w:eastAsia="宋体" w:cs="宋体"/>
                <w:sz w:val="21"/>
                <w:szCs w:val="21"/>
                <w:highlight w:val="none"/>
              </w:rPr>
            </w:pPr>
          </w:p>
        </w:tc>
      </w:tr>
      <w:tr w14:paraId="1779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D24BEFD">
            <w:pPr>
              <w:wordWrap w:val="0"/>
              <w:topLinePunct/>
              <w:spacing w:line="360" w:lineRule="auto"/>
              <w:jc w:val="center"/>
              <w:rPr>
                <w:rFonts w:ascii="宋体" w:hAnsi="宋体" w:eastAsia="宋体" w:cs="宋体"/>
                <w:sz w:val="21"/>
                <w:szCs w:val="21"/>
                <w:highlight w:val="none"/>
              </w:rPr>
            </w:pPr>
          </w:p>
        </w:tc>
        <w:tc>
          <w:tcPr>
            <w:tcW w:w="771" w:type="dxa"/>
            <w:vAlign w:val="center"/>
          </w:tcPr>
          <w:p w14:paraId="03568290">
            <w:pPr>
              <w:wordWrap w:val="0"/>
              <w:topLinePunct/>
              <w:spacing w:line="360" w:lineRule="auto"/>
              <w:jc w:val="center"/>
              <w:rPr>
                <w:rFonts w:ascii="宋体" w:hAnsi="宋体" w:eastAsia="宋体" w:cs="宋体"/>
                <w:sz w:val="21"/>
                <w:szCs w:val="21"/>
                <w:highlight w:val="none"/>
              </w:rPr>
            </w:pPr>
          </w:p>
        </w:tc>
        <w:tc>
          <w:tcPr>
            <w:tcW w:w="770" w:type="dxa"/>
            <w:vAlign w:val="center"/>
          </w:tcPr>
          <w:p w14:paraId="5B6C8DDD">
            <w:pPr>
              <w:wordWrap w:val="0"/>
              <w:topLinePunct/>
              <w:spacing w:line="360" w:lineRule="auto"/>
              <w:jc w:val="center"/>
              <w:rPr>
                <w:rFonts w:ascii="宋体" w:hAnsi="宋体" w:eastAsia="宋体" w:cs="宋体"/>
                <w:sz w:val="21"/>
                <w:szCs w:val="21"/>
                <w:highlight w:val="none"/>
              </w:rPr>
            </w:pPr>
          </w:p>
        </w:tc>
        <w:tc>
          <w:tcPr>
            <w:tcW w:w="1743" w:type="dxa"/>
            <w:vAlign w:val="center"/>
          </w:tcPr>
          <w:p w14:paraId="4FB3BF22">
            <w:pPr>
              <w:wordWrap w:val="0"/>
              <w:topLinePunct/>
              <w:spacing w:line="360" w:lineRule="auto"/>
              <w:jc w:val="center"/>
              <w:rPr>
                <w:rFonts w:ascii="宋体" w:hAnsi="宋体" w:eastAsia="宋体" w:cs="宋体"/>
                <w:sz w:val="21"/>
                <w:szCs w:val="21"/>
                <w:highlight w:val="none"/>
              </w:rPr>
            </w:pPr>
          </w:p>
        </w:tc>
        <w:tc>
          <w:tcPr>
            <w:tcW w:w="1134" w:type="dxa"/>
            <w:vAlign w:val="center"/>
          </w:tcPr>
          <w:p w14:paraId="1C8736AD">
            <w:pPr>
              <w:wordWrap w:val="0"/>
              <w:topLinePunct/>
              <w:spacing w:line="360" w:lineRule="auto"/>
              <w:jc w:val="center"/>
              <w:rPr>
                <w:rFonts w:ascii="宋体" w:hAnsi="宋体" w:eastAsia="宋体" w:cs="宋体"/>
                <w:sz w:val="21"/>
                <w:szCs w:val="21"/>
                <w:highlight w:val="none"/>
              </w:rPr>
            </w:pPr>
          </w:p>
        </w:tc>
        <w:tc>
          <w:tcPr>
            <w:tcW w:w="993" w:type="dxa"/>
            <w:vAlign w:val="center"/>
          </w:tcPr>
          <w:p w14:paraId="65D17DD1">
            <w:pPr>
              <w:wordWrap w:val="0"/>
              <w:topLinePunct/>
              <w:spacing w:line="360" w:lineRule="auto"/>
              <w:jc w:val="center"/>
              <w:rPr>
                <w:rFonts w:ascii="宋体" w:hAnsi="宋体" w:eastAsia="宋体" w:cs="宋体"/>
                <w:sz w:val="21"/>
                <w:szCs w:val="21"/>
                <w:highlight w:val="none"/>
              </w:rPr>
            </w:pPr>
          </w:p>
        </w:tc>
        <w:tc>
          <w:tcPr>
            <w:tcW w:w="850" w:type="dxa"/>
            <w:vAlign w:val="center"/>
          </w:tcPr>
          <w:p w14:paraId="104BAABB">
            <w:pPr>
              <w:wordWrap w:val="0"/>
              <w:topLinePunct/>
              <w:spacing w:line="360" w:lineRule="auto"/>
              <w:jc w:val="center"/>
              <w:rPr>
                <w:rFonts w:ascii="宋体" w:hAnsi="宋体" w:eastAsia="宋体" w:cs="宋体"/>
                <w:sz w:val="21"/>
                <w:szCs w:val="21"/>
                <w:highlight w:val="none"/>
              </w:rPr>
            </w:pPr>
          </w:p>
        </w:tc>
        <w:tc>
          <w:tcPr>
            <w:tcW w:w="1440" w:type="dxa"/>
            <w:vAlign w:val="center"/>
          </w:tcPr>
          <w:p w14:paraId="52BBE400">
            <w:pPr>
              <w:wordWrap w:val="0"/>
              <w:topLinePunct/>
              <w:spacing w:line="360" w:lineRule="auto"/>
              <w:jc w:val="center"/>
              <w:rPr>
                <w:rFonts w:ascii="宋体" w:hAnsi="宋体" w:eastAsia="宋体" w:cs="宋体"/>
                <w:sz w:val="21"/>
                <w:szCs w:val="21"/>
                <w:highlight w:val="none"/>
              </w:rPr>
            </w:pPr>
          </w:p>
        </w:tc>
        <w:tc>
          <w:tcPr>
            <w:tcW w:w="769" w:type="dxa"/>
            <w:vAlign w:val="center"/>
          </w:tcPr>
          <w:p w14:paraId="6DE3D9AD">
            <w:pPr>
              <w:wordWrap w:val="0"/>
              <w:topLinePunct/>
              <w:spacing w:line="360" w:lineRule="auto"/>
              <w:jc w:val="center"/>
              <w:rPr>
                <w:rFonts w:ascii="宋体" w:hAnsi="宋体" w:eastAsia="宋体" w:cs="宋体"/>
                <w:sz w:val="21"/>
                <w:szCs w:val="21"/>
                <w:highlight w:val="none"/>
              </w:rPr>
            </w:pPr>
          </w:p>
        </w:tc>
      </w:tr>
      <w:tr w14:paraId="7221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70" w:type="dxa"/>
            <w:vAlign w:val="center"/>
          </w:tcPr>
          <w:p w14:paraId="1C6FEEC7">
            <w:pPr>
              <w:wordWrap w:val="0"/>
              <w:topLinePunct/>
              <w:spacing w:line="360" w:lineRule="auto"/>
              <w:jc w:val="center"/>
              <w:rPr>
                <w:rFonts w:ascii="宋体" w:hAnsi="宋体" w:eastAsia="宋体" w:cs="宋体"/>
                <w:sz w:val="21"/>
                <w:szCs w:val="21"/>
                <w:highlight w:val="none"/>
              </w:rPr>
            </w:pPr>
          </w:p>
        </w:tc>
        <w:tc>
          <w:tcPr>
            <w:tcW w:w="771" w:type="dxa"/>
            <w:vAlign w:val="center"/>
          </w:tcPr>
          <w:p w14:paraId="053A385A">
            <w:pPr>
              <w:wordWrap w:val="0"/>
              <w:topLinePunct/>
              <w:spacing w:line="360" w:lineRule="auto"/>
              <w:jc w:val="center"/>
              <w:rPr>
                <w:rFonts w:ascii="宋体" w:hAnsi="宋体" w:eastAsia="宋体" w:cs="宋体"/>
                <w:sz w:val="21"/>
                <w:szCs w:val="21"/>
                <w:highlight w:val="none"/>
              </w:rPr>
            </w:pPr>
          </w:p>
        </w:tc>
        <w:tc>
          <w:tcPr>
            <w:tcW w:w="770" w:type="dxa"/>
            <w:vAlign w:val="center"/>
          </w:tcPr>
          <w:p w14:paraId="5D2B2A04">
            <w:pPr>
              <w:wordWrap w:val="0"/>
              <w:topLinePunct/>
              <w:spacing w:line="360" w:lineRule="auto"/>
              <w:jc w:val="center"/>
              <w:rPr>
                <w:rFonts w:ascii="宋体" w:hAnsi="宋体" w:eastAsia="宋体" w:cs="宋体"/>
                <w:sz w:val="21"/>
                <w:szCs w:val="21"/>
                <w:highlight w:val="none"/>
              </w:rPr>
            </w:pPr>
          </w:p>
        </w:tc>
        <w:tc>
          <w:tcPr>
            <w:tcW w:w="1743" w:type="dxa"/>
            <w:vAlign w:val="center"/>
          </w:tcPr>
          <w:p w14:paraId="11DC9BF8">
            <w:pPr>
              <w:wordWrap w:val="0"/>
              <w:topLinePunct/>
              <w:spacing w:line="360" w:lineRule="auto"/>
              <w:jc w:val="center"/>
              <w:rPr>
                <w:rFonts w:ascii="宋体" w:hAnsi="宋体" w:eastAsia="宋体" w:cs="宋体"/>
                <w:sz w:val="21"/>
                <w:szCs w:val="21"/>
                <w:highlight w:val="none"/>
              </w:rPr>
            </w:pPr>
          </w:p>
        </w:tc>
        <w:tc>
          <w:tcPr>
            <w:tcW w:w="1134" w:type="dxa"/>
            <w:vAlign w:val="center"/>
          </w:tcPr>
          <w:p w14:paraId="27E5B8B3">
            <w:pPr>
              <w:wordWrap w:val="0"/>
              <w:topLinePunct/>
              <w:spacing w:line="360" w:lineRule="auto"/>
              <w:jc w:val="center"/>
              <w:rPr>
                <w:rFonts w:ascii="宋体" w:hAnsi="宋体" w:eastAsia="宋体" w:cs="宋体"/>
                <w:sz w:val="21"/>
                <w:szCs w:val="21"/>
                <w:highlight w:val="none"/>
              </w:rPr>
            </w:pPr>
          </w:p>
        </w:tc>
        <w:tc>
          <w:tcPr>
            <w:tcW w:w="993" w:type="dxa"/>
            <w:vAlign w:val="center"/>
          </w:tcPr>
          <w:p w14:paraId="62692BD1">
            <w:pPr>
              <w:wordWrap w:val="0"/>
              <w:topLinePunct/>
              <w:spacing w:line="360" w:lineRule="auto"/>
              <w:jc w:val="center"/>
              <w:rPr>
                <w:rFonts w:ascii="宋体" w:hAnsi="宋体" w:eastAsia="宋体" w:cs="宋体"/>
                <w:sz w:val="21"/>
                <w:szCs w:val="21"/>
                <w:highlight w:val="none"/>
              </w:rPr>
            </w:pPr>
          </w:p>
        </w:tc>
        <w:tc>
          <w:tcPr>
            <w:tcW w:w="850" w:type="dxa"/>
            <w:vAlign w:val="center"/>
          </w:tcPr>
          <w:p w14:paraId="6302012B">
            <w:pPr>
              <w:wordWrap w:val="0"/>
              <w:topLinePunct/>
              <w:spacing w:line="360" w:lineRule="auto"/>
              <w:jc w:val="center"/>
              <w:rPr>
                <w:rFonts w:ascii="宋体" w:hAnsi="宋体" w:eastAsia="宋体" w:cs="宋体"/>
                <w:sz w:val="21"/>
                <w:szCs w:val="21"/>
                <w:highlight w:val="none"/>
              </w:rPr>
            </w:pPr>
          </w:p>
        </w:tc>
        <w:tc>
          <w:tcPr>
            <w:tcW w:w="1440" w:type="dxa"/>
            <w:vAlign w:val="center"/>
          </w:tcPr>
          <w:p w14:paraId="30051D8D">
            <w:pPr>
              <w:wordWrap w:val="0"/>
              <w:topLinePunct/>
              <w:spacing w:line="360" w:lineRule="auto"/>
              <w:jc w:val="center"/>
              <w:rPr>
                <w:rFonts w:ascii="宋体" w:hAnsi="宋体" w:eastAsia="宋体" w:cs="宋体"/>
                <w:sz w:val="21"/>
                <w:szCs w:val="21"/>
                <w:highlight w:val="none"/>
              </w:rPr>
            </w:pPr>
          </w:p>
        </w:tc>
        <w:tc>
          <w:tcPr>
            <w:tcW w:w="769" w:type="dxa"/>
            <w:vAlign w:val="center"/>
          </w:tcPr>
          <w:p w14:paraId="460D9AAF">
            <w:pPr>
              <w:wordWrap w:val="0"/>
              <w:topLinePunct/>
              <w:spacing w:line="360" w:lineRule="auto"/>
              <w:jc w:val="center"/>
              <w:rPr>
                <w:rFonts w:ascii="宋体" w:hAnsi="宋体" w:eastAsia="宋体" w:cs="宋体"/>
                <w:sz w:val="21"/>
                <w:szCs w:val="21"/>
                <w:highlight w:val="none"/>
              </w:rPr>
            </w:pPr>
          </w:p>
        </w:tc>
      </w:tr>
    </w:tbl>
    <w:p w14:paraId="62F8FD17">
      <w:pPr>
        <w:spacing w:line="500" w:lineRule="exact"/>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注：后附</w:t>
      </w:r>
      <w:r>
        <w:rPr>
          <w:rFonts w:hint="eastAsia" w:ascii="宋体" w:hAnsi="宋体" w:eastAsia="宋体" w:cs="宋体"/>
          <w:b/>
          <w:bCs/>
          <w:sz w:val="24"/>
          <w:szCs w:val="24"/>
          <w:highlight w:val="none"/>
          <w:lang w:eastAsia="zh-CN"/>
        </w:rPr>
        <w:t>人员</w:t>
      </w:r>
      <w:r>
        <w:rPr>
          <w:rFonts w:hint="eastAsia" w:ascii="宋体" w:hAnsi="宋体" w:eastAsia="宋体" w:cs="宋体"/>
          <w:b/>
          <w:bCs/>
          <w:sz w:val="24"/>
          <w:szCs w:val="24"/>
          <w:highlight w:val="none"/>
        </w:rPr>
        <w:t>的相关证件等。</w:t>
      </w:r>
    </w:p>
    <w:p w14:paraId="78DFA4B0">
      <w:pPr>
        <w:spacing w:line="500" w:lineRule="exact"/>
        <w:jc w:val="both"/>
        <w:textAlignment w:val="baseline"/>
        <w:rPr>
          <w:rFonts w:hint="eastAsia" w:ascii="宋体" w:hAnsi="宋体" w:eastAsia="宋体" w:cs="宋体"/>
          <w:sz w:val="24"/>
          <w:szCs w:val="24"/>
          <w:highlight w:val="none"/>
        </w:rPr>
      </w:pPr>
    </w:p>
    <w:p w14:paraId="3EE4533D">
      <w:pPr>
        <w:spacing w:line="500" w:lineRule="exact"/>
        <w:jc w:val="both"/>
        <w:textAlignment w:val="baseline"/>
        <w:rPr>
          <w:rFonts w:hint="eastAsia" w:ascii="宋体" w:hAnsi="宋体" w:eastAsia="宋体" w:cs="宋体"/>
          <w:sz w:val="24"/>
          <w:szCs w:val="24"/>
          <w:highlight w:val="none"/>
        </w:rPr>
      </w:pPr>
    </w:p>
    <w:p w14:paraId="177352C5">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供应商：</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（盖单位公章）</w:t>
      </w:r>
    </w:p>
    <w:p w14:paraId="17C5BDFA">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法定代表人或其委托代理人：</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（签字或盖章）</w:t>
      </w:r>
    </w:p>
    <w:p w14:paraId="30AD28CE">
      <w:pPr>
        <w:spacing w:line="360" w:lineRule="auto"/>
        <w:jc w:val="righ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年</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月</w:t>
      </w:r>
      <w:r>
        <w:rPr>
          <w:rFonts w:hint="eastAsia" w:ascii="宋体" w:hAnsi="宋体" w:eastAsia="宋体" w:cs="宋体"/>
          <w:color w:val="auto"/>
          <w:sz w:val="22"/>
          <w:szCs w:val="24"/>
          <w:highlight w:val="none"/>
          <w:u w:val="single"/>
        </w:rPr>
        <w:t xml:space="preserve">        </w:t>
      </w:r>
      <w:r>
        <w:rPr>
          <w:rFonts w:hint="eastAsia" w:ascii="宋体" w:hAnsi="宋体" w:eastAsia="宋体" w:cs="宋体"/>
          <w:color w:val="auto"/>
          <w:sz w:val="22"/>
          <w:szCs w:val="24"/>
          <w:highlight w:val="none"/>
        </w:rPr>
        <w:t>日</w:t>
      </w:r>
    </w:p>
    <w:p w14:paraId="4B8A2220">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140E284">
      <w:pPr>
        <w:spacing w:line="500" w:lineRule="exact"/>
        <w:jc w:val="center"/>
        <w:textAlignment w:val="baseline"/>
        <w:outlineLvl w:val="1"/>
        <w:rPr>
          <w:rFonts w:hint="default" w:ascii="宋体" w:hAnsi="宋体" w:eastAsia="宋体" w:cs="宋体"/>
          <w:b/>
          <w:bCs/>
          <w:sz w:val="28"/>
          <w:szCs w:val="28"/>
          <w:highlight w:val="none"/>
          <w:lang w:val="en-US" w:eastAsia="zh-CN"/>
        </w:rPr>
      </w:pPr>
      <w:bookmarkStart w:id="834" w:name="_Toc14878"/>
      <w:bookmarkStart w:id="835" w:name="_Toc17129"/>
      <w:r>
        <w:rPr>
          <w:rFonts w:hint="eastAsia" w:ascii="宋体" w:hAnsi="宋体" w:eastAsia="宋体" w:cs="宋体"/>
          <w:b/>
          <w:bCs/>
          <w:sz w:val="28"/>
          <w:szCs w:val="28"/>
          <w:highlight w:val="none"/>
          <w:lang w:val="en-US" w:eastAsia="zh-CN"/>
        </w:rPr>
        <w:t>七、</w:t>
      </w:r>
      <w:bookmarkEnd w:id="834"/>
      <w:r>
        <w:rPr>
          <w:rFonts w:hint="eastAsia" w:ascii="宋体" w:hAnsi="宋体" w:eastAsia="宋体" w:cs="宋体"/>
          <w:b/>
          <w:bCs/>
          <w:sz w:val="28"/>
          <w:szCs w:val="28"/>
          <w:highlight w:val="none"/>
          <w:lang w:val="en-US" w:eastAsia="zh-CN"/>
        </w:rPr>
        <w:t>尽职尽责承诺</w:t>
      </w:r>
      <w:bookmarkEnd w:id="835"/>
    </w:p>
    <w:p w14:paraId="19F7AE8C">
      <w:pPr>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br w:type="page"/>
      </w:r>
    </w:p>
    <w:p w14:paraId="3A457A5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1"/>
        <w:rPr>
          <w:rFonts w:hint="eastAsia" w:ascii="宋体" w:hAnsi="宋体" w:eastAsia="宋体" w:cs="宋体"/>
          <w:sz w:val="28"/>
          <w:szCs w:val="28"/>
          <w:highlight w:val="none"/>
        </w:rPr>
      </w:pPr>
      <w:bookmarkStart w:id="836" w:name="_Toc11265"/>
      <w:bookmarkStart w:id="837" w:name="_Toc11315"/>
      <w:bookmarkStart w:id="838" w:name="_Toc31356"/>
      <w:bookmarkStart w:id="839" w:name="_Toc18419"/>
      <w:bookmarkStart w:id="840" w:name="_Toc23088"/>
      <w:r>
        <w:rPr>
          <w:rFonts w:hint="eastAsia" w:ascii="宋体" w:hAnsi="宋体" w:eastAsia="宋体" w:cs="宋体"/>
          <w:b/>
          <w:bCs/>
          <w:sz w:val="28"/>
          <w:szCs w:val="28"/>
          <w:highlight w:val="none"/>
          <w:lang w:eastAsia="zh-CN"/>
        </w:rPr>
        <w:t>八</w:t>
      </w:r>
      <w:r>
        <w:rPr>
          <w:rFonts w:hint="eastAsia" w:ascii="宋体" w:hAnsi="宋体" w:eastAsia="宋体" w:cs="宋体"/>
          <w:b/>
          <w:bCs/>
          <w:sz w:val="28"/>
          <w:szCs w:val="28"/>
          <w:highlight w:val="none"/>
        </w:rPr>
        <w:t>、供应商认为需要提供的其他材料</w:t>
      </w:r>
      <w:bookmarkEnd w:id="836"/>
      <w:bookmarkEnd w:id="837"/>
      <w:bookmarkEnd w:id="838"/>
      <w:bookmarkEnd w:id="839"/>
      <w:bookmarkEnd w:id="840"/>
    </w:p>
    <w:p w14:paraId="5C3C8366">
      <w:pPr>
        <w:spacing w:line="500" w:lineRule="exact"/>
        <w:jc w:val="center"/>
        <w:textAlignment w:val="baseline"/>
        <w:rPr>
          <w:rFonts w:hint="eastAsia" w:ascii="宋体" w:hAnsi="宋体" w:eastAsia="宋体" w:cs="宋体"/>
          <w:b/>
          <w:bCs/>
          <w:sz w:val="28"/>
          <w:szCs w:val="28"/>
          <w:highlight w:val="none"/>
          <w:lang w:val="en-US" w:eastAsia="zh-CN"/>
        </w:rPr>
      </w:pPr>
    </w:p>
    <w:p w14:paraId="69B81865">
      <w:pPr>
        <w:spacing w:line="500" w:lineRule="exact"/>
        <w:jc w:val="both"/>
        <w:textAlignment w:val="baseline"/>
        <w:rPr>
          <w:rFonts w:hint="eastAsia" w:ascii="宋体" w:hAnsi="宋体" w:eastAsia="宋体" w:cs="宋体"/>
          <w:sz w:val="24"/>
          <w:szCs w:val="24"/>
          <w:highlight w:val="none"/>
          <w:lang w:val="en-US" w:eastAsia="zh-CN"/>
        </w:rPr>
      </w:pPr>
    </w:p>
    <w:sectPr>
      <w:headerReference r:id="rId4" w:type="default"/>
      <w:footerReference r:id="rId5" w:type="default"/>
      <w:pgSz w:w="11906" w:h="16838"/>
      <w:pgMar w:top="1134" w:right="1134" w:bottom="1134" w:left="1134" w:header="624" w:footer="624" w:gutter="0"/>
      <w:pgBorders>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宋三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E8F28">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CCF82">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7CCF82">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B5D5">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A6BD8">
    <w:pPr>
      <w:pStyle w:val="18"/>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47A"/>
    <w:rsid w:val="000102B9"/>
    <w:rsid w:val="00035650"/>
    <w:rsid w:val="000440B0"/>
    <w:rsid w:val="000473DE"/>
    <w:rsid w:val="000B66A1"/>
    <w:rsid w:val="000F6A7B"/>
    <w:rsid w:val="001C33EF"/>
    <w:rsid w:val="001F5BCE"/>
    <w:rsid w:val="00247C81"/>
    <w:rsid w:val="00252A38"/>
    <w:rsid w:val="00296D7F"/>
    <w:rsid w:val="002A3807"/>
    <w:rsid w:val="003229C4"/>
    <w:rsid w:val="00322BFD"/>
    <w:rsid w:val="0038251D"/>
    <w:rsid w:val="003A7B19"/>
    <w:rsid w:val="003B008F"/>
    <w:rsid w:val="003F1468"/>
    <w:rsid w:val="0040782B"/>
    <w:rsid w:val="004416B1"/>
    <w:rsid w:val="00442747"/>
    <w:rsid w:val="00470F58"/>
    <w:rsid w:val="004D4DDE"/>
    <w:rsid w:val="005053FA"/>
    <w:rsid w:val="00517EB7"/>
    <w:rsid w:val="00553397"/>
    <w:rsid w:val="005539F7"/>
    <w:rsid w:val="006151B1"/>
    <w:rsid w:val="006354A0"/>
    <w:rsid w:val="006A52AD"/>
    <w:rsid w:val="007223E5"/>
    <w:rsid w:val="00734857"/>
    <w:rsid w:val="0075235B"/>
    <w:rsid w:val="00757EF2"/>
    <w:rsid w:val="00785EFF"/>
    <w:rsid w:val="007A247A"/>
    <w:rsid w:val="007B1B82"/>
    <w:rsid w:val="007F5500"/>
    <w:rsid w:val="007F5BBA"/>
    <w:rsid w:val="0086095A"/>
    <w:rsid w:val="00874408"/>
    <w:rsid w:val="008C7986"/>
    <w:rsid w:val="008D0157"/>
    <w:rsid w:val="008D0D8F"/>
    <w:rsid w:val="008E251F"/>
    <w:rsid w:val="0098320C"/>
    <w:rsid w:val="009D4EE8"/>
    <w:rsid w:val="009D7537"/>
    <w:rsid w:val="00A146AD"/>
    <w:rsid w:val="00A35C74"/>
    <w:rsid w:val="00A53D3F"/>
    <w:rsid w:val="00AC4241"/>
    <w:rsid w:val="00B02855"/>
    <w:rsid w:val="00C04042"/>
    <w:rsid w:val="00C43852"/>
    <w:rsid w:val="00C5127C"/>
    <w:rsid w:val="00C612BE"/>
    <w:rsid w:val="00C6478D"/>
    <w:rsid w:val="00C95787"/>
    <w:rsid w:val="00CD11BC"/>
    <w:rsid w:val="00DD6045"/>
    <w:rsid w:val="00E03692"/>
    <w:rsid w:val="00E27A26"/>
    <w:rsid w:val="00ED0267"/>
    <w:rsid w:val="00EF39F8"/>
    <w:rsid w:val="00F32672"/>
    <w:rsid w:val="00F74B7E"/>
    <w:rsid w:val="00F92AC6"/>
    <w:rsid w:val="00F96E99"/>
    <w:rsid w:val="00FA1F8B"/>
    <w:rsid w:val="00FC6B0D"/>
    <w:rsid w:val="012230BE"/>
    <w:rsid w:val="01E613BA"/>
    <w:rsid w:val="01F33470"/>
    <w:rsid w:val="025F67DF"/>
    <w:rsid w:val="0283628C"/>
    <w:rsid w:val="03FA6D38"/>
    <w:rsid w:val="04096F7B"/>
    <w:rsid w:val="052A4E0E"/>
    <w:rsid w:val="05CA2B6A"/>
    <w:rsid w:val="06140929"/>
    <w:rsid w:val="064B10C4"/>
    <w:rsid w:val="06FF01C2"/>
    <w:rsid w:val="071316CD"/>
    <w:rsid w:val="07147ED2"/>
    <w:rsid w:val="07833FB5"/>
    <w:rsid w:val="07AC02C4"/>
    <w:rsid w:val="08805962"/>
    <w:rsid w:val="09E44990"/>
    <w:rsid w:val="0A5847B8"/>
    <w:rsid w:val="0A596946"/>
    <w:rsid w:val="0A842987"/>
    <w:rsid w:val="0B664C2C"/>
    <w:rsid w:val="0BDB7A71"/>
    <w:rsid w:val="0C204B59"/>
    <w:rsid w:val="0D334735"/>
    <w:rsid w:val="117E55AC"/>
    <w:rsid w:val="12142E8C"/>
    <w:rsid w:val="123A69E4"/>
    <w:rsid w:val="125D40A5"/>
    <w:rsid w:val="126E4429"/>
    <w:rsid w:val="12704669"/>
    <w:rsid w:val="12EE0B30"/>
    <w:rsid w:val="146A3825"/>
    <w:rsid w:val="14DC602B"/>
    <w:rsid w:val="14EC5133"/>
    <w:rsid w:val="151A376B"/>
    <w:rsid w:val="15406D9A"/>
    <w:rsid w:val="15720DD5"/>
    <w:rsid w:val="15B4158E"/>
    <w:rsid w:val="1625599C"/>
    <w:rsid w:val="175D5FCB"/>
    <w:rsid w:val="176E25AE"/>
    <w:rsid w:val="17822E75"/>
    <w:rsid w:val="17B071A6"/>
    <w:rsid w:val="189072B2"/>
    <w:rsid w:val="19C42E7B"/>
    <w:rsid w:val="1A4C1518"/>
    <w:rsid w:val="1B220FFD"/>
    <w:rsid w:val="1B291859"/>
    <w:rsid w:val="1C5332F9"/>
    <w:rsid w:val="1DF26592"/>
    <w:rsid w:val="1F0E4473"/>
    <w:rsid w:val="1F6133EF"/>
    <w:rsid w:val="204579DE"/>
    <w:rsid w:val="20833D38"/>
    <w:rsid w:val="209A5D7B"/>
    <w:rsid w:val="21910110"/>
    <w:rsid w:val="21DC0E54"/>
    <w:rsid w:val="22392C2F"/>
    <w:rsid w:val="224D0523"/>
    <w:rsid w:val="22667D01"/>
    <w:rsid w:val="232E1278"/>
    <w:rsid w:val="246150EE"/>
    <w:rsid w:val="25C76EDC"/>
    <w:rsid w:val="27AA33F7"/>
    <w:rsid w:val="280418FC"/>
    <w:rsid w:val="28811F5F"/>
    <w:rsid w:val="298516EC"/>
    <w:rsid w:val="2AA36F32"/>
    <w:rsid w:val="2AFA01E2"/>
    <w:rsid w:val="2B0D6FF4"/>
    <w:rsid w:val="2B586584"/>
    <w:rsid w:val="2BE27299"/>
    <w:rsid w:val="2C805AD0"/>
    <w:rsid w:val="2D035A3B"/>
    <w:rsid w:val="2D1A7254"/>
    <w:rsid w:val="2D485B6F"/>
    <w:rsid w:val="2DDC1B84"/>
    <w:rsid w:val="2E7530B4"/>
    <w:rsid w:val="2E93075B"/>
    <w:rsid w:val="2EC102CF"/>
    <w:rsid w:val="302D2A86"/>
    <w:rsid w:val="304A6357"/>
    <w:rsid w:val="3109278D"/>
    <w:rsid w:val="319A29D9"/>
    <w:rsid w:val="31D10829"/>
    <w:rsid w:val="31DC1541"/>
    <w:rsid w:val="31E607C9"/>
    <w:rsid w:val="32690A61"/>
    <w:rsid w:val="33244C20"/>
    <w:rsid w:val="33513AB1"/>
    <w:rsid w:val="33D26ADA"/>
    <w:rsid w:val="34404A13"/>
    <w:rsid w:val="34D04DC8"/>
    <w:rsid w:val="35527395"/>
    <w:rsid w:val="35EC27F5"/>
    <w:rsid w:val="37152110"/>
    <w:rsid w:val="37DD4E41"/>
    <w:rsid w:val="383A3C70"/>
    <w:rsid w:val="38DE55D9"/>
    <w:rsid w:val="39C92027"/>
    <w:rsid w:val="3A9B3B54"/>
    <w:rsid w:val="3BB36270"/>
    <w:rsid w:val="3BDD2BB0"/>
    <w:rsid w:val="3C7D7AB1"/>
    <w:rsid w:val="3C882A13"/>
    <w:rsid w:val="3D096265"/>
    <w:rsid w:val="3D766A74"/>
    <w:rsid w:val="3D842C27"/>
    <w:rsid w:val="3E24580B"/>
    <w:rsid w:val="3EF257FE"/>
    <w:rsid w:val="3FE95549"/>
    <w:rsid w:val="403C285B"/>
    <w:rsid w:val="406E6622"/>
    <w:rsid w:val="40736BD5"/>
    <w:rsid w:val="414A7633"/>
    <w:rsid w:val="42BD2703"/>
    <w:rsid w:val="42D250AB"/>
    <w:rsid w:val="454D5692"/>
    <w:rsid w:val="474D22A8"/>
    <w:rsid w:val="47706BA1"/>
    <w:rsid w:val="48370A6D"/>
    <w:rsid w:val="484608AF"/>
    <w:rsid w:val="487326A2"/>
    <w:rsid w:val="48852288"/>
    <w:rsid w:val="491A0CE9"/>
    <w:rsid w:val="497A3FDE"/>
    <w:rsid w:val="4A5B5A50"/>
    <w:rsid w:val="4AB7219D"/>
    <w:rsid w:val="4B5C6788"/>
    <w:rsid w:val="4C037198"/>
    <w:rsid w:val="4C64190C"/>
    <w:rsid w:val="4DE67456"/>
    <w:rsid w:val="4F513583"/>
    <w:rsid w:val="509C372F"/>
    <w:rsid w:val="52ED1657"/>
    <w:rsid w:val="530938DD"/>
    <w:rsid w:val="53134CF9"/>
    <w:rsid w:val="55EA1C7F"/>
    <w:rsid w:val="57393BAF"/>
    <w:rsid w:val="57723665"/>
    <w:rsid w:val="58216C5D"/>
    <w:rsid w:val="587F47D8"/>
    <w:rsid w:val="58BD36A1"/>
    <w:rsid w:val="58CB5D3A"/>
    <w:rsid w:val="59EA23CD"/>
    <w:rsid w:val="5A171837"/>
    <w:rsid w:val="5A6052B9"/>
    <w:rsid w:val="5A952819"/>
    <w:rsid w:val="5ACE004F"/>
    <w:rsid w:val="5B715131"/>
    <w:rsid w:val="5CFF599B"/>
    <w:rsid w:val="5D4C069A"/>
    <w:rsid w:val="5DBC203C"/>
    <w:rsid w:val="5DD13BCE"/>
    <w:rsid w:val="609D1752"/>
    <w:rsid w:val="60C019E7"/>
    <w:rsid w:val="612D4112"/>
    <w:rsid w:val="619A3889"/>
    <w:rsid w:val="61D75541"/>
    <w:rsid w:val="6261457D"/>
    <w:rsid w:val="63E45722"/>
    <w:rsid w:val="63EA2188"/>
    <w:rsid w:val="63EA73A4"/>
    <w:rsid w:val="63EB4ECB"/>
    <w:rsid w:val="641644E4"/>
    <w:rsid w:val="641D2301"/>
    <w:rsid w:val="64322AF9"/>
    <w:rsid w:val="64CC6FCB"/>
    <w:rsid w:val="651617A9"/>
    <w:rsid w:val="654059BD"/>
    <w:rsid w:val="65596B33"/>
    <w:rsid w:val="658257D4"/>
    <w:rsid w:val="659568E2"/>
    <w:rsid w:val="659A0424"/>
    <w:rsid w:val="66016BFF"/>
    <w:rsid w:val="66A56C29"/>
    <w:rsid w:val="6754286C"/>
    <w:rsid w:val="676E51EB"/>
    <w:rsid w:val="681317B4"/>
    <w:rsid w:val="68677BDB"/>
    <w:rsid w:val="69A01DB1"/>
    <w:rsid w:val="6B807A23"/>
    <w:rsid w:val="6C13061A"/>
    <w:rsid w:val="6C9B7BBF"/>
    <w:rsid w:val="6CD10672"/>
    <w:rsid w:val="6D60254C"/>
    <w:rsid w:val="6E201084"/>
    <w:rsid w:val="6EC60A1C"/>
    <w:rsid w:val="6F965193"/>
    <w:rsid w:val="71804EA4"/>
    <w:rsid w:val="71B45E62"/>
    <w:rsid w:val="71B52674"/>
    <w:rsid w:val="72BA1B65"/>
    <w:rsid w:val="73C4115F"/>
    <w:rsid w:val="743B1556"/>
    <w:rsid w:val="743D1C12"/>
    <w:rsid w:val="74C652C4"/>
    <w:rsid w:val="759A553D"/>
    <w:rsid w:val="75CF51DB"/>
    <w:rsid w:val="75FE372E"/>
    <w:rsid w:val="76304D26"/>
    <w:rsid w:val="77346278"/>
    <w:rsid w:val="77E9031F"/>
    <w:rsid w:val="77F81D84"/>
    <w:rsid w:val="77F863FA"/>
    <w:rsid w:val="78067D87"/>
    <w:rsid w:val="789D13DC"/>
    <w:rsid w:val="789F5B3C"/>
    <w:rsid w:val="78EC21AC"/>
    <w:rsid w:val="79113402"/>
    <w:rsid w:val="79D72BD1"/>
    <w:rsid w:val="7A8F1B57"/>
    <w:rsid w:val="7ACD316B"/>
    <w:rsid w:val="7B290443"/>
    <w:rsid w:val="7B521B9E"/>
    <w:rsid w:val="7D134C35"/>
    <w:rsid w:val="7D807A53"/>
    <w:rsid w:val="7E9142D6"/>
    <w:rsid w:val="7EEA5542"/>
    <w:rsid w:val="7F03412C"/>
    <w:rsid w:val="7F9F5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49"/>
    <w:qFormat/>
    <w:uiPriority w:val="0"/>
    <w:pPr>
      <w:keepNext/>
      <w:keepLines/>
      <w:spacing w:before="340" w:after="330" w:line="576" w:lineRule="auto"/>
      <w:outlineLvl w:val="0"/>
    </w:pPr>
    <w:rPr>
      <w:rFonts w:ascii="Calibri" w:hAnsi="Calibri" w:eastAsia="宋体" w:cs="Times New Roman"/>
      <w:b/>
      <w:bCs/>
      <w:kern w:val="44"/>
      <w:sz w:val="44"/>
      <w:szCs w:val="44"/>
    </w:rPr>
  </w:style>
  <w:style w:type="paragraph" w:styleId="5">
    <w:name w:val="heading 2"/>
    <w:basedOn w:val="1"/>
    <w:next w:val="1"/>
    <w:link w:val="46"/>
    <w:qFormat/>
    <w:uiPriority w:val="9"/>
    <w:pPr>
      <w:keepNext/>
      <w:keepLines/>
      <w:spacing w:before="160" w:after="160" w:line="240" w:lineRule="atLeast"/>
      <w:ind w:left="851" w:hanging="284"/>
      <w:textAlignment w:val="baseline"/>
      <w:outlineLvl w:val="1"/>
    </w:pPr>
    <w:rPr>
      <w:rFonts w:ascii="黑体" w:hAnsi="Arial" w:eastAsia="黑体" w:cs="Times New Roman"/>
      <w:kern w:val="0"/>
      <w:sz w:val="28"/>
      <w:szCs w:val="28"/>
    </w:rPr>
  </w:style>
  <w:style w:type="paragraph" w:styleId="6">
    <w:name w:val="heading 3"/>
    <w:basedOn w:val="1"/>
    <w:next w:val="1"/>
    <w:link w:val="47"/>
    <w:qFormat/>
    <w:uiPriority w:val="9"/>
    <w:pPr>
      <w:keepNext/>
      <w:keepLines/>
      <w:spacing w:before="260" w:after="260" w:line="415" w:lineRule="auto"/>
      <w:outlineLvl w:val="2"/>
    </w:pPr>
    <w:rPr>
      <w:rFonts w:ascii="Calibri" w:hAnsi="Calibri" w:eastAsia="宋体" w:cs="Times New Roman"/>
      <w:b/>
      <w:bCs/>
      <w:kern w:val="0"/>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50"/>
    <w:unhideWhenUsed/>
    <w:qFormat/>
    <w:uiPriority w:val="99"/>
    <w:pPr>
      <w:spacing w:after="120"/>
    </w:pPr>
    <w:rPr>
      <w:rFonts w:ascii="Calibri" w:hAnsi="Calibri" w:eastAsia="宋体" w:cs="Times New Roman"/>
      <w:kern w:val="0"/>
      <w:sz w:val="20"/>
      <w:szCs w:val="21"/>
    </w:rPr>
  </w:style>
  <w:style w:type="paragraph" w:styleId="3">
    <w:name w:val="Body Text 2"/>
    <w:basedOn w:val="1"/>
    <w:qFormat/>
    <w:uiPriority w:val="0"/>
    <w:pPr>
      <w:widowControl/>
      <w:spacing w:before="100" w:beforeAutospacing="1" w:after="100" w:afterAutospacing="1"/>
      <w:jc w:val="left"/>
    </w:pPr>
    <w:rPr>
      <w:rFonts w:ascii="宋体" w:hAnsi="宋体"/>
      <w:kern w:val="0"/>
      <w:sz w:val="24"/>
      <w:szCs w:val="24"/>
    </w:rPr>
  </w:style>
  <w:style w:type="paragraph" w:styleId="7">
    <w:name w:val="Normal Indent"/>
    <w:basedOn w:val="1"/>
    <w:unhideWhenUsed/>
    <w:qFormat/>
    <w:uiPriority w:val="99"/>
    <w:pPr>
      <w:ind w:firstLine="420"/>
    </w:pPr>
    <w:rPr>
      <w:rFonts w:ascii="Times New Roman" w:hAnsi="Times New Roman" w:eastAsia="宋体" w:cs="Times New Roman"/>
      <w:sz w:val="28"/>
      <w:szCs w:val="28"/>
    </w:rPr>
  </w:style>
  <w:style w:type="paragraph" w:styleId="8">
    <w:name w:val="toa heading"/>
    <w:basedOn w:val="1"/>
    <w:next w:val="1"/>
    <w:qFormat/>
    <w:uiPriority w:val="0"/>
    <w:pPr>
      <w:spacing w:before="120"/>
    </w:pPr>
    <w:rPr>
      <w:rFonts w:ascii="Arial" w:hAnsi="Arial" w:eastAsia="宋体" w:cs="Times New Roman"/>
      <w:b/>
      <w:bCs/>
      <w:szCs w:val="24"/>
    </w:rPr>
  </w:style>
  <w:style w:type="paragraph" w:styleId="9">
    <w:name w:val="annotation text"/>
    <w:basedOn w:val="1"/>
    <w:link w:val="106"/>
    <w:semiHidden/>
    <w:unhideWhenUsed/>
    <w:qFormat/>
    <w:uiPriority w:val="99"/>
    <w:pPr>
      <w:jc w:val="left"/>
    </w:pPr>
  </w:style>
  <w:style w:type="paragraph" w:styleId="10">
    <w:name w:val="Body Text Indent"/>
    <w:basedOn w:val="1"/>
    <w:next w:val="11"/>
    <w:link w:val="52"/>
    <w:unhideWhenUsed/>
    <w:qFormat/>
    <w:uiPriority w:val="99"/>
    <w:pPr>
      <w:spacing w:after="120"/>
      <w:ind w:left="420" w:leftChars="200"/>
    </w:pPr>
    <w:rPr>
      <w:rFonts w:ascii="Calibri" w:hAnsi="Calibri" w:eastAsia="宋体" w:cs="Times New Roman"/>
      <w:kern w:val="0"/>
      <w:sz w:val="20"/>
      <w:szCs w:val="21"/>
    </w:rPr>
  </w:style>
  <w:style w:type="paragraph" w:customStyle="1" w:styleId="11">
    <w:name w:val="Default"/>
    <w:next w:val="1"/>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styleId="12">
    <w:name w:val="Block Text"/>
    <w:basedOn w:val="1"/>
    <w:unhideWhenUsed/>
    <w:qFormat/>
    <w:uiPriority w:val="0"/>
    <w:pPr>
      <w:spacing w:after="120"/>
      <w:ind w:left="1440" w:leftChars="700" w:right="1440" w:rightChars="700"/>
    </w:pPr>
    <w:rPr>
      <w:rFonts w:ascii="Times New Roman" w:hAnsi="Times New Roman" w:eastAsia="宋体" w:cs="Times New Roman"/>
      <w:szCs w:val="21"/>
    </w:rPr>
  </w:style>
  <w:style w:type="paragraph" w:styleId="13">
    <w:name w:val="Plain Text"/>
    <w:basedOn w:val="1"/>
    <w:link w:val="53"/>
    <w:semiHidden/>
    <w:qFormat/>
    <w:uiPriority w:val="0"/>
    <w:rPr>
      <w:rFonts w:ascii="宋体" w:hAnsi="Courier New" w:eastAsia="华文宋体" w:cs="Times New Roman"/>
      <w:kern w:val="0"/>
      <w:sz w:val="28"/>
      <w:szCs w:val="28"/>
    </w:rPr>
  </w:style>
  <w:style w:type="paragraph" w:styleId="14">
    <w:name w:val="Date"/>
    <w:basedOn w:val="1"/>
    <w:next w:val="1"/>
    <w:link w:val="54"/>
    <w:unhideWhenUsed/>
    <w:qFormat/>
    <w:uiPriority w:val="99"/>
    <w:rPr>
      <w:rFonts w:ascii="宋体" w:hAnsi="宋体" w:eastAsia="宋体" w:cs="Times New Roman"/>
      <w:kern w:val="0"/>
      <w:sz w:val="32"/>
      <w:szCs w:val="32"/>
    </w:rPr>
  </w:style>
  <w:style w:type="paragraph" w:styleId="15">
    <w:name w:val="Body Text Indent 2"/>
    <w:basedOn w:val="1"/>
    <w:link w:val="55"/>
    <w:qFormat/>
    <w:uiPriority w:val="0"/>
    <w:pPr>
      <w:spacing w:line="360" w:lineRule="auto"/>
      <w:ind w:firstLine="420"/>
    </w:pPr>
    <w:rPr>
      <w:rFonts w:ascii="宋体" w:hAnsi="宋体" w:eastAsia="宋体" w:cs="宋体"/>
      <w:b/>
      <w:kern w:val="1"/>
      <w:sz w:val="24"/>
      <w:szCs w:val="21"/>
    </w:rPr>
  </w:style>
  <w:style w:type="paragraph" w:styleId="16">
    <w:name w:val="Balloon Text"/>
    <w:basedOn w:val="1"/>
    <w:link w:val="56"/>
    <w:qFormat/>
    <w:uiPriority w:val="99"/>
    <w:rPr>
      <w:rFonts w:ascii="Calibri" w:hAnsi="Calibri" w:eastAsia="宋体" w:cs="Times New Roman"/>
      <w:kern w:val="0"/>
      <w:sz w:val="18"/>
      <w:szCs w:val="18"/>
    </w:rPr>
  </w:style>
  <w:style w:type="paragraph" w:styleId="17">
    <w:name w:val="footer"/>
    <w:basedOn w:val="1"/>
    <w:link w:val="44"/>
    <w:unhideWhenUsed/>
    <w:qFormat/>
    <w:uiPriority w:val="0"/>
    <w:pPr>
      <w:tabs>
        <w:tab w:val="center" w:pos="4153"/>
        <w:tab w:val="right" w:pos="8306"/>
      </w:tabs>
      <w:snapToGrid w:val="0"/>
      <w:jc w:val="left"/>
    </w:pPr>
    <w:rPr>
      <w:sz w:val="18"/>
      <w:szCs w:val="18"/>
    </w:rPr>
  </w:style>
  <w:style w:type="paragraph" w:styleId="18">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rPr>
      <w:rFonts w:ascii="Times New Roman" w:hAnsi="Times New Roman" w:eastAsia="宋体" w:cs="Times New Roman"/>
      <w:szCs w:val="21"/>
    </w:rPr>
  </w:style>
  <w:style w:type="paragraph" w:styleId="20">
    <w:name w:val="List 5"/>
    <w:basedOn w:val="1"/>
    <w:qFormat/>
    <w:uiPriority w:val="0"/>
    <w:pPr>
      <w:ind w:left="2100" w:hanging="420"/>
    </w:pPr>
    <w:rPr>
      <w:rFonts w:eastAsia="楷体_GB2312"/>
      <w:sz w:val="32"/>
      <w:szCs w:val="20"/>
    </w:rPr>
  </w:style>
  <w:style w:type="paragraph" w:styleId="21">
    <w:name w:val="toc 2"/>
    <w:basedOn w:val="1"/>
    <w:next w:val="1"/>
    <w:unhideWhenUsed/>
    <w:qFormat/>
    <w:uiPriority w:val="39"/>
    <w:pPr>
      <w:ind w:left="420" w:leftChars="200"/>
    </w:pPr>
    <w:rPr>
      <w:rFonts w:ascii="Times New Roman" w:hAnsi="Times New Roman" w:eastAsia="宋体" w:cs="Times New Roman"/>
      <w:szCs w:val="21"/>
    </w:rPr>
  </w:style>
  <w:style w:type="paragraph" w:styleId="22">
    <w:name w:val="HTML Preformatted"/>
    <w:basedOn w:val="1"/>
    <w:next w:val="8"/>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Times New Roman" w:eastAsia="宋体" w:cs="宋体"/>
      <w:kern w:val="0"/>
      <w:sz w:val="24"/>
      <w:szCs w:val="24"/>
    </w:rPr>
  </w:style>
  <w:style w:type="paragraph" w:styleId="23">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24">
    <w:name w:val="annotation subject"/>
    <w:basedOn w:val="9"/>
    <w:next w:val="9"/>
    <w:link w:val="107"/>
    <w:semiHidden/>
    <w:unhideWhenUsed/>
    <w:qFormat/>
    <w:uiPriority w:val="99"/>
    <w:rPr>
      <w:b/>
      <w:bCs/>
    </w:rPr>
  </w:style>
  <w:style w:type="paragraph" w:styleId="25">
    <w:name w:val="Body Text First Indent"/>
    <w:basedOn w:val="1"/>
    <w:next w:val="26"/>
    <w:link w:val="60"/>
    <w:qFormat/>
    <w:uiPriority w:val="0"/>
    <w:pPr>
      <w:spacing w:line="360" w:lineRule="auto"/>
      <w:ind w:firstLine="420"/>
    </w:pPr>
    <w:rPr>
      <w:rFonts w:ascii="Calibri" w:hAnsi="Calibri" w:eastAsia="Arial Unicode MS" w:cs="Times New Roman"/>
      <w:color w:val="000000"/>
      <w:kern w:val="0"/>
      <w:sz w:val="28"/>
      <w:szCs w:val="28"/>
    </w:rPr>
  </w:style>
  <w:style w:type="paragraph" w:styleId="26">
    <w:name w:val="Body Text First Indent 2"/>
    <w:basedOn w:val="1"/>
    <w:link w:val="62"/>
    <w:semiHidden/>
    <w:qFormat/>
    <w:uiPriority w:val="0"/>
    <w:pPr>
      <w:spacing w:before="100" w:beforeAutospacing="1" w:after="120" w:line="360" w:lineRule="auto"/>
      <w:ind w:left="420" w:firstLine="420"/>
    </w:pPr>
    <w:rPr>
      <w:rFonts w:ascii="Calibri" w:hAnsi="Calibri" w:eastAsia="Arial Unicode MS" w:cs="Times New Roman"/>
      <w:color w:val="000000"/>
      <w:kern w:val="0"/>
      <w:sz w:val="20"/>
      <w:szCs w:val="21"/>
    </w:rPr>
  </w:style>
  <w:style w:type="table" w:styleId="28">
    <w:name w:val="Table Grid"/>
    <w:basedOn w:val="27"/>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FollowedHyperlink"/>
    <w:unhideWhenUsed/>
    <w:qFormat/>
    <w:uiPriority w:val="99"/>
    <w:rPr>
      <w:color w:val="800080"/>
      <w:u w:val="none"/>
    </w:rPr>
  </w:style>
  <w:style w:type="character" w:styleId="32">
    <w:name w:val="Emphasis"/>
    <w:qFormat/>
    <w:uiPriority w:val="20"/>
    <w:rPr>
      <w:b/>
      <w:bCs/>
    </w:rPr>
  </w:style>
  <w:style w:type="character" w:styleId="33">
    <w:name w:val="HTML Definition"/>
    <w:unhideWhenUsed/>
    <w:qFormat/>
    <w:uiPriority w:val="99"/>
  </w:style>
  <w:style w:type="character" w:styleId="34">
    <w:name w:val="HTML Typewriter"/>
    <w:unhideWhenUsed/>
    <w:qFormat/>
    <w:uiPriority w:val="99"/>
    <w:rPr>
      <w:rFonts w:hint="default" w:ascii="monospace" w:hAnsi="monospace" w:eastAsia="monospace" w:cs="monospace"/>
      <w:sz w:val="20"/>
    </w:rPr>
  </w:style>
  <w:style w:type="character" w:styleId="35">
    <w:name w:val="HTML Acronym"/>
    <w:basedOn w:val="29"/>
    <w:unhideWhenUsed/>
    <w:qFormat/>
    <w:uiPriority w:val="99"/>
  </w:style>
  <w:style w:type="character" w:styleId="36">
    <w:name w:val="HTML Variable"/>
    <w:unhideWhenUsed/>
    <w:qFormat/>
    <w:uiPriority w:val="99"/>
  </w:style>
  <w:style w:type="character" w:styleId="37">
    <w:name w:val="Hyperlink"/>
    <w:qFormat/>
    <w:uiPriority w:val="99"/>
    <w:rPr>
      <w:color w:val="0563C1"/>
      <w:u w:val="single"/>
    </w:rPr>
  </w:style>
  <w:style w:type="character" w:styleId="38">
    <w:name w:val="HTML Code"/>
    <w:unhideWhenUsed/>
    <w:qFormat/>
    <w:uiPriority w:val="99"/>
    <w:rPr>
      <w:rFonts w:ascii="monospace" w:hAnsi="monospace" w:eastAsia="monospace" w:cs="monospace"/>
      <w:sz w:val="20"/>
    </w:rPr>
  </w:style>
  <w:style w:type="character" w:styleId="39">
    <w:name w:val="annotation reference"/>
    <w:basedOn w:val="29"/>
    <w:semiHidden/>
    <w:unhideWhenUsed/>
    <w:qFormat/>
    <w:uiPriority w:val="99"/>
    <w:rPr>
      <w:sz w:val="21"/>
      <w:szCs w:val="21"/>
    </w:rPr>
  </w:style>
  <w:style w:type="character" w:styleId="40">
    <w:name w:val="HTML Cite"/>
    <w:unhideWhenUsed/>
    <w:qFormat/>
    <w:uiPriority w:val="99"/>
  </w:style>
  <w:style w:type="character" w:styleId="41">
    <w:name w:val="HTML Keyboard"/>
    <w:unhideWhenUsed/>
    <w:qFormat/>
    <w:uiPriority w:val="99"/>
    <w:rPr>
      <w:rFonts w:hint="default" w:ascii="monospace" w:hAnsi="monospace" w:eastAsia="monospace" w:cs="monospace"/>
      <w:sz w:val="20"/>
    </w:rPr>
  </w:style>
  <w:style w:type="character" w:styleId="42">
    <w:name w:val="HTML Sample"/>
    <w:unhideWhenUsed/>
    <w:qFormat/>
    <w:uiPriority w:val="99"/>
    <w:rPr>
      <w:rFonts w:hint="default" w:ascii="monospace" w:hAnsi="monospace" w:eastAsia="monospace" w:cs="monospace"/>
    </w:rPr>
  </w:style>
  <w:style w:type="character" w:customStyle="1" w:styleId="43">
    <w:name w:val="页眉 字符"/>
    <w:basedOn w:val="29"/>
    <w:link w:val="18"/>
    <w:qFormat/>
    <w:uiPriority w:val="0"/>
    <w:rPr>
      <w:sz w:val="18"/>
      <w:szCs w:val="18"/>
    </w:rPr>
  </w:style>
  <w:style w:type="character" w:customStyle="1" w:styleId="44">
    <w:name w:val="页脚 字符"/>
    <w:basedOn w:val="29"/>
    <w:link w:val="17"/>
    <w:qFormat/>
    <w:uiPriority w:val="0"/>
    <w:rPr>
      <w:sz w:val="18"/>
      <w:szCs w:val="18"/>
    </w:rPr>
  </w:style>
  <w:style w:type="character" w:customStyle="1" w:styleId="45">
    <w:name w:val="标题 1 字符"/>
    <w:basedOn w:val="29"/>
    <w:qFormat/>
    <w:uiPriority w:val="0"/>
    <w:rPr>
      <w:b/>
      <w:bCs/>
      <w:kern w:val="44"/>
      <w:sz w:val="44"/>
      <w:szCs w:val="44"/>
    </w:rPr>
  </w:style>
  <w:style w:type="character" w:customStyle="1" w:styleId="46">
    <w:name w:val="标题 2 字符"/>
    <w:basedOn w:val="29"/>
    <w:link w:val="5"/>
    <w:qFormat/>
    <w:uiPriority w:val="9"/>
    <w:rPr>
      <w:rFonts w:ascii="黑体" w:hAnsi="Arial" w:eastAsia="黑体" w:cs="Times New Roman"/>
      <w:kern w:val="0"/>
      <w:sz w:val="28"/>
      <w:szCs w:val="28"/>
    </w:rPr>
  </w:style>
  <w:style w:type="character" w:customStyle="1" w:styleId="47">
    <w:name w:val="标题 3 字符"/>
    <w:basedOn w:val="29"/>
    <w:link w:val="6"/>
    <w:qFormat/>
    <w:uiPriority w:val="9"/>
    <w:rPr>
      <w:rFonts w:ascii="Calibri" w:hAnsi="Calibri" w:eastAsia="宋体" w:cs="Times New Roman"/>
      <w:b/>
      <w:bCs/>
      <w:kern w:val="0"/>
      <w:sz w:val="32"/>
      <w:szCs w:val="32"/>
    </w:rPr>
  </w:style>
  <w:style w:type="character" w:customStyle="1" w:styleId="48">
    <w:name w:val="HTML 预设格式 字符"/>
    <w:basedOn w:val="29"/>
    <w:link w:val="22"/>
    <w:qFormat/>
    <w:uiPriority w:val="0"/>
    <w:rPr>
      <w:rFonts w:ascii="宋体" w:hAnsi="Times New Roman" w:eastAsia="宋体" w:cs="宋体"/>
      <w:kern w:val="0"/>
      <w:sz w:val="24"/>
      <w:szCs w:val="24"/>
    </w:rPr>
  </w:style>
  <w:style w:type="character" w:customStyle="1" w:styleId="49">
    <w:name w:val="标题 1 字符1"/>
    <w:link w:val="4"/>
    <w:qFormat/>
    <w:uiPriority w:val="0"/>
    <w:rPr>
      <w:rFonts w:ascii="Calibri" w:hAnsi="Calibri" w:eastAsia="宋体" w:cs="Times New Roman"/>
      <w:b/>
      <w:bCs/>
      <w:kern w:val="44"/>
      <w:sz w:val="44"/>
      <w:szCs w:val="44"/>
    </w:rPr>
  </w:style>
  <w:style w:type="character" w:customStyle="1" w:styleId="50">
    <w:name w:val="正文文本 字符"/>
    <w:basedOn w:val="29"/>
    <w:link w:val="2"/>
    <w:qFormat/>
    <w:uiPriority w:val="99"/>
    <w:rPr>
      <w:rFonts w:ascii="Calibri" w:hAnsi="Calibri" w:eastAsia="宋体" w:cs="Times New Roman"/>
      <w:kern w:val="0"/>
      <w:sz w:val="20"/>
      <w:szCs w:val="21"/>
    </w:rPr>
  </w:style>
  <w:style w:type="character" w:customStyle="1" w:styleId="51">
    <w:name w:val="正文文本缩进 字符"/>
    <w:basedOn w:val="29"/>
    <w:qFormat/>
    <w:uiPriority w:val="99"/>
  </w:style>
  <w:style w:type="character" w:customStyle="1" w:styleId="52">
    <w:name w:val="正文文本缩进 字符1"/>
    <w:link w:val="10"/>
    <w:qFormat/>
    <w:uiPriority w:val="99"/>
    <w:rPr>
      <w:rFonts w:ascii="Calibri" w:hAnsi="Calibri" w:eastAsia="宋体" w:cs="Times New Roman"/>
      <w:kern w:val="0"/>
      <w:sz w:val="20"/>
      <w:szCs w:val="21"/>
    </w:rPr>
  </w:style>
  <w:style w:type="character" w:customStyle="1" w:styleId="53">
    <w:name w:val="纯文本 字符"/>
    <w:basedOn w:val="29"/>
    <w:link w:val="13"/>
    <w:semiHidden/>
    <w:qFormat/>
    <w:uiPriority w:val="0"/>
    <w:rPr>
      <w:rFonts w:ascii="宋体" w:hAnsi="Courier New" w:eastAsia="华文宋体" w:cs="Times New Roman"/>
      <w:kern w:val="0"/>
      <w:sz w:val="28"/>
      <w:szCs w:val="28"/>
    </w:rPr>
  </w:style>
  <w:style w:type="character" w:customStyle="1" w:styleId="54">
    <w:name w:val="日期 字符"/>
    <w:basedOn w:val="29"/>
    <w:link w:val="14"/>
    <w:qFormat/>
    <w:uiPriority w:val="99"/>
    <w:rPr>
      <w:rFonts w:ascii="宋体" w:hAnsi="宋体" w:eastAsia="宋体" w:cs="Times New Roman"/>
      <w:kern w:val="0"/>
      <w:sz w:val="32"/>
      <w:szCs w:val="32"/>
    </w:rPr>
  </w:style>
  <w:style w:type="character" w:customStyle="1" w:styleId="55">
    <w:name w:val="正文文本缩进 2 字符"/>
    <w:basedOn w:val="29"/>
    <w:link w:val="15"/>
    <w:qFormat/>
    <w:uiPriority w:val="0"/>
    <w:rPr>
      <w:rFonts w:ascii="宋体" w:hAnsi="宋体" w:eastAsia="宋体" w:cs="宋体"/>
      <w:b/>
      <w:kern w:val="1"/>
      <w:sz w:val="24"/>
      <w:szCs w:val="21"/>
    </w:rPr>
  </w:style>
  <w:style w:type="character" w:customStyle="1" w:styleId="56">
    <w:name w:val="批注框文本 字符"/>
    <w:basedOn w:val="29"/>
    <w:link w:val="16"/>
    <w:qFormat/>
    <w:uiPriority w:val="99"/>
    <w:rPr>
      <w:rFonts w:ascii="Calibri" w:hAnsi="Calibri" w:eastAsia="宋体" w:cs="Times New Roman"/>
      <w:kern w:val="0"/>
      <w:sz w:val="18"/>
      <w:szCs w:val="18"/>
    </w:rPr>
  </w:style>
  <w:style w:type="character" w:customStyle="1" w:styleId="57">
    <w:name w:val="页脚 字符1"/>
    <w:qFormat/>
    <w:uiPriority w:val="0"/>
    <w:rPr>
      <w:rFonts w:ascii="Calibri" w:hAnsi="Calibri"/>
      <w:sz w:val="18"/>
      <w:szCs w:val="21"/>
    </w:rPr>
  </w:style>
  <w:style w:type="character" w:customStyle="1" w:styleId="58">
    <w:name w:val="页眉 字符1"/>
    <w:qFormat/>
    <w:uiPriority w:val="0"/>
    <w:rPr>
      <w:rFonts w:ascii="Calibri" w:hAnsi="Calibri"/>
      <w:sz w:val="18"/>
      <w:szCs w:val="18"/>
    </w:rPr>
  </w:style>
  <w:style w:type="character" w:customStyle="1" w:styleId="59">
    <w:name w:val="正文首行缩进 字符"/>
    <w:basedOn w:val="50"/>
    <w:qFormat/>
    <w:uiPriority w:val="99"/>
    <w:rPr>
      <w:rFonts w:ascii="Calibri" w:hAnsi="Calibri" w:eastAsia="宋体" w:cs="Times New Roman"/>
      <w:kern w:val="0"/>
      <w:sz w:val="20"/>
      <w:szCs w:val="21"/>
    </w:rPr>
  </w:style>
  <w:style w:type="character" w:customStyle="1" w:styleId="60">
    <w:name w:val="正文首行缩进 字符1"/>
    <w:link w:val="25"/>
    <w:qFormat/>
    <w:uiPriority w:val="0"/>
    <w:rPr>
      <w:rFonts w:ascii="Calibri" w:hAnsi="Calibri" w:eastAsia="Arial Unicode MS" w:cs="Times New Roman"/>
      <w:color w:val="000000"/>
      <w:kern w:val="0"/>
      <w:sz w:val="28"/>
      <w:szCs w:val="28"/>
    </w:rPr>
  </w:style>
  <w:style w:type="character" w:customStyle="1" w:styleId="61">
    <w:name w:val="正文首行缩进 2 字符"/>
    <w:basedOn w:val="51"/>
    <w:semiHidden/>
    <w:qFormat/>
    <w:uiPriority w:val="99"/>
  </w:style>
  <w:style w:type="character" w:customStyle="1" w:styleId="62">
    <w:name w:val="正文首行缩进 2 字符1"/>
    <w:link w:val="26"/>
    <w:semiHidden/>
    <w:qFormat/>
    <w:uiPriority w:val="0"/>
    <w:rPr>
      <w:rFonts w:ascii="Calibri" w:hAnsi="Calibri" w:eastAsia="Arial Unicode MS" w:cs="Times New Roman"/>
      <w:color w:val="000000"/>
      <w:kern w:val="0"/>
      <w:sz w:val="20"/>
      <w:szCs w:val="21"/>
    </w:rPr>
  </w:style>
  <w:style w:type="character" w:customStyle="1" w:styleId="63">
    <w:name w:val="font41"/>
    <w:qFormat/>
    <w:uiPriority w:val="0"/>
    <w:rPr>
      <w:rFonts w:hint="eastAsia" w:ascii="宋体" w:hAnsi="宋体" w:eastAsia="宋体" w:cs="宋体"/>
      <w:color w:val="000000"/>
      <w:sz w:val="22"/>
      <w:szCs w:val="22"/>
      <w:u w:val="none"/>
    </w:rPr>
  </w:style>
  <w:style w:type="character" w:customStyle="1" w:styleId="64">
    <w:name w:val="font11"/>
    <w:qFormat/>
    <w:uiPriority w:val="0"/>
    <w:rPr>
      <w:rFonts w:hint="eastAsia" w:ascii="宋体" w:hAnsi="宋体" w:eastAsia="宋体" w:cs="宋体"/>
      <w:color w:val="000000"/>
      <w:sz w:val="22"/>
      <w:szCs w:val="22"/>
      <w:u w:val="none"/>
    </w:rPr>
  </w:style>
  <w:style w:type="character" w:customStyle="1" w:styleId="65">
    <w:name w:val="15"/>
    <w:qFormat/>
    <w:uiPriority w:val="0"/>
    <w:rPr>
      <w:rFonts w:ascii="Calibri" w:hAnsi="Calibri" w:cs="Times New Roman"/>
      <w:color w:val="CC0000"/>
    </w:rPr>
  </w:style>
  <w:style w:type="character" w:customStyle="1" w:styleId="66">
    <w:name w:val="font201"/>
    <w:qFormat/>
    <w:uiPriority w:val="0"/>
    <w:rPr>
      <w:rFonts w:hint="eastAsia" w:ascii="宋体" w:hAnsi="宋体" w:eastAsia="宋体" w:cs="宋体"/>
      <w:color w:val="000000"/>
      <w:sz w:val="20"/>
      <w:szCs w:val="20"/>
      <w:u w:val="none"/>
    </w:rPr>
  </w:style>
  <w:style w:type="character" w:customStyle="1" w:styleId="67">
    <w:name w:val="font31"/>
    <w:qFormat/>
    <w:uiPriority w:val="0"/>
    <w:rPr>
      <w:rFonts w:hint="eastAsia" w:ascii="宋体" w:hAnsi="宋体" w:eastAsia="宋体" w:cs="宋体"/>
      <w:color w:val="000000"/>
      <w:sz w:val="22"/>
      <w:szCs w:val="22"/>
      <w:u w:val="none"/>
    </w:rPr>
  </w:style>
  <w:style w:type="character" w:customStyle="1" w:styleId="68">
    <w:name w:val="font01"/>
    <w:qFormat/>
    <w:uiPriority w:val="0"/>
    <w:rPr>
      <w:rFonts w:hint="default" w:ascii="方正宋三简体" w:hAnsi="方正宋三简体" w:eastAsia="方正宋三简体" w:cs="方正宋三简体"/>
      <w:color w:val="000000"/>
      <w:sz w:val="18"/>
      <w:szCs w:val="18"/>
      <w:u w:val="none"/>
      <w:vertAlign w:val="superscript"/>
    </w:rPr>
  </w:style>
  <w:style w:type="character" w:customStyle="1" w:styleId="69">
    <w:name w:val="日期 Char1"/>
    <w:semiHidden/>
    <w:qFormat/>
    <w:uiPriority w:val="99"/>
    <w:rPr>
      <w:rFonts w:ascii="Calibri" w:hAnsi="Calibri" w:eastAsia="宋体" w:cs="Times New Roman"/>
      <w:szCs w:val="21"/>
    </w:rPr>
  </w:style>
  <w:style w:type="character" w:customStyle="1" w:styleId="70">
    <w:name w:val="正文文本 Char"/>
    <w:qFormat/>
    <w:uiPriority w:val="0"/>
    <w:rPr>
      <w:rFonts w:ascii="Calibri" w:hAnsi="Calibri" w:eastAsia="宋体" w:cs="Times New Roman"/>
      <w:kern w:val="0"/>
      <w:sz w:val="20"/>
      <w:szCs w:val="21"/>
    </w:rPr>
  </w:style>
  <w:style w:type="character" w:customStyle="1" w:styleId="71">
    <w:name w:val="font21"/>
    <w:qFormat/>
    <w:uiPriority w:val="0"/>
    <w:rPr>
      <w:rFonts w:hint="eastAsia" w:ascii="宋体" w:hAnsi="宋体" w:eastAsia="宋体" w:cs="宋体"/>
      <w:color w:val="000000"/>
      <w:sz w:val="22"/>
      <w:szCs w:val="22"/>
      <w:u w:val="none"/>
    </w:rPr>
  </w:style>
  <w:style w:type="character" w:customStyle="1" w:styleId="72">
    <w:name w:val="font81"/>
    <w:qFormat/>
    <w:uiPriority w:val="0"/>
    <w:rPr>
      <w:rFonts w:hint="default" w:ascii="方正宋三简体" w:hAnsi="方正宋三简体" w:eastAsia="方正宋三简体" w:cs="方正宋三简体"/>
      <w:color w:val="000000"/>
      <w:sz w:val="18"/>
      <w:szCs w:val="18"/>
      <w:u w:val="none"/>
    </w:rPr>
  </w:style>
  <w:style w:type="character" w:customStyle="1" w:styleId="73">
    <w:name w:val="页眉 Char1"/>
    <w:semiHidden/>
    <w:qFormat/>
    <w:uiPriority w:val="99"/>
    <w:rPr>
      <w:rFonts w:ascii="Calibri" w:hAnsi="Calibri" w:eastAsia="宋体" w:cs="Times New Roman"/>
      <w:sz w:val="18"/>
      <w:szCs w:val="18"/>
    </w:rPr>
  </w:style>
  <w:style w:type="character" w:customStyle="1" w:styleId="74">
    <w:name w:val="font91"/>
    <w:qFormat/>
    <w:uiPriority w:val="0"/>
    <w:rPr>
      <w:rFonts w:hint="default" w:ascii="方正宋三简体" w:hAnsi="方正宋三简体" w:eastAsia="方正宋三简体" w:cs="方正宋三简体"/>
      <w:color w:val="000000"/>
      <w:sz w:val="18"/>
      <w:szCs w:val="18"/>
      <w:u w:val="none"/>
    </w:rPr>
  </w:style>
  <w:style w:type="character" w:customStyle="1" w:styleId="75">
    <w:name w:val="正文首行缩进 Char1"/>
    <w:semiHidden/>
    <w:qFormat/>
    <w:uiPriority w:val="99"/>
  </w:style>
  <w:style w:type="character" w:customStyle="1" w:styleId="76">
    <w:name w:val="font112"/>
    <w:qFormat/>
    <w:uiPriority w:val="0"/>
    <w:rPr>
      <w:rFonts w:hint="eastAsia" w:ascii="宋体" w:hAnsi="宋体" w:eastAsia="宋体" w:cs="宋体"/>
      <w:color w:val="FF0000"/>
      <w:sz w:val="18"/>
      <w:szCs w:val="18"/>
      <w:u w:val="none"/>
    </w:rPr>
  </w:style>
  <w:style w:type="character" w:customStyle="1" w:styleId="77">
    <w:name w:val="font51"/>
    <w:qFormat/>
    <w:uiPriority w:val="0"/>
    <w:rPr>
      <w:rFonts w:hint="default" w:ascii="Times New Roman" w:hAnsi="Times New Roman" w:cs="Times New Roman"/>
      <w:color w:val="000000"/>
      <w:sz w:val="22"/>
      <w:szCs w:val="22"/>
      <w:u w:val="none"/>
    </w:rPr>
  </w:style>
  <w:style w:type="character" w:customStyle="1" w:styleId="78">
    <w:name w:val="纯文本 Char1"/>
    <w:semiHidden/>
    <w:qFormat/>
    <w:uiPriority w:val="99"/>
    <w:rPr>
      <w:rFonts w:ascii="宋体" w:hAnsi="Courier New" w:eastAsia="宋体" w:cs="Courier New"/>
      <w:szCs w:val="21"/>
    </w:rPr>
  </w:style>
  <w:style w:type="character" w:customStyle="1" w:styleId="79">
    <w:name w:val="正文文本缩进 Char"/>
    <w:semiHidden/>
    <w:qFormat/>
    <w:uiPriority w:val="99"/>
    <w:rPr>
      <w:rFonts w:ascii="Calibri" w:hAnsi="Calibri" w:eastAsia="宋体" w:cs="Times New Roman"/>
      <w:szCs w:val="21"/>
    </w:rPr>
  </w:style>
  <w:style w:type="character" w:customStyle="1" w:styleId="80">
    <w:name w:val="页脚 Char1"/>
    <w:semiHidden/>
    <w:qFormat/>
    <w:uiPriority w:val="99"/>
    <w:rPr>
      <w:rFonts w:ascii="Calibri" w:hAnsi="Calibri" w:eastAsia="宋体" w:cs="Times New Roman"/>
      <w:sz w:val="18"/>
      <w:szCs w:val="18"/>
    </w:rPr>
  </w:style>
  <w:style w:type="character" w:customStyle="1" w:styleId="81">
    <w:name w:val="font121"/>
    <w:qFormat/>
    <w:uiPriority w:val="0"/>
    <w:rPr>
      <w:rFonts w:ascii="Wingdings" w:hAnsi="Wingdings" w:cs="Wingdings"/>
      <w:color w:val="000000"/>
      <w:sz w:val="18"/>
      <w:szCs w:val="18"/>
      <w:u w:val="none"/>
    </w:rPr>
  </w:style>
  <w:style w:type="character" w:customStyle="1" w:styleId="82">
    <w:name w:val="font151"/>
    <w:qFormat/>
    <w:uiPriority w:val="0"/>
    <w:rPr>
      <w:rFonts w:hint="eastAsia" w:ascii="宋体" w:hAnsi="宋体" w:eastAsia="宋体" w:cs="宋体"/>
      <w:color w:val="000000"/>
      <w:sz w:val="18"/>
      <w:szCs w:val="18"/>
      <w:u w:val="none"/>
    </w:rPr>
  </w:style>
  <w:style w:type="character" w:customStyle="1" w:styleId="83">
    <w:name w:val="font141"/>
    <w:qFormat/>
    <w:uiPriority w:val="0"/>
    <w:rPr>
      <w:rFonts w:hint="eastAsia" w:ascii="宋体" w:hAnsi="宋体" w:eastAsia="宋体" w:cs="宋体"/>
      <w:color w:val="000000"/>
      <w:sz w:val="18"/>
      <w:szCs w:val="18"/>
      <w:u w:val="none"/>
    </w:rPr>
  </w:style>
  <w:style w:type="character" w:customStyle="1" w:styleId="84">
    <w:name w:val="批注框文本 Char1"/>
    <w:semiHidden/>
    <w:qFormat/>
    <w:uiPriority w:val="99"/>
    <w:rPr>
      <w:rFonts w:ascii="Calibri" w:hAnsi="Calibri" w:eastAsia="宋体" w:cs="Times New Roman"/>
      <w:sz w:val="18"/>
      <w:szCs w:val="18"/>
    </w:rPr>
  </w:style>
  <w:style w:type="character" w:customStyle="1" w:styleId="85">
    <w:name w:val="正文首行缩进 2 Char1"/>
    <w:semiHidden/>
    <w:qFormat/>
    <w:uiPriority w:val="99"/>
  </w:style>
  <w:style w:type="character" w:customStyle="1" w:styleId="86">
    <w:name w:val="font71"/>
    <w:qFormat/>
    <w:uiPriority w:val="0"/>
    <w:rPr>
      <w:rFonts w:hint="eastAsia" w:ascii="宋体" w:hAnsi="宋体" w:eastAsia="宋体" w:cs="宋体"/>
      <w:color w:val="000000"/>
      <w:sz w:val="22"/>
      <w:szCs w:val="22"/>
      <w:u w:val="none"/>
    </w:rPr>
  </w:style>
  <w:style w:type="character" w:customStyle="1" w:styleId="87">
    <w:name w:val="font131"/>
    <w:qFormat/>
    <w:uiPriority w:val="0"/>
    <w:rPr>
      <w:rFonts w:hint="default" w:ascii="方正宋三简体" w:hAnsi="方正宋三简体" w:eastAsia="方正宋三简体" w:cs="方正宋三简体"/>
      <w:color w:val="000000"/>
      <w:sz w:val="18"/>
      <w:szCs w:val="18"/>
      <w:u w:val="none"/>
      <w:vertAlign w:val="superscript"/>
    </w:rPr>
  </w:style>
  <w:style w:type="paragraph" w:customStyle="1" w:styleId="88">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9">
    <w:name w:val="表格文字"/>
    <w:basedOn w:val="1"/>
    <w:next w:val="2"/>
    <w:qFormat/>
    <w:uiPriority w:val="0"/>
    <w:pPr>
      <w:autoSpaceDE w:val="0"/>
      <w:autoSpaceDN w:val="0"/>
      <w:adjustRightInd w:val="0"/>
      <w:spacing w:line="420" w:lineRule="atLeast"/>
      <w:jc w:val="left"/>
      <w:textAlignment w:val="baseline"/>
    </w:pPr>
    <w:rPr>
      <w:rFonts w:ascii="宋体" w:hAnsi="宋体" w:eastAsia="宋体" w:cs="宋体"/>
      <w:kern w:val="0"/>
      <w:sz w:val="22"/>
      <w:lang w:val="zh-CN" w:bidi="zh-CN"/>
    </w:rPr>
  </w:style>
  <w:style w:type="paragraph" w:customStyle="1" w:styleId="90">
    <w:name w:val="列出段落1"/>
    <w:basedOn w:val="1"/>
    <w:qFormat/>
    <w:uiPriority w:val="34"/>
    <w:pPr>
      <w:ind w:firstLine="420" w:firstLineChars="200"/>
    </w:pPr>
    <w:rPr>
      <w:rFonts w:ascii="Times New Roman" w:hAnsi="Times New Roman" w:eastAsia="宋体" w:cs="Times New Roman"/>
    </w:rPr>
  </w:style>
  <w:style w:type="paragraph" w:customStyle="1" w:styleId="91">
    <w:name w:val="文档正文"/>
    <w:basedOn w:val="1"/>
    <w:qFormat/>
    <w:uiPriority w:val="0"/>
    <w:pPr>
      <w:spacing w:line="480" w:lineRule="atLeast"/>
      <w:ind w:firstLine="567"/>
      <w:textAlignment w:val="baseline"/>
    </w:pPr>
    <w:rPr>
      <w:rFonts w:ascii="仿宋_GB2312" w:hAnsi="仿宋_GB2312" w:eastAsia="宋体" w:cs="宋体"/>
      <w:sz w:val="28"/>
      <w:szCs w:val="28"/>
    </w:rPr>
  </w:style>
  <w:style w:type="paragraph" w:styleId="92">
    <w:name w:val="List Paragraph"/>
    <w:basedOn w:val="1"/>
    <w:qFormat/>
    <w:uiPriority w:val="34"/>
    <w:pPr>
      <w:ind w:firstLine="420" w:firstLineChars="200"/>
    </w:pPr>
    <w:rPr>
      <w:rFonts w:ascii="Times New Roman" w:hAnsi="Times New Roman" w:eastAsia="宋体" w:cs="Times New Roman"/>
      <w:szCs w:val="24"/>
    </w:rPr>
  </w:style>
  <w:style w:type="paragraph" w:styleId="93">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4">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p0"/>
    <w:basedOn w:val="1"/>
    <w:qFormat/>
    <w:uiPriority w:val="0"/>
    <w:pPr>
      <w:widowControl/>
    </w:pPr>
    <w:rPr>
      <w:rFonts w:ascii="Times New Roman" w:hAnsi="Times New Roman" w:eastAsia="宋体" w:cs="Times New Roman"/>
      <w:kern w:val="0"/>
      <w:szCs w:val="21"/>
    </w:rPr>
  </w:style>
  <w:style w:type="paragraph" w:customStyle="1" w:styleId="96">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97">
    <w:name w:val="网格型1"/>
    <w:basedOn w:val="27"/>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
    <w:name w:val="批注框文本 Char3"/>
    <w:semiHidden/>
    <w:qFormat/>
    <w:uiPriority w:val="99"/>
    <w:rPr>
      <w:rFonts w:ascii="Times New Roman" w:hAnsi="Times New Roman" w:eastAsia="宋体" w:cs="Times New Roman"/>
      <w:sz w:val="18"/>
      <w:szCs w:val="18"/>
    </w:rPr>
  </w:style>
  <w:style w:type="character" w:customStyle="1" w:styleId="99">
    <w:name w:val="日期 Char3"/>
    <w:semiHidden/>
    <w:qFormat/>
    <w:uiPriority w:val="99"/>
    <w:rPr>
      <w:rFonts w:ascii="Times New Roman" w:hAnsi="Times New Roman" w:eastAsia="宋体" w:cs="Times New Roman"/>
      <w:szCs w:val="21"/>
    </w:rPr>
  </w:style>
  <w:style w:type="character" w:customStyle="1" w:styleId="100">
    <w:name w:val="hover"/>
    <w:qFormat/>
    <w:uiPriority w:val="0"/>
    <w:rPr>
      <w:color w:val="2590EB"/>
    </w:rPr>
  </w:style>
  <w:style w:type="character" w:customStyle="1" w:styleId="101">
    <w:name w:val="hover1"/>
    <w:qFormat/>
    <w:uiPriority w:val="0"/>
    <w:rPr>
      <w:color w:val="2590EB"/>
    </w:rPr>
  </w:style>
  <w:style w:type="character" w:customStyle="1" w:styleId="102">
    <w:name w:val="hover2"/>
    <w:qFormat/>
    <w:uiPriority w:val="0"/>
  </w:style>
  <w:style w:type="character" w:customStyle="1" w:styleId="103">
    <w:name w:val="mini-outputtext1"/>
    <w:qFormat/>
    <w:uiPriority w:val="0"/>
  </w:style>
  <w:style w:type="character" w:customStyle="1" w:styleId="104">
    <w:name w:val="hover3"/>
    <w:qFormat/>
    <w:uiPriority w:val="0"/>
  </w:style>
  <w:style w:type="paragraph" w:customStyle="1" w:styleId="105">
    <w:name w:val="TOC Heading"/>
    <w:basedOn w:val="4"/>
    <w:next w:val="1"/>
    <w:qFormat/>
    <w:uiPriority w:val="39"/>
    <w:pPr>
      <w:widowControl/>
      <w:spacing w:before="240" w:after="0" w:line="259" w:lineRule="auto"/>
      <w:jc w:val="left"/>
      <w:outlineLvl w:val="9"/>
    </w:pPr>
    <w:rPr>
      <w:rFonts w:ascii="等线 Light" w:hAnsi="等线 Light" w:eastAsia="等线 Light"/>
      <w:b w:val="0"/>
      <w:bCs w:val="0"/>
      <w:color w:val="2E74B5"/>
      <w:kern w:val="0"/>
      <w:sz w:val="32"/>
      <w:szCs w:val="32"/>
    </w:rPr>
  </w:style>
  <w:style w:type="character" w:customStyle="1" w:styleId="106">
    <w:name w:val="批注文字 字符"/>
    <w:basedOn w:val="29"/>
    <w:link w:val="9"/>
    <w:semiHidden/>
    <w:qFormat/>
    <w:uiPriority w:val="99"/>
  </w:style>
  <w:style w:type="character" w:customStyle="1" w:styleId="107">
    <w:name w:val="批注主题 字符"/>
    <w:basedOn w:val="106"/>
    <w:link w:val="24"/>
    <w:semiHidden/>
    <w:qFormat/>
    <w:uiPriority w:val="99"/>
    <w:rPr>
      <w:b/>
      <w:bCs/>
    </w:rPr>
  </w:style>
  <w:style w:type="paragraph" w:customStyle="1" w:styleId="108">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4"/>
      <w:szCs w:val="24"/>
    </w:rPr>
  </w:style>
  <w:style w:type="character" w:customStyle="1" w:styleId="109">
    <w:name w:val="NormalCharacter"/>
    <w:qFormat/>
    <w:uiPriority w:val="0"/>
  </w:style>
  <w:style w:type="character" w:customStyle="1" w:styleId="110">
    <w:name w:val="layui-layer-tabnow"/>
    <w:basedOn w:val="29"/>
    <w:qFormat/>
    <w:uiPriority w:val="0"/>
    <w:rPr>
      <w:bdr w:val="single" w:color="CCCCCC" w:sz="6" w:space="0"/>
      <w:shd w:val="clear" w:fill="FFFFFF"/>
    </w:rPr>
  </w:style>
  <w:style w:type="character" w:customStyle="1" w:styleId="111">
    <w:name w:val="first-child"/>
    <w:basedOn w:val="29"/>
    <w:qFormat/>
    <w:uiPriority w:val="0"/>
  </w:style>
  <w:style w:type="paragraph" w:customStyle="1" w:styleId="112">
    <w:name w:val="标题3-1"/>
    <w:basedOn w:val="6"/>
    <w:qFormat/>
    <w:uiPriority w:val="0"/>
    <w:pPr>
      <w:spacing w:before="100" w:beforeLines="0" w:beforeAutospacing="1" w:after="100" w:afterLines="0" w:afterAutospacing="1" w:line="410" w:lineRule="auto"/>
      <w:ind w:left="2225" w:hanging="425"/>
    </w:pPr>
    <w:rPr>
      <w:rFonts w:ascii="Courier New" w:hAnsi="Courier New" w:cs="Courier New"/>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中国微软</Company>
  <Pages>75</Pages>
  <Words>20286</Words>
  <Characters>22199</Characters>
  <Lines>203</Lines>
  <Paragraphs>57</Paragraphs>
  <TotalTime>0</TotalTime>
  <ScaleCrop>false</ScaleCrop>
  <LinksUpToDate>false</LinksUpToDate>
  <CharactersWithSpaces>22383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2024-01-09T09:28:00Z</dcterms:created>
  <dc:creator>Administrator</dc:creator>
  <cp:lastModifiedBy>Administrator</cp:lastModifiedBy>
  <dcterms:modified xsi:type="dcterms:W3CDTF">2026-08-21T08:22:32Z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eyJoZGlkIjoiZTQzNGVkZDA1NTk4NDM0NzAwYTZhZTNkMDVjMTg4NzAiLCJ1c2VySWQiOiI5NDMwNTc3OTUifQ==</vt:lpwstr>
  </property>
  <property fmtid="{D5CDD505-2E9C-101B-9397-08002B2CF9AE}" pid="3" name="KSOProductBuildVer">
    <vt:lpwstr>2052-12.1.0.21171</vt:lpwstr>
  </property>
  <property fmtid="{D5CDD505-2E9C-101B-9397-08002B2CF9AE}" pid="4" name="ICV">
    <vt:lpwstr>5893E7A533DE4873A89D856CBD2276DB_12</vt:lpwstr>
  </property>
</Properties>
</file>